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62B5" w14:textId="5E5B52EB" w:rsidR="004734C1" w:rsidRPr="00A1110C" w:rsidRDefault="001A196E" w:rsidP="00EB7272">
      <w:pPr>
        <w:tabs>
          <w:tab w:val="left" w:pos="6930"/>
        </w:tabs>
        <w:rPr>
          <w:lang w:val="en-GB"/>
        </w:rPr>
        <w:sectPr w:rsidR="004734C1" w:rsidRPr="00A1110C" w:rsidSect="00EB7272">
          <w:headerReference w:type="even" r:id="rId8"/>
          <w:headerReference w:type="default" r:id="rId9"/>
          <w:footerReference w:type="even" r:id="rId10"/>
          <w:headerReference w:type="first" r:id="rId11"/>
          <w:pgSz w:w="12240" w:h="15840"/>
          <w:pgMar w:top="1440" w:right="1440" w:bottom="1440" w:left="1440" w:header="720" w:footer="720" w:gutter="0"/>
          <w:cols w:space="720"/>
        </w:sectPr>
      </w:pPr>
      <w:r w:rsidRPr="00A1110C">
        <w:rPr>
          <w:noProof/>
          <w:lang w:val="en-GB"/>
        </w:rPr>
        <mc:AlternateContent>
          <mc:Choice Requires="wps">
            <w:drawing>
              <wp:anchor distT="36576" distB="36576" distL="36576" distR="36576" simplePos="0" relativeHeight="487654400" behindDoc="0" locked="0" layoutInCell="1" allowOverlap="1" wp14:anchorId="46882DC3" wp14:editId="2B7D40DB">
                <wp:simplePos x="0" y="0"/>
                <wp:positionH relativeFrom="column">
                  <wp:posOffset>4244340</wp:posOffset>
                </wp:positionH>
                <wp:positionV relativeFrom="page">
                  <wp:posOffset>7932420</wp:posOffset>
                </wp:positionV>
                <wp:extent cx="2383790" cy="473075"/>
                <wp:effectExtent l="0" t="0" r="0" b="3175"/>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4730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7A2E0EA" w14:textId="7626F72C" w:rsidR="00F2408C" w:rsidRPr="001A196E" w:rsidRDefault="001A196E" w:rsidP="002937CC">
                            <w:pPr>
                              <w:pStyle w:val="My"/>
                              <w:jc w:val="both"/>
                              <w:rPr>
                                <w:rStyle w:val="sowc"/>
                                <w:rFonts w:ascii="Arial" w:hAnsi="Arial"/>
                                <w:b/>
                                <w:sz w:val="40"/>
                                <w:szCs w:val="40"/>
                                <w:lang w:val="bg-BG"/>
                              </w:rPr>
                            </w:pPr>
                            <w:r>
                              <w:rPr>
                                <w:rStyle w:val="sowc"/>
                                <w:rFonts w:ascii="Arial" w:hAnsi="Arial"/>
                                <w:b/>
                                <w:sz w:val="40"/>
                                <w:szCs w:val="40"/>
                                <w:lang w:val="bg-BG"/>
                              </w:rPr>
                              <w:t>Декември</w:t>
                            </w:r>
                            <w:r w:rsidR="00F2408C">
                              <w:rPr>
                                <w:rStyle w:val="sowc"/>
                                <w:rFonts w:ascii="Arial" w:hAnsi="Arial"/>
                                <w:b/>
                                <w:sz w:val="40"/>
                                <w:szCs w:val="40"/>
                                <w:lang w:val="en-US"/>
                              </w:rPr>
                              <w:t xml:space="preserve"> 2021</w:t>
                            </w:r>
                            <w:r>
                              <w:rPr>
                                <w:rStyle w:val="sowc"/>
                                <w:rFonts w:ascii="Arial" w:hAnsi="Arial"/>
                                <w:b/>
                                <w:sz w:val="40"/>
                                <w:szCs w:val="40"/>
                                <w:lang w:val="bg-BG"/>
                              </w:rPr>
                              <w:t xml:space="preserve"> г.</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82DC3" id="_x0000_t202" coordsize="21600,21600" o:spt="202" path="m,l,21600r21600,l21600,xe">
                <v:stroke joinstyle="miter"/>
                <v:path gradientshapeok="t" o:connecttype="rect"/>
              </v:shapetype>
              <v:shape id="Text Box 223" o:spid="_x0000_s1026" type="#_x0000_t202" style="position:absolute;margin-left:334.2pt;margin-top:624.6pt;width:187.7pt;height:37.25pt;z-index:487654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" filled="f" fillcolor="#fffffe" stroked="f" strokecolor="#212120" insetpen="t">
                <v:textbox inset="2.88pt,2.88pt,2.88pt,2.88pt">
                  <w:txbxContent>
                    <w:p w14:paraId="47A2E0EA" w14:textId="7626F72C" w:rsidR="00F2408C" w:rsidRPr="001A196E" w:rsidRDefault="001A196E" w:rsidP="002937CC">
                      <w:pPr>
                        <w:pStyle w:val="My"/>
                        <w:jc w:val="both"/>
                        <w:rPr>
                          <w:rStyle w:val="sowc"/>
                          <w:rFonts w:ascii="Arial" w:hAnsi="Arial"/>
                          <w:b/>
                          <w:sz w:val="40"/>
                          <w:szCs w:val="40"/>
                          <w:lang w:val="bg-BG"/>
                        </w:rPr>
                      </w:pPr>
                      <w:r>
                        <w:rPr>
                          <w:rStyle w:val="sowc"/>
                          <w:rFonts w:ascii="Arial" w:hAnsi="Arial"/>
                          <w:b/>
                          <w:sz w:val="40"/>
                          <w:szCs w:val="40"/>
                          <w:lang w:val="bg-BG"/>
                        </w:rPr>
                        <w:t>Декември</w:t>
                      </w:r>
                      <w:r w:rsidR="00F2408C">
                        <w:rPr>
                          <w:rStyle w:val="sowc"/>
                          <w:rFonts w:ascii="Arial" w:hAnsi="Arial"/>
                          <w:b/>
                          <w:sz w:val="40"/>
                          <w:szCs w:val="40"/>
                          <w:lang w:val="en-US"/>
                        </w:rPr>
                        <w:t xml:space="preserve"> 2021</w:t>
                      </w:r>
                      <w:r>
                        <w:rPr>
                          <w:rStyle w:val="sowc"/>
                          <w:rFonts w:ascii="Arial" w:hAnsi="Arial"/>
                          <w:b/>
                          <w:sz w:val="40"/>
                          <w:szCs w:val="40"/>
                          <w:lang w:val="bg-BG"/>
                        </w:rPr>
                        <w:t xml:space="preserve"> г.</w:t>
                      </w:r>
                    </w:p>
                  </w:txbxContent>
                </v:textbox>
                <w10:wrap anchory="page"/>
              </v:shape>
            </w:pict>
          </mc:Fallback>
        </mc:AlternateContent>
      </w:r>
      <w:r w:rsidR="00C72E06" w:rsidRPr="00A1110C">
        <w:rPr>
          <w:noProof/>
          <w:lang w:val="en-GB" w:eastAsia="zh-TW"/>
        </w:rPr>
        <mc:AlternateContent>
          <mc:Choice Requires="wpg">
            <w:drawing>
              <wp:anchor distT="0" distB="0" distL="114300" distR="114300" simplePos="0" relativeHeight="251676672" behindDoc="0" locked="0" layoutInCell="0" allowOverlap="1" wp14:anchorId="2D57FDCA" wp14:editId="153CB466">
                <wp:simplePos x="0" y="0"/>
                <wp:positionH relativeFrom="page">
                  <wp:posOffset>552334</wp:posOffset>
                </wp:positionH>
                <wp:positionV relativeFrom="margin">
                  <wp:posOffset>1461135</wp:posOffset>
                </wp:positionV>
                <wp:extent cx="6570921" cy="4918710"/>
                <wp:effectExtent l="0" t="0" r="0" b="0"/>
                <wp:wrapNone/>
                <wp:docPr id="5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921" cy="4918710"/>
                          <a:chOff x="0" y="6703"/>
                          <a:chExt cx="12239" cy="7697"/>
                        </a:xfrm>
                      </wpg:grpSpPr>
                      <wpg:grpSp>
                        <wpg:cNvPr id="54" name="Group 151"/>
                        <wpg:cNvGrpSpPr>
                          <a:grpSpLocks/>
                        </wpg:cNvGrpSpPr>
                        <wpg:grpSpPr bwMode="auto">
                          <a:xfrm>
                            <a:off x="0" y="9661"/>
                            <a:ext cx="12239" cy="4739"/>
                            <a:chOff x="-6" y="3399"/>
                            <a:chExt cx="12197" cy="4253"/>
                          </a:xfrm>
                        </wpg:grpSpPr>
                        <wpg:grpSp>
                          <wpg:cNvPr id="55" name="Group 152"/>
                          <wpg:cNvGrpSpPr>
                            <a:grpSpLocks/>
                          </wpg:cNvGrpSpPr>
                          <wpg:grpSpPr bwMode="auto">
                            <a:xfrm>
                              <a:off x="-6" y="3717"/>
                              <a:ext cx="12189" cy="3550"/>
                              <a:chOff x="18" y="7468"/>
                              <a:chExt cx="12189" cy="3550"/>
                            </a:xfrm>
                          </wpg:grpSpPr>
                          <wps:wsp>
                            <wps:cNvPr id="56" name="Freeform 15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5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5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9" name="Freeform 15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5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5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5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6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6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6" name="Rectangle 163"/>
                        <wps:cNvSpPr>
                          <a:spLocks/>
                        </wps:cNvSpPr>
                        <wps:spPr bwMode="auto">
                          <a:xfrm>
                            <a:off x="7896" y="11170"/>
                            <a:ext cx="4335" cy="2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E27E6" w14:textId="4BF3195C" w:rsidR="00F2408C" w:rsidRDefault="00F2408C" w:rsidP="000544CD">
                              <w:pPr>
                                <w:jc w:val="right"/>
                                <w:rPr>
                                  <w:sz w:val="96"/>
                                  <w:szCs w:val="96"/>
                                </w:rPr>
                              </w:pPr>
                            </w:p>
                          </w:txbxContent>
                        </wps:txbx>
                        <wps:bodyPr rot="0" vert="horz" wrap="square" lIns="91440" tIns="45720" rIns="91440" bIns="45720" anchor="t" anchorCtr="0" upright="1">
                          <a:noAutofit/>
                        </wps:bodyPr>
                      </wps:wsp>
                      <wps:wsp>
                        <wps:cNvPr id="67" name="Rectangle 164"/>
                        <wps:cNvSpPr>
                          <a:spLocks/>
                        </wps:cNvSpPr>
                        <wps:spPr bwMode="auto">
                          <a:xfrm>
                            <a:off x="1275" y="6703"/>
                            <a:ext cx="9449"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D7EAF" w14:textId="77777777" w:rsidR="00F24FE6" w:rsidRDefault="00F24FE6" w:rsidP="000544CD">
                              <w:pPr>
                                <w:rPr>
                                  <w:rFonts w:ascii="Arial" w:hAnsi="Arial" w:cs="Arial"/>
                                  <w:b/>
                                  <w:bCs/>
                                  <w:color w:val="1F497D" w:themeColor="text2"/>
                                  <w:sz w:val="72"/>
                                  <w:szCs w:val="72"/>
                                  <w:lang w:val="bg-BG"/>
                                </w:rPr>
                              </w:pPr>
                              <w:r>
                                <w:rPr>
                                  <w:rFonts w:ascii="Arial" w:hAnsi="Arial" w:cs="Arial"/>
                                  <w:b/>
                                  <w:bCs/>
                                  <w:color w:val="1F497D" w:themeColor="text2"/>
                                  <w:sz w:val="72"/>
                                  <w:szCs w:val="72"/>
                                  <w:lang w:val="bg-BG"/>
                                </w:rPr>
                                <w:t>България</w:t>
                              </w:r>
                            </w:p>
                            <w:p w14:paraId="044A2BE1" w14:textId="3FC0D4C2" w:rsidR="00F2408C" w:rsidRPr="00B90C31" w:rsidRDefault="00F24FE6" w:rsidP="000544CD">
                              <w:pPr>
                                <w:rPr>
                                  <w:rFonts w:ascii="Arial" w:hAnsi="Arial" w:cs="Arial"/>
                                  <w:b/>
                                  <w:bCs/>
                                  <w:color w:val="1F497D" w:themeColor="text2"/>
                                  <w:sz w:val="72"/>
                                  <w:szCs w:val="72"/>
                                </w:rPr>
                              </w:pPr>
                              <w:r>
                                <w:rPr>
                                  <w:rFonts w:ascii="Arial" w:hAnsi="Arial" w:cs="Arial"/>
                                  <w:b/>
                                  <w:bCs/>
                                  <w:color w:val="1F497D" w:themeColor="text2"/>
                                  <w:sz w:val="72"/>
                                  <w:szCs w:val="72"/>
                                  <w:lang w:val="bg-BG"/>
                                </w:rPr>
                                <w:t>Инструменти за ранно предупреждение и превантивно преструктуриране</w:t>
                              </w:r>
                            </w:p>
                            <w:p w14:paraId="79F8A050" w14:textId="2397A6CA" w:rsidR="00F2408C" w:rsidRPr="004506DA" w:rsidRDefault="001A196E" w:rsidP="000544CD">
                              <w:pPr>
                                <w:rPr>
                                  <w:rFonts w:ascii="Arial" w:hAnsi="Arial" w:cs="Arial"/>
                                  <w:b/>
                                  <w:bCs/>
                                  <w:color w:val="4F81BD" w:themeColor="accent1"/>
                                  <w:sz w:val="40"/>
                                  <w:szCs w:val="40"/>
                                </w:rPr>
                              </w:pPr>
                              <w:r>
                                <w:rPr>
                                  <w:rFonts w:ascii="Arial" w:hAnsi="Arial" w:cs="Arial"/>
                                  <w:b/>
                                  <w:bCs/>
                                  <w:color w:val="4F81BD" w:themeColor="accent1"/>
                                  <w:sz w:val="36"/>
                                  <w:szCs w:val="36"/>
                                  <w:lang w:val="bg-BG"/>
                                </w:rPr>
                                <w:t>Обобщена справка</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D57FDCA" id="Group 150" o:spid="_x0000_s1027" style="position:absolute;margin-left:43.5pt;margin-top:115.05pt;width:517.4pt;height:387.3pt;z-index:251676672;mso-position-horizontal-relative:page;mso-position-vertical-relative:margin;mso-height-relative:margin" coordorigin=",6703" coordsize="1223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" o:allowincell="f">
                <v:group id="Group 151" o:spid="_x0000_s1028"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52"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53"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" path="m,l17,2863,7132,2578r,-2378l,xe" fillcolor="#a7bfde [1620]" stroked="f">
                      <v:fill opacity="32896f"/>
                      <v:path arrowok="t" o:connecttype="custom" o:connectlocs="0,0;17,2863;7132,2578;7132,200;0,0" o:connectangles="0,0,0,0,0"/>
                    </v:shape>
                    <v:shape id="Freeform 154"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" path="m,569l,2930r3466,620l3466,,,569xe" fillcolor="#d3dfee [820]" stroked="f">
                      <v:fill opacity="32896f"/>
                      <v:path arrowok="t" o:connecttype="custom" o:connectlocs="0,569;0,2930;3466,3550;3466,0;0,569" o:connectangles="0,0,0,0,0"/>
                    </v:shape>
                    <v:shape id="Freeform 155"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" path="m,l,3550,1591,2746r,-2009l,xe" fillcolor="#a7bfde [1620]" stroked="f">
                      <v:fill opacity="32896f"/>
                      <v:path arrowok="t" o:connecttype="custom" o:connectlocs="0,0;0,3550;1591,2746;1591,737;0,0" o:connectangles="0,0,0,0,0"/>
                    </v:shape>
                  </v:group>
                  <v:shape id="Freeform 156"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" path="m1,251l,2662r4120,251l4120,,1,251xe" fillcolor="#d8d8d8 [2732]" stroked="f">
                    <v:path arrowok="t" o:connecttype="custom" o:connectlocs="1,251;0,2662;4120,2913;4120,0;1,251" o:connectangles="0,0,0,0,0"/>
                  </v:shape>
                  <v:shape id="Freeform 157"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" path="m,l,4236,3985,3349r,-2428l,xe" fillcolor="#bfbfbf [2412]" stroked="f">
                    <v:path arrowok="t" o:connecttype="custom" o:connectlocs="0,0;0,4236;3985,3349;3985,921;0,0" o:connectangles="0,0,0,0,0"/>
                  </v:shape>
                  <v:shape id="Freeform 158"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" path="m4086,r-2,4253l,3198,,1072,4086,xe" fillcolor="#d8d8d8 [2732]" stroked="f">
                    <v:path arrowok="t" o:connecttype="custom" o:connectlocs="4086,0;4084,4253;0,3198;0,1072;4086,0" o:connectangles="0,0,0,0,0"/>
                  </v:shape>
                  <v:shape id="Freeform 159"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" path="m,921l2060,r16,3851l,2981,,921xe" fillcolor="#d3dfee [820]" stroked="f">
                    <v:fill opacity="46003f"/>
                    <v:path arrowok="t" o:connecttype="custom" o:connectlocs="0,921;2060,0;2076,3851;0,2981;0,921" o:connectangles="0,0,0,0,0"/>
                  </v:shape>
                  <v:shape id="Freeform 160"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" path="m,l17,3835,6011,2629r,-1390l,xe" fillcolor="#a7bfde [1620]" stroked="f">
                    <v:fill opacity="46003f"/>
                    <v:path arrowok="t" o:connecttype="custom" o:connectlocs="0,0;17,3835;6011,2629;6011,1239;0,0" o:connectangles="0,0,0,0,0"/>
                  </v:shape>
                  <v:shape id="Freeform 161"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" path="m,1038l,2411,4102,3432,4102,,,1038xe" fillcolor="#d3dfee [820]" stroked="f">
                    <v:fill opacity="46003f"/>
                    <v:path arrowok="t" o:connecttype="custom" o:connectlocs="0,1038;0,2411;4102,3432;4102,0;0,1038" o:connectangles="0,0,0,0,0"/>
                  </v:shape>
                </v:group>
                <v:rect id="Rectangle 163" o:spid="_x0000_s1039" style="position:absolute;left:7896;top:11170;width:4335;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" filled="f" stroked="f">
                  <v:path arrowok="t"/>
                  <v:textbox>
                    <w:txbxContent>
                      <w:p w14:paraId="4C9E27E6" w14:textId="4BF3195C" w:rsidR="00F2408C" w:rsidRDefault="00F2408C" w:rsidP="000544CD">
                        <w:pPr>
                          <w:jc w:val="right"/>
                          <w:rPr>
                            <w:sz w:val="96"/>
                            <w:szCs w:val="96"/>
                          </w:rPr>
                        </w:pPr>
                      </w:p>
                    </w:txbxContent>
                  </v:textbox>
                </v:rect>
                <v:rect id="Rectangle 164" o:spid="_x0000_s1040" style="position:absolute;left:1275;top:6703;width:9449;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" filled="f" stroked="f">
                  <v:path arrowok="t"/>
                  <v:textbox>
                    <w:txbxContent>
                      <w:p w14:paraId="3C9D7EAF" w14:textId="77777777" w:rsidR="00F24FE6" w:rsidRDefault="00F24FE6" w:rsidP="000544CD">
                        <w:pPr>
                          <w:rPr>
                            <w:rFonts w:ascii="Arial" w:hAnsi="Arial" w:cs="Arial"/>
                            <w:b/>
                            <w:bCs/>
                            <w:color w:val="1F497D" w:themeColor="text2"/>
                            <w:sz w:val="72"/>
                            <w:szCs w:val="72"/>
                            <w:lang w:val="bg-BG"/>
                          </w:rPr>
                        </w:pPr>
                        <w:r>
                          <w:rPr>
                            <w:rFonts w:ascii="Arial" w:hAnsi="Arial" w:cs="Arial"/>
                            <w:b/>
                            <w:bCs/>
                            <w:color w:val="1F497D" w:themeColor="text2"/>
                            <w:sz w:val="72"/>
                            <w:szCs w:val="72"/>
                            <w:lang w:val="bg-BG"/>
                          </w:rPr>
                          <w:t>България</w:t>
                        </w:r>
                      </w:p>
                      <w:p w14:paraId="044A2BE1" w14:textId="3FC0D4C2" w:rsidR="00F2408C" w:rsidRPr="00B90C31" w:rsidRDefault="00F24FE6" w:rsidP="000544CD">
                        <w:pPr>
                          <w:rPr>
                            <w:rFonts w:ascii="Arial" w:hAnsi="Arial" w:cs="Arial"/>
                            <w:b/>
                            <w:bCs/>
                            <w:color w:val="1F497D" w:themeColor="text2"/>
                            <w:sz w:val="72"/>
                            <w:szCs w:val="72"/>
                          </w:rPr>
                        </w:pPr>
                        <w:r>
                          <w:rPr>
                            <w:rFonts w:ascii="Arial" w:hAnsi="Arial" w:cs="Arial"/>
                            <w:b/>
                            <w:bCs/>
                            <w:color w:val="1F497D" w:themeColor="text2"/>
                            <w:sz w:val="72"/>
                            <w:szCs w:val="72"/>
                            <w:lang w:val="bg-BG"/>
                          </w:rPr>
                          <w:t>Инструменти за ранно предупреждение и превантивно преструктуриране</w:t>
                        </w:r>
                      </w:p>
                      <w:p w14:paraId="79F8A050" w14:textId="2397A6CA" w:rsidR="00F2408C" w:rsidRPr="004506DA" w:rsidRDefault="001A196E" w:rsidP="000544CD">
                        <w:pPr>
                          <w:rPr>
                            <w:rFonts w:ascii="Arial" w:hAnsi="Arial" w:cs="Arial"/>
                            <w:b/>
                            <w:bCs/>
                            <w:color w:val="4F81BD" w:themeColor="accent1"/>
                            <w:sz w:val="40"/>
                            <w:szCs w:val="40"/>
                          </w:rPr>
                        </w:pPr>
                        <w:r>
                          <w:rPr>
                            <w:rFonts w:ascii="Arial" w:hAnsi="Arial" w:cs="Arial"/>
                            <w:b/>
                            <w:bCs/>
                            <w:color w:val="4F81BD" w:themeColor="accent1"/>
                            <w:sz w:val="36"/>
                            <w:szCs w:val="36"/>
                            <w:lang w:val="bg-BG"/>
                          </w:rPr>
                          <w:t>Обобщена справка</w:t>
                        </w:r>
                      </w:p>
                    </w:txbxContent>
                  </v:textbox>
                </v:rect>
                <w10:wrap anchorx="page" anchory="margin"/>
              </v:group>
            </w:pict>
          </mc:Fallback>
        </mc:AlternateContent>
      </w:r>
      <w:r w:rsidR="005D3A97" w:rsidRPr="00A1110C">
        <w:rPr>
          <w:noProof/>
          <w:lang w:val="en-GB"/>
        </w:rPr>
        <mc:AlternateContent>
          <mc:Choice Requires="wps">
            <w:drawing>
              <wp:anchor distT="36576" distB="36576" distL="36576" distR="36576" simplePos="0" relativeHeight="487652352" behindDoc="0" locked="0" layoutInCell="1" allowOverlap="1" wp14:anchorId="5EA59F49" wp14:editId="466C1F5A">
                <wp:simplePos x="0" y="0"/>
                <wp:positionH relativeFrom="column">
                  <wp:posOffset>-70538</wp:posOffset>
                </wp:positionH>
                <wp:positionV relativeFrom="page">
                  <wp:posOffset>2363171</wp:posOffset>
                </wp:positionV>
                <wp:extent cx="6201914" cy="1188720"/>
                <wp:effectExtent l="0" t="0" r="8890" b="0"/>
                <wp:wrapNone/>
                <wp:docPr id="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914" cy="11887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812A45B" w14:textId="6F3DF789" w:rsidR="00F2408C" w:rsidRPr="006C6C9B" w:rsidRDefault="00F24FE6" w:rsidP="005D3A97">
                            <w:pPr>
                              <w:spacing w:before="59"/>
                              <w:ind w:left="300"/>
                              <w:jc w:val="center"/>
                              <w:rPr>
                                <w:rFonts w:asciiTheme="minorHAnsi" w:hAnsiTheme="minorHAnsi" w:cstheme="minorHAnsi"/>
                                <w:b/>
                                <w:sz w:val="36"/>
                                <w:szCs w:val="36"/>
                              </w:rPr>
                            </w:pPr>
                            <w:r w:rsidRPr="00F24FE6">
                              <w:rPr>
                                <w:b/>
                                <w:color w:val="365F91" w:themeColor="accent1" w:themeShade="BF"/>
                                <w:sz w:val="36"/>
                                <w:szCs w:val="36"/>
                                <w:lang w:val="bg-BG"/>
                              </w:rPr>
                              <w:t xml:space="preserve">Глобална </w:t>
                            </w:r>
                            <w:r w:rsidRPr="00F24FE6">
                              <w:rPr>
                                <w:b/>
                                <w:color w:val="365F91" w:themeColor="accent1" w:themeShade="BF"/>
                                <w:sz w:val="36"/>
                                <w:szCs w:val="36"/>
                                <w:lang w:val="bg-BG"/>
                              </w:rPr>
                              <w:t>практика по финанси, конкурентноспособност и иновации (ФКИ)</w:t>
                            </w:r>
                          </w:p>
                          <w:p w14:paraId="7258039D" w14:textId="77777777" w:rsidR="00F2408C" w:rsidRPr="00067F27" w:rsidRDefault="00F2408C" w:rsidP="002937CC">
                            <w:pPr>
                              <w:pStyle w:val="My"/>
                              <w:jc w:val="both"/>
                              <w:rPr>
                                <w:rStyle w:val="sowc"/>
                                <w:b/>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9F49" id="_x0000_s1041" type="#_x0000_t202" style="position:absolute;margin-left:-5.55pt;margin-top:186.1pt;width:488.35pt;height:93.6pt;z-index:487652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" filled="f" fillcolor="#fffffe" stroked="f" strokecolor="#212120" insetpen="t">
                <v:textbox inset="2.88pt,2.88pt,2.88pt,2.88pt">
                  <w:txbxContent>
                    <w:p w14:paraId="5812A45B" w14:textId="6F3DF789" w:rsidR="00F2408C" w:rsidRPr="006C6C9B" w:rsidRDefault="00F24FE6" w:rsidP="005D3A97">
                      <w:pPr>
                        <w:spacing w:before="59"/>
                        <w:ind w:left="300"/>
                        <w:jc w:val="center"/>
                        <w:rPr>
                          <w:rFonts w:asciiTheme="minorHAnsi" w:hAnsiTheme="minorHAnsi" w:cstheme="minorHAnsi"/>
                          <w:b/>
                          <w:sz w:val="36"/>
                          <w:szCs w:val="36"/>
                        </w:rPr>
                      </w:pPr>
                      <w:r w:rsidRPr="00F24FE6">
                        <w:rPr>
                          <w:b/>
                          <w:color w:val="365F91" w:themeColor="accent1" w:themeShade="BF"/>
                          <w:sz w:val="36"/>
                          <w:szCs w:val="36"/>
                          <w:lang w:val="bg-BG"/>
                        </w:rPr>
                        <w:t xml:space="preserve">Глобална </w:t>
                      </w:r>
                      <w:r w:rsidRPr="00F24FE6">
                        <w:rPr>
                          <w:b/>
                          <w:color w:val="365F91" w:themeColor="accent1" w:themeShade="BF"/>
                          <w:sz w:val="36"/>
                          <w:szCs w:val="36"/>
                          <w:lang w:val="bg-BG"/>
                        </w:rPr>
                        <w:t>практика по финанси, конкурентноспособност и иновации (ФКИ)</w:t>
                      </w:r>
                    </w:p>
                    <w:p w14:paraId="7258039D" w14:textId="77777777" w:rsidR="00F2408C" w:rsidRPr="00067F27" w:rsidRDefault="00F2408C" w:rsidP="002937CC">
                      <w:pPr>
                        <w:pStyle w:val="My"/>
                        <w:jc w:val="both"/>
                        <w:rPr>
                          <w:rStyle w:val="sowc"/>
                          <w:b/>
                          <w:lang w:val="en-US"/>
                        </w:rPr>
                      </w:pPr>
                    </w:p>
                  </w:txbxContent>
                </v:textbox>
                <w10:wrap anchory="page"/>
              </v:shape>
            </w:pict>
          </mc:Fallback>
        </mc:AlternateContent>
      </w:r>
    </w:p>
    <w:p w14:paraId="037B24C2" w14:textId="6C5E1496" w:rsidR="004707BF" w:rsidRPr="00384771" w:rsidRDefault="005A7C4B" w:rsidP="00767366">
      <w:pPr>
        <w:pStyle w:val="Heading1"/>
        <w:spacing w:before="0" w:after="160"/>
        <w:contextualSpacing/>
        <w:rPr>
          <w:rFonts w:asciiTheme="minorHAnsi" w:hAnsiTheme="minorHAnsi" w:cstheme="minorHAnsi"/>
          <w:shd w:val="clear" w:color="auto" w:fill="FFFFFF"/>
          <w:lang w:val="en-GB" w:eastAsia="en-GB"/>
        </w:rPr>
      </w:pPr>
      <w:bookmarkStart w:id="0" w:name="_bookmark1"/>
      <w:bookmarkEnd w:id="0"/>
      <w:r>
        <w:rPr>
          <w:rFonts w:asciiTheme="minorHAnsi" w:hAnsiTheme="minorHAnsi" w:cstheme="minorHAnsi"/>
          <w:shd w:val="clear" w:color="auto" w:fill="FFFFFF"/>
          <w:lang w:val="bg-BG" w:eastAsia="en-GB"/>
        </w:rPr>
        <w:lastRenderedPageBreak/>
        <w:t>Обща информация</w:t>
      </w:r>
    </w:p>
    <w:p w14:paraId="42D3640F" w14:textId="15FE9715" w:rsidR="00E63D4C" w:rsidRPr="00FA0492" w:rsidRDefault="00E63D4C" w:rsidP="007F6E5C">
      <w:pPr>
        <w:tabs>
          <w:tab w:val="left" w:pos="426"/>
          <w:tab w:val="left" w:pos="6930"/>
        </w:tabs>
        <w:spacing w:after="240" w:line="276" w:lineRule="auto"/>
        <w:ind w:right="90"/>
        <w:jc w:val="both"/>
        <w:rPr>
          <w:rFonts w:asciiTheme="minorHAnsi" w:hAnsiTheme="minorHAnsi" w:cstheme="minorHAnsi"/>
          <w:shd w:val="clear" w:color="auto" w:fill="FFFFFF"/>
          <w:lang w:val="en-GB" w:eastAsia="en-GB"/>
        </w:rPr>
      </w:pPr>
      <w:r w:rsidRPr="00161BF3">
        <w:rPr>
          <w:rFonts w:asciiTheme="minorHAnsi" w:hAnsiTheme="minorHAnsi" w:cstheme="minorHAnsi"/>
          <w:b/>
          <w:bCs/>
          <w:shd w:val="clear" w:color="auto" w:fill="FFFFFF"/>
          <w:lang w:val="en-GB" w:eastAsia="en-GB"/>
        </w:rPr>
        <w:t xml:space="preserve">1. </w:t>
      </w:r>
      <w:r w:rsidR="00DE5CD8">
        <w:rPr>
          <w:rFonts w:asciiTheme="minorHAnsi" w:hAnsiTheme="minorHAnsi" w:cstheme="minorHAnsi"/>
          <w:b/>
          <w:bCs/>
          <w:shd w:val="clear" w:color="auto" w:fill="FFFFFF"/>
          <w:lang w:val="bg-BG" w:eastAsia="en-GB"/>
        </w:rPr>
        <w:t>Финансовият сектор в България беше тежко засегнат от финансовата криза през 2008-2009 година</w:t>
      </w:r>
      <w:r w:rsidR="00FA0492" w:rsidRPr="00FA0492">
        <w:rPr>
          <w:rFonts w:asciiTheme="minorHAnsi" w:hAnsiTheme="minorHAnsi" w:cstheme="minorHAnsi"/>
          <w:b/>
          <w:bCs/>
          <w:shd w:val="clear" w:color="auto" w:fill="FFFFFF"/>
          <w:lang w:val="en-GB" w:eastAsia="en-GB"/>
        </w:rPr>
        <w:t xml:space="preserve">. </w:t>
      </w:r>
      <w:r w:rsidR="00DE5CD8">
        <w:rPr>
          <w:rFonts w:asciiTheme="minorHAnsi" w:hAnsiTheme="minorHAnsi" w:cstheme="minorHAnsi"/>
          <w:shd w:val="clear" w:color="auto" w:fill="FFFFFF"/>
          <w:lang w:val="bg-BG" w:eastAsia="en-GB"/>
        </w:rPr>
        <w:t xml:space="preserve">Въпреки че напоследък страната отбеляза голям напредък в осигуряването на стабилно икономическо възстановяване, необслужваните кредити (НОК) все още представляват заплаха за банковата система и икономическото възстановяване като цяло. Всъщност към март 2021 година България отчете едно от най-високите съотношения на </w:t>
      </w:r>
      <w:r w:rsidR="00DE0760">
        <w:rPr>
          <w:rFonts w:asciiTheme="minorHAnsi" w:hAnsiTheme="minorHAnsi" w:cstheme="minorHAnsi"/>
          <w:shd w:val="clear" w:color="auto" w:fill="FFFFFF"/>
          <w:lang w:val="bg-BG" w:eastAsia="en-GB"/>
        </w:rPr>
        <w:t>НОК към общите кредити (6.7%) спрямо 2.5% средно за ЕС. Продължаващата</w:t>
      </w:r>
      <w:r w:rsidR="00934221">
        <w:rPr>
          <w:rFonts w:asciiTheme="minorHAnsi" w:hAnsiTheme="minorHAnsi" w:cstheme="minorHAnsi"/>
          <w:shd w:val="clear" w:color="auto" w:fill="FFFFFF"/>
          <w:lang w:val="bg-BG" w:eastAsia="en-GB"/>
        </w:rPr>
        <w:t xml:space="preserve"> пандемия от КОВИД-19 също засегна икономиката на България, като се очаква увеличение на НОК, особено в такива сектори като туризма, хотелиерството и ресторантьорството и пътуванията, както и при МСП. Обявеното от правителството в средата на март 2020 г. извънредно положение беше заменено от извънредна епидемиологична обстановка до 30 юни 2020 година. Правителството предприе поредица от бюджетни, парични и макрофинансови мерки в опит да се смекчи въздействието на кризата върху икономиката.</w:t>
      </w:r>
      <w:r w:rsidR="007F6E5C">
        <w:rPr>
          <w:rFonts w:asciiTheme="minorHAnsi" w:hAnsiTheme="minorHAnsi" w:cstheme="minorHAnsi"/>
          <w:shd w:val="clear" w:color="auto" w:fill="FFFFFF"/>
          <w:lang w:val="bg-BG" w:eastAsia="en-GB"/>
        </w:rPr>
        <w:t xml:space="preserve"> Кризата обаче вече се отрази на растежа и заетостта и се очаква да доведе до нови случаи на несъстоятелност.</w:t>
      </w:r>
    </w:p>
    <w:p w14:paraId="45887876" w14:textId="6FD851D6" w:rsidR="007F6E5C" w:rsidRPr="00335EA7" w:rsidRDefault="00E63D4C" w:rsidP="00484E51">
      <w:pPr>
        <w:tabs>
          <w:tab w:val="left" w:pos="426"/>
          <w:tab w:val="left" w:pos="6930"/>
        </w:tabs>
        <w:spacing w:after="240" w:line="276" w:lineRule="auto"/>
        <w:ind w:right="90"/>
        <w:jc w:val="both"/>
        <w:rPr>
          <w:rFonts w:asciiTheme="minorHAnsi" w:hAnsiTheme="minorHAnsi" w:cstheme="minorHAnsi"/>
          <w:shd w:val="clear" w:color="auto" w:fill="FFFFFF"/>
          <w:lang w:val="bg-BG" w:eastAsia="en-GB"/>
        </w:rPr>
      </w:pPr>
      <w:r w:rsidRPr="00161BF3">
        <w:rPr>
          <w:rFonts w:asciiTheme="minorHAnsi" w:hAnsiTheme="minorHAnsi" w:cstheme="minorHAnsi"/>
          <w:b/>
          <w:bCs/>
          <w:shd w:val="clear" w:color="auto" w:fill="FFFFFF"/>
          <w:lang w:val="en-GB" w:eastAsia="en-GB"/>
        </w:rPr>
        <w:t xml:space="preserve">2. </w:t>
      </w:r>
      <w:r w:rsidR="007F6E5C">
        <w:rPr>
          <w:rFonts w:asciiTheme="minorHAnsi" w:hAnsiTheme="minorHAnsi" w:cstheme="minorHAnsi"/>
          <w:b/>
          <w:bCs/>
          <w:shd w:val="clear" w:color="auto" w:fill="FFFFFF"/>
          <w:lang w:val="bg-BG" w:eastAsia="en-GB"/>
        </w:rPr>
        <w:t xml:space="preserve">При тези условия, когато длъжниците юридически или физически лица все по-често изпитват затруднения, а банките се въздържат да отпускат нови кредити до изчистването на съществуващите, възниква необходимостта да се разработят подходящи инструменти за уреждане на задълженията, които биха могли да освободят необходимия капитал за финансиране на икономическото възстановяване. </w:t>
      </w:r>
      <w:r w:rsidR="00335EA7">
        <w:rPr>
          <w:rFonts w:asciiTheme="minorHAnsi" w:hAnsiTheme="minorHAnsi" w:cstheme="minorHAnsi"/>
          <w:shd w:val="clear" w:color="auto" w:fill="FFFFFF"/>
          <w:lang w:val="bg-BG" w:eastAsia="en-GB"/>
        </w:rPr>
        <w:t>Но в България въпреки наличието на всеобхватна правна рамка системата в областта на несъстоятелността не постига предвидените резултати.</w:t>
      </w:r>
      <w:r w:rsidR="00C664C7">
        <w:rPr>
          <w:rFonts w:asciiTheme="minorHAnsi" w:hAnsiTheme="minorHAnsi" w:cstheme="minorHAnsi"/>
          <w:shd w:val="clear" w:color="auto" w:fill="FFFFFF"/>
          <w:lang w:val="bg-BG" w:eastAsia="en-GB"/>
        </w:rPr>
        <w:t xml:space="preserve"> </w:t>
      </w:r>
      <w:r w:rsidR="00797DF6">
        <w:rPr>
          <w:rFonts w:asciiTheme="minorHAnsi" w:hAnsiTheme="minorHAnsi" w:cstheme="minorHAnsi"/>
          <w:shd w:val="clear" w:color="auto" w:fill="FFFFFF"/>
          <w:lang w:val="bg-BG" w:eastAsia="en-GB"/>
        </w:rPr>
        <w:t>Според</w:t>
      </w:r>
      <w:r w:rsidR="00C664C7">
        <w:rPr>
          <w:rFonts w:asciiTheme="minorHAnsi" w:hAnsiTheme="minorHAnsi" w:cstheme="minorHAnsi"/>
          <w:shd w:val="clear" w:color="auto" w:fill="FFFFFF"/>
          <w:lang w:val="bg-BG" w:eastAsia="en-GB"/>
        </w:rPr>
        <w:t xml:space="preserve"> проучване, изготвено от Световната банка през 2016 година, на практика производствата по несъстоятелност не действат ефективно и мнозина кредитори разглеждат несъстоятелността не като ефективен механизъм за събиране на задълженията, а като средство, от което длъжниците се възползват, за да избегнат изпълнение на задълженията в някои случаи чрез измама. Примерите за успешно оздравяване в рамките на съдебно производство са редки – общо шест за три години – и повечето производства по несъстоятелност приключват с ликвидация на активите на парче. Откриването на производство по несъстоятелност</w:t>
      </w:r>
      <w:r w:rsidR="00797DF6">
        <w:rPr>
          <w:rFonts w:asciiTheme="minorHAnsi" w:hAnsiTheme="minorHAnsi" w:cstheme="minorHAnsi"/>
          <w:shd w:val="clear" w:color="auto" w:fill="FFFFFF"/>
          <w:lang w:val="bg-BG" w:eastAsia="en-GB"/>
        </w:rPr>
        <w:t xml:space="preserve"> отнема твърде много време – обикновено пет месеца и дори до две години при по-голяма сложност на делото. </w:t>
      </w:r>
      <w:r w:rsidR="00A62148">
        <w:rPr>
          <w:rFonts w:asciiTheme="minorHAnsi" w:hAnsiTheme="minorHAnsi" w:cstheme="minorHAnsi"/>
          <w:shd w:val="clear" w:color="auto" w:fill="FFFFFF"/>
          <w:lang w:val="bg-BG" w:eastAsia="en-GB"/>
        </w:rPr>
        <w:t xml:space="preserve">В България тепърва ще се създава </w:t>
      </w:r>
      <w:r w:rsidR="00797DF6">
        <w:rPr>
          <w:rFonts w:asciiTheme="minorHAnsi" w:hAnsiTheme="minorHAnsi" w:cstheme="minorHAnsi"/>
          <w:shd w:val="clear" w:color="auto" w:fill="FFFFFF"/>
          <w:lang w:val="bg-BG" w:eastAsia="en-GB"/>
        </w:rPr>
        <w:t xml:space="preserve">съвременен подход към несъстоятелността, който насърчава длъжника да намери решение на финансовите и икономическите проблеми преди да е станало твърде късно. Освен това в България не са налице неформални инструменти за преструктуриране (извънсъдебни споразумения или хибридни производства), така че длъжникът и неговите кредитори да договорят извънсъдебно споразумение, което впоследствие да бъде утвърдено от съда по несъстоятелността и да придобие задължителна сила спрямо </w:t>
      </w:r>
      <w:r w:rsidR="006B547E">
        <w:rPr>
          <w:rFonts w:asciiTheme="minorHAnsi" w:hAnsiTheme="minorHAnsi" w:cstheme="minorHAnsi"/>
          <w:shd w:val="clear" w:color="auto" w:fill="FFFFFF"/>
          <w:lang w:val="bg-BG" w:eastAsia="en-GB"/>
        </w:rPr>
        <w:t>кредиторите с особено мнение.</w:t>
      </w:r>
    </w:p>
    <w:p w14:paraId="72CE73E2" w14:textId="35B708AE" w:rsidR="006B547E" w:rsidRPr="00BF61A9" w:rsidRDefault="00E57541" w:rsidP="00FA0492">
      <w:pPr>
        <w:jc w:val="both"/>
        <w:rPr>
          <w:rFonts w:asciiTheme="minorHAnsi" w:hAnsiTheme="minorHAnsi" w:cstheme="minorHAnsi"/>
          <w:shd w:val="clear" w:color="auto" w:fill="FFFFFF"/>
          <w:lang w:val="bg-BG" w:eastAsia="en-GB"/>
        </w:rPr>
      </w:pPr>
      <w:r w:rsidRPr="00161BF3">
        <w:rPr>
          <w:rFonts w:asciiTheme="minorHAnsi" w:hAnsiTheme="minorHAnsi" w:cstheme="minorHAnsi"/>
          <w:b/>
          <w:bCs/>
          <w:shd w:val="clear" w:color="auto" w:fill="FFFFFF"/>
          <w:lang w:val="en-GB" w:eastAsia="en-GB"/>
        </w:rPr>
        <w:t xml:space="preserve">3. </w:t>
      </w:r>
      <w:r w:rsidR="006B547E">
        <w:rPr>
          <w:rFonts w:asciiTheme="minorHAnsi" w:hAnsiTheme="minorHAnsi" w:cstheme="minorHAnsi"/>
          <w:b/>
          <w:bCs/>
          <w:shd w:val="clear" w:color="auto" w:fill="FFFFFF"/>
          <w:lang w:val="bg-BG" w:eastAsia="en-GB"/>
        </w:rPr>
        <w:t>В този контекст прилагането на Директивата на ЕС за механизмите за превантивно преструктуриране и втория шанс</w:t>
      </w:r>
      <w:r w:rsidR="00FA0492">
        <w:rPr>
          <w:rStyle w:val="FootnoteReference"/>
          <w:rFonts w:asciiTheme="minorHAnsi" w:hAnsiTheme="minorHAnsi" w:cstheme="minorHAnsi"/>
          <w:b/>
          <w:bCs/>
          <w:shd w:val="clear" w:color="auto" w:fill="FFFFFF"/>
          <w:lang w:val="en-GB" w:eastAsia="en-GB"/>
        </w:rPr>
        <w:footnoteReference w:id="1"/>
      </w:r>
      <w:r w:rsidR="00FA0492" w:rsidRPr="00FA0492">
        <w:rPr>
          <w:rFonts w:asciiTheme="minorHAnsi" w:hAnsiTheme="minorHAnsi" w:cstheme="minorHAnsi"/>
          <w:b/>
          <w:bCs/>
          <w:shd w:val="clear" w:color="auto" w:fill="FFFFFF"/>
          <w:lang w:val="en-GB" w:eastAsia="en-GB"/>
        </w:rPr>
        <w:t xml:space="preserve"> (</w:t>
      </w:r>
      <w:r w:rsidR="006B547E">
        <w:rPr>
          <w:rFonts w:asciiTheme="minorHAnsi" w:hAnsiTheme="minorHAnsi" w:cstheme="minorHAnsi"/>
          <w:b/>
          <w:bCs/>
          <w:shd w:val="clear" w:color="auto" w:fill="FFFFFF"/>
          <w:lang w:val="bg-BG" w:eastAsia="en-GB"/>
        </w:rPr>
        <w:t>наричана по-нататък в текста за краткост „</w:t>
      </w:r>
      <w:proofErr w:type="gramStart"/>
      <w:r w:rsidR="006B547E">
        <w:rPr>
          <w:rFonts w:asciiTheme="minorHAnsi" w:hAnsiTheme="minorHAnsi" w:cstheme="minorHAnsi"/>
          <w:b/>
          <w:bCs/>
          <w:shd w:val="clear" w:color="auto" w:fill="FFFFFF"/>
          <w:lang w:val="bg-BG" w:eastAsia="en-GB"/>
        </w:rPr>
        <w:t>Директивата“</w:t>
      </w:r>
      <w:proofErr w:type="gramEnd"/>
      <w:r w:rsidR="006B547E">
        <w:rPr>
          <w:rFonts w:asciiTheme="minorHAnsi" w:hAnsiTheme="minorHAnsi" w:cstheme="minorHAnsi"/>
          <w:b/>
          <w:bCs/>
          <w:shd w:val="clear" w:color="auto" w:fill="FFFFFF"/>
          <w:lang w:val="bg-BG" w:eastAsia="en-GB"/>
        </w:rPr>
        <w:t xml:space="preserve">) </w:t>
      </w:r>
      <w:r w:rsidR="006B547E">
        <w:rPr>
          <w:rFonts w:asciiTheme="minorHAnsi" w:hAnsiTheme="minorHAnsi" w:cstheme="minorHAnsi"/>
          <w:b/>
          <w:bCs/>
          <w:shd w:val="clear" w:color="auto" w:fill="FFFFFF"/>
          <w:lang w:val="bg-BG" w:eastAsia="en-GB"/>
        </w:rPr>
        <w:lastRenderedPageBreak/>
        <w:t xml:space="preserve">представлява </w:t>
      </w:r>
      <w:r w:rsidR="00BF61A9">
        <w:rPr>
          <w:rFonts w:asciiTheme="minorHAnsi" w:hAnsiTheme="minorHAnsi" w:cstheme="minorHAnsi"/>
          <w:b/>
          <w:bCs/>
          <w:shd w:val="clear" w:color="auto" w:fill="FFFFFF"/>
          <w:lang w:val="bg-BG" w:eastAsia="en-GB"/>
        </w:rPr>
        <w:t xml:space="preserve">отлична възможност да се въведат тези инструменти, от които България се нуждае. </w:t>
      </w:r>
      <w:r w:rsidR="00BF61A9">
        <w:rPr>
          <w:rFonts w:asciiTheme="minorHAnsi" w:hAnsiTheme="minorHAnsi" w:cstheme="minorHAnsi"/>
          <w:shd w:val="clear" w:color="auto" w:fill="FFFFFF"/>
          <w:lang w:val="bg-BG" w:eastAsia="en-GB"/>
        </w:rPr>
        <w:t>По-конкретно, въвеждането на система за ранно предупреждение заедно с нов режим за задълженията на директорите сред останалите законови изменения ще подтикне българските предприятия да търсят начини да преодолеят финансовите си затруднения</w:t>
      </w:r>
      <w:r w:rsidR="00DE589D">
        <w:rPr>
          <w:rFonts w:asciiTheme="minorHAnsi" w:hAnsiTheme="minorHAnsi" w:cstheme="minorHAnsi"/>
          <w:shd w:val="clear" w:color="auto" w:fill="FFFFFF"/>
          <w:lang w:val="bg-BG" w:eastAsia="en-GB"/>
        </w:rPr>
        <w:t xml:space="preserve"> преди да е станало твърде късно и по такъв начин ще допринесе за създаването на култура на спасяване в България, от която българският частен сектор се нуждае, за да се изтръгне от сегашното положение. Без въвеждането на такива инструменти за ранно предупреждение и укрепване на режима на производствата за превантивно оздравяване българският корпоративен сектор може да не успее да се справи с широко разпространената корпоративна неплатежоспособност в резултат на сегашното влошено икономическо положение.</w:t>
      </w:r>
    </w:p>
    <w:p w14:paraId="4C4630C1" w14:textId="77777777" w:rsidR="006B547E" w:rsidRDefault="006B547E" w:rsidP="00FA0492">
      <w:pPr>
        <w:jc w:val="both"/>
        <w:rPr>
          <w:rFonts w:asciiTheme="minorHAnsi" w:hAnsiTheme="minorHAnsi" w:cstheme="minorHAnsi"/>
          <w:b/>
          <w:bCs/>
          <w:shd w:val="clear" w:color="auto" w:fill="FFFFFF"/>
          <w:lang w:val="bg-BG" w:eastAsia="en-GB"/>
        </w:rPr>
      </w:pPr>
    </w:p>
    <w:p w14:paraId="047BC78F" w14:textId="52315AA5" w:rsidR="00DE589D" w:rsidRPr="004F16F2" w:rsidRDefault="00323A67" w:rsidP="00DE589D">
      <w:pPr>
        <w:jc w:val="both"/>
        <w:rPr>
          <w:rFonts w:asciiTheme="minorHAnsi" w:hAnsiTheme="minorHAnsi" w:cstheme="minorHAnsi"/>
          <w:color w:val="000000" w:themeColor="text1"/>
          <w:lang w:val="bg-BG"/>
        </w:rPr>
      </w:pPr>
      <w:r>
        <w:rPr>
          <w:rFonts w:asciiTheme="minorHAnsi" w:hAnsiTheme="minorHAnsi" w:cstheme="minorHAnsi"/>
          <w:b/>
          <w:bCs/>
          <w:shd w:val="clear" w:color="auto" w:fill="FFFFFF"/>
          <w:lang w:val="bg-BG" w:eastAsia="en-GB"/>
        </w:rPr>
        <w:t xml:space="preserve"> </w:t>
      </w:r>
      <w:r w:rsidR="00BF63AD" w:rsidRPr="00161BF3">
        <w:rPr>
          <w:rFonts w:asciiTheme="minorHAnsi" w:hAnsiTheme="minorHAnsi" w:cstheme="minorHAnsi"/>
          <w:b/>
          <w:bCs/>
          <w:color w:val="000000" w:themeColor="text1"/>
        </w:rPr>
        <w:t xml:space="preserve">4. </w:t>
      </w:r>
      <w:r w:rsidR="00DE589D">
        <w:rPr>
          <w:rFonts w:asciiTheme="minorHAnsi" w:hAnsiTheme="minorHAnsi" w:cstheme="minorHAnsi"/>
          <w:b/>
          <w:bCs/>
          <w:color w:val="000000" w:themeColor="text1"/>
          <w:lang w:val="bg-BG"/>
        </w:rPr>
        <w:t xml:space="preserve">Директивата на ЕС предвижда задължение на държавите членки на ЕС да осигурят режим, който облекчава превантивното </w:t>
      </w:r>
      <w:r w:rsidR="004F16F2">
        <w:rPr>
          <w:rFonts w:asciiTheme="minorHAnsi" w:hAnsiTheme="minorHAnsi" w:cstheme="minorHAnsi"/>
          <w:b/>
          <w:bCs/>
          <w:color w:val="000000" w:themeColor="text1"/>
          <w:lang w:val="bg-BG"/>
        </w:rPr>
        <w:t>преструктуриране на длъжници, за които има вероятност за несъстоятелност.</w:t>
      </w:r>
      <w:r w:rsidR="004F16F2">
        <w:rPr>
          <w:rFonts w:asciiTheme="minorHAnsi" w:hAnsiTheme="minorHAnsi" w:cstheme="minorHAnsi"/>
          <w:color w:val="000000" w:themeColor="text1"/>
          <w:lang w:val="bg-BG"/>
        </w:rPr>
        <w:t xml:space="preserve"> Правилното прилагане на производствата по преструктуриране може да облекчи натовареността на националните съдилища, да предложи повече възможности за преструктуриране на жизнеспособните длъжници и да допринесе за намаляването до минимум на въздействието на кризата върху финансовата система.</w:t>
      </w:r>
      <w:r w:rsidR="008B4AA4">
        <w:rPr>
          <w:rFonts w:asciiTheme="minorHAnsi" w:hAnsiTheme="minorHAnsi" w:cstheme="minorHAnsi"/>
          <w:color w:val="000000" w:themeColor="text1"/>
          <w:lang w:val="bg-BG"/>
        </w:rPr>
        <w:t xml:space="preserve"> Нещо повече, с оглед на въздействието на пандемията от КОВИД-19 неотложната необходимост да се реагира своевременно на финансовите затруднения и да се подобрят производствата по </w:t>
      </w:r>
      <w:r w:rsidR="003C6C95">
        <w:rPr>
          <w:rFonts w:asciiTheme="minorHAnsi" w:hAnsiTheme="minorHAnsi" w:cstheme="minorHAnsi"/>
          <w:color w:val="000000" w:themeColor="text1"/>
          <w:lang w:val="bg-BG"/>
        </w:rPr>
        <w:t>несъстоятелност в целия ЕС следва да се превърне в основен приоритет в националната законодателна програма. Директивата дава възможност на държавите членки на ЕС да укрепят националните си рамки на несъстоятелността в момент, когато повечето търговци и предприятия изпитват масови затруднения.</w:t>
      </w:r>
    </w:p>
    <w:p w14:paraId="67CB4009" w14:textId="77777777" w:rsidR="00DE589D" w:rsidRDefault="00DE589D" w:rsidP="00DE589D">
      <w:pPr>
        <w:jc w:val="both"/>
        <w:rPr>
          <w:rFonts w:asciiTheme="minorHAnsi" w:hAnsiTheme="minorHAnsi" w:cstheme="minorHAnsi"/>
          <w:b/>
          <w:bCs/>
          <w:color w:val="000000" w:themeColor="text1"/>
          <w:lang w:val="bg-BG"/>
        </w:rPr>
      </w:pPr>
    </w:p>
    <w:p w14:paraId="7E5D2A48" w14:textId="708C2C89" w:rsidR="00F8544A" w:rsidRPr="00161BF3" w:rsidRDefault="006C6C9B" w:rsidP="00484E51">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lang w:val="en-US"/>
        </w:rPr>
      </w:pPr>
      <w:r w:rsidRPr="00161BF3">
        <w:rPr>
          <w:rFonts w:asciiTheme="minorHAnsi" w:hAnsiTheme="minorHAnsi" w:cstheme="minorHAnsi"/>
          <w:b/>
          <w:bCs/>
          <w:sz w:val="22"/>
          <w:szCs w:val="22"/>
          <w:lang w:val="en-US"/>
        </w:rPr>
        <w:t xml:space="preserve">5. </w:t>
      </w:r>
      <w:r w:rsidR="003C6C95">
        <w:rPr>
          <w:rFonts w:asciiTheme="minorHAnsi" w:hAnsiTheme="minorHAnsi" w:cstheme="minorHAnsi"/>
          <w:b/>
          <w:bCs/>
          <w:sz w:val="22"/>
          <w:szCs w:val="22"/>
          <w:lang w:val="bg-BG"/>
        </w:rPr>
        <w:t>Директивата не съдържа подробен и пълен режим, която да се прилага към производствата по преструктуриране.</w:t>
      </w:r>
      <w:r w:rsidR="00C910B8" w:rsidRPr="00161BF3">
        <w:rPr>
          <w:rFonts w:asciiTheme="minorHAnsi" w:hAnsiTheme="minorHAnsi" w:cstheme="minorHAnsi"/>
          <w:sz w:val="22"/>
          <w:szCs w:val="22"/>
          <w:lang w:val="en-US"/>
        </w:rPr>
        <w:t xml:space="preserve"> </w:t>
      </w:r>
      <w:r w:rsidR="003C6C95">
        <w:rPr>
          <w:rFonts w:asciiTheme="minorHAnsi" w:hAnsiTheme="minorHAnsi" w:cstheme="minorHAnsi"/>
          <w:sz w:val="22"/>
          <w:szCs w:val="22"/>
          <w:lang w:val="bg-BG"/>
        </w:rPr>
        <w:t>Вместо това тя регламентира само някои конкретни аспекти:</w:t>
      </w:r>
      <w:r w:rsidR="00154AC8" w:rsidRPr="00161BF3">
        <w:rPr>
          <w:rFonts w:asciiTheme="minorHAnsi" w:hAnsiTheme="minorHAnsi" w:cstheme="minorHAnsi"/>
          <w:sz w:val="22"/>
          <w:szCs w:val="22"/>
          <w:lang w:val="en-US"/>
        </w:rPr>
        <w:t xml:space="preserve"> </w:t>
      </w:r>
    </w:p>
    <w:p w14:paraId="129C5F81" w14:textId="587A3F8E" w:rsidR="00996354" w:rsidRPr="00161BF3" w:rsidRDefault="00154AC8" w:rsidP="00484E51">
      <w:pPr>
        <w:pStyle w:val="paragraph"/>
        <w:spacing w:before="0" w:beforeAutospacing="0" w:after="0" w:afterAutospacing="0" w:line="276" w:lineRule="auto"/>
        <w:ind w:firstLine="284"/>
        <w:jc w:val="both"/>
        <w:textAlignment w:val="baseline"/>
        <w:rPr>
          <w:rFonts w:asciiTheme="minorHAnsi" w:hAnsiTheme="minorHAnsi" w:cstheme="minorHAnsi"/>
          <w:sz w:val="22"/>
          <w:szCs w:val="22"/>
          <w:shd w:val="clear" w:color="auto" w:fill="FFFFFF"/>
          <w:lang w:val="en-GB"/>
        </w:rPr>
      </w:pPr>
      <w:r w:rsidRPr="00161BF3">
        <w:rPr>
          <w:rFonts w:asciiTheme="minorHAnsi" w:hAnsiTheme="minorHAnsi" w:cstheme="minorHAnsi"/>
          <w:i/>
          <w:iCs/>
          <w:sz w:val="22"/>
          <w:szCs w:val="22"/>
          <w:lang w:val="en-US"/>
        </w:rPr>
        <w:t>i)</w:t>
      </w:r>
      <w:r w:rsidRPr="00161BF3">
        <w:rPr>
          <w:rFonts w:asciiTheme="minorHAnsi" w:hAnsiTheme="minorHAnsi" w:cstheme="minorHAnsi"/>
          <w:sz w:val="22"/>
          <w:szCs w:val="22"/>
          <w:lang w:val="en-US"/>
        </w:rPr>
        <w:t xml:space="preserve"> </w:t>
      </w:r>
      <w:r w:rsidR="000A7C64">
        <w:rPr>
          <w:rFonts w:asciiTheme="minorHAnsi" w:hAnsiTheme="minorHAnsi" w:cstheme="minorHAnsi"/>
          <w:i/>
          <w:iCs/>
          <w:sz w:val="22"/>
          <w:szCs w:val="22"/>
          <w:shd w:val="clear" w:color="auto" w:fill="FFFFFF"/>
          <w:lang w:val="bg-BG"/>
        </w:rPr>
        <w:t>Инструменти за ранно предупреждение</w:t>
      </w:r>
      <w:r w:rsidRPr="00161BF3">
        <w:rPr>
          <w:rFonts w:asciiTheme="minorHAnsi" w:hAnsiTheme="minorHAnsi" w:cstheme="minorHAnsi"/>
          <w:sz w:val="22"/>
          <w:szCs w:val="22"/>
          <w:shd w:val="clear" w:color="auto" w:fill="FFFFFF"/>
          <w:lang w:val="en-GB"/>
        </w:rPr>
        <w:t xml:space="preserve"> (“</w:t>
      </w:r>
      <w:r w:rsidR="000A7C64">
        <w:rPr>
          <w:rFonts w:asciiTheme="minorHAnsi" w:hAnsiTheme="minorHAnsi" w:cstheme="minorHAnsi"/>
          <w:sz w:val="22"/>
          <w:szCs w:val="22"/>
          <w:shd w:val="clear" w:color="auto" w:fill="FFFFFF"/>
          <w:lang w:val="bg-BG"/>
        </w:rPr>
        <w:t>ИРП</w:t>
      </w:r>
      <w:r w:rsidRPr="00161BF3">
        <w:rPr>
          <w:rFonts w:asciiTheme="minorHAnsi" w:hAnsiTheme="minorHAnsi" w:cstheme="minorHAnsi"/>
          <w:sz w:val="22"/>
          <w:szCs w:val="22"/>
          <w:shd w:val="clear" w:color="auto" w:fill="FFFFFF"/>
          <w:lang w:val="en-GB"/>
        </w:rPr>
        <w:t>”)</w:t>
      </w:r>
      <w:r w:rsidR="00F8544A" w:rsidRPr="00161BF3">
        <w:rPr>
          <w:rFonts w:asciiTheme="minorHAnsi" w:hAnsiTheme="minorHAnsi" w:cstheme="minorHAnsi"/>
          <w:sz w:val="22"/>
          <w:szCs w:val="22"/>
          <w:shd w:val="clear" w:color="auto" w:fill="FFFFFF"/>
          <w:lang w:val="en-GB"/>
        </w:rPr>
        <w:t xml:space="preserve">: </w:t>
      </w:r>
      <w:r w:rsidR="00A607F1">
        <w:rPr>
          <w:rFonts w:asciiTheme="minorHAnsi" w:hAnsiTheme="minorHAnsi" w:cstheme="minorHAnsi"/>
          <w:sz w:val="22"/>
          <w:szCs w:val="22"/>
          <w:shd w:val="clear" w:color="auto" w:fill="FFFFFF"/>
          <w:lang w:val="bg-BG"/>
        </w:rPr>
        <w:t>Директивата призовава държавите членки да разработят ИРП, които разкриват възможно най-рано финансовите затруднения и насърчават предприятията да реагират своевременно, за да избегнат несъстоятелността.</w:t>
      </w:r>
    </w:p>
    <w:p w14:paraId="4B89DC99" w14:textId="454566F6" w:rsidR="00996354" w:rsidRPr="00161BF3" w:rsidRDefault="00F8544A" w:rsidP="00BC58C6">
      <w:pPr>
        <w:pStyle w:val="paragraph"/>
        <w:spacing w:before="0" w:beforeAutospacing="0" w:after="0" w:afterAutospacing="0" w:line="276" w:lineRule="auto"/>
        <w:ind w:firstLine="284"/>
        <w:jc w:val="both"/>
        <w:textAlignment w:val="baseline"/>
        <w:rPr>
          <w:rFonts w:asciiTheme="minorHAnsi" w:hAnsiTheme="minorHAnsi" w:cstheme="minorHAnsi"/>
          <w:sz w:val="22"/>
          <w:szCs w:val="22"/>
          <w:shd w:val="clear" w:color="auto" w:fill="FFFFFF"/>
          <w:lang w:val="en-GB"/>
        </w:rPr>
      </w:pPr>
      <w:r w:rsidRPr="00161BF3">
        <w:rPr>
          <w:rFonts w:asciiTheme="minorHAnsi" w:hAnsiTheme="minorHAnsi" w:cstheme="minorHAnsi"/>
          <w:sz w:val="22"/>
          <w:szCs w:val="22"/>
          <w:shd w:val="clear" w:color="auto" w:fill="FFFFFF"/>
          <w:lang w:val="en-GB"/>
        </w:rPr>
        <w:t>ii)</w:t>
      </w:r>
      <w:r w:rsidR="00A607F1">
        <w:rPr>
          <w:rFonts w:asciiTheme="minorHAnsi" w:hAnsiTheme="minorHAnsi" w:cstheme="minorHAnsi"/>
          <w:sz w:val="22"/>
          <w:szCs w:val="22"/>
          <w:shd w:val="clear" w:color="auto" w:fill="FFFFFF"/>
          <w:lang w:val="bg-BG"/>
        </w:rPr>
        <w:t xml:space="preserve"> </w:t>
      </w:r>
      <w:r w:rsidR="00A607F1">
        <w:rPr>
          <w:rFonts w:asciiTheme="minorHAnsi" w:hAnsiTheme="minorHAnsi" w:cstheme="minorHAnsi"/>
          <w:i/>
          <w:sz w:val="22"/>
          <w:szCs w:val="22"/>
          <w:shd w:val="clear" w:color="auto" w:fill="FFFFFF"/>
          <w:lang w:val="bg-BG"/>
        </w:rPr>
        <w:t>Превантивно преструктуриране</w:t>
      </w:r>
      <w:r w:rsidRPr="00161BF3">
        <w:rPr>
          <w:rFonts w:asciiTheme="minorHAnsi" w:hAnsiTheme="minorHAnsi" w:cstheme="minorHAnsi"/>
          <w:sz w:val="22"/>
          <w:szCs w:val="22"/>
          <w:shd w:val="clear" w:color="auto" w:fill="FFFFFF"/>
          <w:lang w:val="en-GB"/>
        </w:rPr>
        <w:t xml:space="preserve">: </w:t>
      </w:r>
      <w:r w:rsidR="00A607F1">
        <w:rPr>
          <w:rFonts w:asciiTheme="minorHAnsi" w:hAnsiTheme="minorHAnsi" w:cstheme="minorHAnsi"/>
          <w:sz w:val="22"/>
          <w:szCs w:val="22"/>
          <w:shd w:val="clear" w:color="auto" w:fill="FFFFFF"/>
          <w:lang w:val="bg-BG"/>
        </w:rPr>
        <w:t>Директивата предвижда държавите членки да гарантират, че при вероятност за несъстоятелност длъжниците имат достъп до рамка за превантивно преструктуриране, която да им даде възможност да преструктурират своята дейност и да запазят жизнеспособността си, като по такъв начин да се опитат да избегнат несъстоятелността. В тази връзка Директивата регламентира, в някои случаи доста подробно, последиците от производствата по превантивно преструктуриране</w:t>
      </w:r>
      <w:r w:rsidR="00A06E6B">
        <w:rPr>
          <w:rFonts w:asciiTheme="minorHAnsi" w:hAnsiTheme="minorHAnsi" w:cstheme="minorHAnsi"/>
          <w:sz w:val="22"/>
          <w:szCs w:val="22"/>
          <w:shd w:val="clear" w:color="auto" w:fill="FFFFFF"/>
          <w:lang w:val="bg-BG"/>
        </w:rPr>
        <w:t xml:space="preserve">, правилата за спиране на </w:t>
      </w:r>
      <w:r w:rsidR="00BC58C6">
        <w:rPr>
          <w:rFonts w:asciiTheme="minorHAnsi" w:hAnsiTheme="minorHAnsi" w:cstheme="minorHAnsi"/>
          <w:sz w:val="22"/>
          <w:szCs w:val="22"/>
          <w:shd w:val="clear" w:color="auto" w:fill="FFFFFF"/>
          <w:lang w:val="bg-BG"/>
        </w:rPr>
        <w:t>производства по искове за принудително изпълнение, съдържанието на плана за преструктуриране и неговото приемане, оценка и утвърждаване от съда, принудителното налагане между класове кредитори, новото и междинното финансиране, задълженията на директорите.</w:t>
      </w:r>
    </w:p>
    <w:p w14:paraId="5F3DB3C1" w14:textId="5F3D5FCF" w:rsidR="00484E51" w:rsidRPr="00161BF3" w:rsidRDefault="006C6C9B" w:rsidP="00484E51">
      <w:pPr>
        <w:pStyle w:val="paragraph"/>
        <w:spacing w:before="0" w:beforeAutospacing="0" w:after="240" w:afterAutospacing="0" w:line="276" w:lineRule="auto"/>
        <w:ind w:firstLine="284"/>
        <w:jc w:val="both"/>
        <w:textAlignment w:val="baseline"/>
        <w:rPr>
          <w:rFonts w:asciiTheme="minorHAnsi" w:hAnsiTheme="minorHAnsi" w:cstheme="minorHAnsi"/>
          <w:sz w:val="22"/>
          <w:szCs w:val="22"/>
          <w:shd w:val="clear" w:color="auto" w:fill="FFFFFF"/>
          <w:lang w:val="en-US"/>
        </w:rPr>
      </w:pPr>
      <w:r w:rsidRPr="00161BF3">
        <w:rPr>
          <w:rFonts w:asciiTheme="minorHAnsi" w:hAnsiTheme="minorHAnsi" w:cstheme="minorHAnsi"/>
          <w:sz w:val="22"/>
          <w:szCs w:val="22"/>
          <w:shd w:val="clear" w:color="auto" w:fill="FFFFFF"/>
          <w:lang w:val="en-US"/>
        </w:rPr>
        <w:t>iii)</w:t>
      </w:r>
      <w:r w:rsidR="00BF63AD" w:rsidRPr="00161BF3">
        <w:rPr>
          <w:rFonts w:asciiTheme="minorHAnsi" w:hAnsiTheme="minorHAnsi" w:cstheme="minorHAnsi"/>
          <w:sz w:val="22"/>
          <w:szCs w:val="22"/>
          <w:shd w:val="clear" w:color="auto" w:fill="FFFFFF"/>
          <w:lang w:val="en-US"/>
        </w:rPr>
        <w:t xml:space="preserve"> </w:t>
      </w:r>
      <w:r w:rsidR="00BC58C6">
        <w:rPr>
          <w:rFonts w:asciiTheme="minorHAnsi" w:hAnsiTheme="minorHAnsi" w:cstheme="minorHAnsi"/>
          <w:i/>
          <w:iCs/>
          <w:sz w:val="22"/>
          <w:szCs w:val="22"/>
          <w:shd w:val="clear" w:color="auto" w:fill="FFFFFF"/>
          <w:lang w:val="bg-BG"/>
        </w:rPr>
        <w:t>Опрощаване на задължения</w:t>
      </w:r>
      <w:r w:rsidR="00984910" w:rsidRPr="00161BF3">
        <w:rPr>
          <w:rFonts w:asciiTheme="minorHAnsi" w:hAnsiTheme="minorHAnsi" w:cstheme="minorHAnsi"/>
          <w:sz w:val="22"/>
          <w:szCs w:val="22"/>
          <w:shd w:val="clear" w:color="auto" w:fill="FFFFFF"/>
          <w:lang w:val="en-US"/>
        </w:rPr>
        <w:t xml:space="preserve">: </w:t>
      </w:r>
      <w:r w:rsidR="00BC58C6">
        <w:rPr>
          <w:rFonts w:asciiTheme="minorHAnsi" w:hAnsiTheme="minorHAnsi" w:cstheme="minorHAnsi"/>
          <w:sz w:val="22"/>
          <w:szCs w:val="22"/>
          <w:shd w:val="clear" w:color="auto" w:fill="FFFFFF"/>
          <w:lang w:val="bg-BG"/>
        </w:rPr>
        <w:t xml:space="preserve">За неплатежоспособните (но честни) предприемачи Директивата изисква от държавите членки да въведат правила за опрощаване на задълженията, които следва да гарантират, че </w:t>
      </w:r>
      <w:r w:rsidR="00951F60">
        <w:rPr>
          <w:rFonts w:asciiTheme="minorHAnsi" w:hAnsiTheme="minorHAnsi" w:cstheme="minorHAnsi"/>
          <w:sz w:val="22"/>
          <w:szCs w:val="22"/>
          <w:shd w:val="clear" w:color="auto" w:fill="FFFFFF"/>
          <w:lang w:val="bg-BG"/>
        </w:rPr>
        <w:t xml:space="preserve">предприемачите имат възможност да се възползват от пълно опрощаване на задълженията след разумен срок, като по такъв начин получават втори шанс. Освен </w:t>
      </w:r>
      <w:r w:rsidR="00951F60">
        <w:rPr>
          <w:rFonts w:asciiTheme="minorHAnsi" w:hAnsiTheme="minorHAnsi" w:cstheme="minorHAnsi"/>
          <w:sz w:val="22"/>
          <w:szCs w:val="22"/>
          <w:shd w:val="clear" w:color="auto" w:fill="FFFFFF"/>
          <w:lang w:val="bg-BG"/>
        </w:rPr>
        <w:lastRenderedPageBreak/>
        <w:t>това режимът следва да гарантира, че длъжниците не попадат лично в дълговия капан след икономическа криза.</w:t>
      </w:r>
    </w:p>
    <w:p w14:paraId="0B8D7F59" w14:textId="44EF06EC" w:rsidR="00304C5B" w:rsidRDefault="006C6C9B" w:rsidP="00484E51">
      <w:pPr>
        <w:pStyle w:val="paragraph"/>
        <w:spacing w:before="0" w:beforeAutospacing="0" w:after="240" w:afterAutospacing="0" w:line="276" w:lineRule="auto"/>
        <w:jc w:val="both"/>
        <w:textAlignment w:val="baseline"/>
        <w:rPr>
          <w:rFonts w:asciiTheme="minorHAnsi" w:hAnsiTheme="minorHAnsi" w:cstheme="minorHAnsi"/>
          <w:sz w:val="22"/>
          <w:szCs w:val="22"/>
          <w:lang w:val="bg-BG"/>
        </w:rPr>
      </w:pPr>
      <w:r w:rsidRPr="00161BF3">
        <w:rPr>
          <w:rFonts w:asciiTheme="minorHAnsi" w:hAnsiTheme="minorHAnsi" w:cstheme="minorHAnsi"/>
          <w:b/>
          <w:bCs/>
          <w:sz w:val="22"/>
          <w:szCs w:val="22"/>
        </w:rPr>
        <w:t xml:space="preserve">6. </w:t>
      </w:r>
      <w:r w:rsidR="00304C5B">
        <w:rPr>
          <w:rFonts w:asciiTheme="minorHAnsi" w:hAnsiTheme="minorHAnsi" w:cstheme="minorHAnsi"/>
          <w:b/>
          <w:bCs/>
          <w:sz w:val="22"/>
          <w:szCs w:val="22"/>
          <w:lang w:val="bg-BG"/>
        </w:rPr>
        <w:t>Голямото</w:t>
      </w:r>
      <w:r w:rsidR="00E92DAE">
        <w:rPr>
          <w:rFonts w:asciiTheme="minorHAnsi" w:hAnsiTheme="minorHAnsi" w:cstheme="minorHAnsi"/>
          <w:b/>
          <w:bCs/>
          <w:sz w:val="22"/>
          <w:szCs w:val="22"/>
          <w:lang w:val="bg-BG"/>
        </w:rPr>
        <w:t xml:space="preserve"> разнообразие от предвидени в Директивата варианти за изпълнение може да доведе до също толкова голям брой политики и технически решения на държавите членки на ЕС при транспонирането на Директивата</w:t>
      </w:r>
      <w:r w:rsidR="00E92DAE">
        <w:rPr>
          <w:rFonts w:asciiTheme="minorHAnsi" w:hAnsiTheme="minorHAnsi" w:cstheme="minorHAnsi"/>
          <w:sz w:val="22"/>
          <w:szCs w:val="22"/>
          <w:lang w:val="bg-BG"/>
        </w:rPr>
        <w:t>, което вероятно ще породи различни модели на преструктуриране. Държавите членки на ЕС са длъжни да транспонират Директивата до 17 юли 2021 година. Но държавите членки, които срещат особени трудности при прилагането на Директивата могат да се възползват от удължаване на срока за изпълнение с най-много една година (</w:t>
      </w:r>
      <w:r w:rsidR="00545320">
        <w:rPr>
          <w:rFonts w:asciiTheme="minorHAnsi" w:hAnsiTheme="minorHAnsi" w:cstheme="minorHAnsi"/>
          <w:sz w:val="22"/>
          <w:szCs w:val="22"/>
          <w:lang w:val="bg-BG"/>
        </w:rPr>
        <w:t>срокът за уведомлението е 17 януари 2022 година).</w:t>
      </w:r>
    </w:p>
    <w:p w14:paraId="3D9298CA" w14:textId="2F6F3632" w:rsidR="006C6C9B" w:rsidRPr="00161BF3" w:rsidRDefault="005C6E5C" w:rsidP="00767366">
      <w:pPr>
        <w:pStyle w:val="Heading1"/>
        <w:spacing w:before="0" w:after="160"/>
        <w:ind w:left="0" w:right="4"/>
        <w:contextualSpacing/>
        <w:rPr>
          <w:rFonts w:asciiTheme="minorHAnsi" w:hAnsiTheme="minorHAnsi" w:cstheme="minorHAnsi"/>
          <w:shd w:val="clear" w:color="auto" w:fill="FFFFFF"/>
          <w:lang w:val="en-GB" w:eastAsia="en-GB"/>
        </w:rPr>
      </w:pPr>
      <w:r>
        <w:rPr>
          <w:rFonts w:asciiTheme="minorHAnsi" w:hAnsiTheme="minorHAnsi" w:cstheme="minorHAnsi"/>
          <w:shd w:val="clear" w:color="auto" w:fill="FFFFFF"/>
          <w:lang w:val="bg-BG" w:eastAsia="en-GB"/>
        </w:rPr>
        <w:t>Техническа помощ от ГСБ при прилагането на Директивата в България</w:t>
      </w:r>
      <w:r w:rsidR="006C6C9B" w:rsidRPr="00161BF3">
        <w:rPr>
          <w:rFonts w:asciiTheme="minorHAnsi" w:hAnsiTheme="minorHAnsi" w:cstheme="minorHAnsi"/>
          <w:shd w:val="clear" w:color="auto" w:fill="FFFFFF"/>
          <w:lang w:val="en-GB" w:eastAsia="en-GB"/>
        </w:rPr>
        <w:t xml:space="preserve"> </w:t>
      </w:r>
    </w:p>
    <w:p w14:paraId="26663184" w14:textId="09C657EC" w:rsidR="005C6E5C" w:rsidRPr="00C5555D" w:rsidRDefault="006C6C9B" w:rsidP="00F21B71">
      <w:pPr>
        <w:spacing w:after="240" w:line="276" w:lineRule="auto"/>
        <w:jc w:val="both"/>
        <w:rPr>
          <w:rFonts w:asciiTheme="minorHAnsi" w:hAnsiTheme="minorHAnsi" w:cstheme="minorHAnsi"/>
          <w:lang w:val="bg-BG"/>
        </w:rPr>
      </w:pPr>
      <w:r w:rsidRPr="00161BF3">
        <w:rPr>
          <w:rFonts w:asciiTheme="minorHAnsi" w:hAnsiTheme="minorHAnsi" w:cstheme="minorHAnsi"/>
          <w:b/>
          <w:bCs/>
          <w:shd w:val="clear" w:color="auto" w:fill="FFFFFF"/>
          <w:lang w:val="en-GB" w:eastAsia="en-GB"/>
        </w:rPr>
        <w:t xml:space="preserve">7. </w:t>
      </w:r>
      <w:r w:rsidR="005C6E5C">
        <w:rPr>
          <w:rFonts w:asciiTheme="minorHAnsi" w:hAnsiTheme="minorHAnsi" w:cstheme="minorHAnsi"/>
          <w:b/>
          <w:bCs/>
          <w:lang w:val="bg-BG"/>
        </w:rPr>
        <w:t xml:space="preserve">Групата на Световната банка (ГСБ) </w:t>
      </w:r>
      <w:r w:rsidR="00EA3551">
        <w:rPr>
          <w:rFonts w:asciiTheme="minorHAnsi" w:hAnsiTheme="minorHAnsi" w:cstheme="minorHAnsi"/>
          <w:b/>
          <w:bCs/>
          <w:lang w:val="bg-BG"/>
        </w:rPr>
        <w:t>се ангажира да подпомогне Република България в областта на несъстоятелността и по-конкретно в транспонирането на няколко конкретни разпоредби на Директивата.</w:t>
      </w:r>
      <w:r w:rsidR="00C5555D">
        <w:rPr>
          <w:rFonts w:asciiTheme="minorHAnsi" w:hAnsiTheme="minorHAnsi" w:cstheme="minorHAnsi"/>
          <w:lang w:val="bg-BG"/>
        </w:rPr>
        <w:t xml:space="preserve"> Проектът на ГСБ се изпълнява под егидата на Европейската комисия в рамките на Програмата за подкрепа на структурните реформи в съответствие с Регламент (ЕС) 2017/825. Екипът на ГСБ предоставя техническа помощ на българските власти в преодоляването на най-важните предизвикателства при подобряването на рамката на превантивното преструктуриране и въвеждането на система с инструменти за ранно предупреждение (ИРП) в националната нормативна уредба и практика във връзка с несъстоятелността в България.</w:t>
      </w:r>
    </w:p>
    <w:p w14:paraId="67BDFB91" w14:textId="76F1F3C1" w:rsidR="00C5555D" w:rsidRPr="00C5555D" w:rsidRDefault="006C6C9B" w:rsidP="00F21B71">
      <w:pPr>
        <w:spacing w:after="240" w:line="276" w:lineRule="auto"/>
        <w:jc w:val="both"/>
        <w:rPr>
          <w:rFonts w:asciiTheme="minorHAnsi" w:hAnsiTheme="minorHAnsi" w:cstheme="minorHAnsi"/>
          <w:lang w:val="bg-BG"/>
        </w:rPr>
      </w:pPr>
      <w:r w:rsidRPr="00161BF3">
        <w:rPr>
          <w:rFonts w:asciiTheme="minorHAnsi" w:hAnsiTheme="minorHAnsi" w:cstheme="minorHAnsi"/>
          <w:b/>
          <w:bCs/>
        </w:rPr>
        <w:t xml:space="preserve">8. </w:t>
      </w:r>
      <w:r w:rsidR="00C5555D">
        <w:rPr>
          <w:rFonts w:asciiTheme="minorHAnsi" w:hAnsiTheme="minorHAnsi" w:cstheme="minorHAnsi"/>
          <w:b/>
          <w:bCs/>
          <w:lang w:val="bg-BG"/>
        </w:rPr>
        <w:t>ГСБ извърши всеобхватен анализ и изготви три доклада.</w:t>
      </w:r>
      <w:r w:rsidR="00C5555D">
        <w:rPr>
          <w:rFonts w:asciiTheme="minorHAnsi" w:hAnsiTheme="minorHAnsi" w:cstheme="minorHAnsi"/>
          <w:lang w:val="bg-BG"/>
        </w:rPr>
        <w:t xml:space="preserve"> Първият доклад (наричан по-нататък в текста „Доклад за ИРП“) е посветен на прилагането на инструменти за ранно предупреждение в България (най-вече транспонирането на член 3 от Директивата). Вторият доклад съдържа сравнителен преглед на инструментите за </w:t>
      </w:r>
      <w:r w:rsidR="00594998">
        <w:rPr>
          <w:rFonts w:asciiTheme="minorHAnsi" w:hAnsiTheme="minorHAnsi" w:cstheme="minorHAnsi"/>
          <w:lang w:val="bg-BG"/>
        </w:rPr>
        <w:t>ранно предупреждение, разработени в пет държави членки на ЕС („Доклад за сравнителния анализ на ИРП“). Третият доклад е насочен към прилагането на разпоредбите на Директивата относно рамките за превантивно преструктуриране (по-конкретно чл.чл. 4 и 19 от Директивата) в България и необходимостта от изменения и допълнения на ТЗ с оглед на съответствието на разработената в Директивата система („Доклад за превантивното преструктуриране“).</w:t>
      </w:r>
    </w:p>
    <w:p w14:paraId="5AD1F29E" w14:textId="11795AF6" w:rsidR="00767366" w:rsidRPr="00F21B71" w:rsidRDefault="00050986" w:rsidP="005C0AB0">
      <w:pPr>
        <w:tabs>
          <w:tab w:val="left" w:pos="426"/>
          <w:tab w:val="left" w:pos="6930"/>
        </w:tabs>
        <w:spacing w:after="240" w:line="276" w:lineRule="auto"/>
        <w:ind w:right="90"/>
        <w:jc w:val="both"/>
        <w:rPr>
          <w:rFonts w:asciiTheme="minorHAnsi" w:hAnsiTheme="minorHAnsi" w:cstheme="minorHAnsi"/>
          <w:i/>
          <w:iCs/>
          <w:shd w:val="clear" w:color="auto" w:fill="FFFFFF"/>
          <w:lang w:val="en-GB" w:eastAsia="en-GB"/>
        </w:rPr>
      </w:pPr>
      <w:r w:rsidRPr="00161BF3">
        <w:rPr>
          <w:rFonts w:asciiTheme="minorHAnsi" w:hAnsiTheme="minorHAnsi" w:cstheme="minorHAnsi"/>
          <w:b/>
          <w:bCs/>
          <w:shd w:val="clear" w:color="auto" w:fill="FFFFFF"/>
          <w:lang w:val="en-GB" w:eastAsia="en-GB"/>
        </w:rPr>
        <w:t xml:space="preserve">9. </w:t>
      </w:r>
      <w:r w:rsidR="00594998">
        <w:rPr>
          <w:rFonts w:asciiTheme="minorHAnsi" w:hAnsiTheme="minorHAnsi" w:cstheme="minorHAnsi"/>
          <w:b/>
          <w:bCs/>
          <w:shd w:val="clear" w:color="auto" w:fill="FFFFFF"/>
          <w:lang w:val="bg-BG" w:eastAsia="en-GB"/>
        </w:rPr>
        <w:t>Целта на настоящата обобщена справка е да синтезира обширния анализ, извършен от екипа на ГСБ, и да обедини препоръките, посочени във всеки от трите доклада поотделно.</w:t>
      </w:r>
      <w:r w:rsidR="00594998">
        <w:rPr>
          <w:rFonts w:asciiTheme="minorHAnsi" w:hAnsiTheme="minorHAnsi" w:cstheme="minorHAnsi"/>
          <w:shd w:val="clear" w:color="auto" w:fill="FFFFFF"/>
          <w:lang w:val="bg-BG" w:eastAsia="en-GB"/>
        </w:rPr>
        <w:t xml:space="preserve"> Замисълът е </w:t>
      </w:r>
      <w:r w:rsidR="00197041">
        <w:rPr>
          <w:rFonts w:asciiTheme="minorHAnsi" w:hAnsiTheme="minorHAnsi" w:cstheme="minorHAnsi"/>
          <w:shd w:val="clear" w:color="auto" w:fill="FFFFFF"/>
          <w:lang w:val="bg-BG" w:eastAsia="en-GB"/>
        </w:rPr>
        <w:t xml:space="preserve">всички основни моменти и заключения в отделните доклади да се съберат в обща справка. Важно е да се изясни, че </w:t>
      </w:r>
      <w:r w:rsidR="00826A77">
        <w:rPr>
          <w:rFonts w:asciiTheme="minorHAnsi" w:hAnsiTheme="minorHAnsi" w:cstheme="minorHAnsi"/>
          <w:shd w:val="clear" w:color="auto" w:fill="FFFFFF"/>
          <w:lang w:val="bg-BG" w:eastAsia="en-GB"/>
        </w:rPr>
        <w:t xml:space="preserve">финансово затрудненото </w:t>
      </w:r>
      <w:r w:rsidR="00197041">
        <w:rPr>
          <w:rFonts w:asciiTheme="minorHAnsi" w:hAnsiTheme="minorHAnsi" w:cstheme="minorHAnsi"/>
          <w:shd w:val="clear" w:color="auto" w:fill="FFFFFF"/>
          <w:lang w:val="bg-BG" w:eastAsia="en-GB"/>
        </w:rPr>
        <w:t xml:space="preserve">състояние силно се мени и различните етапи на финансовите затруднения може да бъдат представени на „кривата на кончината“ (вж Фигура 1 по-долу). </w:t>
      </w:r>
      <w:r w:rsidR="00826A77">
        <w:rPr>
          <w:rFonts w:asciiTheme="minorHAnsi" w:hAnsiTheme="minorHAnsi" w:cstheme="minorHAnsi"/>
          <w:shd w:val="clear" w:color="auto" w:fill="FFFFFF"/>
          <w:lang w:val="bg-BG" w:eastAsia="en-GB"/>
        </w:rPr>
        <w:t>Решаваща е р</w:t>
      </w:r>
      <w:r w:rsidR="00197041">
        <w:rPr>
          <w:rFonts w:asciiTheme="minorHAnsi" w:hAnsiTheme="minorHAnsi" w:cstheme="minorHAnsi"/>
          <w:shd w:val="clear" w:color="auto" w:fill="FFFFFF"/>
          <w:lang w:val="bg-BG" w:eastAsia="en-GB"/>
        </w:rPr>
        <w:t>анната намеса, представена в горната част на кривата (ИРП като първа стъпка и превантивното преструктуриране като последваща стъпка, ако в процеса на прилагане на ИРП затрудненията не са преодолени), за да се избегн</w:t>
      </w:r>
      <w:r w:rsidR="00826A77">
        <w:rPr>
          <w:rFonts w:asciiTheme="minorHAnsi" w:hAnsiTheme="minorHAnsi" w:cstheme="minorHAnsi"/>
          <w:shd w:val="clear" w:color="auto" w:fill="FFFFFF"/>
          <w:lang w:val="bg-BG" w:eastAsia="en-GB"/>
        </w:rPr>
        <w:t>ат</w:t>
      </w:r>
      <w:r w:rsidR="00197041">
        <w:rPr>
          <w:rFonts w:asciiTheme="minorHAnsi" w:hAnsiTheme="minorHAnsi" w:cstheme="minorHAnsi"/>
          <w:shd w:val="clear" w:color="auto" w:fill="FFFFFF"/>
          <w:lang w:val="bg-BG" w:eastAsia="en-GB"/>
        </w:rPr>
        <w:t xml:space="preserve"> обявяването в несъстоятелност и ликвидацията (представен</w:t>
      </w:r>
      <w:r w:rsidR="00826A77">
        <w:rPr>
          <w:rFonts w:asciiTheme="minorHAnsi" w:hAnsiTheme="minorHAnsi" w:cstheme="minorHAnsi"/>
          <w:shd w:val="clear" w:color="auto" w:fill="FFFFFF"/>
          <w:lang w:val="bg-BG" w:eastAsia="en-GB"/>
        </w:rPr>
        <w:t>и</w:t>
      </w:r>
      <w:r w:rsidR="00197041">
        <w:rPr>
          <w:rFonts w:asciiTheme="minorHAnsi" w:hAnsiTheme="minorHAnsi" w:cstheme="minorHAnsi"/>
          <w:shd w:val="clear" w:color="auto" w:fill="FFFFFF"/>
          <w:lang w:val="bg-BG" w:eastAsia="en-GB"/>
        </w:rPr>
        <w:t xml:space="preserve"> в долния десен ъгъл</w:t>
      </w:r>
      <w:r w:rsidR="007F6E3C">
        <w:rPr>
          <w:rFonts w:asciiTheme="minorHAnsi" w:hAnsiTheme="minorHAnsi" w:cstheme="minorHAnsi"/>
          <w:shd w:val="clear" w:color="auto" w:fill="FFFFFF"/>
          <w:lang w:val="bg-BG" w:eastAsia="en-GB"/>
        </w:rPr>
        <w:t xml:space="preserve"> като последен изход). След като се установи потенциалната </w:t>
      </w:r>
      <w:r w:rsidR="007F6E3C">
        <w:rPr>
          <w:rFonts w:asciiTheme="minorHAnsi" w:hAnsiTheme="minorHAnsi" w:cstheme="minorHAnsi"/>
          <w:shd w:val="clear" w:color="auto" w:fill="FFFFFF"/>
          <w:lang w:val="bg-BG" w:eastAsia="en-GB"/>
        </w:rPr>
        <w:lastRenderedPageBreak/>
        <w:t>опасност от затруднения, всички видове намеса (ранна и последваща) следва да бъдат част</w:t>
      </w:r>
      <w:r w:rsidR="00826A77">
        <w:rPr>
          <w:rFonts w:asciiTheme="minorHAnsi" w:hAnsiTheme="minorHAnsi" w:cstheme="minorHAnsi"/>
          <w:shd w:val="clear" w:color="auto" w:fill="FFFFFF"/>
          <w:lang w:val="bg-BG" w:eastAsia="en-GB"/>
        </w:rPr>
        <w:t>и</w:t>
      </w:r>
      <w:r w:rsidR="007F6E3C">
        <w:rPr>
          <w:rFonts w:asciiTheme="minorHAnsi" w:hAnsiTheme="minorHAnsi" w:cstheme="minorHAnsi"/>
          <w:shd w:val="clear" w:color="auto" w:fill="FFFFFF"/>
          <w:lang w:val="bg-BG" w:eastAsia="en-GB"/>
        </w:rPr>
        <w:t xml:space="preserve"> от един и същ непрекъснат процес</w:t>
      </w:r>
      <w:r w:rsidR="008A3C64">
        <w:rPr>
          <w:rFonts w:asciiTheme="minorHAnsi" w:hAnsiTheme="minorHAnsi" w:cstheme="minorHAnsi"/>
          <w:shd w:val="clear" w:color="auto" w:fill="FFFFFF"/>
          <w:lang w:val="bg-BG" w:eastAsia="en-GB"/>
        </w:rPr>
        <w:t xml:space="preserve"> и правните и оперативните системи следва да създават условия за ефективно и гладко преминаване от един етап към друг</w:t>
      </w:r>
      <w:r w:rsidR="00FC5A35">
        <w:rPr>
          <w:rFonts w:asciiTheme="minorHAnsi" w:hAnsiTheme="minorHAnsi" w:cstheme="minorHAnsi"/>
          <w:shd w:val="clear" w:color="auto" w:fill="FFFFFF"/>
          <w:lang w:val="bg-BG" w:eastAsia="en-GB"/>
        </w:rPr>
        <w:t xml:space="preserve"> с цел да</w:t>
      </w:r>
      <w:r w:rsidR="005C0AB0">
        <w:rPr>
          <w:rFonts w:asciiTheme="minorHAnsi" w:hAnsiTheme="minorHAnsi" w:cstheme="minorHAnsi"/>
          <w:shd w:val="clear" w:color="auto" w:fill="FFFFFF"/>
          <w:lang w:val="bg-BG" w:eastAsia="en-GB"/>
        </w:rPr>
        <w:t xml:space="preserve"> се избегне ненужното излизане от пазара на затруднени, но жизнеспособни предприятия или загуби на кредиторите, ако дружеството е нежизнеспособно и трябва без отлагане да излезе от пазара.</w:t>
      </w:r>
      <w:r w:rsidR="007C7721" w:rsidRPr="00694C5F">
        <w:rPr>
          <w:rFonts w:asciiTheme="minorHAnsi" w:hAnsiTheme="minorHAnsi" w:cstheme="minorHAnsi"/>
          <w:shd w:val="clear" w:color="auto" w:fill="FFFFFF"/>
          <w:lang w:val="en-GB" w:eastAsia="en-GB"/>
        </w:rPr>
        <w:t xml:space="preserve"> </w:t>
      </w:r>
    </w:p>
    <w:p w14:paraId="40E9B85D" w14:textId="70398850" w:rsidR="00C72E06" w:rsidRPr="00FA3329" w:rsidRDefault="00D86257" w:rsidP="00F21B71">
      <w:pPr>
        <w:tabs>
          <w:tab w:val="left" w:pos="426"/>
        </w:tabs>
        <w:spacing w:after="240" w:line="276" w:lineRule="auto"/>
        <w:ind w:right="90"/>
        <w:jc w:val="both"/>
        <w:rPr>
          <w:rFonts w:asciiTheme="minorHAnsi" w:hAnsiTheme="minorHAnsi" w:cstheme="minorHAnsi"/>
          <w:i/>
          <w:iCs/>
          <w:sz w:val="18"/>
          <w:szCs w:val="18"/>
          <w:shd w:val="clear" w:color="auto" w:fill="FFFFFF"/>
          <w:lang w:val="en-GB" w:eastAsia="en-GB"/>
        </w:rPr>
      </w:pPr>
      <w:r>
        <w:rPr>
          <w:noProof/>
          <w:shd w:val="clear" w:color="auto" w:fill="FFFFFF"/>
          <w:lang w:val="en-GB" w:eastAsia="en-GB"/>
        </w:rPr>
        <w:drawing>
          <wp:anchor distT="0" distB="0" distL="114300" distR="114300" simplePos="0" relativeHeight="487656448" behindDoc="1" locked="0" layoutInCell="1" allowOverlap="1" wp14:anchorId="34C26D2E" wp14:editId="30E28D20">
            <wp:simplePos x="0" y="0"/>
            <wp:positionH relativeFrom="column">
              <wp:posOffset>-10160</wp:posOffset>
            </wp:positionH>
            <wp:positionV relativeFrom="paragraph">
              <wp:posOffset>219710</wp:posOffset>
            </wp:positionV>
            <wp:extent cx="5857875" cy="2210435"/>
            <wp:effectExtent l="0" t="0" r="9525" b="0"/>
            <wp:wrapThrough wrapText="bothSides">
              <wp:wrapPolygon edited="0">
                <wp:start x="0" y="0"/>
                <wp:lineTo x="0" y="21408"/>
                <wp:lineTo x="21565" y="21408"/>
                <wp:lineTo x="21565" y="0"/>
                <wp:lineTo x="0" y="0"/>
              </wp:wrapPolygon>
            </wp:wrapThrough>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7875" cy="2210435"/>
                    </a:xfrm>
                    <a:prstGeom prst="rect">
                      <a:avLst/>
                    </a:prstGeom>
                  </pic:spPr>
                </pic:pic>
              </a:graphicData>
            </a:graphic>
            <wp14:sizeRelH relativeFrom="page">
              <wp14:pctWidth>0</wp14:pctWidth>
            </wp14:sizeRelH>
            <wp14:sizeRelV relativeFrom="page">
              <wp14:pctHeight>0</wp14:pctHeight>
            </wp14:sizeRelV>
          </wp:anchor>
        </w:drawing>
      </w:r>
      <w:r w:rsidR="005C0AB0">
        <w:rPr>
          <w:rFonts w:asciiTheme="minorHAnsi" w:hAnsiTheme="minorHAnsi" w:cstheme="minorHAnsi"/>
          <w:i/>
          <w:iCs/>
          <w:sz w:val="18"/>
          <w:szCs w:val="18"/>
          <w:shd w:val="clear" w:color="auto" w:fill="FFFFFF"/>
          <w:lang w:val="bg-BG" w:eastAsia="en-GB"/>
        </w:rPr>
        <w:t>Фигура</w:t>
      </w:r>
      <w:r w:rsidR="00F8397A" w:rsidRPr="00F8397A">
        <w:rPr>
          <w:rFonts w:asciiTheme="minorHAnsi" w:hAnsiTheme="minorHAnsi" w:cstheme="minorHAnsi"/>
          <w:i/>
          <w:iCs/>
          <w:sz w:val="18"/>
          <w:szCs w:val="18"/>
          <w:shd w:val="clear" w:color="auto" w:fill="FFFFFF"/>
          <w:lang w:val="en-GB" w:eastAsia="en-GB"/>
        </w:rPr>
        <w:t xml:space="preserve"> 1. </w:t>
      </w:r>
      <w:r w:rsidR="00F8397A">
        <w:rPr>
          <w:rFonts w:asciiTheme="minorHAnsi" w:hAnsiTheme="minorHAnsi" w:cstheme="minorHAnsi"/>
          <w:i/>
          <w:iCs/>
          <w:sz w:val="18"/>
          <w:szCs w:val="18"/>
          <w:shd w:val="clear" w:color="auto" w:fill="FFFFFF"/>
          <w:lang w:val="en-GB" w:eastAsia="en-GB"/>
        </w:rPr>
        <w:t xml:space="preserve">– </w:t>
      </w:r>
      <w:r w:rsidR="005C0AB0">
        <w:rPr>
          <w:rFonts w:asciiTheme="minorHAnsi" w:hAnsiTheme="minorHAnsi" w:cstheme="minorHAnsi"/>
          <w:i/>
          <w:iCs/>
          <w:sz w:val="18"/>
          <w:szCs w:val="18"/>
          <w:shd w:val="clear" w:color="auto" w:fill="FFFFFF"/>
          <w:lang w:val="bg-BG" w:eastAsia="en-GB"/>
        </w:rPr>
        <w:t>Крива на кончината</w:t>
      </w:r>
      <w:r w:rsidR="00F8397A">
        <w:rPr>
          <w:rFonts w:asciiTheme="minorHAnsi" w:hAnsiTheme="minorHAnsi" w:cstheme="minorHAnsi"/>
          <w:i/>
          <w:iCs/>
          <w:sz w:val="18"/>
          <w:szCs w:val="18"/>
          <w:shd w:val="clear" w:color="auto" w:fill="FFFFFF"/>
          <w:lang w:val="en-GB" w:eastAsia="en-GB"/>
        </w:rPr>
        <w:t xml:space="preserve"> </w:t>
      </w:r>
    </w:p>
    <w:p w14:paraId="3622918C" w14:textId="4CC11038" w:rsidR="009414B2" w:rsidRPr="00DD50D8" w:rsidRDefault="0063492C" w:rsidP="00F21B71">
      <w:pPr>
        <w:tabs>
          <w:tab w:val="left" w:pos="426"/>
          <w:tab w:val="left" w:pos="6930"/>
        </w:tabs>
        <w:spacing w:after="240" w:line="276" w:lineRule="auto"/>
        <w:ind w:right="86"/>
        <w:jc w:val="both"/>
        <w:rPr>
          <w:rFonts w:asciiTheme="minorHAnsi" w:hAnsiTheme="minorHAnsi" w:cstheme="minorHAnsi"/>
          <w:shd w:val="clear" w:color="auto" w:fill="FFFFFF"/>
          <w:lang w:val="bg-BG" w:eastAsia="en-GB"/>
        </w:rPr>
      </w:pPr>
      <w:r w:rsidRPr="0063492C">
        <w:rPr>
          <w:rFonts w:asciiTheme="minorHAnsi" w:hAnsiTheme="minorHAnsi" w:cstheme="minorHAnsi"/>
          <w:b/>
          <w:bCs/>
          <w:shd w:val="clear" w:color="auto" w:fill="FFFFFF"/>
          <w:lang w:val="en-GB" w:eastAsia="en-GB"/>
        </w:rPr>
        <w:t xml:space="preserve">10. </w:t>
      </w:r>
      <w:r w:rsidR="009414B2">
        <w:rPr>
          <w:rFonts w:asciiTheme="minorHAnsi" w:hAnsiTheme="minorHAnsi" w:cstheme="minorHAnsi"/>
          <w:b/>
          <w:bCs/>
          <w:shd w:val="clear" w:color="auto" w:fill="FFFFFF"/>
          <w:lang w:val="bg-BG" w:eastAsia="en-GB"/>
        </w:rPr>
        <w:t>Както ИРП, така и производствата по превантивно преструктуриране следва да бъдат неотменна част от системата за преструктуриране в България.</w:t>
      </w:r>
      <w:r w:rsidR="00DD50D8">
        <w:rPr>
          <w:rFonts w:asciiTheme="minorHAnsi" w:hAnsiTheme="minorHAnsi" w:cstheme="minorHAnsi"/>
          <w:b/>
          <w:bCs/>
          <w:shd w:val="clear" w:color="auto" w:fill="FFFFFF"/>
          <w:lang w:val="bg-BG" w:eastAsia="en-GB"/>
        </w:rPr>
        <w:t xml:space="preserve"> </w:t>
      </w:r>
      <w:r w:rsidR="00DD50D8">
        <w:rPr>
          <w:rFonts w:asciiTheme="minorHAnsi" w:hAnsiTheme="minorHAnsi" w:cstheme="minorHAnsi"/>
          <w:shd w:val="clear" w:color="auto" w:fill="FFFFFF"/>
          <w:lang w:val="bg-BG" w:eastAsia="en-GB"/>
        </w:rPr>
        <w:t>През юли 2017 г. в българското законодателство беше въведен</w:t>
      </w:r>
      <w:r w:rsidR="00BF4CE5">
        <w:rPr>
          <w:rFonts w:asciiTheme="minorHAnsi" w:hAnsiTheme="minorHAnsi" w:cstheme="minorHAnsi"/>
          <w:shd w:val="clear" w:color="auto" w:fill="FFFFFF"/>
          <w:lang w:val="bg-BG" w:eastAsia="en-GB"/>
        </w:rPr>
        <w:t>о</w:t>
      </w:r>
      <w:r w:rsidR="00DD50D8">
        <w:rPr>
          <w:rFonts w:asciiTheme="minorHAnsi" w:hAnsiTheme="minorHAnsi" w:cstheme="minorHAnsi"/>
          <w:shd w:val="clear" w:color="auto" w:fill="FFFFFF"/>
          <w:lang w:val="bg-BG" w:eastAsia="en-GB"/>
        </w:rPr>
        <w:t xml:space="preserve"> ново производство по преструктуриране </w:t>
      </w:r>
      <w:r w:rsidR="00BF4CE5">
        <w:rPr>
          <w:rFonts w:asciiTheme="minorHAnsi" w:hAnsiTheme="minorHAnsi" w:cstheme="minorHAnsi"/>
          <w:shd w:val="clear" w:color="auto" w:fill="FFFFFF"/>
          <w:lang w:val="bg-BG" w:eastAsia="en-GB"/>
        </w:rPr>
        <w:t xml:space="preserve">(т.нар. „производство по стабилизация“), достъпно за длъжници, които се намират „в непосредствена опасност от неплатежоспособност“ (в момента част от Търговския закон или ТЗ). Длъжниците, които все още не са неплатежоспособни, имат право да подадат молба за откриване на производство по преструктуриране, ако има „опасност от неплатежоспособност“. Производството по стабилизация е достъпно единствено за длъжници „в непосредствена опасност от неплатежоспособност“, докато ИРП се задействат </w:t>
      </w:r>
      <w:r w:rsidR="00826A77">
        <w:rPr>
          <w:rFonts w:asciiTheme="minorHAnsi" w:hAnsiTheme="minorHAnsi" w:cstheme="minorHAnsi"/>
          <w:shd w:val="clear" w:color="auto" w:fill="FFFFFF"/>
          <w:lang w:val="bg-BG" w:eastAsia="en-GB"/>
        </w:rPr>
        <w:t>н</w:t>
      </w:r>
      <w:r w:rsidR="00BF4CE5">
        <w:rPr>
          <w:rFonts w:asciiTheme="minorHAnsi" w:hAnsiTheme="minorHAnsi" w:cstheme="minorHAnsi"/>
          <w:shd w:val="clear" w:color="auto" w:fill="FFFFFF"/>
          <w:lang w:val="bg-BG" w:eastAsia="en-GB"/>
        </w:rPr>
        <w:t xml:space="preserve">а по-ранен етап, когато длъжникът следва да бъде в състояние </w:t>
      </w:r>
      <w:r w:rsidR="002506A8">
        <w:rPr>
          <w:rFonts w:asciiTheme="minorHAnsi" w:hAnsiTheme="minorHAnsi" w:cstheme="minorHAnsi"/>
          <w:shd w:val="clear" w:color="auto" w:fill="FFFFFF"/>
          <w:lang w:val="bg-BG" w:eastAsia="en-GB"/>
        </w:rPr>
        <w:t>да установи „обстоятелствата, от които може да произтече вероятност за несъстоятелност“ (вж Доклада за ИРП). Това може (или трябва) да се случи доста преди длъжникът да започне да отговаря на условията за откриване на</w:t>
      </w:r>
      <w:r w:rsidR="00B449CE">
        <w:rPr>
          <w:rFonts w:asciiTheme="minorHAnsi" w:hAnsiTheme="minorHAnsi" w:cstheme="minorHAnsi"/>
          <w:shd w:val="clear" w:color="auto" w:fill="FFFFFF"/>
          <w:lang w:val="bg-BG" w:eastAsia="en-GB"/>
        </w:rPr>
        <w:t xml:space="preserve"> производство по стабилизация съгласно ТЗ с евентуалните изменения и допълнения за привеждане в съответствие с Директивата. Следователно макар и да е логично ИРП да изглеждат новаторски за българските власти в смисъл че изискват създаването на нещо ново, те следва да се впишат в комплексна система, чиято цел е да създаде инструментариум за длъжници в затруднено положение, за да се увеличат възможностите за оцеляване на предприятието (вж Схема 1 по-долу).</w:t>
      </w:r>
    </w:p>
    <w:p w14:paraId="7A2103BD" w14:textId="62497A1B" w:rsidR="00C72E06" w:rsidRPr="00F86AD4" w:rsidRDefault="00D92A4A" w:rsidP="00767366">
      <w:pPr>
        <w:tabs>
          <w:tab w:val="left" w:pos="426"/>
        </w:tabs>
        <w:spacing w:after="160" w:line="276" w:lineRule="auto"/>
        <w:ind w:right="90"/>
        <w:contextualSpacing/>
        <w:jc w:val="both"/>
        <w:rPr>
          <w:rFonts w:asciiTheme="minorHAnsi" w:hAnsiTheme="minorHAnsi" w:cstheme="minorHAnsi"/>
          <w:i/>
          <w:iCs/>
          <w:sz w:val="18"/>
          <w:szCs w:val="18"/>
          <w:shd w:val="clear" w:color="auto" w:fill="FFFFFF"/>
          <w:lang w:val="en-GB" w:eastAsia="en-GB"/>
        </w:rPr>
      </w:pPr>
      <w:r w:rsidRPr="00FA3329">
        <w:rPr>
          <w:rFonts w:asciiTheme="minorHAnsi" w:hAnsiTheme="minorHAnsi" w:cstheme="minorHAnsi"/>
          <w:i/>
          <w:iCs/>
          <w:noProof/>
          <w:sz w:val="18"/>
          <w:szCs w:val="18"/>
          <w:shd w:val="clear" w:color="auto" w:fill="FFFFFF"/>
          <w:lang w:val="en-GB" w:eastAsia="en-GB"/>
        </w:rPr>
        <w:lastRenderedPageBreak/>
        <w:drawing>
          <wp:anchor distT="0" distB="0" distL="114300" distR="114300" simplePos="0" relativeHeight="487657472" behindDoc="1" locked="0" layoutInCell="1" allowOverlap="1" wp14:anchorId="28C6E564" wp14:editId="7FD37267">
            <wp:simplePos x="0" y="0"/>
            <wp:positionH relativeFrom="column">
              <wp:posOffset>-180975</wp:posOffset>
            </wp:positionH>
            <wp:positionV relativeFrom="paragraph">
              <wp:posOffset>170815</wp:posOffset>
            </wp:positionV>
            <wp:extent cx="6191885" cy="3324225"/>
            <wp:effectExtent l="0" t="0" r="0" b="9525"/>
            <wp:wrapThrough wrapText="bothSides">
              <wp:wrapPolygon edited="0">
                <wp:start x="0" y="0"/>
                <wp:lineTo x="0" y="21538"/>
                <wp:lineTo x="21531" y="21538"/>
                <wp:lineTo x="21531" y="0"/>
                <wp:lineTo x="0" y="0"/>
              </wp:wrapPolygon>
            </wp:wrapThrough>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91885" cy="3324225"/>
                    </a:xfrm>
                    <a:prstGeom prst="rect">
                      <a:avLst/>
                    </a:prstGeom>
                  </pic:spPr>
                </pic:pic>
              </a:graphicData>
            </a:graphic>
            <wp14:sizeRelH relativeFrom="page">
              <wp14:pctWidth>0</wp14:pctWidth>
            </wp14:sizeRelH>
            <wp14:sizeRelV relativeFrom="page">
              <wp14:pctHeight>0</wp14:pctHeight>
            </wp14:sizeRelV>
          </wp:anchor>
        </w:drawing>
      </w:r>
      <w:r w:rsidR="00B449CE">
        <w:rPr>
          <w:rFonts w:asciiTheme="minorHAnsi" w:hAnsiTheme="minorHAnsi" w:cstheme="minorHAnsi"/>
          <w:i/>
          <w:iCs/>
          <w:sz w:val="18"/>
          <w:szCs w:val="18"/>
          <w:shd w:val="clear" w:color="auto" w:fill="FFFFFF"/>
          <w:lang w:val="bg-BG" w:eastAsia="en-GB"/>
        </w:rPr>
        <w:t>Схема</w:t>
      </w:r>
      <w:r w:rsidR="000871C3" w:rsidRPr="00FA3329">
        <w:rPr>
          <w:rFonts w:asciiTheme="minorHAnsi" w:hAnsiTheme="minorHAnsi" w:cstheme="minorHAnsi"/>
          <w:i/>
          <w:iCs/>
          <w:sz w:val="18"/>
          <w:szCs w:val="18"/>
          <w:shd w:val="clear" w:color="auto" w:fill="FFFFFF"/>
          <w:lang w:val="en-GB" w:eastAsia="en-GB"/>
        </w:rPr>
        <w:t xml:space="preserve"> </w:t>
      </w:r>
      <w:r w:rsidR="00FA3329">
        <w:rPr>
          <w:rFonts w:asciiTheme="minorHAnsi" w:hAnsiTheme="minorHAnsi" w:cstheme="minorHAnsi"/>
          <w:i/>
          <w:iCs/>
          <w:sz w:val="18"/>
          <w:szCs w:val="18"/>
          <w:shd w:val="clear" w:color="auto" w:fill="FFFFFF"/>
          <w:lang w:val="en-GB" w:eastAsia="en-GB"/>
        </w:rPr>
        <w:t>1</w:t>
      </w:r>
      <w:r w:rsidR="000871C3" w:rsidRPr="00FA3329">
        <w:rPr>
          <w:rFonts w:asciiTheme="minorHAnsi" w:hAnsiTheme="minorHAnsi" w:cstheme="minorHAnsi"/>
          <w:i/>
          <w:iCs/>
          <w:sz w:val="18"/>
          <w:szCs w:val="18"/>
          <w:shd w:val="clear" w:color="auto" w:fill="FFFFFF"/>
          <w:lang w:val="en-GB" w:eastAsia="en-GB"/>
        </w:rPr>
        <w:t xml:space="preserve">: </w:t>
      </w:r>
      <w:r w:rsidR="00B449CE">
        <w:rPr>
          <w:rFonts w:asciiTheme="minorHAnsi" w:hAnsiTheme="minorHAnsi" w:cstheme="minorHAnsi"/>
          <w:i/>
          <w:iCs/>
          <w:sz w:val="18"/>
          <w:szCs w:val="18"/>
          <w:shd w:val="clear" w:color="auto" w:fill="FFFFFF"/>
          <w:lang w:val="bg-BG" w:eastAsia="en-GB"/>
        </w:rPr>
        <w:t>Преглед на възможните действия и резултати за предприятия в затруднено положение</w:t>
      </w:r>
    </w:p>
    <w:p w14:paraId="659551BE" w14:textId="710071F1" w:rsidR="002167B1" w:rsidRPr="00767366" w:rsidRDefault="00FF31B2" w:rsidP="00767366">
      <w:pPr>
        <w:pStyle w:val="Heading1"/>
        <w:spacing w:before="0" w:after="160"/>
        <w:ind w:left="0" w:right="4"/>
        <w:contextualSpacing/>
        <w:jc w:val="both"/>
        <w:rPr>
          <w:rFonts w:asciiTheme="minorHAnsi" w:eastAsia="Cambria" w:hAnsiTheme="minorHAnsi" w:cstheme="minorHAnsi"/>
        </w:rPr>
      </w:pPr>
      <w:r>
        <w:rPr>
          <w:rFonts w:asciiTheme="minorHAnsi" w:eastAsia="Cambria" w:hAnsiTheme="minorHAnsi" w:cstheme="minorHAnsi"/>
          <w:lang w:val="bg-BG"/>
        </w:rPr>
        <w:t>Сигнализиране за признаци на финансови затруднения на длъжниците: ИРП</w:t>
      </w:r>
      <w:r w:rsidR="0059319A" w:rsidRPr="00C72E06">
        <w:rPr>
          <w:rFonts w:asciiTheme="minorHAnsi" w:eastAsia="Cambria" w:hAnsiTheme="minorHAnsi" w:cstheme="minorHAnsi"/>
        </w:rPr>
        <w:t xml:space="preserve"> </w:t>
      </w:r>
    </w:p>
    <w:p w14:paraId="7C61FD06" w14:textId="46C5BDDC" w:rsidR="00ED2CC1" w:rsidRDefault="001F0E23" w:rsidP="00F162DB">
      <w:pPr>
        <w:spacing w:after="240" w:line="276" w:lineRule="auto"/>
        <w:jc w:val="both"/>
        <w:rPr>
          <w:rFonts w:asciiTheme="minorHAnsi" w:hAnsiTheme="minorHAnsi" w:cstheme="minorHAnsi"/>
          <w:lang w:val="bg-BG" w:eastAsia="en-GB"/>
        </w:rPr>
      </w:pPr>
      <w:r w:rsidRPr="001F0E23">
        <w:rPr>
          <w:rFonts w:asciiTheme="minorHAnsi" w:hAnsiTheme="minorHAnsi" w:cstheme="minorHAnsi"/>
          <w:b/>
          <w:bCs/>
          <w:lang w:eastAsia="en-GB"/>
        </w:rPr>
        <w:t>1</w:t>
      </w:r>
      <w:r w:rsidR="00D92A4A">
        <w:rPr>
          <w:rFonts w:asciiTheme="minorHAnsi" w:hAnsiTheme="minorHAnsi" w:cstheme="minorHAnsi"/>
          <w:b/>
          <w:bCs/>
          <w:lang w:eastAsia="en-GB"/>
        </w:rPr>
        <w:t>1</w:t>
      </w:r>
      <w:r w:rsidRPr="001F0E23">
        <w:rPr>
          <w:rFonts w:asciiTheme="minorHAnsi" w:hAnsiTheme="minorHAnsi" w:cstheme="minorHAnsi"/>
          <w:b/>
          <w:bCs/>
          <w:lang w:eastAsia="en-GB"/>
        </w:rPr>
        <w:t xml:space="preserve">. </w:t>
      </w:r>
      <w:r w:rsidR="006A1028">
        <w:rPr>
          <w:rFonts w:asciiTheme="minorHAnsi" w:hAnsiTheme="minorHAnsi" w:cstheme="minorHAnsi"/>
          <w:b/>
          <w:bCs/>
          <w:lang w:val="bg-BG" w:eastAsia="en-GB"/>
        </w:rPr>
        <w:t>Крайната цел на ИРП е да се прогнозира вероятността</w:t>
      </w:r>
      <w:r w:rsidR="00401FEA">
        <w:rPr>
          <w:rFonts w:asciiTheme="minorHAnsi" w:hAnsiTheme="minorHAnsi" w:cstheme="minorHAnsi"/>
          <w:b/>
          <w:bCs/>
          <w:lang w:val="bg-BG" w:eastAsia="en-GB"/>
        </w:rPr>
        <w:t xml:space="preserve"> дадено предприятие да изпадне във финансови затруднения за определен период от време и длъжникът да се подтикне да предприеме действия, за да избегне не</w:t>
      </w:r>
      <w:r w:rsidR="00CF66CE">
        <w:rPr>
          <w:rFonts w:asciiTheme="minorHAnsi" w:hAnsiTheme="minorHAnsi" w:cstheme="minorHAnsi"/>
          <w:b/>
          <w:bCs/>
          <w:lang w:val="bg-BG" w:eastAsia="en-GB"/>
        </w:rPr>
        <w:t>състоятелността</w:t>
      </w:r>
      <w:r w:rsidR="00401FEA">
        <w:rPr>
          <w:rFonts w:asciiTheme="minorHAnsi" w:hAnsiTheme="minorHAnsi" w:cstheme="minorHAnsi"/>
          <w:b/>
          <w:bCs/>
          <w:lang w:val="bg-BG" w:eastAsia="en-GB"/>
        </w:rPr>
        <w:t>.</w:t>
      </w:r>
      <w:r w:rsidR="00401FEA">
        <w:rPr>
          <w:rFonts w:asciiTheme="minorHAnsi" w:hAnsiTheme="minorHAnsi" w:cstheme="minorHAnsi"/>
          <w:lang w:val="bg-BG" w:eastAsia="en-GB"/>
        </w:rPr>
        <w:t xml:space="preserve"> Въпреки че задължава всички държави членки на ЕС да осигурят механизми за ИРП, Директивата съдържа оскъдна уредба за начините да се постигне целта и предвижда големи дискреционни правомощия на държавите членки при разработването на системи, които най-добре отговарят на техните потребности. Обикновено ИРП може да включват единствено системи за вътрешен контрол (активен модел, при който ИРП насърчават длъжниците сами да преценят своето положение) или да предвиждат задължения </w:t>
      </w:r>
      <w:r w:rsidR="00F162DB">
        <w:rPr>
          <w:rFonts w:asciiTheme="minorHAnsi" w:hAnsiTheme="minorHAnsi" w:cstheme="minorHAnsi"/>
          <w:lang w:val="bg-BG" w:eastAsia="en-GB"/>
        </w:rPr>
        <w:t>за сигнализиране, които се вменяват на трети страни, по-добре запознати с делата на длъжника (пасивен модел)</w:t>
      </w:r>
      <w:r w:rsidRPr="0090547E">
        <w:rPr>
          <w:rFonts w:asciiTheme="minorHAnsi" w:hAnsiTheme="minorHAnsi" w:cstheme="minorHAnsi"/>
          <w:lang w:eastAsia="en-GB"/>
        </w:rPr>
        <w:t>.</w:t>
      </w:r>
      <w:r w:rsidR="00D90203" w:rsidRPr="0090547E">
        <w:rPr>
          <w:rStyle w:val="FootnoteReference"/>
          <w:rFonts w:asciiTheme="minorHAnsi" w:hAnsiTheme="minorHAnsi" w:cstheme="minorHAnsi"/>
          <w:lang w:eastAsia="en-GB"/>
        </w:rPr>
        <w:footnoteReference w:id="2"/>
      </w:r>
      <w:r w:rsidR="0090547E" w:rsidRPr="0090547E">
        <w:rPr>
          <w:rFonts w:asciiTheme="minorHAnsi" w:hAnsiTheme="minorHAnsi" w:cstheme="minorHAnsi"/>
          <w:lang w:eastAsia="en-GB"/>
        </w:rPr>
        <w:t xml:space="preserve"> </w:t>
      </w:r>
      <w:r w:rsidR="00F162DB">
        <w:rPr>
          <w:rFonts w:asciiTheme="minorHAnsi" w:hAnsiTheme="minorHAnsi" w:cstheme="minorHAnsi"/>
          <w:lang w:val="bg-BG" w:eastAsia="en-GB"/>
        </w:rPr>
        <w:t>Така например, както се посочва в Доклада за сравнителния анализ</w:t>
      </w:r>
      <w:r w:rsidR="00910BD5">
        <w:rPr>
          <w:rFonts w:asciiTheme="minorHAnsi" w:hAnsiTheme="minorHAnsi" w:cstheme="minorHAnsi"/>
          <w:lang w:val="bg-BG" w:eastAsia="en-GB"/>
        </w:rPr>
        <w:t xml:space="preserve"> на ИРП, Германия прилага изцяло пасивен подход</w:t>
      </w:r>
      <w:r w:rsidR="0053280B">
        <w:rPr>
          <w:rFonts w:asciiTheme="minorHAnsi" w:hAnsiTheme="minorHAnsi" w:cstheme="minorHAnsi"/>
          <w:lang w:val="bg-BG" w:eastAsia="en-GB"/>
        </w:rPr>
        <w:t>, който се основава на истинското чувство на съпричастност на предприемачи (и пенсионирани предприемачи), готови да помогнат на свои колеги и да споделят поуките, извлечени от собствен опит със същите затруднения</w:t>
      </w:r>
      <w:r w:rsidR="0090547E" w:rsidRPr="0090547E">
        <w:rPr>
          <w:rFonts w:asciiTheme="minorHAnsi" w:hAnsiTheme="minorHAnsi" w:cstheme="minorHAnsi"/>
        </w:rPr>
        <w:t xml:space="preserve">. </w:t>
      </w:r>
      <w:r w:rsidR="0090547E" w:rsidRPr="0090547E">
        <w:rPr>
          <w:rStyle w:val="FootnoteReference"/>
          <w:rFonts w:asciiTheme="minorHAnsi" w:hAnsiTheme="minorHAnsi" w:cstheme="minorHAnsi"/>
        </w:rPr>
        <w:footnoteReference w:id="3"/>
      </w:r>
      <w:r w:rsidR="0090547E" w:rsidRPr="0090547E">
        <w:rPr>
          <w:rFonts w:asciiTheme="minorHAnsi" w:hAnsiTheme="minorHAnsi" w:cstheme="minorHAnsi"/>
        </w:rPr>
        <w:t xml:space="preserve"> </w:t>
      </w:r>
      <w:r w:rsidR="0053280B">
        <w:rPr>
          <w:rFonts w:asciiTheme="minorHAnsi" w:hAnsiTheme="minorHAnsi" w:cstheme="minorHAnsi"/>
          <w:lang w:val="bg-BG"/>
        </w:rPr>
        <w:t>И обратно, Франция и Италия залагат на система за самооценка на предприятието и външен преглед с цел да се сигнализира за потенциална неплатежоспособност</w:t>
      </w:r>
      <w:r w:rsidR="0090547E" w:rsidRPr="0090547E">
        <w:rPr>
          <w:rFonts w:asciiTheme="minorHAnsi" w:hAnsiTheme="minorHAnsi" w:cstheme="minorHAnsi"/>
        </w:rPr>
        <w:t>.</w:t>
      </w:r>
      <w:r w:rsidR="0090547E" w:rsidRPr="0090547E">
        <w:rPr>
          <w:rStyle w:val="FootnoteReference"/>
          <w:rFonts w:asciiTheme="minorHAnsi" w:hAnsiTheme="minorHAnsi" w:cstheme="minorHAnsi"/>
        </w:rPr>
        <w:footnoteReference w:id="4"/>
      </w:r>
      <w:r w:rsidR="0090547E" w:rsidRPr="0090547E">
        <w:rPr>
          <w:rFonts w:asciiTheme="minorHAnsi" w:hAnsiTheme="minorHAnsi" w:cstheme="minorHAnsi"/>
          <w:lang w:eastAsia="en-GB"/>
        </w:rPr>
        <w:t xml:space="preserve"> </w:t>
      </w:r>
      <w:r w:rsidR="00ED2CC1">
        <w:rPr>
          <w:rFonts w:asciiTheme="minorHAnsi" w:hAnsiTheme="minorHAnsi" w:cstheme="minorHAnsi"/>
          <w:lang w:val="bg-BG" w:eastAsia="en-GB"/>
        </w:rPr>
        <w:t xml:space="preserve">ИРП следва да се разглеждат като полезно средство в допълнение към една ефикасна и стабилна рамка на несъстоятелността. Данните от </w:t>
      </w:r>
      <w:r w:rsidR="00ED2CC1">
        <w:rPr>
          <w:rFonts w:asciiTheme="minorHAnsi" w:hAnsiTheme="minorHAnsi" w:cstheme="minorHAnsi"/>
          <w:lang w:val="bg-BG" w:eastAsia="en-GB"/>
        </w:rPr>
        <w:lastRenderedPageBreak/>
        <w:t xml:space="preserve">системите за ранно предупреждение </w:t>
      </w:r>
      <w:r w:rsidR="00700A4E">
        <w:rPr>
          <w:rFonts w:asciiTheme="minorHAnsi" w:hAnsiTheme="minorHAnsi" w:cstheme="minorHAnsi"/>
          <w:lang w:val="bg-BG" w:eastAsia="en-GB"/>
        </w:rPr>
        <w:t>следва да стимулират длъжниците да търсят извънсъдебни споразумения или производства по превантивно преструктуриране, като длъжникът запазва контрола върху активите по време на преговорите за сключване на доброволно споразумение за преструктуриране с кредиторите (или част от тях), евентуално със съдействието на посредник или надзорник, така че да се запази жизнеспособността на предприятието.</w:t>
      </w:r>
    </w:p>
    <w:p w14:paraId="7C11F92E" w14:textId="228EF2ED" w:rsidR="00700A4E" w:rsidRPr="00BE437E" w:rsidRDefault="00D92A4A" w:rsidP="00484E51">
      <w:pPr>
        <w:pStyle w:val="BodyText"/>
        <w:spacing w:after="240" w:line="276" w:lineRule="auto"/>
        <w:jc w:val="both"/>
        <w:rPr>
          <w:rFonts w:asciiTheme="minorHAnsi" w:eastAsia="Cambria" w:hAnsiTheme="minorHAnsi" w:cstheme="minorHAnsi"/>
          <w:sz w:val="22"/>
          <w:szCs w:val="22"/>
          <w:lang w:val="bg-BG"/>
        </w:rPr>
      </w:pPr>
      <w:r>
        <w:rPr>
          <w:rFonts w:asciiTheme="minorHAnsi" w:eastAsia="Cambria" w:hAnsiTheme="minorHAnsi" w:cstheme="minorHAnsi"/>
          <w:b/>
          <w:bCs/>
          <w:sz w:val="22"/>
          <w:szCs w:val="22"/>
        </w:rPr>
        <w:t>1</w:t>
      </w:r>
      <w:r w:rsidR="001F0E23" w:rsidRPr="001F0E23">
        <w:rPr>
          <w:rFonts w:asciiTheme="minorHAnsi" w:eastAsia="Cambria" w:hAnsiTheme="minorHAnsi" w:cstheme="minorHAnsi"/>
          <w:b/>
          <w:bCs/>
          <w:sz w:val="22"/>
          <w:szCs w:val="22"/>
        </w:rPr>
        <w:t>2.</w:t>
      </w:r>
      <w:r w:rsidR="005815AF" w:rsidRPr="004249AA">
        <w:rPr>
          <w:rFonts w:asciiTheme="minorHAnsi" w:eastAsia="Cambria" w:hAnsiTheme="minorHAnsi" w:cstheme="minorHAnsi"/>
          <w:sz w:val="22"/>
          <w:szCs w:val="22"/>
        </w:rPr>
        <w:t xml:space="preserve"> </w:t>
      </w:r>
      <w:r w:rsidR="00700A4E">
        <w:rPr>
          <w:rFonts w:asciiTheme="minorHAnsi" w:eastAsia="Cambria" w:hAnsiTheme="minorHAnsi" w:cstheme="minorHAnsi"/>
          <w:b/>
          <w:bCs/>
          <w:sz w:val="22"/>
          <w:szCs w:val="22"/>
          <w:lang w:val="bg-BG"/>
        </w:rPr>
        <w:t>В Доклада</w:t>
      </w:r>
      <w:r w:rsidR="00A97ECA">
        <w:rPr>
          <w:rFonts w:asciiTheme="minorHAnsi" w:eastAsia="Cambria" w:hAnsiTheme="minorHAnsi" w:cstheme="minorHAnsi"/>
          <w:b/>
          <w:bCs/>
          <w:sz w:val="22"/>
          <w:szCs w:val="22"/>
          <w:lang w:val="bg-BG"/>
        </w:rPr>
        <w:t xml:space="preserve"> за ИРП с</w:t>
      </w:r>
      <w:r w:rsidR="00BD4343">
        <w:rPr>
          <w:rFonts w:asciiTheme="minorHAnsi" w:eastAsia="Cambria" w:hAnsiTheme="minorHAnsi" w:cstheme="minorHAnsi"/>
          <w:b/>
          <w:bCs/>
          <w:sz w:val="22"/>
          <w:szCs w:val="22"/>
          <w:lang w:val="bg-BG"/>
        </w:rPr>
        <w:t>а представени</w:t>
      </w:r>
      <w:r w:rsidR="00A97ECA">
        <w:rPr>
          <w:rFonts w:asciiTheme="minorHAnsi" w:eastAsia="Cambria" w:hAnsiTheme="minorHAnsi" w:cstheme="minorHAnsi"/>
          <w:b/>
          <w:bCs/>
          <w:sz w:val="22"/>
          <w:szCs w:val="22"/>
          <w:lang w:val="bg-BG"/>
        </w:rPr>
        <w:t xml:space="preserve"> съществуващите варианти и се препоръчва подход за прилагане на ИРП в България.</w:t>
      </w:r>
      <w:r w:rsidR="004E718A">
        <w:rPr>
          <w:rFonts w:asciiTheme="minorHAnsi" w:eastAsia="Cambria" w:hAnsiTheme="minorHAnsi" w:cstheme="minorHAnsi"/>
          <w:b/>
          <w:bCs/>
          <w:sz w:val="22"/>
          <w:szCs w:val="22"/>
          <w:lang w:val="bg-BG"/>
        </w:rPr>
        <w:t xml:space="preserve"> </w:t>
      </w:r>
      <w:r w:rsidR="00BE437E">
        <w:rPr>
          <w:rFonts w:asciiTheme="minorHAnsi" w:eastAsia="Cambria" w:hAnsiTheme="minorHAnsi" w:cstheme="minorHAnsi"/>
          <w:sz w:val="22"/>
          <w:szCs w:val="22"/>
          <w:lang w:val="bg-BG"/>
        </w:rPr>
        <w:t>Анализът на начините за разработване на система от ИРП в България се основава на три стълба: (1) съществуване и наличие на данни, които да бъдат използвани от ИРП; (2) алгоритъм за установяване на предприятия в затруднено положение; и (3) институционални условия за функционирането на ИРП, включително управление на агенцията, която отговаря за него, както и за процеса на уведомяване на предприятията в затруднено положение.</w:t>
      </w:r>
    </w:p>
    <w:p w14:paraId="7F553AD7" w14:textId="274FC22F" w:rsidR="00394045" w:rsidRPr="00BD5A83" w:rsidRDefault="00D92A4A" w:rsidP="00750D17">
      <w:pPr>
        <w:pStyle w:val="BodyText"/>
        <w:spacing w:after="240" w:line="276" w:lineRule="auto"/>
        <w:jc w:val="both"/>
        <w:rPr>
          <w:rFonts w:asciiTheme="minorHAnsi" w:eastAsia="Cambria" w:hAnsiTheme="minorHAnsi" w:cstheme="minorHAnsi"/>
          <w:sz w:val="22"/>
          <w:szCs w:val="22"/>
        </w:rPr>
      </w:pPr>
      <w:r w:rsidRPr="00D92A4A">
        <w:rPr>
          <w:rFonts w:asciiTheme="minorHAnsi" w:eastAsia="Cambria" w:hAnsiTheme="minorHAnsi" w:cstheme="minorHAnsi"/>
          <w:b/>
          <w:bCs/>
          <w:sz w:val="22"/>
          <w:szCs w:val="22"/>
        </w:rPr>
        <w:t xml:space="preserve">13. </w:t>
      </w:r>
      <w:r w:rsidR="00F36CFC">
        <w:rPr>
          <w:rFonts w:asciiTheme="minorHAnsi" w:eastAsia="Cambria" w:hAnsiTheme="minorHAnsi" w:cstheme="minorHAnsi"/>
          <w:b/>
          <w:bCs/>
          <w:sz w:val="22"/>
          <w:szCs w:val="22"/>
          <w:lang w:val="bg-BG"/>
        </w:rPr>
        <w:t xml:space="preserve">По отношение на първия стълб (входящи данни) Докладът за ИРП съдържа обширен анализ на наличната ключова информация, която може да има значение за установяването на вероятност от неплатежоспособност </w:t>
      </w:r>
      <w:r w:rsidR="00F36CFC">
        <w:rPr>
          <w:rFonts w:asciiTheme="minorHAnsi" w:eastAsia="Cambria" w:hAnsiTheme="minorHAnsi" w:cstheme="minorHAnsi"/>
          <w:sz w:val="22"/>
          <w:szCs w:val="22"/>
          <w:lang w:val="bg-BG"/>
        </w:rPr>
        <w:t xml:space="preserve">(например </w:t>
      </w:r>
      <w:r w:rsidR="009E35B0">
        <w:rPr>
          <w:rFonts w:asciiTheme="minorHAnsi" w:eastAsia="Cambria" w:hAnsiTheme="minorHAnsi" w:cstheme="minorHAnsi"/>
          <w:sz w:val="22"/>
          <w:szCs w:val="22"/>
          <w:lang w:val="bg-BG"/>
        </w:rPr>
        <w:t xml:space="preserve">финансова информация, </w:t>
      </w:r>
      <w:r w:rsidR="009A0A5B">
        <w:rPr>
          <w:rFonts w:asciiTheme="minorHAnsi" w:eastAsia="Cambria" w:hAnsiTheme="minorHAnsi" w:cstheme="minorHAnsi"/>
          <w:sz w:val="22"/>
          <w:szCs w:val="22"/>
          <w:lang w:val="bg-BG"/>
        </w:rPr>
        <w:t>исторически данни от кредитния регистър, данъчна информация, анализ на управлението и макроикономическа информация</w:t>
      </w:r>
      <w:r w:rsidRPr="00D92A4A">
        <w:rPr>
          <w:rFonts w:asciiTheme="minorHAnsi" w:eastAsia="Cambria" w:hAnsiTheme="minorHAnsi" w:cstheme="minorHAnsi"/>
          <w:sz w:val="22"/>
          <w:szCs w:val="22"/>
        </w:rPr>
        <w:t>)</w:t>
      </w:r>
      <w:r>
        <w:rPr>
          <w:rFonts w:asciiTheme="minorHAnsi" w:eastAsia="Cambria" w:hAnsiTheme="minorHAnsi" w:cstheme="minorHAnsi"/>
          <w:sz w:val="22"/>
          <w:szCs w:val="22"/>
        </w:rPr>
        <w:t>.</w:t>
      </w:r>
      <w:r w:rsidRPr="00D92A4A">
        <w:rPr>
          <w:rStyle w:val="FootnoteReference"/>
          <w:rFonts w:asciiTheme="minorHAnsi" w:eastAsia="Cambria" w:hAnsiTheme="minorHAnsi" w:cstheme="minorHAnsi"/>
          <w:sz w:val="22"/>
          <w:szCs w:val="22"/>
        </w:rPr>
        <w:t xml:space="preserve"> </w:t>
      </w:r>
      <w:r w:rsidRPr="00D92A4A">
        <w:rPr>
          <w:rStyle w:val="FootnoteReference"/>
          <w:rFonts w:asciiTheme="minorHAnsi" w:eastAsia="Cambria" w:hAnsiTheme="minorHAnsi" w:cstheme="minorHAnsi"/>
          <w:sz w:val="22"/>
          <w:szCs w:val="22"/>
        </w:rPr>
        <w:footnoteReference w:id="5"/>
      </w:r>
      <w:r w:rsidR="004E049A" w:rsidRPr="00D92A4A">
        <w:rPr>
          <w:rFonts w:asciiTheme="minorHAnsi" w:eastAsia="Cambria" w:hAnsiTheme="minorHAnsi" w:cstheme="minorHAnsi"/>
          <w:sz w:val="22"/>
          <w:szCs w:val="22"/>
        </w:rPr>
        <w:t xml:space="preserve"> </w:t>
      </w:r>
      <w:r w:rsidR="000F6EED">
        <w:rPr>
          <w:rFonts w:asciiTheme="minorHAnsi" w:eastAsia="Cambria" w:hAnsiTheme="minorHAnsi" w:cstheme="minorHAnsi"/>
          <w:sz w:val="22"/>
          <w:szCs w:val="22"/>
          <w:lang w:val="bg-BG"/>
        </w:rPr>
        <w:t>Заключението е, че при сегашните условия съществуват някои предизвикателства във връзка с наличието на данни в България. Например форматът и структурата на финансовата информация затруднява</w:t>
      </w:r>
      <w:r w:rsidR="00CF66CE">
        <w:rPr>
          <w:rFonts w:asciiTheme="minorHAnsi" w:eastAsia="Cambria" w:hAnsiTheme="minorHAnsi" w:cstheme="minorHAnsi"/>
          <w:sz w:val="22"/>
          <w:szCs w:val="22"/>
          <w:lang w:val="bg-BG"/>
        </w:rPr>
        <w:t>т</w:t>
      </w:r>
      <w:r w:rsidR="000F6EED">
        <w:rPr>
          <w:rFonts w:asciiTheme="minorHAnsi" w:eastAsia="Cambria" w:hAnsiTheme="minorHAnsi" w:cstheme="minorHAnsi"/>
          <w:sz w:val="22"/>
          <w:szCs w:val="22"/>
          <w:lang w:val="bg-BG"/>
        </w:rPr>
        <w:t xml:space="preserve"> използването на данните, понеже споделянето на финансова информация все още се основава на хартиени носители, а подаваните по електронен път данни не са в машинно четим формат</w:t>
      </w:r>
      <w:r w:rsidR="00B47086">
        <w:rPr>
          <w:rFonts w:asciiTheme="minorHAnsi" w:eastAsia="Cambria" w:hAnsiTheme="minorHAnsi" w:cstheme="minorHAnsi"/>
          <w:sz w:val="22"/>
          <w:szCs w:val="22"/>
        </w:rPr>
        <w:t>)</w:t>
      </w:r>
      <w:r w:rsidR="00B47086">
        <w:rPr>
          <w:rStyle w:val="FootnoteReference"/>
          <w:rFonts w:asciiTheme="minorHAnsi" w:eastAsia="Cambria" w:hAnsiTheme="minorHAnsi" w:cstheme="minorHAnsi"/>
          <w:sz w:val="22"/>
          <w:szCs w:val="22"/>
        </w:rPr>
        <w:footnoteReference w:id="6"/>
      </w:r>
      <w:r w:rsidR="00E246DF">
        <w:rPr>
          <w:rFonts w:asciiTheme="minorHAnsi" w:eastAsia="Cambria" w:hAnsiTheme="minorHAnsi" w:cstheme="minorHAnsi"/>
          <w:sz w:val="22"/>
          <w:szCs w:val="22"/>
        </w:rPr>
        <w:t>.</w:t>
      </w:r>
      <w:r w:rsidR="00B47086" w:rsidRPr="00D92A4A">
        <w:rPr>
          <w:rFonts w:asciiTheme="minorHAnsi" w:eastAsia="Cambria" w:hAnsiTheme="minorHAnsi" w:cstheme="minorHAnsi"/>
          <w:sz w:val="22"/>
          <w:szCs w:val="22"/>
        </w:rPr>
        <w:t xml:space="preserve"> </w:t>
      </w:r>
      <w:r w:rsidR="000F6EED">
        <w:rPr>
          <w:rFonts w:asciiTheme="minorHAnsi" w:eastAsia="Cambria" w:hAnsiTheme="minorHAnsi" w:cstheme="minorHAnsi"/>
          <w:sz w:val="22"/>
          <w:szCs w:val="22"/>
          <w:lang w:val="bg-BG"/>
        </w:rPr>
        <w:t xml:space="preserve">Информацията за кредитната задлъжнялост често пъти е защитена с правила за строга поверителност, което налага </w:t>
      </w:r>
      <w:r w:rsidR="00750D17">
        <w:rPr>
          <w:rFonts w:asciiTheme="minorHAnsi" w:eastAsia="Cambria" w:hAnsiTheme="minorHAnsi" w:cstheme="minorHAnsi"/>
          <w:sz w:val="22"/>
          <w:szCs w:val="22"/>
          <w:lang w:val="bg-BG"/>
        </w:rPr>
        <w:t>конкретна законодателна намеса</w:t>
      </w:r>
      <w:r w:rsidR="00D90203">
        <w:rPr>
          <w:rFonts w:asciiTheme="minorHAnsi" w:eastAsia="Cambria" w:hAnsiTheme="minorHAnsi" w:cstheme="minorHAnsi"/>
          <w:sz w:val="22"/>
          <w:szCs w:val="22"/>
        </w:rPr>
        <w:t>.</w:t>
      </w:r>
      <w:r w:rsidR="00D90203">
        <w:rPr>
          <w:rStyle w:val="FootnoteReference"/>
          <w:rFonts w:asciiTheme="minorHAnsi" w:eastAsia="Cambria" w:hAnsiTheme="minorHAnsi" w:cstheme="minorHAnsi"/>
          <w:sz w:val="22"/>
          <w:szCs w:val="22"/>
        </w:rPr>
        <w:footnoteReference w:id="7"/>
      </w:r>
      <w:r w:rsidR="007272DF" w:rsidRPr="00D92A4A">
        <w:rPr>
          <w:rFonts w:asciiTheme="minorHAnsi" w:eastAsia="Cambria" w:hAnsiTheme="minorHAnsi" w:cstheme="minorHAnsi"/>
          <w:sz w:val="22"/>
          <w:szCs w:val="22"/>
        </w:rPr>
        <w:t xml:space="preserve"> </w:t>
      </w:r>
      <w:r w:rsidR="00750D17">
        <w:rPr>
          <w:rFonts w:asciiTheme="minorHAnsi" w:eastAsia="Cambria" w:hAnsiTheme="minorHAnsi" w:cstheme="minorHAnsi"/>
          <w:sz w:val="22"/>
          <w:szCs w:val="22"/>
          <w:lang w:val="bg-BG"/>
        </w:rPr>
        <w:t>Наличната в момента обществено достъпна информация за просрочени данъчни задължения не е достатъчна за целите на ИРП</w:t>
      </w:r>
      <w:r w:rsidR="00217DA5">
        <w:rPr>
          <w:rFonts w:asciiTheme="minorHAnsi" w:eastAsia="Cambria" w:hAnsiTheme="minorHAnsi" w:cstheme="minorHAnsi"/>
          <w:sz w:val="22"/>
          <w:szCs w:val="22"/>
        </w:rPr>
        <w:t>.</w:t>
      </w:r>
      <w:r w:rsidR="00D90203">
        <w:rPr>
          <w:rStyle w:val="FootnoteReference"/>
          <w:rFonts w:asciiTheme="minorHAnsi" w:eastAsia="Cambria" w:hAnsiTheme="minorHAnsi" w:cstheme="minorHAnsi"/>
          <w:sz w:val="22"/>
          <w:szCs w:val="22"/>
        </w:rPr>
        <w:footnoteReference w:id="8"/>
      </w:r>
      <w:r w:rsidR="007272DF" w:rsidRPr="00D92A4A">
        <w:rPr>
          <w:rFonts w:asciiTheme="minorHAnsi" w:eastAsia="Cambria" w:hAnsiTheme="minorHAnsi" w:cstheme="minorHAnsi"/>
          <w:sz w:val="22"/>
          <w:szCs w:val="22"/>
        </w:rPr>
        <w:t xml:space="preserve"> </w:t>
      </w:r>
      <w:r w:rsidR="00750D17">
        <w:rPr>
          <w:rFonts w:asciiTheme="minorHAnsi" w:eastAsia="Cambria" w:hAnsiTheme="minorHAnsi" w:cstheme="minorHAnsi"/>
          <w:sz w:val="22"/>
          <w:szCs w:val="22"/>
          <w:lang w:val="bg-BG"/>
        </w:rPr>
        <w:t>С оглед на ограничените наличност, актуалност</w:t>
      </w:r>
      <w:r w:rsidR="00152399">
        <w:rPr>
          <w:rFonts w:asciiTheme="minorHAnsi" w:eastAsia="Cambria" w:hAnsiTheme="minorHAnsi" w:cstheme="minorHAnsi"/>
          <w:sz w:val="22"/>
          <w:szCs w:val="22"/>
          <w:lang w:val="bg-BG"/>
        </w:rPr>
        <w:t xml:space="preserve"> и качество на данните в България в Доклада за ИРП се констатира, че автоматично задействаните сигнали от ИРП в рамките на изцяло </w:t>
      </w:r>
      <w:r w:rsidR="00AF684E">
        <w:rPr>
          <w:rFonts w:asciiTheme="minorHAnsi" w:eastAsia="Cambria" w:hAnsiTheme="minorHAnsi" w:cstheme="minorHAnsi"/>
          <w:sz w:val="22"/>
          <w:szCs w:val="22"/>
          <w:lang w:val="bg-BG"/>
        </w:rPr>
        <w:t>пасивен</w:t>
      </w:r>
      <w:r w:rsidR="00152399">
        <w:rPr>
          <w:rFonts w:asciiTheme="minorHAnsi" w:eastAsia="Cambria" w:hAnsiTheme="minorHAnsi" w:cstheme="minorHAnsi"/>
          <w:sz w:val="22"/>
          <w:szCs w:val="22"/>
          <w:lang w:val="bg-BG"/>
        </w:rPr>
        <w:t xml:space="preserve"> модел поне в краткосрочен план не изглеждат приложими в България</w:t>
      </w:r>
      <w:r w:rsidR="00780937" w:rsidRPr="00D92A4A">
        <w:rPr>
          <w:rFonts w:asciiTheme="minorHAnsi" w:eastAsia="Cambria" w:hAnsiTheme="minorHAnsi" w:cstheme="minorHAnsi"/>
          <w:sz w:val="22"/>
          <w:szCs w:val="22"/>
        </w:rPr>
        <w:t>.</w:t>
      </w:r>
      <w:r w:rsidR="0001218B">
        <w:rPr>
          <w:rFonts w:asciiTheme="minorHAnsi" w:eastAsia="Cambria" w:hAnsiTheme="minorHAnsi" w:cstheme="minorHAnsi"/>
          <w:sz w:val="22"/>
          <w:szCs w:val="22"/>
        </w:rPr>
        <w:t xml:space="preserve"> </w:t>
      </w:r>
    </w:p>
    <w:p w14:paraId="02F36318" w14:textId="12E1879F" w:rsidR="004438B1" w:rsidRDefault="00D92A4A" w:rsidP="00AF684E">
      <w:pPr>
        <w:pStyle w:val="BodyText"/>
        <w:spacing w:after="240" w:line="276" w:lineRule="auto"/>
        <w:jc w:val="both"/>
        <w:rPr>
          <w:rFonts w:asciiTheme="minorHAnsi" w:eastAsia="Cambria" w:hAnsiTheme="minorHAnsi" w:cstheme="minorHAnsi"/>
          <w:sz w:val="22"/>
          <w:szCs w:val="22"/>
        </w:rPr>
      </w:pPr>
      <w:bookmarkStart w:id="1" w:name="_Hlk90572297"/>
      <w:r w:rsidRPr="00D92A4A">
        <w:rPr>
          <w:rFonts w:asciiTheme="minorHAnsi" w:eastAsia="Cambria" w:hAnsiTheme="minorHAnsi" w:cstheme="minorHAnsi"/>
          <w:b/>
          <w:bCs/>
          <w:sz w:val="22"/>
          <w:szCs w:val="22"/>
        </w:rPr>
        <w:t xml:space="preserve">14. </w:t>
      </w:r>
      <w:r w:rsidR="00F55088">
        <w:rPr>
          <w:rFonts w:asciiTheme="minorHAnsi" w:eastAsia="Cambria" w:hAnsiTheme="minorHAnsi" w:cstheme="minorHAnsi"/>
          <w:b/>
          <w:bCs/>
          <w:sz w:val="22"/>
          <w:szCs w:val="22"/>
          <w:lang w:val="bg-BG"/>
        </w:rPr>
        <w:t xml:space="preserve">По отношение на втория стълб (алгоритъм) Докладът за ИРП препоръчва на българските власти </w:t>
      </w:r>
      <w:r w:rsidR="0059324F">
        <w:rPr>
          <w:rFonts w:asciiTheme="minorHAnsi" w:eastAsia="Cambria" w:hAnsiTheme="minorHAnsi" w:cstheme="minorHAnsi"/>
          <w:b/>
          <w:bCs/>
          <w:sz w:val="22"/>
          <w:szCs w:val="22"/>
          <w:lang w:val="bg-BG"/>
        </w:rPr>
        <w:t xml:space="preserve">чисто качествен активен модел в </w:t>
      </w:r>
      <w:r w:rsidR="00AF684E">
        <w:rPr>
          <w:rFonts w:asciiTheme="minorHAnsi" w:eastAsia="Cambria" w:hAnsiTheme="minorHAnsi" w:cstheme="minorHAnsi"/>
          <w:b/>
          <w:bCs/>
          <w:sz w:val="22"/>
          <w:szCs w:val="22"/>
          <w:lang w:val="bg-BG"/>
        </w:rPr>
        <w:t>краткосрочен план.</w:t>
      </w:r>
      <w:r w:rsidR="00AF684E">
        <w:rPr>
          <w:rFonts w:asciiTheme="minorHAnsi" w:eastAsia="Cambria" w:hAnsiTheme="minorHAnsi" w:cstheme="minorHAnsi"/>
          <w:sz w:val="22"/>
          <w:szCs w:val="22"/>
          <w:lang w:val="bg-BG"/>
        </w:rPr>
        <w:t xml:space="preserve"> Чисто качественият активен модел се основава на добрата воля на предприемачите, които търсят подкрепа, наръчник и субективен анализ от длъжника с помощта на ИРП</w:t>
      </w:r>
      <w:r w:rsidR="00780937" w:rsidRPr="00D92A4A">
        <w:rPr>
          <w:rFonts w:asciiTheme="minorHAnsi" w:eastAsia="Cambria" w:hAnsiTheme="minorHAnsi" w:cstheme="minorHAnsi"/>
          <w:sz w:val="22"/>
          <w:szCs w:val="22"/>
        </w:rPr>
        <w:t>.</w:t>
      </w:r>
      <w:r w:rsidR="00D90203">
        <w:rPr>
          <w:rStyle w:val="FootnoteReference"/>
          <w:rFonts w:asciiTheme="minorHAnsi" w:eastAsia="Cambria" w:hAnsiTheme="minorHAnsi" w:cstheme="minorHAnsi"/>
          <w:sz w:val="22"/>
          <w:szCs w:val="22"/>
        </w:rPr>
        <w:footnoteReference w:id="9"/>
      </w:r>
      <w:r w:rsidR="007F5931">
        <w:rPr>
          <w:rFonts w:asciiTheme="minorHAnsi" w:eastAsia="Cambria" w:hAnsiTheme="minorHAnsi" w:cstheme="minorHAnsi"/>
          <w:sz w:val="22"/>
          <w:szCs w:val="22"/>
        </w:rPr>
        <w:t xml:space="preserve"> </w:t>
      </w:r>
      <w:r w:rsidR="000D01B4">
        <w:rPr>
          <w:rFonts w:asciiTheme="minorHAnsi" w:eastAsia="Cambria" w:hAnsiTheme="minorHAnsi" w:cstheme="minorHAnsi"/>
          <w:sz w:val="22"/>
          <w:szCs w:val="22"/>
          <w:lang w:val="bg-BG"/>
        </w:rPr>
        <w:t>В Доклада за ИРП се подчертава, че един изцяло активен модел, според който ИРП анализира подадената от длъжниците качествена информация, следва да се разглежда от българските власти като „бърз печелив</w:t>
      </w:r>
      <w:r w:rsidR="00FC7791">
        <w:rPr>
          <w:rFonts w:asciiTheme="minorHAnsi" w:eastAsia="Cambria" w:hAnsiTheme="minorHAnsi" w:cstheme="minorHAnsi"/>
          <w:sz w:val="22"/>
          <w:szCs w:val="22"/>
          <w:lang w:val="bg-BG"/>
        </w:rPr>
        <w:t xml:space="preserve">ш ход“. </w:t>
      </w:r>
      <w:r w:rsidR="00257BD2">
        <w:rPr>
          <w:rFonts w:asciiTheme="minorHAnsi" w:eastAsia="Cambria" w:hAnsiTheme="minorHAnsi" w:cstheme="minorHAnsi"/>
          <w:sz w:val="22"/>
          <w:szCs w:val="22"/>
          <w:lang w:val="bg-BG"/>
        </w:rPr>
        <w:t>Според препоръчвания подход предприемачът доброволно ще направи проверка на „финансовото здраве“ и ще предостави на ИРП информацията, необходима за извършване на оценка.</w:t>
      </w:r>
      <w:r w:rsidR="00F90B4B">
        <w:rPr>
          <w:rFonts w:asciiTheme="minorHAnsi" w:eastAsia="Cambria" w:hAnsiTheme="minorHAnsi" w:cstheme="minorHAnsi"/>
          <w:sz w:val="22"/>
          <w:szCs w:val="22"/>
        </w:rPr>
        <w:t xml:space="preserve"> </w:t>
      </w:r>
    </w:p>
    <w:bookmarkEnd w:id="1"/>
    <w:p w14:paraId="0FEA25E4" w14:textId="38C60567" w:rsidR="004D0651" w:rsidRPr="009933C2" w:rsidRDefault="004438B1" w:rsidP="000A350C">
      <w:pPr>
        <w:pStyle w:val="BodyText"/>
        <w:spacing w:after="240" w:line="276" w:lineRule="auto"/>
        <w:jc w:val="both"/>
        <w:rPr>
          <w:rFonts w:asciiTheme="minorHAnsi" w:eastAsia="Cambria" w:hAnsiTheme="minorHAnsi" w:cstheme="minorHAnsi"/>
          <w:color w:val="000000" w:themeColor="text1"/>
          <w:sz w:val="22"/>
          <w:szCs w:val="22"/>
        </w:rPr>
      </w:pPr>
      <w:r>
        <w:rPr>
          <w:rFonts w:asciiTheme="minorHAnsi" w:eastAsia="Cambria" w:hAnsiTheme="minorHAnsi" w:cstheme="minorHAnsi"/>
          <w:b/>
          <w:bCs/>
          <w:sz w:val="22"/>
          <w:szCs w:val="22"/>
        </w:rPr>
        <w:lastRenderedPageBreak/>
        <w:t>14</w:t>
      </w:r>
      <w:r w:rsidRPr="004438B1">
        <w:rPr>
          <w:rFonts w:asciiTheme="minorHAnsi" w:eastAsia="Cambria" w:hAnsiTheme="minorHAnsi" w:cstheme="minorHAnsi"/>
          <w:b/>
          <w:bCs/>
          <w:sz w:val="22"/>
          <w:szCs w:val="22"/>
        </w:rPr>
        <w:t xml:space="preserve">. </w:t>
      </w:r>
      <w:r w:rsidR="002D1E8A">
        <w:rPr>
          <w:rFonts w:asciiTheme="minorHAnsi" w:eastAsia="Cambria" w:hAnsiTheme="minorHAnsi" w:cstheme="minorHAnsi"/>
          <w:b/>
          <w:bCs/>
          <w:sz w:val="22"/>
          <w:szCs w:val="22"/>
          <w:lang w:val="bg-BG"/>
        </w:rPr>
        <w:t>Българската страна следва да обмисли възможността за прилагане в средносрочен план на</w:t>
      </w:r>
      <w:r w:rsidR="003B353F">
        <w:rPr>
          <w:rFonts w:asciiTheme="minorHAnsi" w:eastAsia="Cambria" w:hAnsiTheme="minorHAnsi" w:cstheme="minorHAnsi"/>
          <w:b/>
          <w:bCs/>
          <w:sz w:val="22"/>
          <w:szCs w:val="22"/>
          <w:lang w:val="bg-BG"/>
        </w:rPr>
        <w:t xml:space="preserve"> активен модел на основата на самооценка </w:t>
      </w:r>
      <w:r w:rsidR="003B353F">
        <w:rPr>
          <w:rFonts w:asciiTheme="minorHAnsi" w:eastAsia="Cambria" w:hAnsiTheme="minorHAnsi" w:cstheme="minorHAnsi"/>
          <w:sz w:val="22"/>
          <w:szCs w:val="22"/>
          <w:lang w:val="bg-BG"/>
        </w:rPr>
        <w:t xml:space="preserve">(поне за определен </w:t>
      </w:r>
      <w:r w:rsidR="005B047C">
        <w:rPr>
          <w:rFonts w:asciiTheme="minorHAnsi" w:eastAsia="Cambria" w:hAnsiTheme="minorHAnsi" w:cstheme="minorHAnsi"/>
          <w:sz w:val="22"/>
          <w:szCs w:val="22"/>
          <w:lang w:val="bg-BG"/>
        </w:rPr>
        <w:t>сегмент длъжници, като например средни и големи предприятия)</w:t>
      </w:r>
      <w:r w:rsidR="00731D1A">
        <w:rPr>
          <w:rFonts w:asciiTheme="minorHAnsi" w:eastAsia="Cambria" w:hAnsiTheme="minorHAnsi" w:cstheme="minorHAnsi"/>
          <w:sz w:val="22"/>
          <w:szCs w:val="22"/>
          <w:lang w:val="bg-BG"/>
        </w:rPr>
        <w:t>, което със сигурност ще разшири обхвата и въздействието на ИРП. В този случай внимателно следва да се разработи методологията за оценка</w:t>
      </w:r>
      <w:r w:rsidR="00D2303A">
        <w:rPr>
          <w:rStyle w:val="FootnoteReference"/>
          <w:rFonts w:asciiTheme="minorHAnsi" w:eastAsia="Cambria" w:hAnsiTheme="minorHAnsi" w:cstheme="minorHAnsi"/>
          <w:color w:val="000000" w:themeColor="text1"/>
          <w:sz w:val="22"/>
          <w:szCs w:val="22"/>
        </w:rPr>
        <w:footnoteReference w:id="10"/>
      </w:r>
      <w:r w:rsidR="00893B40" w:rsidRPr="00893B40">
        <w:rPr>
          <w:rFonts w:asciiTheme="minorHAnsi" w:eastAsia="Cambria" w:hAnsiTheme="minorHAnsi" w:cstheme="minorHAnsi"/>
          <w:color w:val="000000" w:themeColor="text1"/>
          <w:sz w:val="22"/>
          <w:szCs w:val="22"/>
        </w:rPr>
        <w:t xml:space="preserve"> </w:t>
      </w:r>
      <w:r w:rsidR="00731D1A">
        <w:rPr>
          <w:rFonts w:asciiTheme="minorHAnsi" w:eastAsia="Cambria" w:hAnsiTheme="minorHAnsi" w:cstheme="minorHAnsi"/>
          <w:color w:val="000000" w:themeColor="text1"/>
          <w:sz w:val="22"/>
          <w:szCs w:val="22"/>
          <w:lang w:val="bg-BG"/>
        </w:rPr>
        <w:t xml:space="preserve">със следните цели: (1) да осигури адекватност на модела на ИРП спрямо поставените цели и (2) да защити ИРП от всякакъв репутационен риск поради неефективна или неясна методология. </w:t>
      </w:r>
      <w:r w:rsidR="002755AD">
        <w:rPr>
          <w:rFonts w:asciiTheme="minorHAnsi" w:eastAsia="Cambria" w:hAnsiTheme="minorHAnsi" w:cstheme="minorHAnsi"/>
          <w:color w:val="000000" w:themeColor="text1"/>
          <w:sz w:val="22"/>
          <w:szCs w:val="22"/>
          <w:lang w:val="bg-BG"/>
        </w:rPr>
        <w:t>Една от в</w:t>
      </w:r>
      <w:r w:rsidR="00731D1A">
        <w:rPr>
          <w:rFonts w:asciiTheme="minorHAnsi" w:eastAsia="Cambria" w:hAnsiTheme="minorHAnsi" w:cstheme="minorHAnsi"/>
          <w:color w:val="000000" w:themeColor="text1"/>
          <w:sz w:val="22"/>
          <w:szCs w:val="22"/>
          <w:lang w:val="bg-BG"/>
        </w:rPr>
        <w:t>ажн</w:t>
      </w:r>
      <w:r w:rsidR="002755AD">
        <w:rPr>
          <w:rFonts w:asciiTheme="minorHAnsi" w:eastAsia="Cambria" w:hAnsiTheme="minorHAnsi" w:cstheme="minorHAnsi"/>
          <w:color w:val="000000" w:themeColor="text1"/>
          <w:sz w:val="22"/>
          <w:szCs w:val="22"/>
          <w:lang w:val="bg-BG"/>
        </w:rPr>
        <w:t>ите</w:t>
      </w:r>
      <w:r w:rsidR="00731D1A">
        <w:rPr>
          <w:rFonts w:asciiTheme="minorHAnsi" w:eastAsia="Cambria" w:hAnsiTheme="minorHAnsi" w:cstheme="minorHAnsi"/>
          <w:color w:val="000000" w:themeColor="text1"/>
          <w:sz w:val="22"/>
          <w:szCs w:val="22"/>
          <w:lang w:val="bg-BG"/>
        </w:rPr>
        <w:t xml:space="preserve"> предпоставк</w:t>
      </w:r>
      <w:r w:rsidR="002755AD">
        <w:rPr>
          <w:rFonts w:asciiTheme="minorHAnsi" w:eastAsia="Cambria" w:hAnsiTheme="minorHAnsi" w:cstheme="minorHAnsi"/>
          <w:color w:val="000000" w:themeColor="text1"/>
          <w:sz w:val="22"/>
          <w:szCs w:val="22"/>
          <w:lang w:val="bg-BG"/>
        </w:rPr>
        <w:t>и, които следва да бъдат взети предвид при разработването на активния метод на самооценка, е условието структурата (публична или частна), която управлява ИРП, редовно да определя обхвата на ИРП. Например макар и според Директивата на ЕС основната целева група на ИРП да е сегментът на МСП, може би заслужава да се помисли дали значителните нефинансови предприятия (ЗНФП)</w:t>
      </w:r>
      <w:r w:rsidR="000A350C">
        <w:rPr>
          <w:rFonts w:asciiTheme="minorHAnsi" w:eastAsia="Cambria" w:hAnsiTheme="minorHAnsi" w:cstheme="minorHAnsi"/>
          <w:color w:val="000000" w:themeColor="text1"/>
          <w:sz w:val="22"/>
          <w:szCs w:val="22"/>
          <w:lang w:val="bg-BG"/>
        </w:rPr>
        <w:t xml:space="preserve"> да бъдат задължени да извършват самооценка, тъй като провалът на едно ЗНФП може да доведе до обществено неприемливи резултати, които далеч надхвърлят границите на предприятието</w:t>
      </w:r>
      <w:r w:rsidR="00221033">
        <w:rPr>
          <w:rFonts w:asciiTheme="minorHAnsi" w:eastAsia="Cambria" w:hAnsiTheme="minorHAnsi" w:cstheme="minorHAnsi"/>
          <w:color w:val="000000" w:themeColor="text1"/>
          <w:sz w:val="22"/>
          <w:szCs w:val="22"/>
        </w:rPr>
        <w:t>.</w:t>
      </w:r>
      <w:r w:rsidR="0023377D">
        <w:rPr>
          <w:rStyle w:val="FootnoteReference"/>
          <w:rFonts w:asciiTheme="minorHAnsi" w:eastAsia="Cambria" w:hAnsiTheme="minorHAnsi" w:cstheme="minorHAnsi"/>
          <w:color w:val="000000" w:themeColor="text1"/>
          <w:sz w:val="22"/>
          <w:szCs w:val="22"/>
        </w:rPr>
        <w:footnoteReference w:id="11"/>
      </w:r>
      <w:r w:rsidR="00221033">
        <w:rPr>
          <w:rFonts w:asciiTheme="minorHAnsi" w:eastAsia="Cambria" w:hAnsiTheme="minorHAnsi" w:cstheme="minorHAnsi"/>
          <w:color w:val="000000" w:themeColor="text1"/>
          <w:sz w:val="22"/>
          <w:szCs w:val="22"/>
        </w:rPr>
        <w:t xml:space="preserve"> </w:t>
      </w:r>
    </w:p>
    <w:p w14:paraId="5E284431" w14:textId="000F2A86" w:rsidR="00261E29" w:rsidRDefault="00D92A4A" w:rsidP="00CC5FD9">
      <w:pPr>
        <w:pStyle w:val="BodyText"/>
        <w:spacing w:after="240" w:line="276" w:lineRule="auto"/>
        <w:jc w:val="both"/>
        <w:rPr>
          <w:rFonts w:asciiTheme="minorHAnsi" w:eastAsia="Cambria" w:hAnsiTheme="minorHAnsi" w:cstheme="minorHAnsi"/>
          <w:sz w:val="22"/>
          <w:szCs w:val="22"/>
        </w:rPr>
      </w:pPr>
      <w:r w:rsidRPr="00D92A4A">
        <w:rPr>
          <w:rFonts w:asciiTheme="minorHAnsi" w:eastAsia="Cambria" w:hAnsiTheme="minorHAnsi" w:cstheme="minorHAnsi"/>
          <w:b/>
          <w:bCs/>
          <w:sz w:val="22"/>
          <w:szCs w:val="22"/>
        </w:rPr>
        <w:t xml:space="preserve">15. </w:t>
      </w:r>
      <w:r w:rsidR="0090618F">
        <w:rPr>
          <w:rFonts w:asciiTheme="minorHAnsi" w:eastAsia="Cambria" w:hAnsiTheme="minorHAnsi" w:cstheme="minorHAnsi"/>
          <w:b/>
          <w:bCs/>
          <w:sz w:val="22"/>
          <w:szCs w:val="22"/>
          <w:lang w:val="bg-BG"/>
        </w:rPr>
        <w:t>По отношение на третия стълб (институционална рамка) в Доклада за ИРП се изтъква, че в България има няколко структури, които изглежда са добре поставени да подкрепят възприемането на активния модел в краткосрочен план и да поемат ИРП.</w:t>
      </w:r>
      <w:r w:rsidR="0090618F">
        <w:rPr>
          <w:rFonts w:asciiTheme="minorHAnsi" w:eastAsia="Cambria" w:hAnsiTheme="minorHAnsi" w:cstheme="minorHAnsi"/>
          <w:sz w:val="22"/>
          <w:szCs w:val="22"/>
          <w:lang w:val="bg-BG"/>
        </w:rPr>
        <w:t xml:space="preserve"> Предложението е ИРП </w:t>
      </w:r>
      <w:r w:rsidR="001F1BD2">
        <w:rPr>
          <w:rFonts w:asciiTheme="minorHAnsi" w:eastAsia="Cambria" w:hAnsiTheme="minorHAnsi" w:cstheme="minorHAnsi"/>
          <w:sz w:val="22"/>
          <w:szCs w:val="22"/>
          <w:lang w:val="bg-BG"/>
        </w:rPr>
        <w:t>да</w:t>
      </w:r>
      <w:r w:rsidR="0090618F">
        <w:rPr>
          <w:rFonts w:asciiTheme="minorHAnsi" w:eastAsia="Cambria" w:hAnsiTheme="minorHAnsi" w:cstheme="minorHAnsi"/>
          <w:sz w:val="22"/>
          <w:szCs w:val="22"/>
          <w:lang w:val="bg-BG"/>
        </w:rPr>
        <w:t xml:space="preserve"> е публична собственост, но неговото управление може да се възложи на агенция от публичния сектор или да се възложи на неправителствена организация или частен субект (например Изпълнителната агенция за на</w:t>
      </w:r>
      <w:r w:rsidR="0034275C">
        <w:rPr>
          <w:rFonts w:asciiTheme="minorHAnsi" w:eastAsia="Cambria" w:hAnsiTheme="minorHAnsi" w:cstheme="minorHAnsi"/>
          <w:sz w:val="22"/>
          <w:szCs w:val="22"/>
          <w:lang w:val="bg-BG"/>
        </w:rPr>
        <w:t>сърчаване на малките и средните предприятия и Българската търговско-промишлена палата)</w:t>
      </w:r>
      <w:r w:rsidR="00BD5A83">
        <w:rPr>
          <w:rFonts w:asciiTheme="minorHAnsi" w:eastAsia="Cambria" w:hAnsiTheme="minorHAnsi" w:cstheme="minorHAnsi"/>
          <w:sz w:val="22"/>
          <w:szCs w:val="22"/>
        </w:rPr>
        <w:t>.</w:t>
      </w:r>
      <w:r w:rsidR="002B1123">
        <w:rPr>
          <w:rStyle w:val="FootnoteReference"/>
          <w:rFonts w:asciiTheme="minorHAnsi" w:eastAsia="Cambria" w:hAnsiTheme="minorHAnsi" w:cstheme="minorHAnsi"/>
          <w:sz w:val="22"/>
          <w:szCs w:val="22"/>
        </w:rPr>
        <w:footnoteReference w:id="12"/>
      </w:r>
      <w:r w:rsidR="00692878">
        <w:rPr>
          <w:rFonts w:asciiTheme="minorHAnsi" w:eastAsia="Cambria" w:hAnsiTheme="minorHAnsi" w:cstheme="minorHAnsi"/>
          <w:sz w:val="22"/>
          <w:szCs w:val="22"/>
        </w:rPr>
        <w:t xml:space="preserve"> </w:t>
      </w:r>
      <w:r w:rsidR="00103D6F">
        <w:rPr>
          <w:rFonts w:asciiTheme="minorHAnsi" w:eastAsia="Cambria" w:hAnsiTheme="minorHAnsi" w:cstheme="minorHAnsi"/>
          <w:sz w:val="22"/>
          <w:szCs w:val="22"/>
          <w:lang w:val="bg-BG"/>
        </w:rPr>
        <w:t>Най-важното съображение при определянето на институционалната и оперативната рамка на ИРП е тя да бъде разработена така, че да служи изключително на длъжниците, особено на МСП, които са гръбнакът на икономиката. Що се отнася до избора на процедури за уведомяване, в Доклада за ИРП се предлага с оглед на културните особености да се</w:t>
      </w:r>
      <w:r w:rsidR="00CC5FD9">
        <w:rPr>
          <w:rFonts w:asciiTheme="minorHAnsi" w:eastAsia="Cambria" w:hAnsiTheme="minorHAnsi" w:cstheme="minorHAnsi"/>
          <w:sz w:val="22"/>
          <w:szCs w:val="22"/>
          <w:lang w:val="bg-BG"/>
        </w:rPr>
        <w:t xml:space="preserve"> възприеме хибриден модел, при който дружествата получават уведомления от ИРП, но сами могат да решат дали да се обърнат за подкрепа към консултантска организация в зависимост от това доколко вероятно е да изпаднат в не</w:t>
      </w:r>
      <w:r w:rsidR="001F1BD2">
        <w:rPr>
          <w:rFonts w:asciiTheme="minorHAnsi" w:eastAsia="Cambria" w:hAnsiTheme="minorHAnsi" w:cstheme="minorHAnsi"/>
          <w:sz w:val="22"/>
          <w:szCs w:val="22"/>
          <w:lang w:val="bg-BG"/>
        </w:rPr>
        <w:t>състоятелност</w:t>
      </w:r>
      <w:r w:rsidR="000871C3" w:rsidRPr="00C15118">
        <w:rPr>
          <w:rFonts w:asciiTheme="minorHAnsi" w:eastAsia="Cambria" w:hAnsiTheme="minorHAnsi" w:cstheme="minorHAnsi"/>
          <w:color w:val="000000" w:themeColor="text1"/>
          <w:sz w:val="22"/>
          <w:szCs w:val="22"/>
        </w:rPr>
        <w:t>.</w:t>
      </w:r>
      <w:r w:rsidR="00E340D7" w:rsidRPr="00D92A4A">
        <w:rPr>
          <w:rStyle w:val="FootnoteReference"/>
          <w:rFonts w:asciiTheme="minorHAnsi" w:eastAsia="Cambria" w:hAnsiTheme="minorHAnsi" w:cstheme="minorHAnsi"/>
          <w:sz w:val="22"/>
          <w:szCs w:val="22"/>
        </w:rPr>
        <w:footnoteReference w:id="13"/>
      </w:r>
      <w:r w:rsidR="00261E29" w:rsidRPr="00261E29">
        <w:rPr>
          <w:rFonts w:asciiTheme="minorHAnsi" w:eastAsia="Cambria" w:hAnsiTheme="minorHAnsi" w:cstheme="minorHAnsi"/>
          <w:sz w:val="22"/>
          <w:szCs w:val="22"/>
        </w:rPr>
        <w:t xml:space="preserve"> </w:t>
      </w:r>
    </w:p>
    <w:p w14:paraId="44F71DAD" w14:textId="16FCD47B" w:rsidR="009E6B5D" w:rsidRPr="00D31129" w:rsidRDefault="00261E29" w:rsidP="00E31D6E">
      <w:pPr>
        <w:pStyle w:val="BodyText"/>
        <w:spacing w:after="240" w:line="276" w:lineRule="auto"/>
        <w:jc w:val="both"/>
        <w:rPr>
          <w:rFonts w:asciiTheme="minorHAnsi" w:eastAsia="Cambria" w:hAnsiTheme="minorHAnsi" w:cstheme="minorHAnsi"/>
          <w:sz w:val="22"/>
          <w:szCs w:val="22"/>
        </w:rPr>
      </w:pPr>
      <w:r w:rsidRPr="00BD5A83">
        <w:rPr>
          <w:rFonts w:asciiTheme="minorHAnsi" w:eastAsia="Cambria" w:hAnsiTheme="minorHAnsi" w:cstheme="minorHAnsi"/>
          <w:b/>
          <w:sz w:val="22"/>
          <w:szCs w:val="22"/>
        </w:rPr>
        <w:t>16.</w:t>
      </w:r>
      <w:r w:rsidR="00BB1419" w:rsidRPr="00BD5A83">
        <w:rPr>
          <w:rFonts w:asciiTheme="minorHAnsi" w:eastAsia="Cambria" w:hAnsiTheme="minorHAnsi" w:cstheme="minorHAnsi"/>
          <w:b/>
          <w:sz w:val="22"/>
          <w:szCs w:val="22"/>
        </w:rPr>
        <w:t xml:space="preserve"> </w:t>
      </w:r>
      <w:r w:rsidR="00CC150F">
        <w:rPr>
          <w:rFonts w:asciiTheme="minorHAnsi" w:eastAsia="Cambria" w:hAnsiTheme="minorHAnsi" w:cstheme="minorHAnsi"/>
          <w:b/>
          <w:sz w:val="22"/>
          <w:szCs w:val="22"/>
          <w:lang w:val="bg-BG"/>
        </w:rPr>
        <w:t>В Доклада за ИРП се препоръчва българската страна да започне оценка на дългосрочните стратегии за преодоляване на препятствията, които в момента пречат на въвеждането на пасивен модел.</w:t>
      </w:r>
      <w:r w:rsidR="00CC150F">
        <w:rPr>
          <w:rFonts w:asciiTheme="minorHAnsi" w:eastAsia="Cambria" w:hAnsiTheme="minorHAnsi" w:cstheme="minorHAnsi"/>
          <w:bCs/>
          <w:sz w:val="22"/>
          <w:szCs w:val="22"/>
          <w:lang w:val="bg-BG"/>
        </w:rPr>
        <w:t xml:space="preserve"> Докладът разкрива, че възприемането на активен модел (първоначално с най-опростения компонент и впоследствие с по-усъвършенстван модел на задължителна самооценка)</w:t>
      </w:r>
      <w:r w:rsidR="00FC79C9">
        <w:rPr>
          <w:rFonts w:asciiTheme="minorHAnsi" w:eastAsia="Cambria" w:hAnsiTheme="minorHAnsi" w:cstheme="minorHAnsi"/>
          <w:bCs/>
          <w:sz w:val="22"/>
          <w:szCs w:val="22"/>
          <w:lang w:val="bg-BG"/>
        </w:rPr>
        <w:t xml:space="preserve"> в съответствие с Директивата на ЕС е възможно в България, </w:t>
      </w:r>
      <w:r w:rsidR="006C21C7">
        <w:rPr>
          <w:rFonts w:asciiTheme="minorHAnsi" w:eastAsia="Cambria" w:hAnsiTheme="minorHAnsi" w:cstheme="minorHAnsi"/>
          <w:bCs/>
          <w:sz w:val="22"/>
          <w:szCs w:val="22"/>
          <w:lang w:val="bg-BG"/>
        </w:rPr>
        <w:t>независимо от</w:t>
      </w:r>
      <w:r w:rsidR="00FC79C9">
        <w:rPr>
          <w:rFonts w:asciiTheme="minorHAnsi" w:eastAsia="Cambria" w:hAnsiTheme="minorHAnsi" w:cstheme="minorHAnsi"/>
          <w:bCs/>
          <w:sz w:val="22"/>
          <w:szCs w:val="22"/>
          <w:lang w:val="bg-BG"/>
        </w:rPr>
        <w:t xml:space="preserve"> вече посочените предизвикателства във връзка с наличието на информация, която е в основата на стандарта. Въпреки това българските власти следва успоредно да започнат да градят основите за прилагане на пасивен модел в дългосрочен план, което в крайна сметка ще е благоприятно за по-голям брой </w:t>
      </w:r>
      <w:r w:rsidR="00FC79C9">
        <w:rPr>
          <w:rFonts w:asciiTheme="minorHAnsi" w:eastAsia="Cambria" w:hAnsiTheme="minorHAnsi" w:cstheme="minorHAnsi"/>
          <w:bCs/>
          <w:sz w:val="22"/>
          <w:szCs w:val="22"/>
          <w:lang w:val="bg-BG"/>
        </w:rPr>
        <w:lastRenderedPageBreak/>
        <w:t>предприятия на по-ранен етап на финансовите затруднения. В този смисъл препоръчаните инициативи</w:t>
      </w:r>
      <w:r w:rsidR="00BD5A83">
        <w:rPr>
          <w:rStyle w:val="FootnoteReference"/>
          <w:rFonts w:asciiTheme="minorHAnsi" w:eastAsia="Cambria" w:hAnsiTheme="minorHAnsi" w:cstheme="minorHAnsi"/>
          <w:sz w:val="22"/>
          <w:szCs w:val="22"/>
        </w:rPr>
        <w:footnoteReference w:id="14"/>
      </w:r>
      <w:r w:rsidR="00C10920">
        <w:rPr>
          <w:rFonts w:asciiTheme="minorHAnsi" w:eastAsia="Cambria" w:hAnsiTheme="minorHAnsi" w:cstheme="minorHAnsi"/>
          <w:sz w:val="22"/>
          <w:szCs w:val="22"/>
        </w:rPr>
        <w:t xml:space="preserve"> </w:t>
      </w:r>
      <w:r w:rsidR="000B103C">
        <w:rPr>
          <w:rFonts w:asciiTheme="minorHAnsi" w:eastAsia="Cambria" w:hAnsiTheme="minorHAnsi" w:cstheme="minorHAnsi"/>
          <w:sz w:val="22"/>
          <w:szCs w:val="22"/>
          <w:lang w:val="bg-BG"/>
        </w:rPr>
        <w:t>биха могли да включват например следното: (1)</w:t>
      </w:r>
      <w:r w:rsidR="00686505">
        <w:rPr>
          <w:rFonts w:asciiTheme="minorHAnsi" w:eastAsia="Cambria" w:hAnsiTheme="minorHAnsi" w:cstheme="minorHAnsi"/>
          <w:sz w:val="22"/>
          <w:szCs w:val="22"/>
          <w:lang w:val="bg-BG"/>
        </w:rPr>
        <w:t xml:space="preserve"> консолидиране на финансовите данни в четим формат; (2) създаване в страната на кредитни бюра, които да предоставят информация за кредитоспособността на длъжниците, и способи като например кредитна оценка; (3) инициативи за обучение и укрепване на капацитета на специалистите, които предоставят професионално продукти </w:t>
      </w:r>
      <w:r w:rsidR="009701CC">
        <w:rPr>
          <w:rFonts w:asciiTheme="minorHAnsi" w:eastAsia="Cambria" w:hAnsiTheme="minorHAnsi" w:cstheme="minorHAnsi"/>
          <w:sz w:val="22"/>
          <w:szCs w:val="22"/>
          <w:lang w:val="bg-BG"/>
        </w:rPr>
        <w:t>з</w:t>
      </w:r>
      <w:r w:rsidR="00686505">
        <w:rPr>
          <w:rFonts w:asciiTheme="minorHAnsi" w:eastAsia="Cambria" w:hAnsiTheme="minorHAnsi" w:cstheme="minorHAnsi"/>
          <w:sz w:val="22"/>
          <w:szCs w:val="22"/>
          <w:lang w:val="bg-BG"/>
        </w:rPr>
        <w:t xml:space="preserve">а кредитна оценка; (4) </w:t>
      </w:r>
      <w:r w:rsidR="00B17FCD">
        <w:rPr>
          <w:rFonts w:asciiTheme="minorHAnsi" w:eastAsia="Cambria" w:hAnsiTheme="minorHAnsi" w:cstheme="minorHAnsi"/>
          <w:sz w:val="22"/>
          <w:szCs w:val="22"/>
          <w:lang w:val="bg-BG"/>
        </w:rPr>
        <w:t>разработване на алгоритми и модели за прогнозиране на неплатежоспособността</w:t>
      </w:r>
      <w:r w:rsidR="00414E77">
        <w:rPr>
          <w:rFonts w:asciiTheme="minorHAnsi" w:eastAsia="Cambria" w:hAnsiTheme="minorHAnsi" w:cstheme="minorHAnsi"/>
          <w:sz w:val="22"/>
          <w:szCs w:val="22"/>
          <w:lang w:val="bg-BG"/>
        </w:rPr>
        <w:t>, които да задействат инструментите за ранно предупреждение, като се вземат предвид не само финансови данни, но и други нефинансови показатели (като например загуба на важен клиент или доставчик, системно неизпълнение на прогнозираните цели, незастраховани или неочаквани бедствия, неизпълнение на сделка/пласиране на акции, спиране на кредитни линии от кредиторите или налагане на специални условия за плащане (споразумения за изплащане на кредитите), пропуснати плащания на наеми</w:t>
      </w:r>
      <w:r w:rsidR="00E31D6E">
        <w:rPr>
          <w:rFonts w:asciiTheme="minorHAnsi" w:eastAsia="Cambria" w:hAnsiTheme="minorHAnsi" w:cstheme="minorHAnsi"/>
          <w:sz w:val="22"/>
          <w:szCs w:val="22"/>
          <w:lang w:val="bg-BG"/>
        </w:rPr>
        <w:t>, молби за спешно банково финансиране, засилена намеса/натиск/контрол от страна на банки или други финансови организации, редовно наливане на парични средства в стопанската дейност от страна на акционерите, минимално или никакво възнаграждение за директорите).</w:t>
      </w:r>
    </w:p>
    <w:p w14:paraId="15636319" w14:textId="0925D936" w:rsidR="004F14A0" w:rsidRPr="00763774" w:rsidRDefault="00E31D6E" w:rsidP="00767366">
      <w:pPr>
        <w:pStyle w:val="Heading1"/>
        <w:spacing w:before="0" w:after="160"/>
        <w:ind w:right="0"/>
        <w:contextualSpacing/>
        <w:jc w:val="both"/>
        <w:rPr>
          <w:rFonts w:asciiTheme="minorHAnsi" w:eastAsia="Cambria" w:hAnsiTheme="minorHAnsi" w:cstheme="minorHAnsi"/>
        </w:rPr>
      </w:pPr>
      <w:r>
        <w:rPr>
          <w:rFonts w:asciiTheme="minorHAnsi" w:eastAsia="Cambria" w:hAnsiTheme="minorHAnsi" w:cstheme="minorHAnsi"/>
          <w:lang w:val="bg-BG"/>
        </w:rPr>
        <w:t>Изисквания на Директивата на ЕС към рамката за превантивно преструктуриране</w:t>
      </w:r>
    </w:p>
    <w:p w14:paraId="3DDBD3B6" w14:textId="59AF06E7" w:rsidR="001475DF" w:rsidRPr="000871C3" w:rsidRDefault="0081551D" w:rsidP="00873C5F">
      <w:pPr>
        <w:widowControl/>
        <w:shd w:val="clear" w:color="auto" w:fill="FFFFFF"/>
        <w:autoSpaceDE/>
        <w:autoSpaceDN/>
        <w:spacing w:after="240" w:line="276" w:lineRule="auto"/>
        <w:jc w:val="both"/>
        <w:rPr>
          <w:rFonts w:asciiTheme="minorHAnsi" w:hAnsiTheme="minorHAnsi" w:cstheme="minorHAnsi"/>
          <w:lang w:eastAsia="en-GB"/>
        </w:rPr>
      </w:pPr>
      <w:r w:rsidRPr="000871C3">
        <w:rPr>
          <w:rFonts w:asciiTheme="minorHAnsi" w:eastAsia="Cambria" w:hAnsiTheme="minorHAnsi" w:cstheme="minorHAnsi"/>
          <w:b/>
          <w:bCs/>
        </w:rPr>
        <w:t>1</w:t>
      </w:r>
      <w:r w:rsidR="003B1426">
        <w:rPr>
          <w:rFonts w:asciiTheme="minorHAnsi" w:hAnsiTheme="minorHAnsi" w:cstheme="minorHAnsi"/>
          <w:b/>
          <w:bCs/>
          <w:lang w:eastAsia="en-GB"/>
        </w:rPr>
        <w:t>7</w:t>
      </w:r>
      <w:r w:rsidR="00D92A4A" w:rsidRPr="000871C3">
        <w:rPr>
          <w:rFonts w:asciiTheme="minorHAnsi" w:hAnsiTheme="minorHAnsi" w:cstheme="minorHAnsi"/>
          <w:b/>
          <w:bCs/>
          <w:lang w:eastAsia="en-GB"/>
        </w:rPr>
        <w:t xml:space="preserve">. </w:t>
      </w:r>
      <w:r w:rsidR="00E31D6E">
        <w:rPr>
          <w:rFonts w:asciiTheme="minorHAnsi" w:hAnsiTheme="minorHAnsi" w:cstheme="minorHAnsi"/>
          <w:b/>
          <w:bCs/>
          <w:lang w:val="bg-BG" w:eastAsia="en-GB"/>
        </w:rPr>
        <w:t>Обхватът на разпоредбите относно ИРП се простира до допълване на регулаторната рамка, която е приложима към корпоративните управленски задължения на директорите.</w:t>
      </w:r>
      <w:r w:rsidR="00E31D6E">
        <w:rPr>
          <w:rFonts w:asciiTheme="minorHAnsi" w:hAnsiTheme="minorHAnsi" w:cstheme="minorHAnsi"/>
          <w:lang w:val="bg-BG" w:eastAsia="en-GB"/>
        </w:rPr>
        <w:t xml:space="preserve"> След като се получат сигнали от задействаната система на ИРП и длъжникът прецени, че те са достатъчно </w:t>
      </w:r>
      <w:r w:rsidR="00436D65">
        <w:rPr>
          <w:rFonts w:asciiTheme="minorHAnsi" w:hAnsiTheme="minorHAnsi" w:cstheme="minorHAnsi"/>
          <w:lang w:val="bg-BG" w:eastAsia="en-GB"/>
        </w:rPr>
        <w:t>сериозни, за да предприеме мерки, длъжникът (или директорите, ако длъжникът е търговско дружество) следва да обмислят изпреварващи мерки за предотвратяване на отрицателните последици и възникващите рискове, които потенциално биха могли да застрашат дейността като действащо предприятие. Ето защо има ясна функционална връзка между ИРП и засилените задължения на директорите, когато неплатежоспособността на предприятието наближава. Именно поради тази причини както Докладът за ИРП</w:t>
      </w:r>
      <w:r w:rsidR="001A441B">
        <w:rPr>
          <w:rStyle w:val="FootnoteReference"/>
          <w:rFonts w:asciiTheme="minorHAnsi" w:hAnsiTheme="minorHAnsi" w:cstheme="minorHAnsi"/>
          <w:lang w:eastAsia="en-GB"/>
        </w:rPr>
        <w:footnoteReference w:id="15"/>
      </w:r>
      <w:r w:rsidR="00F11E6D">
        <w:rPr>
          <w:rFonts w:asciiTheme="minorHAnsi" w:hAnsiTheme="minorHAnsi" w:cstheme="minorHAnsi"/>
          <w:lang w:val="bg-BG" w:eastAsia="en-GB"/>
        </w:rPr>
        <w:t>, така и Докладът за превантивното преструктуриране задълбочено анализират</w:t>
      </w:r>
      <w:r w:rsidR="00C952E9">
        <w:rPr>
          <w:rFonts w:asciiTheme="minorHAnsi" w:hAnsiTheme="minorHAnsi" w:cstheme="minorHAnsi"/>
          <w:lang w:val="bg-BG" w:eastAsia="en-GB"/>
        </w:rPr>
        <w:t xml:space="preserve"> необходимостта от по-нататъшно регулиране в българската нормативна уредба на специфичните задължения на директорите (например задължението да подадат молба за откриване на производство по несъстоятелност)</w:t>
      </w:r>
      <w:r w:rsidR="00CA4686">
        <w:rPr>
          <w:rFonts w:asciiTheme="minorHAnsi" w:hAnsiTheme="minorHAnsi" w:cstheme="minorHAnsi"/>
          <w:lang w:val="bg-BG" w:eastAsia="en-GB"/>
        </w:rPr>
        <w:t xml:space="preserve">, когато настъпи етапът на „вероятност за несъстоятелност“. Мотивите за такива изменения и допълнения са свързани с изместването на финансовия риск след изпадане на предприятието в неплатежоспособност. В действителност когато длъжникът е неплатежоспособен, финансовите страни, които поемат риска от загуби на предприятието, са кредиторите (а не акционерите). Неизпълнението на такива задължения следва </w:t>
      </w:r>
      <w:r w:rsidR="00CA4686">
        <w:rPr>
          <w:rFonts w:asciiTheme="minorHAnsi" w:hAnsiTheme="minorHAnsi" w:cstheme="minorHAnsi"/>
          <w:lang w:val="bg-BG" w:eastAsia="en-GB"/>
        </w:rPr>
        <w:lastRenderedPageBreak/>
        <w:t xml:space="preserve">да има определени последици, като например изплащане на обезщетение на предприятието за нанесените вреди и претърпените загуби и дори </w:t>
      </w:r>
      <w:r w:rsidR="00873C5F">
        <w:rPr>
          <w:rFonts w:asciiTheme="minorHAnsi" w:hAnsiTheme="minorHAnsi" w:cstheme="minorHAnsi"/>
          <w:lang w:val="bg-BG" w:eastAsia="en-GB"/>
        </w:rPr>
        <w:t>забрана за осъществяване на дейност</w:t>
      </w:r>
      <w:r w:rsidR="00677A9F">
        <w:rPr>
          <w:rFonts w:asciiTheme="minorHAnsi" w:hAnsiTheme="minorHAnsi" w:cstheme="minorHAnsi"/>
          <w:lang w:eastAsia="en-GB"/>
        </w:rPr>
        <w:t>.</w:t>
      </w:r>
      <w:r w:rsidR="00677A9F">
        <w:rPr>
          <w:rStyle w:val="FootnoteReference"/>
          <w:rFonts w:asciiTheme="minorHAnsi" w:hAnsiTheme="minorHAnsi" w:cstheme="minorHAnsi"/>
          <w:lang w:eastAsia="en-GB"/>
        </w:rPr>
        <w:footnoteReference w:id="16"/>
      </w:r>
    </w:p>
    <w:p w14:paraId="71B72207" w14:textId="2DFF72DB" w:rsidR="007935C3" w:rsidRPr="007935C3" w:rsidRDefault="001475DF" w:rsidP="00A5480D">
      <w:pPr>
        <w:widowControl/>
        <w:shd w:val="clear" w:color="auto" w:fill="FFFFFF"/>
        <w:autoSpaceDE/>
        <w:autoSpaceDN/>
        <w:spacing w:after="240" w:line="276" w:lineRule="auto"/>
        <w:jc w:val="both"/>
        <w:rPr>
          <w:rFonts w:asciiTheme="minorHAnsi" w:hAnsiTheme="minorHAnsi" w:cstheme="minorHAnsi"/>
          <w:lang w:val="bg-BG" w:eastAsia="en-GB"/>
        </w:rPr>
      </w:pPr>
      <w:r w:rsidRPr="000871C3">
        <w:rPr>
          <w:rFonts w:asciiTheme="minorHAnsi" w:hAnsiTheme="minorHAnsi" w:cstheme="minorHAnsi"/>
          <w:b/>
          <w:bCs/>
          <w:lang w:eastAsia="en-GB"/>
        </w:rPr>
        <w:t>1</w:t>
      </w:r>
      <w:r w:rsidR="003B1426">
        <w:rPr>
          <w:rFonts w:asciiTheme="minorHAnsi" w:hAnsiTheme="minorHAnsi" w:cstheme="minorHAnsi"/>
          <w:b/>
          <w:bCs/>
          <w:lang w:eastAsia="en-GB"/>
        </w:rPr>
        <w:t>8</w:t>
      </w:r>
      <w:r w:rsidRPr="000871C3">
        <w:rPr>
          <w:rFonts w:asciiTheme="minorHAnsi" w:hAnsiTheme="minorHAnsi" w:cstheme="minorHAnsi"/>
          <w:b/>
          <w:bCs/>
          <w:lang w:eastAsia="en-GB"/>
        </w:rPr>
        <w:t xml:space="preserve">. </w:t>
      </w:r>
      <w:r w:rsidR="007935C3">
        <w:rPr>
          <w:rFonts w:asciiTheme="minorHAnsi" w:hAnsiTheme="minorHAnsi" w:cstheme="minorHAnsi"/>
          <w:b/>
          <w:bCs/>
          <w:lang w:val="bg-BG" w:eastAsia="en-GB"/>
        </w:rPr>
        <w:t>В зависимост от тежестта на положението (или неуспеха на мерките, предприети незабавно след сигнала от ИРП за преодоляване на финансовите или оперативните затруднения) длъжникът, който изпитва затруднения (но все още не е неплатежоспособен) може да обмисли възможността за формални мерки за превантивно преструктуриране.</w:t>
      </w:r>
      <w:r w:rsidR="007935C3">
        <w:rPr>
          <w:rFonts w:asciiTheme="minorHAnsi" w:hAnsiTheme="minorHAnsi" w:cstheme="minorHAnsi"/>
          <w:lang w:val="bg-BG" w:eastAsia="en-GB"/>
        </w:rPr>
        <w:t xml:space="preserve"> Рамките за превантивно преструктуриране</w:t>
      </w:r>
      <w:r w:rsidR="003B20BA">
        <w:rPr>
          <w:rFonts w:asciiTheme="minorHAnsi" w:hAnsiTheme="minorHAnsi" w:cstheme="minorHAnsi"/>
          <w:lang w:val="bg-BG" w:eastAsia="en-GB"/>
        </w:rPr>
        <w:t xml:space="preserve"> следва преди всичко да дадат възможност на длъжниците да се преструктурират своевременно и ефективно и в крайна сметка да избегнат несъстоятелността, като по такъв начин се ограничава ненужната ликвидация на жизнеспособни предприятия. В Доклада за превантивното преструктуриране се подчертава, че рамките за превантивно преструктуриране обикновено се разработват, за да осигурят на </w:t>
      </w:r>
      <w:r w:rsidR="000B4B5F">
        <w:rPr>
          <w:rFonts w:asciiTheme="minorHAnsi" w:hAnsiTheme="minorHAnsi" w:cstheme="minorHAnsi"/>
          <w:lang w:val="bg-BG" w:eastAsia="en-GB"/>
        </w:rPr>
        <w:t>икономически жизнеспособните фирми механизъм, чрез който да облекчат от задължения балансовите си отчети, като предоговорят и сключат ново споразумение с основните си финансови кредитори при по-благоприятни условия.</w:t>
      </w:r>
    </w:p>
    <w:p w14:paraId="164F4968" w14:textId="67369843" w:rsidR="00E74DE2" w:rsidRPr="00E15AFE" w:rsidRDefault="00763774" w:rsidP="00875FE8">
      <w:pPr>
        <w:widowControl/>
        <w:autoSpaceDE/>
        <w:autoSpaceDN/>
        <w:spacing w:after="240" w:line="276" w:lineRule="auto"/>
        <w:jc w:val="both"/>
        <w:rPr>
          <w:rFonts w:asciiTheme="minorHAnsi" w:hAnsiTheme="minorHAnsi" w:cstheme="minorHAnsi"/>
          <w:lang w:eastAsia="en-GB"/>
        </w:rPr>
      </w:pPr>
      <w:r w:rsidRPr="00E15AFE">
        <w:rPr>
          <w:rFonts w:asciiTheme="minorHAnsi" w:hAnsiTheme="minorHAnsi" w:cstheme="minorHAnsi"/>
          <w:b/>
          <w:bCs/>
          <w:lang w:eastAsia="en-GB"/>
        </w:rPr>
        <w:t>1</w:t>
      </w:r>
      <w:r w:rsidR="003B1426">
        <w:rPr>
          <w:rFonts w:asciiTheme="minorHAnsi" w:hAnsiTheme="minorHAnsi" w:cstheme="minorHAnsi"/>
          <w:b/>
          <w:bCs/>
          <w:lang w:eastAsia="en-GB"/>
        </w:rPr>
        <w:t>9</w:t>
      </w:r>
      <w:r w:rsidRPr="00E15AFE">
        <w:rPr>
          <w:rFonts w:asciiTheme="minorHAnsi" w:hAnsiTheme="minorHAnsi" w:cstheme="minorHAnsi"/>
          <w:b/>
          <w:bCs/>
          <w:lang w:eastAsia="en-GB"/>
        </w:rPr>
        <w:t xml:space="preserve">. </w:t>
      </w:r>
      <w:r w:rsidR="000B4B5F">
        <w:rPr>
          <w:rFonts w:asciiTheme="minorHAnsi" w:hAnsiTheme="minorHAnsi" w:cstheme="minorHAnsi"/>
          <w:b/>
          <w:bCs/>
          <w:lang w:val="bg-BG" w:eastAsia="en-GB"/>
        </w:rPr>
        <w:t>Основният модел в Директивата съдържа определени характеристики, които следва да бъдат отразени в българския ТЗ, евентуално чрез приемане на нови конкретни разпоредби или изменение на действащата рамка в насоките, описани в Доклада на екипа на ГСБ</w:t>
      </w:r>
      <w:r w:rsidR="00984910" w:rsidRPr="00E15AFE">
        <w:rPr>
          <w:rFonts w:asciiTheme="minorHAnsi" w:hAnsiTheme="minorHAnsi" w:cstheme="minorHAnsi"/>
          <w:lang w:eastAsia="en-GB"/>
        </w:rPr>
        <w:t>.</w:t>
      </w:r>
      <w:r w:rsidR="00F86AD4" w:rsidRPr="00E15AFE">
        <w:rPr>
          <w:rFonts w:asciiTheme="minorHAnsi" w:hAnsiTheme="minorHAnsi" w:cstheme="minorHAnsi"/>
          <w:lang w:eastAsia="en-GB"/>
        </w:rPr>
        <w:t xml:space="preserve"> </w:t>
      </w:r>
      <w:r w:rsidR="00F86AD4" w:rsidRPr="00E15AFE">
        <w:rPr>
          <w:rStyle w:val="FootnoteReference"/>
          <w:rFonts w:asciiTheme="minorHAnsi" w:hAnsiTheme="minorHAnsi" w:cstheme="minorHAnsi"/>
          <w:lang w:eastAsia="en-GB"/>
        </w:rPr>
        <w:footnoteReference w:id="17"/>
      </w:r>
      <w:r w:rsidR="00F86AD4" w:rsidRPr="00E15AFE">
        <w:rPr>
          <w:rFonts w:asciiTheme="minorHAnsi" w:hAnsiTheme="minorHAnsi" w:cstheme="minorHAnsi"/>
          <w:lang w:eastAsia="en-GB"/>
        </w:rPr>
        <w:t xml:space="preserve"> </w:t>
      </w:r>
      <w:r w:rsidR="00703945">
        <w:rPr>
          <w:rFonts w:asciiTheme="minorHAnsi" w:hAnsiTheme="minorHAnsi" w:cstheme="minorHAnsi"/>
          <w:lang w:val="bg-BG" w:eastAsia="en-GB"/>
        </w:rPr>
        <w:t>Директивата предвижда превантивното преструктуриране да се прилага при вероятност за несъстоятелност и длъжниците с финансови затруднения да имат достъп до ефективна рамка за превантивно преструктуриране, която им дава възможност да преструктурират своите задължения или стопанска дейност. Оттук следва, че фактическата неплатежоспособност не представлява предпоставка за достъп до производство по преструктуриране и че ранната намеса може да избегне ликвидацията на активите и разпределението на масата на несъстоятелността сред кредиторите</w:t>
      </w:r>
      <w:r w:rsidR="00E74DE2" w:rsidRPr="00E15AFE">
        <w:rPr>
          <w:rFonts w:asciiTheme="minorHAnsi" w:hAnsiTheme="minorHAnsi" w:cstheme="minorHAnsi"/>
          <w:lang w:eastAsia="en-GB"/>
        </w:rPr>
        <w:t>.</w:t>
      </w:r>
      <w:r w:rsidR="00677A9F">
        <w:rPr>
          <w:rStyle w:val="FootnoteReference"/>
          <w:rFonts w:asciiTheme="minorHAnsi" w:hAnsiTheme="minorHAnsi" w:cstheme="minorHAnsi"/>
          <w:lang w:eastAsia="en-GB"/>
        </w:rPr>
        <w:footnoteReference w:id="18"/>
      </w:r>
      <w:r w:rsidR="00F86AD4" w:rsidRPr="00E15AFE">
        <w:rPr>
          <w:rFonts w:asciiTheme="minorHAnsi" w:hAnsiTheme="minorHAnsi" w:cstheme="minorHAnsi"/>
          <w:lang w:eastAsia="en-GB"/>
        </w:rPr>
        <w:t xml:space="preserve"> </w:t>
      </w:r>
      <w:r w:rsidR="00A96F09">
        <w:rPr>
          <w:rFonts w:asciiTheme="minorHAnsi" w:hAnsiTheme="minorHAnsi" w:cstheme="minorHAnsi"/>
          <w:lang w:val="bg-BG" w:eastAsia="en-GB"/>
        </w:rPr>
        <w:t>Режимът на длъжник, който е във владение на имуществото (“длъжник във владение“ или „ДВВ“) е друга основна характеристика на предвидената в Директивата рамка за превантивно преструктуриране</w:t>
      </w:r>
      <w:r w:rsidR="0084268F">
        <w:rPr>
          <w:rFonts w:asciiTheme="minorHAnsi" w:hAnsiTheme="minorHAnsi" w:cstheme="minorHAnsi"/>
          <w:lang w:val="bg-BG" w:eastAsia="en-GB"/>
        </w:rPr>
        <w:t xml:space="preserve"> (което означава, че длъжникът запазва управлението на активите и дейността по време на съдебното производство по преструктуриране, а не се замества от синдик). Директивата обаче допуска и частични модели на ДВВ, при които може, а в някои случаи трябва, да бъдат назначени длъжностни лица, които да контролират делото</w:t>
      </w:r>
      <w:r w:rsidR="001F5EBA">
        <w:rPr>
          <w:rStyle w:val="FootnoteReference"/>
          <w:rFonts w:asciiTheme="minorHAnsi" w:hAnsiTheme="minorHAnsi" w:cstheme="minorHAnsi"/>
          <w:lang w:eastAsia="en-GB"/>
        </w:rPr>
        <w:footnoteReference w:id="19"/>
      </w:r>
      <w:r w:rsidR="00C1235D" w:rsidRPr="00E15AFE">
        <w:rPr>
          <w:rFonts w:asciiTheme="minorHAnsi" w:hAnsiTheme="minorHAnsi" w:cstheme="minorHAnsi"/>
          <w:lang w:eastAsia="en-GB"/>
        </w:rPr>
        <w:t>.</w:t>
      </w:r>
      <w:r w:rsidR="00E15AFE" w:rsidRPr="00E15AFE">
        <w:rPr>
          <w:rFonts w:asciiTheme="minorHAnsi" w:hAnsiTheme="minorHAnsi" w:cstheme="minorHAnsi"/>
          <w:lang w:eastAsia="en-GB"/>
        </w:rPr>
        <w:t xml:space="preserve"> </w:t>
      </w:r>
      <w:r w:rsidR="00CC253E">
        <w:rPr>
          <w:rFonts w:asciiTheme="minorHAnsi" w:hAnsiTheme="minorHAnsi" w:cstheme="minorHAnsi"/>
          <w:lang w:val="bg-BG" w:eastAsia="en-GB"/>
        </w:rPr>
        <w:t xml:space="preserve">По принцип рамките за превантивно преструктуриране се съсредоточават върху </w:t>
      </w:r>
      <w:r w:rsidR="00CC253E">
        <w:rPr>
          <w:rFonts w:asciiTheme="minorHAnsi" w:hAnsiTheme="minorHAnsi" w:cstheme="minorHAnsi"/>
          <w:i/>
          <w:iCs/>
          <w:lang w:val="bg-BG" w:eastAsia="en-GB"/>
        </w:rPr>
        <w:t xml:space="preserve">финансовите </w:t>
      </w:r>
      <w:r w:rsidR="00CC253E">
        <w:rPr>
          <w:rFonts w:asciiTheme="minorHAnsi" w:hAnsiTheme="minorHAnsi" w:cstheme="minorHAnsi"/>
          <w:lang w:val="bg-BG" w:eastAsia="en-GB"/>
        </w:rPr>
        <w:t xml:space="preserve">мерки за преструктуриране, въпреки че може да се предвиждат и </w:t>
      </w:r>
      <w:r w:rsidR="00CC253E">
        <w:rPr>
          <w:rFonts w:asciiTheme="minorHAnsi" w:hAnsiTheme="minorHAnsi" w:cstheme="minorHAnsi"/>
          <w:i/>
          <w:iCs/>
          <w:lang w:val="bg-BG" w:eastAsia="en-GB"/>
        </w:rPr>
        <w:t xml:space="preserve">оперативни </w:t>
      </w:r>
      <w:r w:rsidR="00CC253E">
        <w:rPr>
          <w:rFonts w:asciiTheme="minorHAnsi" w:hAnsiTheme="minorHAnsi" w:cstheme="minorHAnsi"/>
          <w:lang w:val="bg-BG" w:eastAsia="en-GB"/>
        </w:rPr>
        <w:t>промени. Фактически целта на производството е да се даде възможност на длъжниците да преструктурират стопанската си дейност по в</w:t>
      </w:r>
      <w:r w:rsidR="00875FE8">
        <w:rPr>
          <w:rFonts w:asciiTheme="minorHAnsi" w:hAnsiTheme="minorHAnsi" w:cstheme="minorHAnsi"/>
          <w:lang w:val="bg-BG" w:eastAsia="en-GB"/>
        </w:rPr>
        <w:t>сякакъв начин, който постига целта да се предотврати несъстоятелността и да се осигури жизнеспособността.</w:t>
      </w:r>
    </w:p>
    <w:p w14:paraId="0A303D91" w14:textId="62956DA7" w:rsidR="00767366" w:rsidRDefault="003B1426" w:rsidP="00395085">
      <w:pPr>
        <w:widowControl/>
        <w:tabs>
          <w:tab w:val="left" w:pos="2070"/>
        </w:tabs>
        <w:autoSpaceDE/>
        <w:autoSpaceDN/>
        <w:spacing w:after="240" w:line="276" w:lineRule="auto"/>
        <w:jc w:val="both"/>
        <w:rPr>
          <w:rFonts w:asciiTheme="minorHAnsi" w:hAnsiTheme="minorHAnsi" w:cstheme="minorHAnsi"/>
          <w:lang w:eastAsia="en-GB"/>
        </w:rPr>
      </w:pPr>
      <w:r>
        <w:rPr>
          <w:rFonts w:asciiTheme="minorHAnsi" w:hAnsiTheme="minorHAnsi" w:cstheme="minorHAnsi"/>
          <w:b/>
          <w:bCs/>
          <w:lang w:eastAsia="en-GB"/>
        </w:rPr>
        <w:lastRenderedPageBreak/>
        <w:t>20</w:t>
      </w:r>
      <w:r w:rsidR="00E3164D" w:rsidRPr="00447A32">
        <w:rPr>
          <w:rFonts w:asciiTheme="minorHAnsi" w:hAnsiTheme="minorHAnsi" w:cstheme="minorHAnsi"/>
          <w:b/>
          <w:bCs/>
          <w:lang w:eastAsia="en-GB"/>
        </w:rPr>
        <w:t xml:space="preserve">. </w:t>
      </w:r>
      <w:r w:rsidR="007F4695">
        <w:rPr>
          <w:rFonts w:asciiTheme="minorHAnsi" w:hAnsiTheme="minorHAnsi" w:cstheme="minorHAnsi"/>
          <w:b/>
          <w:bCs/>
          <w:lang w:val="bg-BG" w:eastAsia="en-GB"/>
        </w:rPr>
        <w:t xml:space="preserve">Директивата </w:t>
      </w:r>
      <w:r w:rsidR="004B745F">
        <w:rPr>
          <w:rFonts w:asciiTheme="minorHAnsi" w:hAnsiTheme="minorHAnsi" w:cstheme="minorHAnsi"/>
          <w:b/>
          <w:bCs/>
          <w:lang w:val="bg-BG" w:eastAsia="en-GB"/>
        </w:rPr>
        <w:t>осигурява</w:t>
      </w:r>
      <w:r w:rsidR="007F4695">
        <w:rPr>
          <w:rFonts w:asciiTheme="minorHAnsi" w:hAnsiTheme="minorHAnsi" w:cstheme="minorHAnsi"/>
          <w:b/>
          <w:bCs/>
          <w:lang w:val="bg-BG" w:eastAsia="en-GB"/>
        </w:rPr>
        <w:t xml:space="preserve"> правн</w:t>
      </w:r>
      <w:r w:rsidR="004B745F">
        <w:rPr>
          <w:rFonts w:asciiTheme="minorHAnsi" w:hAnsiTheme="minorHAnsi" w:cstheme="minorHAnsi"/>
          <w:b/>
          <w:bCs/>
          <w:lang w:val="bg-BG" w:eastAsia="en-GB"/>
        </w:rPr>
        <w:t>а</w:t>
      </w:r>
      <w:r w:rsidR="007F4695">
        <w:rPr>
          <w:rFonts w:asciiTheme="minorHAnsi" w:hAnsiTheme="minorHAnsi" w:cstheme="minorHAnsi"/>
          <w:b/>
          <w:bCs/>
          <w:lang w:val="bg-BG" w:eastAsia="en-GB"/>
        </w:rPr>
        <w:t>т</w:t>
      </w:r>
      <w:r w:rsidR="004B745F">
        <w:rPr>
          <w:rFonts w:asciiTheme="minorHAnsi" w:hAnsiTheme="minorHAnsi" w:cstheme="minorHAnsi"/>
          <w:b/>
          <w:bCs/>
          <w:lang w:val="bg-BG" w:eastAsia="en-GB"/>
        </w:rPr>
        <w:t>а</w:t>
      </w:r>
      <w:r w:rsidR="007F4695">
        <w:rPr>
          <w:rFonts w:asciiTheme="minorHAnsi" w:hAnsiTheme="minorHAnsi" w:cstheme="minorHAnsi"/>
          <w:b/>
          <w:bCs/>
          <w:lang w:val="bg-BG" w:eastAsia="en-GB"/>
        </w:rPr>
        <w:t xml:space="preserve"> основ</w:t>
      </w:r>
      <w:r w:rsidR="004B745F">
        <w:rPr>
          <w:rFonts w:asciiTheme="minorHAnsi" w:hAnsiTheme="minorHAnsi" w:cstheme="minorHAnsi"/>
          <w:b/>
          <w:bCs/>
          <w:lang w:val="bg-BG" w:eastAsia="en-GB"/>
        </w:rPr>
        <w:t>а</w:t>
      </w:r>
      <w:r w:rsidR="007F4695">
        <w:rPr>
          <w:rFonts w:asciiTheme="minorHAnsi" w:hAnsiTheme="minorHAnsi" w:cstheme="minorHAnsi"/>
          <w:b/>
          <w:bCs/>
          <w:lang w:val="bg-BG" w:eastAsia="en-GB"/>
        </w:rPr>
        <w:t xml:space="preserve"> за разнообразни производства по преструктуриране със значителни разлики в модела и подробностите и потенциална възможност за хибридност. </w:t>
      </w:r>
      <w:r w:rsidR="004B1CCE">
        <w:rPr>
          <w:rFonts w:asciiTheme="minorHAnsi" w:hAnsiTheme="minorHAnsi" w:cstheme="minorHAnsi"/>
          <w:lang w:val="bg-BG" w:eastAsia="en-GB"/>
        </w:rPr>
        <w:t xml:space="preserve">Всъщност преструктурирането чрез сключване на споразумение с кредиторите (или част от тях) е и продължава да бъде възможно във всеки момент, тъй като Директивата допуска преструктуриране чрез т.нар. „предварително изготвени планове“ или „пакети“, т.е. чрез </w:t>
      </w:r>
      <w:r w:rsidR="00503F01">
        <w:rPr>
          <w:rFonts w:asciiTheme="minorHAnsi" w:hAnsiTheme="minorHAnsi" w:cstheme="minorHAnsi"/>
          <w:lang w:val="bg-BG" w:eastAsia="en-GB"/>
        </w:rPr>
        <w:t>предварително съгласуван план с всички засегнати кредитори, който се внася в съда заедно с молбата за откриване на производство</w:t>
      </w:r>
      <w:r w:rsidR="00447A32" w:rsidRPr="00447A32">
        <w:rPr>
          <w:rFonts w:asciiTheme="minorHAnsi" w:hAnsiTheme="minorHAnsi" w:cstheme="minorHAnsi"/>
          <w:lang w:val="en-GB"/>
        </w:rPr>
        <w:t>.</w:t>
      </w:r>
      <w:r w:rsidR="000D4321">
        <w:rPr>
          <w:rFonts w:asciiTheme="minorHAnsi" w:hAnsiTheme="minorHAnsi" w:cstheme="minorHAnsi"/>
          <w:lang w:val="en-GB"/>
        </w:rPr>
        <w:t xml:space="preserve"> </w:t>
      </w:r>
      <w:r w:rsidR="000D4321">
        <w:rPr>
          <w:rStyle w:val="FootnoteReference"/>
          <w:rFonts w:asciiTheme="minorHAnsi" w:hAnsiTheme="minorHAnsi" w:cstheme="minorHAnsi"/>
          <w:lang w:val="en-GB"/>
        </w:rPr>
        <w:footnoteReference w:id="20"/>
      </w:r>
      <w:r w:rsidR="00447A32" w:rsidRPr="00447A32">
        <w:rPr>
          <w:rFonts w:asciiTheme="minorHAnsi" w:hAnsiTheme="minorHAnsi" w:cstheme="minorHAnsi"/>
          <w:lang w:eastAsia="en-GB"/>
        </w:rPr>
        <w:t xml:space="preserve"> </w:t>
      </w:r>
      <w:r w:rsidR="00503F01">
        <w:rPr>
          <w:rFonts w:asciiTheme="minorHAnsi" w:hAnsiTheme="minorHAnsi" w:cstheme="minorHAnsi"/>
          <w:lang w:val="bg-BG" w:eastAsia="en-GB"/>
        </w:rPr>
        <w:t xml:space="preserve">Но </w:t>
      </w:r>
      <w:r w:rsidR="007842D7">
        <w:rPr>
          <w:rFonts w:asciiTheme="minorHAnsi" w:hAnsiTheme="minorHAnsi" w:cstheme="minorHAnsi"/>
          <w:lang w:val="bg-BG" w:eastAsia="en-GB"/>
        </w:rPr>
        <w:t>предварително изготвените планове невинаги са вариант за решение, тъй като може да не е налице съгласието на всички кредитори. Поради тази причина моделът на ЕС съдържа правила за образуването на класове, оценка и гласуване</w:t>
      </w:r>
      <w:r w:rsidR="00A7338A">
        <w:rPr>
          <w:rFonts w:asciiTheme="minorHAnsi" w:hAnsiTheme="minorHAnsi" w:cstheme="minorHAnsi"/>
          <w:lang w:eastAsia="en-GB"/>
        </w:rPr>
        <w:t>.</w:t>
      </w:r>
      <w:r w:rsidR="001F5EBA">
        <w:rPr>
          <w:rStyle w:val="FootnoteReference"/>
          <w:rFonts w:asciiTheme="minorHAnsi" w:hAnsiTheme="minorHAnsi" w:cstheme="minorHAnsi"/>
          <w:lang w:eastAsia="en-GB"/>
        </w:rPr>
        <w:footnoteReference w:id="21"/>
      </w:r>
      <w:r w:rsidR="00A7338A">
        <w:rPr>
          <w:rFonts w:asciiTheme="minorHAnsi" w:hAnsiTheme="minorHAnsi" w:cstheme="minorHAnsi"/>
          <w:lang w:eastAsia="en-GB"/>
        </w:rPr>
        <w:t xml:space="preserve"> </w:t>
      </w:r>
      <w:r w:rsidR="00395085">
        <w:rPr>
          <w:rFonts w:asciiTheme="minorHAnsi" w:hAnsiTheme="minorHAnsi" w:cstheme="minorHAnsi"/>
          <w:lang w:val="bg-BG" w:eastAsia="en-GB"/>
        </w:rPr>
        <w:t>По-конкретно планът следва да бъде приет чрез гласуване с мнозинство при условие че определени групи заинтересовани лица може да бъдат изключени от гласуването на плана. От държавите членки се изисква да гарантират, че плановете за преструктуриране, които засягат интересите на несъгласните страни, придобиват задължителна сила, ако бъдат утвърдени от съдебен или административен орган при определени условия (принудително налагане между класове кредитори</w:t>
      </w:r>
      <w:r w:rsidR="00A5480D">
        <w:rPr>
          <w:rStyle w:val="FootnoteReference"/>
          <w:rFonts w:asciiTheme="minorHAnsi" w:hAnsiTheme="minorHAnsi" w:cstheme="minorHAnsi"/>
          <w:lang w:eastAsia="en-GB"/>
        </w:rPr>
        <w:footnoteReference w:id="22"/>
      </w:r>
      <w:r w:rsidR="00A7338A" w:rsidRPr="00FA3329">
        <w:rPr>
          <w:rFonts w:asciiTheme="minorHAnsi" w:hAnsiTheme="minorHAnsi" w:cstheme="minorHAnsi"/>
          <w:lang w:eastAsia="en-GB"/>
        </w:rPr>
        <w:t>).</w:t>
      </w:r>
    </w:p>
    <w:p w14:paraId="53D9F0CA" w14:textId="511314F5" w:rsidR="004E2D8E" w:rsidRDefault="004E2D8E" w:rsidP="00835CC1">
      <w:pPr>
        <w:widowControl/>
        <w:tabs>
          <w:tab w:val="left" w:pos="2070"/>
        </w:tabs>
        <w:autoSpaceDE/>
        <w:autoSpaceDN/>
        <w:spacing w:after="240" w:line="276" w:lineRule="auto"/>
        <w:jc w:val="both"/>
        <w:rPr>
          <w:rFonts w:asciiTheme="minorHAnsi" w:hAnsiTheme="minorHAnsi" w:cstheme="minorHAnsi"/>
          <w:szCs w:val="24"/>
        </w:rPr>
      </w:pPr>
      <w:r w:rsidRPr="00FA3329">
        <w:rPr>
          <w:rFonts w:asciiTheme="minorHAnsi" w:hAnsiTheme="minorHAnsi" w:cstheme="minorHAnsi"/>
          <w:b/>
          <w:bCs/>
          <w:lang w:eastAsia="en-GB"/>
        </w:rPr>
        <w:t>2</w:t>
      </w:r>
      <w:r w:rsidR="003B1426">
        <w:rPr>
          <w:rFonts w:asciiTheme="minorHAnsi" w:hAnsiTheme="minorHAnsi" w:cstheme="minorHAnsi"/>
          <w:b/>
          <w:bCs/>
          <w:lang w:eastAsia="en-GB"/>
        </w:rPr>
        <w:t>1</w:t>
      </w:r>
      <w:r w:rsidRPr="00FA3329">
        <w:rPr>
          <w:rFonts w:asciiTheme="minorHAnsi" w:hAnsiTheme="minorHAnsi" w:cstheme="minorHAnsi"/>
          <w:b/>
          <w:bCs/>
          <w:lang w:eastAsia="en-GB"/>
        </w:rPr>
        <w:t xml:space="preserve">. </w:t>
      </w:r>
      <w:r w:rsidR="0006330A">
        <w:rPr>
          <w:rFonts w:asciiTheme="minorHAnsi" w:hAnsiTheme="minorHAnsi" w:cstheme="minorHAnsi"/>
          <w:b/>
          <w:bCs/>
          <w:lang w:val="bg-BG" w:eastAsia="en-GB"/>
        </w:rPr>
        <w:t>Цялостното прилагане на Директивата изисква също така дълбока промяна в културата по отношение на ролята на съдебната власт и специалистите, които подпомагат длъжника и/или кредиторите в преговорите за преструктуриране.</w:t>
      </w:r>
      <w:r w:rsidR="000B18DB">
        <w:rPr>
          <w:rFonts w:asciiTheme="minorHAnsi" w:hAnsiTheme="minorHAnsi" w:cstheme="minorHAnsi"/>
          <w:b/>
          <w:bCs/>
          <w:lang w:val="bg-BG" w:eastAsia="en-GB"/>
        </w:rPr>
        <w:t xml:space="preserve"> </w:t>
      </w:r>
      <w:r w:rsidR="000B18DB">
        <w:rPr>
          <w:rFonts w:asciiTheme="minorHAnsi" w:hAnsiTheme="minorHAnsi" w:cstheme="minorHAnsi"/>
          <w:lang w:val="bg-BG" w:eastAsia="en-GB"/>
        </w:rPr>
        <w:t>От</w:t>
      </w:r>
      <w:r w:rsidR="00835CC1">
        <w:rPr>
          <w:rFonts w:asciiTheme="minorHAnsi" w:hAnsiTheme="minorHAnsi" w:cstheme="minorHAnsi"/>
          <w:lang w:val="bg-BG" w:eastAsia="en-GB"/>
        </w:rPr>
        <w:t xml:space="preserve"> една страна трябва да се признае, че е нереалистично веднага да се наложи рамка за обучение, насочена конкретно към лицата, които желаят да придобият квалификация в тясно специализирана нова професия, ограничен</w:t>
      </w:r>
      <w:r w:rsidR="003D4A05">
        <w:rPr>
          <w:rFonts w:asciiTheme="minorHAnsi" w:hAnsiTheme="minorHAnsi" w:cstheme="minorHAnsi"/>
          <w:lang w:val="bg-BG" w:eastAsia="en-GB"/>
        </w:rPr>
        <w:t>а</w:t>
      </w:r>
      <w:r w:rsidR="00835CC1">
        <w:rPr>
          <w:rFonts w:asciiTheme="minorHAnsi" w:hAnsiTheme="minorHAnsi" w:cstheme="minorHAnsi"/>
          <w:lang w:val="bg-BG" w:eastAsia="en-GB"/>
        </w:rPr>
        <w:t xml:space="preserve"> единствено в областта на производствата по преструктуриране (за разлика от производствата по ликвидация), но от друга страна в Доклада за превантивното преструктуриране се посочва, че сега съществуващите учебни програми, които са задължителни за бъдещите синдици в България, може да бъдат разширени с теми и практически примери с по-тясна насоченост към преструктурирането</w:t>
      </w:r>
      <w:r w:rsidR="00A5480D">
        <w:rPr>
          <w:rStyle w:val="FootnoteReference"/>
          <w:rFonts w:asciiTheme="minorHAnsi" w:hAnsiTheme="minorHAnsi" w:cstheme="minorHAnsi"/>
          <w:szCs w:val="24"/>
        </w:rPr>
        <w:footnoteReference w:id="23"/>
      </w:r>
      <w:r w:rsidR="00835CC1">
        <w:rPr>
          <w:rFonts w:asciiTheme="minorHAnsi" w:hAnsiTheme="minorHAnsi" w:cstheme="minorHAnsi"/>
          <w:lang w:val="bg-BG" w:eastAsia="en-GB"/>
        </w:rPr>
        <w:t>.</w:t>
      </w:r>
    </w:p>
    <w:p w14:paraId="40241F6B" w14:textId="391DCF92" w:rsidR="00A4435D" w:rsidRPr="00D86257" w:rsidRDefault="00767366" w:rsidP="00D86257">
      <w:pPr>
        <w:pStyle w:val="Heading1"/>
        <w:rPr>
          <w:rFonts w:asciiTheme="minorHAnsi" w:hAnsiTheme="minorHAnsi" w:cstheme="minorHAnsi"/>
          <w:szCs w:val="24"/>
        </w:rPr>
      </w:pPr>
      <w:r>
        <w:rPr>
          <w:rFonts w:asciiTheme="minorHAnsi" w:hAnsiTheme="minorHAnsi" w:cstheme="minorHAnsi"/>
          <w:szCs w:val="24"/>
        </w:rPr>
        <w:br w:type="page"/>
      </w:r>
      <w:r w:rsidR="00004858">
        <w:rPr>
          <w:rFonts w:asciiTheme="minorHAnsi" w:hAnsiTheme="minorHAnsi" w:cstheme="minorHAnsi"/>
          <w:szCs w:val="24"/>
          <w:lang w:val="bg-BG"/>
        </w:rPr>
        <w:lastRenderedPageBreak/>
        <w:t>Приложение</w:t>
      </w:r>
      <w:r w:rsidR="0038056A" w:rsidRPr="00D86257">
        <w:rPr>
          <w:rFonts w:asciiTheme="minorHAnsi" w:hAnsiTheme="minorHAnsi" w:cstheme="minorHAnsi"/>
        </w:rPr>
        <w:t xml:space="preserve">: </w:t>
      </w:r>
      <w:r w:rsidR="00004858">
        <w:rPr>
          <w:rFonts w:asciiTheme="minorHAnsi" w:hAnsiTheme="minorHAnsi" w:cstheme="minorHAnsi"/>
          <w:lang w:val="bg-BG"/>
        </w:rPr>
        <w:t>План за действие за прилагане на Директивата</w:t>
      </w:r>
      <w:r w:rsidR="0038056A" w:rsidRPr="00D86257">
        <w:rPr>
          <w:rFonts w:asciiTheme="minorHAnsi" w:hAnsiTheme="minorHAnsi" w:cstheme="minorHAnsi"/>
        </w:rPr>
        <w:t xml:space="preserve"> </w:t>
      </w:r>
    </w:p>
    <w:p w14:paraId="64A59D7B" w14:textId="40975844" w:rsidR="00A4435D" w:rsidRDefault="00A4435D" w:rsidP="00A4435D">
      <w:pPr>
        <w:rPr>
          <w:noProof/>
          <w:sz w:val="24"/>
          <w:szCs w:val="24"/>
        </w:rPr>
      </w:pPr>
    </w:p>
    <w:tbl>
      <w:tblPr>
        <w:tblStyle w:val="PlainTable5"/>
        <w:tblW w:w="0" w:type="auto"/>
        <w:tblLook w:val="04A0" w:firstRow="1" w:lastRow="0" w:firstColumn="1" w:lastColumn="0" w:noHBand="0" w:noVBand="1"/>
      </w:tblPr>
      <w:tblGrid>
        <w:gridCol w:w="514"/>
        <w:gridCol w:w="2547"/>
        <w:gridCol w:w="2020"/>
        <w:gridCol w:w="1436"/>
        <w:gridCol w:w="1480"/>
        <w:gridCol w:w="1363"/>
      </w:tblGrid>
      <w:tr w:rsidR="00FD103C" w:rsidRPr="00A31712" w14:paraId="21490914" w14:textId="0BAEBEF8" w:rsidTr="00F2408C">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9360" w:type="dxa"/>
            <w:gridSpan w:val="6"/>
          </w:tcPr>
          <w:p w14:paraId="002600D8" w14:textId="7F763B8E" w:rsidR="00FD103C" w:rsidRPr="00A31712" w:rsidRDefault="00004858" w:rsidP="0038056A">
            <w:pPr>
              <w:jc w:val="center"/>
              <w:rPr>
                <w:rFonts w:asciiTheme="minorHAnsi" w:eastAsia="Cambria" w:hAnsiTheme="minorHAnsi" w:cstheme="minorHAnsi"/>
                <w:b/>
                <w:bCs/>
                <w:sz w:val="20"/>
                <w:szCs w:val="20"/>
              </w:rPr>
            </w:pPr>
            <w:r>
              <w:rPr>
                <w:rFonts w:asciiTheme="minorHAnsi" w:eastAsia="Cambria" w:hAnsiTheme="minorHAnsi" w:cstheme="minorHAnsi"/>
                <w:sz w:val="20"/>
                <w:szCs w:val="20"/>
                <w:lang w:val="bg-BG"/>
              </w:rPr>
              <w:t>ПЛАН ЗА ДЕЙСТВИЕ</w:t>
            </w:r>
            <w:r w:rsidR="00FD103C" w:rsidRPr="00A31712">
              <w:rPr>
                <w:rFonts w:asciiTheme="minorHAnsi" w:eastAsia="Cambria" w:hAnsiTheme="minorHAnsi" w:cstheme="minorHAnsi"/>
                <w:sz w:val="20"/>
                <w:szCs w:val="20"/>
              </w:rPr>
              <w:t xml:space="preserve"> (1)</w:t>
            </w:r>
          </w:p>
          <w:p w14:paraId="49E0EAFD" w14:textId="34DB8D08" w:rsidR="00FD103C" w:rsidRPr="00A31712" w:rsidRDefault="00FD103C" w:rsidP="0038056A">
            <w:pPr>
              <w:jc w:val="center"/>
              <w:rPr>
                <w:rFonts w:asciiTheme="minorHAnsi" w:eastAsia="Cambria" w:hAnsiTheme="minorHAnsi" w:cstheme="minorHAnsi"/>
                <w:sz w:val="20"/>
                <w:szCs w:val="20"/>
              </w:rPr>
            </w:pPr>
            <w:r w:rsidRPr="00A31712">
              <w:rPr>
                <w:rFonts w:asciiTheme="minorHAnsi" w:eastAsia="Cambria" w:hAnsiTheme="minorHAnsi" w:cstheme="minorHAnsi"/>
                <w:sz w:val="20"/>
                <w:szCs w:val="20"/>
              </w:rPr>
              <w:t xml:space="preserve"> </w:t>
            </w:r>
            <w:r w:rsidR="00004858">
              <w:rPr>
                <w:rFonts w:asciiTheme="minorHAnsi" w:eastAsia="Cambria" w:hAnsiTheme="minorHAnsi" w:cstheme="minorHAnsi"/>
                <w:sz w:val="20"/>
                <w:szCs w:val="20"/>
                <w:lang w:val="bg-BG"/>
              </w:rPr>
              <w:t>ПРИЛАГАНЕ НА ИРП</w:t>
            </w:r>
          </w:p>
        </w:tc>
      </w:tr>
      <w:tr w:rsidR="00D660DA" w:rsidRPr="00A31712" w14:paraId="1471A438" w14:textId="54A3BCE8"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182EE41" w14:textId="1ED7E678" w:rsidR="00FD103C" w:rsidRPr="00FF0356" w:rsidRDefault="00FD103C" w:rsidP="00FF0356">
            <w:pPr>
              <w:rPr>
                <w:rFonts w:asciiTheme="minorHAnsi" w:eastAsia="Cambria" w:hAnsiTheme="minorHAnsi" w:cstheme="minorHAnsi"/>
                <w:b/>
                <w:bCs/>
                <w:sz w:val="20"/>
                <w:szCs w:val="20"/>
              </w:rPr>
            </w:pPr>
          </w:p>
        </w:tc>
        <w:tc>
          <w:tcPr>
            <w:tcW w:w="2847" w:type="dxa"/>
          </w:tcPr>
          <w:p w14:paraId="7FAA9AD6" w14:textId="6D68AE66" w:rsidR="00FD103C" w:rsidRPr="005D3D87" w:rsidRDefault="00404400"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lang w:val="bg-BG"/>
              </w:rPr>
              <w:t>Дейности</w:t>
            </w:r>
          </w:p>
        </w:tc>
        <w:tc>
          <w:tcPr>
            <w:tcW w:w="2117" w:type="dxa"/>
          </w:tcPr>
          <w:p w14:paraId="617C4384" w14:textId="63176D49" w:rsidR="00FD103C" w:rsidRPr="00A31712" w:rsidRDefault="00404400"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lang w:val="bg-BG"/>
              </w:rPr>
              <w:t>Отговорник</w:t>
            </w:r>
          </w:p>
        </w:tc>
        <w:tc>
          <w:tcPr>
            <w:tcW w:w="1249" w:type="dxa"/>
          </w:tcPr>
          <w:p w14:paraId="773702C1" w14:textId="0CFF2CD1" w:rsidR="00FD103C" w:rsidRPr="00A31712" w:rsidRDefault="00404400"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lang w:val="bg-BG"/>
              </w:rPr>
              <w:t>Краткосрочни (до 6 месеца)</w:t>
            </w:r>
          </w:p>
        </w:tc>
        <w:tc>
          <w:tcPr>
            <w:tcW w:w="1363" w:type="dxa"/>
          </w:tcPr>
          <w:p w14:paraId="2D8BDE17" w14:textId="254E8B84" w:rsidR="00404400" w:rsidRPr="00A31712" w:rsidRDefault="00404400" w:rsidP="00404400">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lang w:val="bg-BG"/>
              </w:rPr>
              <w:t>Средносрочни (до 12 месеца)</w:t>
            </w:r>
          </w:p>
          <w:p w14:paraId="79D6CE0C" w14:textId="0266B746" w:rsidR="00FD103C" w:rsidRPr="00A31712" w:rsidRDefault="00FD103C"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p>
        </w:tc>
        <w:tc>
          <w:tcPr>
            <w:tcW w:w="1161" w:type="dxa"/>
          </w:tcPr>
          <w:p w14:paraId="3FDEC06C" w14:textId="49972C37" w:rsidR="00404400" w:rsidRDefault="00404400" w:rsidP="00404400">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lang w:val="bg-BG"/>
              </w:rPr>
              <w:t>Дългосрочни (до 5 години)</w:t>
            </w:r>
          </w:p>
          <w:p w14:paraId="2892F7AF" w14:textId="1128EE78" w:rsidR="00AA65D3" w:rsidRDefault="00AA65D3" w:rsidP="0090547E">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p>
        </w:tc>
      </w:tr>
      <w:tr w:rsidR="00E01B2C" w:rsidRPr="00A31712" w14:paraId="5669DE68" w14:textId="77777777" w:rsidTr="00592C16">
        <w:tc>
          <w:tcPr>
            <w:cnfStyle w:val="001000000000" w:firstRow="0" w:lastRow="0" w:firstColumn="1" w:lastColumn="0" w:oddVBand="0" w:evenVBand="0" w:oddHBand="0" w:evenHBand="0" w:firstRowFirstColumn="0" w:firstRowLastColumn="0" w:lastRowFirstColumn="0" w:lastRowLastColumn="0"/>
            <w:tcW w:w="623" w:type="dxa"/>
            <w:shd w:val="clear" w:color="auto" w:fill="EEECE1" w:themeFill="background2"/>
          </w:tcPr>
          <w:p w14:paraId="16A69E66" w14:textId="77777777" w:rsidR="00F2408C" w:rsidRPr="00FF0356" w:rsidRDefault="00F2408C" w:rsidP="00F2408C">
            <w:pPr>
              <w:rPr>
                <w:rFonts w:asciiTheme="minorHAnsi" w:eastAsia="Cambria" w:hAnsiTheme="minorHAnsi" w:cstheme="minorHAnsi"/>
                <w:b/>
                <w:bCs/>
                <w:sz w:val="20"/>
                <w:szCs w:val="20"/>
              </w:rPr>
            </w:pPr>
          </w:p>
        </w:tc>
        <w:tc>
          <w:tcPr>
            <w:tcW w:w="8737" w:type="dxa"/>
            <w:gridSpan w:val="5"/>
            <w:shd w:val="clear" w:color="auto" w:fill="EEECE1" w:themeFill="background2"/>
          </w:tcPr>
          <w:p w14:paraId="680301D3" w14:textId="25658414" w:rsidR="00F2408C" w:rsidRDefault="006347EE"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sz w:val="20"/>
                <w:szCs w:val="20"/>
                <w:lang w:val="bg-BG"/>
              </w:rPr>
              <w:t>Предпоставки за прилагане на изцяло активен модел на ИРП</w:t>
            </w:r>
          </w:p>
        </w:tc>
      </w:tr>
      <w:tr w:rsidR="00D660DA" w:rsidRPr="00A31712" w14:paraId="7B966862" w14:textId="2934C187"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7E5C618" w14:textId="61932E57"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1</w:t>
            </w:r>
          </w:p>
        </w:tc>
        <w:tc>
          <w:tcPr>
            <w:tcW w:w="2847" w:type="dxa"/>
          </w:tcPr>
          <w:p w14:paraId="44ED8712" w14:textId="33D0419F" w:rsidR="00F2408C" w:rsidRPr="00A31712" w:rsidRDefault="00C46D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Създаване на работна група за разработване на ИРП</w:t>
            </w:r>
          </w:p>
        </w:tc>
        <w:tc>
          <w:tcPr>
            <w:tcW w:w="2117" w:type="dxa"/>
          </w:tcPr>
          <w:p w14:paraId="67639D38" w14:textId="488A7C37" w:rsidR="00F2408C" w:rsidRPr="00A31712" w:rsidRDefault="00C46D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Междуведомствена работна група (Министерство на икономиката, Министерство на правосъдието, Министерство на финансите и др.)</w:t>
            </w:r>
          </w:p>
        </w:tc>
        <w:tc>
          <w:tcPr>
            <w:tcW w:w="1249" w:type="dxa"/>
          </w:tcPr>
          <w:p w14:paraId="73936BD2" w14:textId="250403A0"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799C4881"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67F1206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08D8F150" w14:textId="2875BAE8" w:rsidTr="00592C16">
        <w:tc>
          <w:tcPr>
            <w:cnfStyle w:val="001000000000" w:firstRow="0" w:lastRow="0" w:firstColumn="1" w:lastColumn="0" w:oddVBand="0" w:evenVBand="0" w:oddHBand="0" w:evenHBand="0" w:firstRowFirstColumn="0" w:firstRowLastColumn="0" w:lastRowFirstColumn="0" w:lastRowLastColumn="0"/>
            <w:tcW w:w="623" w:type="dxa"/>
          </w:tcPr>
          <w:p w14:paraId="7CE2D662" w14:textId="05E75359"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2</w:t>
            </w:r>
          </w:p>
        </w:tc>
        <w:tc>
          <w:tcPr>
            <w:tcW w:w="2847" w:type="dxa"/>
          </w:tcPr>
          <w:p w14:paraId="25475A66" w14:textId="0F576B9B" w:rsidR="00F2408C" w:rsidRPr="00A31712" w:rsidRDefault="00140EC2"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Създаване на рамка за управление на ИРП</w:t>
            </w:r>
          </w:p>
        </w:tc>
        <w:tc>
          <w:tcPr>
            <w:tcW w:w="2117" w:type="dxa"/>
          </w:tcPr>
          <w:p w14:paraId="3D63CB01" w14:textId="19269E80" w:rsidR="00F2408C" w:rsidRPr="00A31712" w:rsidRDefault="00FE4D6D"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w:t>
            </w:r>
          </w:p>
        </w:tc>
        <w:tc>
          <w:tcPr>
            <w:tcW w:w="1249" w:type="dxa"/>
          </w:tcPr>
          <w:p w14:paraId="386FB7EF" w14:textId="40795AE6"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0F02C1C"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79030CB"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78C3938D" w14:textId="01ACC5C6"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3454ABB" w14:textId="7FE13867"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3</w:t>
            </w:r>
          </w:p>
        </w:tc>
        <w:tc>
          <w:tcPr>
            <w:tcW w:w="2847" w:type="dxa"/>
          </w:tcPr>
          <w:p w14:paraId="3450A633" w14:textId="0C26D387" w:rsidR="00F2408C" w:rsidRPr="00A31712" w:rsidRDefault="00FE4D6D"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Определяне на основните варианти на политиката (например изцяло активен модел, активен модел със самооценка, пасивен модел), обхвата, изключенията и ключовите променливи</w:t>
            </w:r>
            <w:r w:rsidR="00F2408C" w:rsidRPr="00A31712">
              <w:rPr>
                <w:rFonts w:asciiTheme="minorHAnsi" w:eastAsia="Cambria" w:hAnsiTheme="minorHAnsi" w:cstheme="minorHAnsi"/>
                <w:sz w:val="20"/>
                <w:szCs w:val="20"/>
              </w:rPr>
              <w:t xml:space="preserve"> </w:t>
            </w:r>
          </w:p>
        </w:tc>
        <w:tc>
          <w:tcPr>
            <w:tcW w:w="2117" w:type="dxa"/>
          </w:tcPr>
          <w:p w14:paraId="1504CA32" w14:textId="4CD4643B" w:rsidR="00F2408C" w:rsidRPr="00A31712" w:rsidRDefault="00FE4D6D"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w:t>
            </w:r>
          </w:p>
        </w:tc>
        <w:tc>
          <w:tcPr>
            <w:tcW w:w="1249" w:type="dxa"/>
          </w:tcPr>
          <w:p w14:paraId="73CDA791" w14:textId="0361E3E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33A269DA"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C2BF13A"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19262569" w14:textId="1CD23609" w:rsidTr="00592C16">
        <w:tc>
          <w:tcPr>
            <w:cnfStyle w:val="001000000000" w:firstRow="0" w:lastRow="0" w:firstColumn="1" w:lastColumn="0" w:oddVBand="0" w:evenVBand="0" w:oddHBand="0" w:evenHBand="0" w:firstRowFirstColumn="0" w:firstRowLastColumn="0" w:lastRowFirstColumn="0" w:lastRowLastColumn="0"/>
            <w:tcW w:w="623" w:type="dxa"/>
          </w:tcPr>
          <w:p w14:paraId="56363D0A" w14:textId="29FFD440"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4</w:t>
            </w:r>
          </w:p>
        </w:tc>
        <w:tc>
          <w:tcPr>
            <w:tcW w:w="2847" w:type="dxa"/>
          </w:tcPr>
          <w:p w14:paraId="79D080AC" w14:textId="027DF5FE" w:rsidR="00F2408C" w:rsidRPr="00A31712" w:rsidRDefault="00175157"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Определяне на евентуалния обхват на задействащите сигнали и на методологията за оценка</w:t>
            </w:r>
          </w:p>
        </w:tc>
        <w:tc>
          <w:tcPr>
            <w:tcW w:w="2117" w:type="dxa"/>
          </w:tcPr>
          <w:p w14:paraId="4EE530BB" w14:textId="68A3EB47" w:rsidR="00F2408C" w:rsidRPr="00A31712" w:rsidRDefault="00FE4D6D"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w:t>
            </w:r>
          </w:p>
        </w:tc>
        <w:tc>
          <w:tcPr>
            <w:tcW w:w="1249" w:type="dxa"/>
          </w:tcPr>
          <w:p w14:paraId="498B65A7" w14:textId="70A2C966"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03C78AD8"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76FBA55"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28E5D447" w14:textId="244C1829"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BF52B5D" w14:textId="4A761B03"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5</w:t>
            </w:r>
          </w:p>
        </w:tc>
        <w:tc>
          <w:tcPr>
            <w:tcW w:w="2847" w:type="dxa"/>
          </w:tcPr>
          <w:p w14:paraId="678D6939" w14:textId="0F23AD40" w:rsidR="00F2408C" w:rsidRPr="00A31712" w:rsidRDefault="006259B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Избор на институция (публична или частна) за хостинг и управление на ИРП</w:t>
            </w:r>
          </w:p>
        </w:tc>
        <w:tc>
          <w:tcPr>
            <w:tcW w:w="2117" w:type="dxa"/>
          </w:tcPr>
          <w:p w14:paraId="370A92C3" w14:textId="756A769C" w:rsidR="00F2408C" w:rsidRPr="00A31712" w:rsidRDefault="00FE4D6D"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w:t>
            </w:r>
          </w:p>
        </w:tc>
        <w:tc>
          <w:tcPr>
            <w:tcW w:w="1249" w:type="dxa"/>
          </w:tcPr>
          <w:p w14:paraId="2BAD21A0" w14:textId="260BCC9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2BEFC859"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647A919"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3F9E7344" w14:textId="562EF381" w:rsidTr="00592C16">
        <w:tc>
          <w:tcPr>
            <w:cnfStyle w:val="001000000000" w:firstRow="0" w:lastRow="0" w:firstColumn="1" w:lastColumn="0" w:oddVBand="0" w:evenVBand="0" w:oddHBand="0" w:evenHBand="0" w:firstRowFirstColumn="0" w:firstRowLastColumn="0" w:lastRowFirstColumn="0" w:lastRowLastColumn="0"/>
            <w:tcW w:w="623" w:type="dxa"/>
          </w:tcPr>
          <w:p w14:paraId="1A3360F8" w14:textId="3CB8D464"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6</w:t>
            </w:r>
          </w:p>
        </w:tc>
        <w:tc>
          <w:tcPr>
            <w:tcW w:w="2847" w:type="dxa"/>
          </w:tcPr>
          <w:p w14:paraId="401BD4B9" w14:textId="40D134E5" w:rsidR="00F2408C" w:rsidRPr="00A31712" w:rsidRDefault="004305CA"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Задълбочена оценка на слабостите в инфраструктурата за споделяне на кредитна информация, укрепване на капацитета за засилване на ролята на ЦКР</w:t>
            </w:r>
          </w:p>
        </w:tc>
        <w:tc>
          <w:tcPr>
            <w:tcW w:w="2117" w:type="dxa"/>
          </w:tcPr>
          <w:p w14:paraId="06BCA21F" w14:textId="7DD64177" w:rsidR="00F2408C" w:rsidRPr="00A31712" w:rsidRDefault="004305CA"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БНБ</w:t>
            </w:r>
          </w:p>
        </w:tc>
        <w:tc>
          <w:tcPr>
            <w:tcW w:w="1249" w:type="dxa"/>
          </w:tcPr>
          <w:p w14:paraId="0DA42DF2" w14:textId="31227409"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6E83569B" w14:textId="124483F2"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62408A61"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484454BD" w14:textId="6109A85E"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66DC935C" w14:textId="475F14D2"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t>7</w:t>
            </w:r>
          </w:p>
        </w:tc>
        <w:tc>
          <w:tcPr>
            <w:tcW w:w="2847" w:type="dxa"/>
          </w:tcPr>
          <w:p w14:paraId="41A68B75" w14:textId="0AB72865" w:rsidR="00F2408C" w:rsidRPr="00A31712" w:rsidRDefault="004521F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Регулаторни и/или законодателни мерки за подобряване на наличието, актуалността и точността на финансовата и кредитната информация за ИРП</w:t>
            </w:r>
          </w:p>
        </w:tc>
        <w:tc>
          <w:tcPr>
            <w:tcW w:w="2117" w:type="dxa"/>
          </w:tcPr>
          <w:p w14:paraId="5F5C6FB2" w14:textId="2F760097" w:rsidR="00F2408C" w:rsidRPr="00A31712" w:rsidRDefault="00A3101D"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Министерство на правосъдието или друго министерство</w:t>
            </w:r>
            <w:r w:rsidR="00F2408C" w:rsidRPr="00A31712">
              <w:rPr>
                <w:rFonts w:asciiTheme="minorHAnsi" w:eastAsia="Cambria" w:hAnsiTheme="minorHAnsi" w:cstheme="minorHAnsi"/>
                <w:sz w:val="20"/>
                <w:szCs w:val="20"/>
              </w:rPr>
              <w:t xml:space="preserve"> </w:t>
            </w:r>
          </w:p>
        </w:tc>
        <w:tc>
          <w:tcPr>
            <w:tcW w:w="1249" w:type="dxa"/>
          </w:tcPr>
          <w:p w14:paraId="7835EFFA" w14:textId="2206AA4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60DAED9D" w14:textId="0F402C6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A8D0506" w14:textId="1857F740"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65F73FB3" w14:textId="1F06A015" w:rsidTr="00592C16">
        <w:tc>
          <w:tcPr>
            <w:cnfStyle w:val="001000000000" w:firstRow="0" w:lastRow="0" w:firstColumn="1" w:lastColumn="0" w:oddVBand="0" w:evenVBand="0" w:oddHBand="0" w:evenHBand="0" w:firstRowFirstColumn="0" w:firstRowLastColumn="0" w:lastRowFirstColumn="0" w:lastRowLastColumn="0"/>
            <w:tcW w:w="623" w:type="dxa"/>
          </w:tcPr>
          <w:p w14:paraId="31F42F45" w14:textId="37F5A850"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lastRenderedPageBreak/>
              <w:t>8</w:t>
            </w:r>
          </w:p>
        </w:tc>
        <w:tc>
          <w:tcPr>
            <w:tcW w:w="2847" w:type="dxa"/>
          </w:tcPr>
          <w:p w14:paraId="3812540C" w14:textId="73F37F0A" w:rsidR="00F2408C" w:rsidRPr="00A31712" w:rsidRDefault="00924777"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Засилено сътрудничество между публичните органи за споделяне и разкриване на данни в светлината на ОРЗД</w:t>
            </w:r>
          </w:p>
        </w:tc>
        <w:tc>
          <w:tcPr>
            <w:tcW w:w="2117" w:type="dxa"/>
          </w:tcPr>
          <w:p w14:paraId="322F27A7" w14:textId="1ACA17DA" w:rsidR="00F2408C" w:rsidRPr="00C15118" w:rsidRDefault="0035115B"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Съответните публични органи</w:t>
            </w:r>
          </w:p>
        </w:tc>
        <w:tc>
          <w:tcPr>
            <w:tcW w:w="1249" w:type="dxa"/>
          </w:tcPr>
          <w:p w14:paraId="5610FC98"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64B745A2" w14:textId="2BF360A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C38047E" w14:textId="3F14389D" w:rsidR="00F2408C" w:rsidRPr="00A31712" w:rsidRDefault="00D4059E"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1876FE80" w14:textId="6C113ED2"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2AC7E05" w14:textId="478059FD"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t>9</w:t>
            </w:r>
          </w:p>
        </w:tc>
        <w:tc>
          <w:tcPr>
            <w:tcW w:w="2847" w:type="dxa"/>
          </w:tcPr>
          <w:p w14:paraId="2F4AE509" w14:textId="409AABA9" w:rsidR="00F2408C" w:rsidRPr="00A31712" w:rsidRDefault="006D2F76"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 xml:space="preserve">Проучване на потенциалното наличие на мрежа от </w:t>
            </w:r>
            <w:r w:rsidR="00DC11A5">
              <w:rPr>
                <w:rFonts w:asciiTheme="minorHAnsi" w:eastAsia="Cambria" w:hAnsiTheme="minorHAnsi" w:cstheme="minorHAnsi"/>
                <w:sz w:val="20"/>
                <w:szCs w:val="20"/>
                <w:lang w:val="bg-BG"/>
              </w:rPr>
              <w:t>доброволци за предоставяне на консултантски услуги</w:t>
            </w:r>
            <w:r w:rsidR="00F2408C" w:rsidRPr="00A31712">
              <w:rPr>
                <w:rFonts w:asciiTheme="minorHAnsi" w:eastAsia="Cambria" w:hAnsiTheme="minorHAnsi" w:cstheme="minorHAnsi"/>
                <w:sz w:val="20"/>
                <w:szCs w:val="20"/>
              </w:rPr>
              <w:t xml:space="preserve"> </w:t>
            </w:r>
          </w:p>
        </w:tc>
        <w:tc>
          <w:tcPr>
            <w:tcW w:w="2117" w:type="dxa"/>
          </w:tcPr>
          <w:p w14:paraId="0073A783" w14:textId="308532B1" w:rsidR="00F2408C" w:rsidRPr="00C15118" w:rsidRDefault="00FE4D6D"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w:t>
            </w:r>
          </w:p>
        </w:tc>
        <w:tc>
          <w:tcPr>
            <w:tcW w:w="1249" w:type="dxa"/>
          </w:tcPr>
          <w:p w14:paraId="6FEDFFB0" w14:textId="2863CCA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363" w:type="dxa"/>
          </w:tcPr>
          <w:p w14:paraId="5D939745"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6CA3F174"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2EE6EA02" w14:textId="6872D005" w:rsidTr="00592C16">
        <w:tc>
          <w:tcPr>
            <w:cnfStyle w:val="001000000000" w:firstRow="0" w:lastRow="0" w:firstColumn="1" w:lastColumn="0" w:oddVBand="0" w:evenVBand="0" w:oddHBand="0" w:evenHBand="0" w:firstRowFirstColumn="0" w:firstRowLastColumn="0" w:lastRowFirstColumn="0" w:lastRowLastColumn="0"/>
            <w:tcW w:w="623" w:type="dxa"/>
          </w:tcPr>
          <w:p w14:paraId="010D6C99" w14:textId="3AE29FBE" w:rsidR="00F2408C" w:rsidRPr="009933C2" w:rsidRDefault="00F2408C" w:rsidP="00F2408C">
            <w:pPr>
              <w:rPr>
                <w:rFonts w:asciiTheme="minorHAnsi" w:eastAsia="Cambria" w:hAnsiTheme="minorHAnsi" w:cstheme="minorHAnsi"/>
                <w:sz w:val="20"/>
                <w:szCs w:val="20"/>
              </w:rPr>
            </w:pPr>
            <w:r w:rsidRPr="009933C2">
              <w:rPr>
                <w:rFonts w:asciiTheme="minorHAnsi" w:eastAsia="Cambria" w:hAnsiTheme="minorHAnsi" w:cstheme="minorHAnsi"/>
                <w:sz w:val="20"/>
                <w:szCs w:val="20"/>
              </w:rPr>
              <w:t>10</w:t>
            </w:r>
          </w:p>
        </w:tc>
        <w:tc>
          <w:tcPr>
            <w:tcW w:w="2847" w:type="dxa"/>
          </w:tcPr>
          <w:p w14:paraId="7B0BDE7A" w14:textId="75067383" w:rsidR="00F2408C" w:rsidRPr="00A31712" w:rsidRDefault="007B3529"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Пилотно пускане в експлоатация на ИРП в една конкретна област или конкретна категория длъжници</w:t>
            </w:r>
          </w:p>
        </w:tc>
        <w:tc>
          <w:tcPr>
            <w:tcW w:w="2117" w:type="dxa"/>
          </w:tcPr>
          <w:p w14:paraId="1162F7AB" w14:textId="56D9DB96" w:rsidR="00F2408C" w:rsidRPr="00C15118" w:rsidRDefault="007B3529"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ИРП</w:t>
            </w:r>
          </w:p>
        </w:tc>
        <w:tc>
          <w:tcPr>
            <w:tcW w:w="1249" w:type="dxa"/>
          </w:tcPr>
          <w:p w14:paraId="1CC41831" w14:textId="65CD2F83"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29E0C4B4" w14:textId="0BA4920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161" w:type="dxa"/>
          </w:tcPr>
          <w:p w14:paraId="17A34AC7"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2B4F9934" w14:textId="6E786A8A"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178B3AD6" w14:textId="471BF78D"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1</w:t>
            </w:r>
            <w:r>
              <w:rPr>
                <w:rFonts w:asciiTheme="minorHAnsi" w:eastAsia="Cambria" w:hAnsiTheme="minorHAnsi" w:cstheme="minorHAnsi"/>
                <w:sz w:val="20"/>
                <w:szCs w:val="20"/>
              </w:rPr>
              <w:t>1</w:t>
            </w:r>
          </w:p>
        </w:tc>
        <w:tc>
          <w:tcPr>
            <w:tcW w:w="2847" w:type="dxa"/>
          </w:tcPr>
          <w:p w14:paraId="535CDD6D" w14:textId="16BE9BD1" w:rsidR="00F2408C" w:rsidRPr="00A31712" w:rsidRDefault="007B3529"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Пускане в експлоатация за други сектори и/или категории длъжници</w:t>
            </w:r>
          </w:p>
        </w:tc>
        <w:tc>
          <w:tcPr>
            <w:tcW w:w="2117" w:type="dxa"/>
          </w:tcPr>
          <w:p w14:paraId="2CA78A4F" w14:textId="0E678686" w:rsidR="00F2408C" w:rsidRPr="00C15118" w:rsidRDefault="007B3529"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ИРП</w:t>
            </w:r>
          </w:p>
        </w:tc>
        <w:tc>
          <w:tcPr>
            <w:tcW w:w="1249" w:type="dxa"/>
          </w:tcPr>
          <w:p w14:paraId="3271C37B"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516503CC" w14:textId="04CA1BB5"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161" w:type="dxa"/>
          </w:tcPr>
          <w:p w14:paraId="1C9C1D75"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041E235F" w14:textId="2C22C595" w:rsidTr="00592C16">
        <w:tc>
          <w:tcPr>
            <w:cnfStyle w:val="001000000000" w:firstRow="0" w:lastRow="0" w:firstColumn="1" w:lastColumn="0" w:oddVBand="0" w:evenVBand="0" w:oddHBand="0" w:evenHBand="0" w:firstRowFirstColumn="0" w:firstRowLastColumn="0" w:lastRowFirstColumn="0" w:lastRowLastColumn="0"/>
            <w:tcW w:w="623" w:type="dxa"/>
          </w:tcPr>
          <w:p w14:paraId="31DFCE3E" w14:textId="6DE0B131"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12</w:t>
            </w:r>
          </w:p>
        </w:tc>
        <w:tc>
          <w:tcPr>
            <w:tcW w:w="2847" w:type="dxa"/>
          </w:tcPr>
          <w:p w14:paraId="71F7F437" w14:textId="3CC5165B" w:rsidR="00F2408C" w:rsidRPr="00A31712" w:rsidRDefault="007B3529"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Разработване на ясни насоки за системата на ИРП при насочване на длъжниците, които отговарят на условията, към разширено съдебно производство по превантивно преструктуриране</w:t>
            </w:r>
          </w:p>
        </w:tc>
        <w:tc>
          <w:tcPr>
            <w:tcW w:w="2117" w:type="dxa"/>
          </w:tcPr>
          <w:p w14:paraId="5060DE10" w14:textId="77BF5C4B" w:rsidR="00F2408C" w:rsidRPr="00C15118" w:rsidRDefault="007B3529"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Министерство на икономиката</w:t>
            </w:r>
            <w:r w:rsidR="00F2408C">
              <w:rPr>
                <w:rFonts w:asciiTheme="minorHAnsi" w:eastAsia="Cambria" w:hAnsiTheme="minorHAnsi" w:cstheme="minorHAnsi"/>
                <w:sz w:val="20"/>
                <w:szCs w:val="20"/>
              </w:rPr>
              <w:t xml:space="preserve"> / </w:t>
            </w:r>
            <w:r>
              <w:rPr>
                <w:rFonts w:asciiTheme="minorHAnsi" w:eastAsia="Cambria" w:hAnsiTheme="minorHAnsi" w:cstheme="minorHAnsi"/>
                <w:sz w:val="20"/>
                <w:szCs w:val="20"/>
                <w:lang w:val="bg-BG"/>
              </w:rPr>
              <w:t>Министерство на правосъдието</w:t>
            </w:r>
          </w:p>
        </w:tc>
        <w:tc>
          <w:tcPr>
            <w:tcW w:w="1249" w:type="dxa"/>
          </w:tcPr>
          <w:p w14:paraId="2F33DDDC"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73D316C9" w14:textId="1645859F"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4D02A1D2"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2326394C" w14:textId="7906D412"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EFE342E" w14:textId="2AA90491" w:rsidR="00F2408C" w:rsidRPr="00A31712" w:rsidRDefault="00F2408C" w:rsidP="00F2408C">
            <w:pPr>
              <w:rPr>
                <w:rFonts w:asciiTheme="minorHAnsi" w:eastAsia="Cambria" w:hAnsiTheme="minorHAnsi" w:cstheme="minorHAnsi"/>
                <w:b/>
                <w:bCs/>
                <w:sz w:val="20"/>
                <w:szCs w:val="20"/>
              </w:rPr>
            </w:pPr>
            <w:r w:rsidRPr="00A31712">
              <w:rPr>
                <w:rFonts w:asciiTheme="minorHAnsi" w:eastAsia="Cambria" w:hAnsiTheme="minorHAnsi" w:cstheme="minorHAnsi"/>
                <w:sz w:val="20"/>
                <w:szCs w:val="20"/>
              </w:rPr>
              <w:t>1</w:t>
            </w:r>
            <w:r>
              <w:rPr>
                <w:rFonts w:asciiTheme="minorHAnsi" w:eastAsia="Cambria" w:hAnsiTheme="minorHAnsi" w:cstheme="minorHAnsi"/>
                <w:sz w:val="20"/>
                <w:szCs w:val="20"/>
              </w:rPr>
              <w:t>3</w:t>
            </w:r>
          </w:p>
        </w:tc>
        <w:tc>
          <w:tcPr>
            <w:tcW w:w="2847" w:type="dxa"/>
          </w:tcPr>
          <w:p w14:paraId="05D2A928" w14:textId="4057319C" w:rsidR="00F2408C" w:rsidRPr="00A31712" w:rsidRDefault="005F455F"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Организиране на кампания за информиране на обществеността и насърчаване на използването на ИРП</w:t>
            </w:r>
          </w:p>
        </w:tc>
        <w:tc>
          <w:tcPr>
            <w:tcW w:w="2117" w:type="dxa"/>
          </w:tcPr>
          <w:p w14:paraId="7DB026D0" w14:textId="2312664D" w:rsidR="00F2408C" w:rsidRPr="00C15118" w:rsidRDefault="007B3529"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ИРП</w:t>
            </w:r>
          </w:p>
        </w:tc>
        <w:tc>
          <w:tcPr>
            <w:tcW w:w="1249" w:type="dxa"/>
          </w:tcPr>
          <w:p w14:paraId="69CDFE1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1E9A5E74" w14:textId="1259814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sidRPr="00A31712">
              <w:rPr>
                <w:rFonts w:asciiTheme="minorHAnsi" w:eastAsia="Cambria" w:hAnsiTheme="minorHAnsi" w:cstheme="minorHAnsi"/>
                <w:sz w:val="20"/>
                <w:szCs w:val="20"/>
              </w:rPr>
              <w:t>x</w:t>
            </w:r>
          </w:p>
        </w:tc>
        <w:tc>
          <w:tcPr>
            <w:tcW w:w="1161" w:type="dxa"/>
          </w:tcPr>
          <w:p w14:paraId="1602AE21"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E01B2C" w:rsidRPr="00A31712" w14:paraId="55A04009" w14:textId="77777777" w:rsidTr="00592C16">
        <w:tc>
          <w:tcPr>
            <w:cnfStyle w:val="001000000000" w:firstRow="0" w:lastRow="0" w:firstColumn="1" w:lastColumn="0" w:oddVBand="0" w:evenVBand="0" w:oddHBand="0" w:evenHBand="0" w:firstRowFirstColumn="0" w:firstRowLastColumn="0" w:lastRowFirstColumn="0" w:lastRowLastColumn="0"/>
            <w:tcW w:w="623" w:type="dxa"/>
          </w:tcPr>
          <w:p w14:paraId="1EACA08F" w14:textId="77777777" w:rsidR="00F2408C" w:rsidRPr="00A31712" w:rsidRDefault="00F2408C" w:rsidP="00F2408C">
            <w:pPr>
              <w:rPr>
                <w:rFonts w:asciiTheme="minorHAnsi" w:eastAsia="Cambria" w:hAnsiTheme="minorHAnsi" w:cstheme="minorHAnsi"/>
                <w:sz w:val="20"/>
                <w:szCs w:val="20"/>
              </w:rPr>
            </w:pPr>
          </w:p>
        </w:tc>
        <w:tc>
          <w:tcPr>
            <w:tcW w:w="8737" w:type="dxa"/>
            <w:gridSpan w:val="5"/>
            <w:shd w:val="clear" w:color="auto" w:fill="DDD9C3" w:themeFill="background2" w:themeFillShade="E6"/>
          </w:tcPr>
          <w:p w14:paraId="3F450366" w14:textId="77A938E3" w:rsidR="00F2408C" w:rsidRPr="00A31712" w:rsidRDefault="009E7BE1"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 xml:space="preserve">Предпоставки за </w:t>
            </w:r>
            <w:r w:rsidR="00B43B3C">
              <w:rPr>
                <w:rFonts w:asciiTheme="minorHAnsi" w:eastAsia="Cambria" w:hAnsiTheme="minorHAnsi" w:cstheme="minorHAnsi"/>
                <w:sz w:val="20"/>
                <w:szCs w:val="20"/>
                <w:lang w:val="bg-BG"/>
              </w:rPr>
              <w:t>прилагане на усъвършенстван ИРП</w:t>
            </w:r>
          </w:p>
        </w:tc>
      </w:tr>
      <w:tr w:rsidR="00D660DA" w:rsidRPr="00A31712" w14:paraId="27D27F12"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62D05A1" w14:textId="5AEEFEB3"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14</w:t>
            </w:r>
          </w:p>
        </w:tc>
        <w:tc>
          <w:tcPr>
            <w:tcW w:w="2847" w:type="dxa"/>
            <w:shd w:val="clear" w:color="auto" w:fill="FFFFFF" w:themeFill="background1"/>
          </w:tcPr>
          <w:p w14:paraId="183DC57C" w14:textId="0982B994" w:rsidR="00F2408C" w:rsidRDefault="00F575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Допълнения към съответната нормативна уредба за въвеждане на положителни исторически данни (не само за просрочия на длъжниците) в Централния кредитен регистър</w:t>
            </w:r>
            <w:r w:rsidR="0050504D">
              <w:rPr>
                <w:rFonts w:asciiTheme="minorHAnsi" w:eastAsia="Cambria" w:hAnsiTheme="minorHAnsi" w:cstheme="minorHAnsi"/>
                <w:sz w:val="20"/>
                <w:szCs w:val="20"/>
                <w:lang w:val="bg-BG"/>
              </w:rPr>
              <w:t xml:space="preserve"> (ЦКР)</w:t>
            </w:r>
          </w:p>
        </w:tc>
        <w:tc>
          <w:tcPr>
            <w:tcW w:w="2117" w:type="dxa"/>
            <w:shd w:val="clear" w:color="auto" w:fill="FFFFFF" w:themeFill="background1"/>
          </w:tcPr>
          <w:p w14:paraId="14CDF147" w14:textId="498F8B3D" w:rsidR="00F2408C" w:rsidRPr="00C15118" w:rsidRDefault="0050504D"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ЦКР или Регистър на ЮЛНЦ</w:t>
            </w:r>
          </w:p>
        </w:tc>
        <w:tc>
          <w:tcPr>
            <w:tcW w:w="1249" w:type="dxa"/>
            <w:shd w:val="clear" w:color="auto" w:fill="FFFFFF" w:themeFill="background1"/>
          </w:tcPr>
          <w:p w14:paraId="3BADF25B"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1B37646D"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37147B7F" w14:textId="74285CB8"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61F7BB3F" w14:textId="77777777" w:rsidTr="00592C16">
        <w:tc>
          <w:tcPr>
            <w:cnfStyle w:val="001000000000" w:firstRow="0" w:lastRow="0" w:firstColumn="1" w:lastColumn="0" w:oddVBand="0" w:evenVBand="0" w:oddHBand="0" w:evenHBand="0" w:firstRowFirstColumn="0" w:firstRowLastColumn="0" w:lastRowFirstColumn="0" w:lastRowLastColumn="0"/>
            <w:tcW w:w="623" w:type="dxa"/>
          </w:tcPr>
          <w:p w14:paraId="654928A7" w14:textId="396CD0BB"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15</w:t>
            </w:r>
          </w:p>
        </w:tc>
        <w:tc>
          <w:tcPr>
            <w:tcW w:w="2847" w:type="dxa"/>
            <w:shd w:val="clear" w:color="auto" w:fill="EEECE1" w:themeFill="background2"/>
          </w:tcPr>
          <w:p w14:paraId="42A97B04" w14:textId="2D963779" w:rsidR="00F2408C" w:rsidRPr="00A31712" w:rsidRDefault="0050504D"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Разработване на електронен инструмент за представяне на годишните отчети пред Търговския регистър и въвеждане на задължителното ми използване</w:t>
            </w:r>
          </w:p>
        </w:tc>
        <w:tc>
          <w:tcPr>
            <w:tcW w:w="2117" w:type="dxa"/>
            <w:shd w:val="clear" w:color="auto" w:fill="EEECE1" w:themeFill="background2"/>
          </w:tcPr>
          <w:p w14:paraId="7AE114F4" w14:textId="3D7A4FA4" w:rsidR="00F2408C" w:rsidRPr="00C15118" w:rsidRDefault="0050504D"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Министерство на икономиката</w:t>
            </w:r>
            <w:r>
              <w:rPr>
                <w:rFonts w:asciiTheme="minorHAnsi" w:eastAsia="Cambria" w:hAnsiTheme="minorHAnsi" w:cstheme="minorHAnsi"/>
                <w:sz w:val="20"/>
                <w:szCs w:val="20"/>
              </w:rPr>
              <w:t xml:space="preserve"> / </w:t>
            </w:r>
            <w:r>
              <w:rPr>
                <w:rFonts w:asciiTheme="minorHAnsi" w:eastAsia="Cambria" w:hAnsiTheme="minorHAnsi" w:cstheme="minorHAnsi"/>
                <w:sz w:val="20"/>
                <w:szCs w:val="20"/>
                <w:lang w:val="bg-BG"/>
              </w:rPr>
              <w:t>Министерство на правосъдието</w:t>
            </w:r>
          </w:p>
        </w:tc>
        <w:tc>
          <w:tcPr>
            <w:tcW w:w="1249" w:type="dxa"/>
            <w:shd w:val="clear" w:color="auto" w:fill="EEECE1" w:themeFill="background2"/>
          </w:tcPr>
          <w:p w14:paraId="27EDBFF1"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EEECE1" w:themeFill="background2"/>
          </w:tcPr>
          <w:p w14:paraId="66E93838"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EEECE1" w:themeFill="background2"/>
          </w:tcPr>
          <w:p w14:paraId="1C1EBAFA" w14:textId="6896739B"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23D09A2C"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BA4878B" w14:textId="22FDB48E"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16</w:t>
            </w:r>
          </w:p>
        </w:tc>
        <w:tc>
          <w:tcPr>
            <w:tcW w:w="2847" w:type="dxa"/>
            <w:shd w:val="clear" w:color="auto" w:fill="FFFFFF" w:themeFill="background1"/>
          </w:tcPr>
          <w:p w14:paraId="61F0B716" w14:textId="082187EA" w:rsidR="00F2408C" w:rsidRDefault="0071438E"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Налагане на формат</w:t>
            </w:r>
            <w:r w:rsidR="00F2408C">
              <w:rPr>
                <w:rFonts w:asciiTheme="minorHAnsi" w:eastAsia="Cambria" w:hAnsiTheme="minorHAnsi" w:cstheme="minorHAnsi"/>
                <w:sz w:val="20"/>
                <w:szCs w:val="20"/>
              </w:rPr>
              <w:t xml:space="preserve"> XBRL (</w:t>
            </w:r>
            <w:r>
              <w:rPr>
                <w:rFonts w:asciiTheme="minorHAnsi" w:eastAsia="Cambria" w:hAnsiTheme="minorHAnsi" w:cstheme="minorHAnsi"/>
                <w:sz w:val="20"/>
                <w:szCs w:val="20"/>
                <w:lang w:val="bg-BG"/>
              </w:rPr>
              <w:t>или друг подобен формат</w:t>
            </w:r>
            <w:r w:rsidR="00F2408C">
              <w:rPr>
                <w:rFonts w:asciiTheme="minorHAnsi" w:eastAsia="Cambria" w:hAnsiTheme="minorHAnsi" w:cstheme="minorHAnsi"/>
                <w:sz w:val="20"/>
                <w:szCs w:val="20"/>
              </w:rPr>
              <w:t xml:space="preserve">) </w:t>
            </w:r>
            <w:r w:rsidR="008C6975">
              <w:rPr>
                <w:rFonts w:asciiTheme="minorHAnsi" w:eastAsia="Cambria" w:hAnsiTheme="minorHAnsi" w:cstheme="minorHAnsi"/>
                <w:sz w:val="20"/>
                <w:szCs w:val="20"/>
                <w:lang w:val="bg-BG"/>
              </w:rPr>
              <w:t xml:space="preserve">като основен механизъм по подразбиране за </w:t>
            </w:r>
            <w:r w:rsidR="008C6975">
              <w:rPr>
                <w:rFonts w:asciiTheme="minorHAnsi" w:eastAsia="Cambria" w:hAnsiTheme="minorHAnsi" w:cstheme="minorHAnsi"/>
                <w:sz w:val="20"/>
                <w:szCs w:val="20"/>
                <w:lang w:val="bg-BG"/>
              </w:rPr>
              <w:lastRenderedPageBreak/>
              <w:t>представяне на годишните отчети</w:t>
            </w:r>
          </w:p>
        </w:tc>
        <w:tc>
          <w:tcPr>
            <w:tcW w:w="2117" w:type="dxa"/>
            <w:shd w:val="clear" w:color="auto" w:fill="FFFFFF" w:themeFill="background1"/>
          </w:tcPr>
          <w:p w14:paraId="6AACADCB" w14:textId="29EE7232" w:rsidR="00F2408C" w:rsidRPr="00C15118" w:rsidRDefault="0050504D"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lastRenderedPageBreak/>
              <w:t>Министерство на икономиката</w:t>
            </w:r>
            <w:r>
              <w:rPr>
                <w:rFonts w:asciiTheme="minorHAnsi" w:eastAsia="Cambria" w:hAnsiTheme="minorHAnsi" w:cstheme="minorHAnsi"/>
                <w:sz w:val="20"/>
                <w:szCs w:val="20"/>
              </w:rPr>
              <w:t xml:space="preserve"> / </w:t>
            </w:r>
            <w:r>
              <w:rPr>
                <w:rFonts w:asciiTheme="minorHAnsi" w:eastAsia="Cambria" w:hAnsiTheme="minorHAnsi" w:cstheme="minorHAnsi"/>
                <w:sz w:val="20"/>
                <w:szCs w:val="20"/>
                <w:lang w:val="bg-BG"/>
              </w:rPr>
              <w:t>Министерство на правосъдието</w:t>
            </w:r>
            <w:r>
              <w:rPr>
                <w:rFonts w:asciiTheme="minorHAnsi" w:eastAsia="Cambria" w:hAnsiTheme="minorHAnsi" w:cstheme="minorHAnsi"/>
                <w:sz w:val="20"/>
                <w:szCs w:val="20"/>
              </w:rPr>
              <w:t xml:space="preserve"> </w:t>
            </w:r>
            <w:r>
              <w:rPr>
                <w:rFonts w:asciiTheme="minorHAnsi" w:eastAsia="Cambria" w:hAnsiTheme="minorHAnsi" w:cstheme="minorHAnsi"/>
                <w:sz w:val="20"/>
                <w:szCs w:val="20"/>
                <w:lang w:val="bg-BG"/>
              </w:rPr>
              <w:t>и</w:t>
            </w:r>
            <w:r w:rsidR="00F2408C">
              <w:rPr>
                <w:rFonts w:asciiTheme="minorHAnsi" w:eastAsia="Cambria" w:hAnsiTheme="minorHAnsi" w:cstheme="minorHAnsi"/>
                <w:sz w:val="20"/>
                <w:szCs w:val="20"/>
              </w:rPr>
              <w:t xml:space="preserve"> </w:t>
            </w:r>
            <w:r>
              <w:rPr>
                <w:rFonts w:asciiTheme="minorHAnsi" w:eastAsia="Cambria" w:hAnsiTheme="minorHAnsi" w:cstheme="minorHAnsi"/>
                <w:sz w:val="20"/>
                <w:szCs w:val="20"/>
                <w:lang w:val="bg-BG"/>
              </w:rPr>
              <w:t xml:space="preserve">ЦКР или Регистър на </w:t>
            </w:r>
            <w:r>
              <w:rPr>
                <w:rFonts w:asciiTheme="minorHAnsi" w:eastAsia="Cambria" w:hAnsiTheme="minorHAnsi" w:cstheme="minorHAnsi"/>
                <w:sz w:val="20"/>
                <w:szCs w:val="20"/>
                <w:lang w:val="bg-BG"/>
              </w:rPr>
              <w:lastRenderedPageBreak/>
              <w:t>ЮЛНЦ</w:t>
            </w:r>
          </w:p>
        </w:tc>
        <w:tc>
          <w:tcPr>
            <w:tcW w:w="1249" w:type="dxa"/>
            <w:shd w:val="clear" w:color="auto" w:fill="FFFFFF" w:themeFill="background1"/>
          </w:tcPr>
          <w:p w14:paraId="7D9426AD"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379CA433"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0F53FAFE" w14:textId="2635C9F9"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2E1BB06B" w14:textId="77777777" w:rsidTr="00592C16">
        <w:tc>
          <w:tcPr>
            <w:cnfStyle w:val="001000000000" w:firstRow="0" w:lastRow="0" w:firstColumn="1" w:lastColumn="0" w:oddVBand="0" w:evenVBand="0" w:oddHBand="0" w:evenHBand="0" w:firstRowFirstColumn="0" w:firstRowLastColumn="0" w:lastRowFirstColumn="0" w:lastRowLastColumn="0"/>
            <w:tcW w:w="623" w:type="dxa"/>
            <w:shd w:val="clear" w:color="auto" w:fill="EEECE1" w:themeFill="background2"/>
          </w:tcPr>
          <w:p w14:paraId="49304723" w14:textId="19A5021A"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17</w:t>
            </w:r>
          </w:p>
        </w:tc>
        <w:tc>
          <w:tcPr>
            <w:tcW w:w="2847" w:type="dxa"/>
            <w:shd w:val="clear" w:color="auto" w:fill="EEECE1" w:themeFill="background2"/>
          </w:tcPr>
          <w:p w14:paraId="5C25DD2F" w14:textId="5A910756" w:rsidR="00F2408C" w:rsidRDefault="00987C99"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Въвеждане на разузнаване на данни и кръстосано засичане на информацията, представена от предприятията пред различните органи, с цел да се установи кои предприятия не са действащи</w:t>
            </w:r>
          </w:p>
        </w:tc>
        <w:tc>
          <w:tcPr>
            <w:tcW w:w="2117" w:type="dxa"/>
            <w:shd w:val="clear" w:color="auto" w:fill="EEECE1" w:themeFill="background2"/>
          </w:tcPr>
          <w:p w14:paraId="33A33B40" w14:textId="7211B2FE" w:rsidR="00F2408C" w:rsidRPr="00C15118" w:rsidRDefault="00F575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Съответните публични органи</w:t>
            </w:r>
          </w:p>
        </w:tc>
        <w:tc>
          <w:tcPr>
            <w:tcW w:w="1249" w:type="dxa"/>
            <w:shd w:val="clear" w:color="auto" w:fill="EEECE1" w:themeFill="background2"/>
          </w:tcPr>
          <w:p w14:paraId="1824E4AA"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EEECE1" w:themeFill="background2"/>
          </w:tcPr>
          <w:p w14:paraId="5A64FC23"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EEECE1" w:themeFill="background2"/>
          </w:tcPr>
          <w:p w14:paraId="6F29B543" w14:textId="2E24D734"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1B012070"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AF247CD" w14:textId="2005786D" w:rsidR="00F2408C" w:rsidRPr="00A31712"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18</w:t>
            </w:r>
          </w:p>
        </w:tc>
        <w:tc>
          <w:tcPr>
            <w:tcW w:w="2847" w:type="dxa"/>
            <w:shd w:val="clear" w:color="auto" w:fill="FFFFFF" w:themeFill="background1"/>
          </w:tcPr>
          <w:p w14:paraId="2BB95512" w14:textId="44765712" w:rsidR="00F2408C" w:rsidRPr="00A31712" w:rsidRDefault="00A36049"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Създаване на частни оператори</w:t>
            </w:r>
            <w:r w:rsidR="00015C59">
              <w:rPr>
                <w:rFonts w:asciiTheme="minorHAnsi" w:eastAsia="Cambria" w:hAnsiTheme="minorHAnsi" w:cstheme="minorHAnsi"/>
                <w:sz w:val="20"/>
                <w:szCs w:val="20"/>
                <w:lang w:val="bg-BG"/>
              </w:rPr>
              <w:t xml:space="preserve"> на кредитна информация, които предоставят </w:t>
            </w:r>
            <w:r w:rsidR="002F31E3">
              <w:rPr>
                <w:rFonts w:asciiTheme="minorHAnsi" w:eastAsia="Cambria" w:hAnsiTheme="minorHAnsi" w:cstheme="minorHAnsi"/>
                <w:sz w:val="20"/>
                <w:szCs w:val="20"/>
                <w:lang w:val="bg-BG"/>
              </w:rPr>
              <w:t>такива услуги като кредитн</w:t>
            </w:r>
            <w:r w:rsidR="00655603">
              <w:rPr>
                <w:rFonts w:asciiTheme="minorHAnsi" w:eastAsia="Cambria" w:hAnsiTheme="minorHAnsi" w:cstheme="minorHAnsi"/>
                <w:sz w:val="20"/>
                <w:szCs w:val="20"/>
                <w:lang w:val="bg-BG"/>
              </w:rPr>
              <w:t xml:space="preserve">а оценка </w:t>
            </w:r>
            <w:r w:rsidR="002F31E3">
              <w:rPr>
                <w:rFonts w:asciiTheme="minorHAnsi" w:eastAsia="Cambria" w:hAnsiTheme="minorHAnsi" w:cstheme="minorHAnsi"/>
                <w:sz w:val="20"/>
                <w:szCs w:val="20"/>
                <w:lang w:val="bg-BG"/>
              </w:rPr>
              <w:t>и измерване на вероятността от неплатежоспособност за 12 месеца напред на основата на историческите данни за кредитоспособността на длъжника</w:t>
            </w:r>
            <w:r w:rsidR="00F2408C" w:rsidDel="00791FB1">
              <w:rPr>
                <w:rFonts w:asciiTheme="minorHAnsi" w:eastAsia="Cambria" w:hAnsiTheme="minorHAnsi" w:cstheme="minorHAnsi"/>
                <w:sz w:val="20"/>
                <w:szCs w:val="20"/>
              </w:rPr>
              <w:t xml:space="preserve"> </w:t>
            </w:r>
          </w:p>
        </w:tc>
        <w:tc>
          <w:tcPr>
            <w:tcW w:w="2117" w:type="dxa"/>
            <w:shd w:val="clear" w:color="auto" w:fill="FFFFFF" w:themeFill="background1"/>
          </w:tcPr>
          <w:p w14:paraId="000165F7" w14:textId="2CCC7EE1" w:rsidR="00F2408C" w:rsidRPr="00C15118" w:rsidRDefault="001030CB"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Министерство на икономиката</w:t>
            </w:r>
          </w:p>
        </w:tc>
        <w:tc>
          <w:tcPr>
            <w:tcW w:w="1249" w:type="dxa"/>
            <w:shd w:val="clear" w:color="auto" w:fill="FFFFFF" w:themeFill="background1"/>
          </w:tcPr>
          <w:p w14:paraId="50B160B6"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3FD817D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60183048" w14:textId="5660A341"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359C6AA3" w14:textId="77777777" w:rsidTr="00592C16">
        <w:tc>
          <w:tcPr>
            <w:cnfStyle w:val="001000000000" w:firstRow="0" w:lastRow="0" w:firstColumn="1" w:lastColumn="0" w:oddVBand="0" w:evenVBand="0" w:oddHBand="0" w:evenHBand="0" w:firstRowFirstColumn="0" w:firstRowLastColumn="0" w:lastRowFirstColumn="0" w:lastRowLastColumn="0"/>
            <w:tcW w:w="623" w:type="dxa"/>
          </w:tcPr>
          <w:p w14:paraId="7302AE0D" w14:textId="7C2DEC8B" w:rsidR="00F2408C" w:rsidRPr="00FA158E" w:rsidRDefault="00F2408C" w:rsidP="00F2408C">
            <w:pPr>
              <w:rPr>
                <w:rFonts w:asciiTheme="minorHAnsi" w:eastAsia="Cambria" w:hAnsiTheme="minorHAnsi" w:cstheme="minorHAnsi"/>
                <w:sz w:val="20"/>
                <w:szCs w:val="20"/>
              </w:rPr>
            </w:pPr>
            <w:r w:rsidRPr="006D50B2">
              <w:rPr>
                <w:rFonts w:asciiTheme="minorHAnsi" w:eastAsia="Cambria" w:hAnsiTheme="minorHAnsi" w:cstheme="minorHAnsi"/>
                <w:sz w:val="20"/>
                <w:szCs w:val="20"/>
              </w:rPr>
              <w:t>19</w:t>
            </w:r>
          </w:p>
        </w:tc>
        <w:tc>
          <w:tcPr>
            <w:tcW w:w="2847" w:type="dxa"/>
            <w:shd w:val="clear" w:color="auto" w:fill="EEECE1" w:themeFill="background2"/>
          </w:tcPr>
          <w:p w14:paraId="48DC203C" w14:textId="2474B4B2" w:rsidR="00F2408C" w:rsidRPr="00A31712" w:rsidRDefault="00AD3F78"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Разработване на инструмент с изкуствен интелект към НАП за измерване на данъчното поведение на длъжниците (чрез прогнозиращи алгоритми) и разширяване на неговата употреба в подкрепа на разработването на пасивен модел на ИРП</w:t>
            </w:r>
          </w:p>
        </w:tc>
        <w:tc>
          <w:tcPr>
            <w:tcW w:w="2117" w:type="dxa"/>
            <w:shd w:val="clear" w:color="auto" w:fill="EEECE1" w:themeFill="background2"/>
          </w:tcPr>
          <w:p w14:paraId="3FCD6CD9" w14:textId="134EF332" w:rsidR="00F2408C" w:rsidRPr="00C15118" w:rsidRDefault="001030CB"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НАП</w:t>
            </w:r>
          </w:p>
        </w:tc>
        <w:tc>
          <w:tcPr>
            <w:tcW w:w="1249" w:type="dxa"/>
            <w:shd w:val="clear" w:color="auto" w:fill="EEECE1" w:themeFill="background2"/>
          </w:tcPr>
          <w:p w14:paraId="46D58C82"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EEECE1" w:themeFill="background2"/>
          </w:tcPr>
          <w:p w14:paraId="097C429A"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EEECE1" w:themeFill="background2"/>
          </w:tcPr>
          <w:p w14:paraId="7F13CC95" w14:textId="5463EBC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D660DA" w:rsidRPr="00A31712" w14:paraId="6AD9E94D" w14:textId="77777777" w:rsidTr="0099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56D77A6" w14:textId="748AB37F" w:rsidR="00F2408C" w:rsidRPr="009933C2" w:rsidRDefault="00F2408C" w:rsidP="00F2408C">
            <w:pPr>
              <w:rPr>
                <w:rFonts w:asciiTheme="minorHAnsi" w:eastAsia="Cambria" w:hAnsiTheme="minorHAnsi" w:cstheme="minorHAnsi"/>
                <w:sz w:val="20"/>
                <w:szCs w:val="20"/>
              </w:rPr>
            </w:pPr>
            <w:r w:rsidRPr="006D50B2">
              <w:rPr>
                <w:rFonts w:asciiTheme="minorHAnsi" w:eastAsia="Cambria" w:hAnsiTheme="minorHAnsi" w:cstheme="minorHAnsi"/>
                <w:sz w:val="20"/>
                <w:szCs w:val="20"/>
              </w:rPr>
              <w:t>20</w:t>
            </w:r>
          </w:p>
        </w:tc>
        <w:tc>
          <w:tcPr>
            <w:tcW w:w="2847" w:type="dxa"/>
            <w:shd w:val="clear" w:color="auto" w:fill="FFFFFF" w:themeFill="background1"/>
          </w:tcPr>
          <w:p w14:paraId="4393E1E3" w14:textId="02198B3D" w:rsidR="00F2408C" w:rsidRPr="006D50B2" w:rsidDel="00BE554B" w:rsidRDefault="009701C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Учебни програми за разработване и разпространение на ноу-хау за професионални оператори, които предоставят продукти за кредитна оценка на основата на статистически модели</w:t>
            </w:r>
          </w:p>
        </w:tc>
        <w:tc>
          <w:tcPr>
            <w:tcW w:w="2117" w:type="dxa"/>
            <w:shd w:val="clear" w:color="auto" w:fill="FFFFFF" w:themeFill="background1"/>
          </w:tcPr>
          <w:p w14:paraId="1B4D9F5A" w14:textId="3D844A1E" w:rsidR="00F2408C" w:rsidRPr="00C15118" w:rsidRDefault="001030CB"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Министерство на икономиката</w:t>
            </w:r>
          </w:p>
        </w:tc>
        <w:tc>
          <w:tcPr>
            <w:tcW w:w="1249" w:type="dxa"/>
            <w:shd w:val="clear" w:color="auto" w:fill="FFFFFF" w:themeFill="background1"/>
          </w:tcPr>
          <w:p w14:paraId="0BE70A0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shd w:val="clear" w:color="auto" w:fill="FFFFFF" w:themeFill="background1"/>
          </w:tcPr>
          <w:p w14:paraId="39786936"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shd w:val="clear" w:color="auto" w:fill="FFFFFF" w:themeFill="background1"/>
          </w:tcPr>
          <w:p w14:paraId="5B691F12" w14:textId="4C309EB6"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r>
      <w:tr w:rsidR="00F2408C" w:rsidRPr="00A31712" w14:paraId="258F6827" w14:textId="7FDED790" w:rsidTr="00F2408C">
        <w:tc>
          <w:tcPr>
            <w:cnfStyle w:val="001000000000" w:firstRow="0" w:lastRow="0" w:firstColumn="1" w:lastColumn="0" w:oddVBand="0" w:evenVBand="0" w:oddHBand="0" w:evenHBand="0" w:firstRowFirstColumn="0" w:firstRowLastColumn="0" w:lastRowFirstColumn="0" w:lastRowLastColumn="0"/>
            <w:tcW w:w="9360" w:type="dxa"/>
            <w:gridSpan w:val="6"/>
          </w:tcPr>
          <w:p w14:paraId="0E3015E0" w14:textId="0E0BD9B1" w:rsidR="00F2408C" w:rsidRPr="0090547E" w:rsidRDefault="00004858" w:rsidP="00BD5A83">
            <w:pPr>
              <w:jc w:val="center"/>
              <w:rPr>
                <w:rFonts w:asciiTheme="minorHAnsi" w:eastAsia="Cambria" w:hAnsiTheme="minorHAnsi" w:cstheme="minorHAnsi"/>
                <w:sz w:val="20"/>
                <w:szCs w:val="20"/>
              </w:rPr>
            </w:pPr>
            <w:r>
              <w:rPr>
                <w:rFonts w:asciiTheme="minorHAnsi" w:eastAsia="Cambria" w:hAnsiTheme="minorHAnsi" w:cstheme="minorHAnsi"/>
                <w:sz w:val="20"/>
                <w:szCs w:val="20"/>
                <w:lang w:val="bg-BG"/>
              </w:rPr>
              <w:t>ПЛАН ЗА ДЕЙСТВИЕ</w:t>
            </w:r>
            <w:r w:rsidR="00F2408C" w:rsidRPr="0090547E">
              <w:rPr>
                <w:rFonts w:asciiTheme="minorHAnsi" w:eastAsia="Cambria" w:hAnsiTheme="minorHAnsi" w:cstheme="minorHAnsi"/>
                <w:sz w:val="20"/>
                <w:szCs w:val="20"/>
              </w:rPr>
              <w:t xml:space="preserve"> (2)</w:t>
            </w:r>
          </w:p>
          <w:p w14:paraId="2300BCA1" w14:textId="18AB2319" w:rsidR="00F2408C" w:rsidRDefault="00004858" w:rsidP="00F2408C">
            <w:pPr>
              <w:jc w:val="center"/>
              <w:rPr>
                <w:rFonts w:asciiTheme="minorHAnsi" w:eastAsia="Cambria" w:hAnsiTheme="minorHAnsi" w:cstheme="minorHAnsi"/>
                <w:i w:val="0"/>
                <w:iCs w:val="0"/>
                <w:sz w:val="20"/>
                <w:szCs w:val="20"/>
              </w:rPr>
            </w:pPr>
            <w:r>
              <w:rPr>
                <w:rFonts w:asciiTheme="minorHAnsi" w:eastAsia="Cambria" w:hAnsiTheme="minorHAnsi" w:cstheme="minorHAnsi"/>
                <w:sz w:val="20"/>
                <w:szCs w:val="20"/>
                <w:lang w:val="bg-BG"/>
              </w:rPr>
              <w:t>РАМКА ЗА ПРЕВАНТИВНО ПРЕСТРУКТУРИРАНЕ</w:t>
            </w:r>
          </w:p>
        </w:tc>
      </w:tr>
      <w:tr w:rsidR="00D660DA" w:rsidRPr="00A31712" w14:paraId="0D17FDC0" w14:textId="6E513624"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4E25280" w14:textId="4FDD2CE4" w:rsidR="00F2408C" w:rsidRDefault="00F2408C" w:rsidP="00F2408C">
            <w:pPr>
              <w:rPr>
                <w:rFonts w:asciiTheme="minorHAnsi" w:eastAsia="Cambria" w:hAnsiTheme="minorHAnsi" w:cstheme="minorHAnsi"/>
                <w:sz w:val="20"/>
                <w:szCs w:val="20"/>
              </w:rPr>
            </w:pPr>
          </w:p>
        </w:tc>
        <w:tc>
          <w:tcPr>
            <w:tcW w:w="2847" w:type="dxa"/>
          </w:tcPr>
          <w:p w14:paraId="5DE3A3AB" w14:textId="6C7B1D2F" w:rsidR="00F2408C" w:rsidRPr="0090547E" w:rsidRDefault="002E1181"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r>
              <w:rPr>
                <w:rFonts w:asciiTheme="minorHAnsi" w:eastAsia="Cambria" w:hAnsiTheme="minorHAnsi" w:cstheme="minorHAnsi"/>
                <w:b/>
                <w:bCs/>
                <w:sz w:val="20"/>
                <w:szCs w:val="20"/>
                <w:lang w:val="bg-BG"/>
              </w:rPr>
              <w:t>Дейности</w:t>
            </w:r>
          </w:p>
          <w:p w14:paraId="0983E97F" w14:textId="1391DD4E" w:rsidR="00F2408C" w:rsidRPr="0090547E"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p>
        </w:tc>
        <w:tc>
          <w:tcPr>
            <w:tcW w:w="2117" w:type="dxa"/>
          </w:tcPr>
          <w:p w14:paraId="24A15D51" w14:textId="420751AC" w:rsidR="00F2408C" w:rsidRPr="00A31712" w:rsidRDefault="002E1181"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b/>
                <w:bCs/>
                <w:sz w:val="20"/>
                <w:szCs w:val="20"/>
                <w:lang w:val="bg-BG"/>
              </w:rPr>
              <w:t>Отговорник</w:t>
            </w:r>
          </w:p>
        </w:tc>
        <w:tc>
          <w:tcPr>
            <w:tcW w:w="1249" w:type="dxa"/>
          </w:tcPr>
          <w:p w14:paraId="5D85BE65" w14:textId="09F9D79B" w:rsidR="00F2408C" w:rsidRPr="00A31712" w:rsidRDefault="002E1181"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b/>
                <w:bCs/>
                <w:sz w:val="20"/>
                <w:szCs w:val="20"/>
                <w:lang w:val="bg-BG"/>
              </w:rPr>
              <w:t>Краткосрочни (до 6 месеца)</w:t>
            </w:r>
          </w:p>
        </w:tc>
        <w:tc>
          <w:tcPr>
            <w:tcW w:w="1363" w:type="dxa"/>
          </w:tcPr>
          <w:p w14:paraId="56FF5CA6" w14:textId="3F379465" w:rsidR="002E1181" w:rsidRPr="00A31712" w:rsidRDefault="002E1181" w:rsidP="002E1181">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b/>
                <w:bCs/>
                <w:sz w:val="20"/>
                <w:szCs w:val="20"/>
                <w:lang w:val="bg-BG"/>
              </w:rPr>
              <w:t>Средносрочни (до 12 месеца)</w:t>
            </w:r>
          </w:p>
          <w:p w14:paraId="6EE61DF4" w14:textId="10A2A9A4"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C96F21F"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
                <w:bCs/>
                <w:sz w:val="20"/>
                <w:szCs w:val="20"/>
              </w:rPr>
            </w:pPr>
          </w:p>
        </w:tc>
      </w:tr>
      <w:tr w:rsidR="00D660DA" w:rsidRPr="00A31712" w14:paraId="13606A3F" w14:textId="05D37099" w:rsidTr="00592C16">
        <w:tc>
          <w:tcPr>
            <w:cnfStyle w:val="001000000000" w:firstRow="0" w:lastRow="0" w:firstColumn="1" w:lastColumn="0" w:oddVBand="0" w:evenVBand="0" w:oddHBand="0" w:evenHBand="0" w:firstRowFirstColumn="0" w:firstRowLastColumn="0" w:lastRowFirstColumn="0" w:lastRowLastColumn="0"/>
            <w:tcW w:w="623" w:type="dxa"/>
          </w:tcPr>
          <w:p w14:paraId="27B3E2EE" w14:textId="77777777" w:rsidR="00F2408C" w:rsidRPr="0090547E" w:rsidRDefault="00F2408C" w:rsidP="00F2408C">
            <w:pPr>
              <w:rPr>
                <w:rFonts w:asciiTheme="minorHAnsi" w:eastAsia="Cambria" w:hAnsiTheme="minorHAnsi" w:cstheme="minorHAnsi"/>
                <w:sz w:val="20"/>
                <w:szCs w:val="20"/>
              </w:rPr>
            </w:pPr>
          </w:p>
          <w:p w14:paraId="2A7BC9CC" w14:textId="6B79278E" w:rsidR="00F2408C" w:rsidRPr="0090547E" w:rsidRDefault="00F2408C" w:rsidP="009933C2">
            <w:pPr>
              <w:jc w:val="center"/>
              <w:rPr>
                <w:rFonts w:asciiTheme="minorHAnsi" w:eastAsia="Cambria" w:hAnsiTheme="minorHAnsi" w:cstheme="minorHAnsi"/>
                <w:sz w:val="20"/>
                <w:szCs w:val="20"/>
              </w:rPr>
            </w:pPr>
            <w:r>
              <w:rPr>
                <w:rFonts w:asciiTheme="minorHAnsi" w:eastAsia="Cambria" w:hAnsiTheme="minorHAnsi" w:cstheme="minorHAnsi"/>
                <w:sz w:val="20"/>
                <w:szCs w:val="20"/>
              </w:rPr>
              <w:t>21</w:t>
            </w:r>
          </w:p>
        </w:tc>
        <w:tc>
          <w:tcPr>
            <w:tcW w:w="2847" w:type="dxa"/>
          </w:tcPr>
          <w:p w14:paraId="69F96A47" w14:textId="623A6BD6" w:rsidR="00F2408C" w:rsidRPr="0090547E" w:rsidRDefault="00F70349"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 xml:space="preserve">Създаване на работна група за изготвяне на </w:t>
            </w:r>
            <w:r>
              <w:rPr>
                <w:rFonts w:asciiTheme="minorHAnsi" w:eastAsia="Cambria" w:hAnsiTheme="minorHAnsi" w:cstheme="minorHAnsi"/>
                <w:sz w:val="20"/>
                <w:szCs w:val="20"/>
                <w:lang w:val="bg-BG"/>
              </w:rPr>
              <w:lastRenderedPageBreak/>
              <w:t xml:space="preserve">проект за изменение и допълнение на Част </w:t>
            </w:r>
            <w:r>
              <w:rPr>
                <w:rFonts w:asciiTheme="minorHAnsi" w:eastAsia="Cambria" w:hAnsiTheme="minorHAnsi" w:cstheme="minorHAnsi"/>
                <w:sz w:val="20"/>
                <w:szCs w:val="20"/>
                <w:lang w:val="en-GB"/>
              </w:rPr>
              <w:t>V</w:t>
            </w:r>
            <w:r>
              <w:rPr>
                <w:rFonts w:asciiTheme="minorHAnsi" w:eastAsia="Cambria" w:hAnsiTheme="minorHAnsi" w:cstheme="minorHAnsi"/>
                <w:sz w:val="20"/>
                <w:szCs w:val="20"/>
                <w:lang w:val="bg-BG"/>
              </w:rPr>
              <w:t xml:space="preserve"> </w:t>
            </w:r>
            <w:r w:rsidR="006432F4">
              <w:rPr>
                <w:rFonts w:asciiTheme="minorHAnsi" w:eastAsia="Cambria" w:hAnsiTheme="minorHAnsi" w:cstheme="minorHAnsi"/>
                <w:sz w:val="20"/>
                <w:szCs w:val="20"/>
                <w:lang w:val="bg-BG"/>
              </w:rPr>
              <w:t>и други разпоредби на</w:t>
            </w:r>
            <w:r>
              <w:rPr>
                <w:rFonts w:asciiTheme="minorHAnsi" w:eastAsia="Cambria" w:hAnsiTheme="minorHAnsi" w:cstheme="minorHAnsi"/>
                <w:sz w:val="20"/>
                <w:szCs w:val="20"/>
                <w:lang w:val="bg-BG"/>
              </w:rPr>
              <w:t xml:space="preserve"> ТЗ </w:t>
            </w:r>
            <w:r w:rsidR="006432F4">
              <w:rPr>
                <w:rFonts w:asciiTheme="minorHAnsi" w:eastAsia="Cambria" w:hAnsiTheme="minorHAnsi" w:cstheme="minorHAnsi"/>
                <w:sz w:val="20"/>
                <w:szCs w:val="20"/>
                <w:lang w:val="bg-BG"/>
              </w:rPr>
              <w:t>или други закони, които може да влизат в противоречие с Директивата (например нормативна уредба в областта на дружественото, трудовото и данъчното право)</w:t>
            </w:r>
          </w:p>
        </w:tc>
        <w:tc>
          <w:tcPr>
            <w:tcW w:w="2117" w:type="dxa"/>
          </w:tcPr>
          <w:p w14:paraId="206F1776" w14:textId="3DE1C466" w:rsidR="00F2408C" w:rsidRPr="00A31712" w:rsidRDefault="0028479B"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lastRenderedPageBreak/>
              <w:t>Министерство на правосъдието</w:t>
            </w:r>
            <w:r w:rsidR="00F2408C" w:rsidRPr="00A31712">
              <w:rPr>
                <w:rFonts w:asciiTheme="minorHAnsi" w:eastAsia="Cambria" w:hAnsiTheme="minorHAnsi" w:cstheme="minorHAnsi"/>
                <w:sz w:val="20"/>
                <w:szCs w:val="20"/>
              </w:rPr>
              <w:t xml:space="preserve"> </w:t>
            </w:r>
          </w:p>
        </w:tc>
        <w:tc>
          <w:tcPr>
            <w:tcW w:w="1249" w:type="dxa"/>
          </w:tcPr>
          <w:p w14:paraId="60E3D265" w14:textId="7F977169"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1F0B664D"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B934F30"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4495487D" w14:textId="7D51A15A"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6AF6798" w14:textId="75875594"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22</w:t>
            </w:r>
          </w:p>
        </w:tc>
        <w:tc>
          <w:tcPr>
            <w:tcW w:w="2847" w:type="dxa"/>
          </w:tcPr>
          <w:p w14:paraId="02261235" w14:textId="59896077" w:rsidR="00F2408C" w:rsidRPr="0090547E" w:rsidRDefault="0028479B"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Приемане на принципите за извънсъдебни споразумение и работни насоки като кодекс за поведение на участниците, особено за опазване на поверителността</w:t>
            </w:r>
          </w:p>
        </w:tc>
        <w:tc>
          <w:tcPr>
            <w:tcW w:w="2117" w:type="dxa"/>
          </w:tcPr>
          <w:p w14:paraId="09952285" w14:textId="60C6F037" w:rsidR="00F2408C" w:rsidRPr="00A31712" w:rsidRDefault="0028479B"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БНБ в партньорство с Министерство на финансите</w:t>
            </w:r>
          </w:p>
        </w:tc>
        <w:tc>
          <w:tcPr>
            <w:tcW w:w="1249" w:type="dxa"/>
          </w:tcPr>
          <w:p w14:paraId="395A02B0"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4D25F783" w14:textId="6FE6D28F"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3FA7ED63"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684D9E36" w14:textId="284AB3D3" w:rsidTr="00592C16">
        <w:tc>
          <w:tcPr>
            <w:cnfStyle w:val="001000000000" w:firstRow="0" w:lastRow="0" w:firstColumn="1" w:lastColumn="0" w:oddVBand="0" w:evenVBand="0" w:oddHBand="0" w:evenHBand="0" w:firstRowFirstColumn="0" w:firstRowLastColumn="0" w:lastRowFirstColumn="0" w:lastRowLastColumn="0"/>
            <w:tcW w:w="623" w:type="dxa"/>
          </w:tcPr>
          <w:p w14:paraId="2E0AAC77" w14:textId="4AD83B5B"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23</w:t>
            </w:r>
          </w:p>
        </w:tc>
        <w:tc>
          <w:tcPr>
            <w:tcW w:w="2847" w:type="dxa"/>
          </w:tcPr>
          <w:p w14:paraId="6A872EE3" w14:textId="794E34DC" w:rsidR="00F2408C" w:rsidRPr="0090547E" w:rsidRDefault="009A2626"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Разработване на инструменти (например контролни списъци) за подпомагане на длъжниците сред МСП с организиран подход към преструктурирането</w:t>
            </w:r>
          </w:p>
        </w:tc>
        <w:tc>
          <w:tcPr>
            <w:tcW w:w="2117" w:type="dxa"/>
          </w:tcPr>
          <w:p w14:paraId="5F1EBC9D" w14:textId="3C90408A" w:rsidR="00F2408C" w:rsidRPr="00A31712" w:rsidRDefault="009A2626"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Министерство на икономиката</w:t>
            </w:r>
            <w:r w:rsidR="00F2408C">
              <w:rPr>
                <w:rFonts w:asciiTheme="minorHAnsi" w:eastAsia="Cambria" w:hAnsiTheme="minorHAnsi" w:cstheme="minorHAnsi"/>
                <w:sz w:val="20"/>
                <w:szCs w:val="20"/>
              </w:rPr>
              <w:t xml:space="preserve"> / </w:t>
            </w:r>
            <w:r>
              <w:rPr>
                <w:rFonts w:asciiTheme="minorHAnsi" w:eastAsia="Cambria" w:hAnsiTheme="minorHAnsi" w:cstheme="minorHAnsi"/>
                <w:sz w:val="20"/>
                <w:szCs w:val="20"/>
                <w:lang w:val="bg-BG"/>
              </w:rPr>
              <w:t>ИАНМСП</w:t>
            </w:r>
          </w:p>
        </w:tc>
        <w:tc>
          <w:tcPr>
            <w:tcW w:w="1249" w:type="dxa"/>
          </w:tcPr>
          <w:p w14:paraId="3936C06E" w14:textId="0528BD4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04811D4C" w14:textId="06F0F92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54E17CB8"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6496350E" w14:textId="697A7B3A"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386BAC2E" w14:textId="4FA83B6C"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24</w:t>
            </w:r>
          </w:p>
        </w:tc>
        <w:tc>
          <w:tcPr>
            <w:tcW w:w="2847" w:type="dxa"/>
          </w:tcPr>
          <w:p w14:paraId="15B94258" w14:textId="13F0308E" w:rsidR="00F2408C" w:rsidRPr="0090547E" w:rsidRDefault="00A1185F"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Осъществяване на нормотворческия процес за допълване на ТЗ с оглед на въвеждането на ускорено производство за МСП</w:t>
            </w:r>
          </w:p>
        </w:tc>
        <w:tc>
          <w:tcPr>
            <w:tcW w:w="2117" w:type="dxa"/>
          </w:tcPr>
          <w:p w14:paraId="7F32F771" w14:textId="488618A2"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614BA335" w14:textId="074E06D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DC11D85" w14:textId="679CD96D"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AD65EDA" w14:textId="77777777" w:rsidR="00F2408C" w:rsidRPr="00A31712" w:rsidRDefault="00F2408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1BE0C69C" w14:textId="2D01918F" w:rsidTr="00592C16">
        <w:tc>
          <w:tcPr>
            <w:cnfStyle w:val="001000000000" w:firstRow="0" w:lastRow="0" w:firstColumn="1" w:lastColumn="0" w:oddVBand="0" w:evenVBand="0" w:oddHBand="0" w:evenHBand="0" w:firstRowFirstColumn="0" w:firstRowLastColumn="0" w:lastRowFirstColumn="0" w:lastRowLastColumn="0"/>
            <w:tcW w:w="623" w:type="dxa"/>
          </w:tcPr>
          <w:p w14:paraId="04BB60E7" w14:textId="099F8B2B"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25</w:t>
            </w:r>
          </w:p>
        </w:tc>
        <w:tc>
          <w:tcPr>
            <w:tcW w:w="2847" w:type="dxa"/>
          </w:tcPr>
          <w:p w14:paraId="238124E2" w14:textId="212AF839" w:rsidR="00F2408C" w:rsidRPr="0090547E" w:rsidRDefault="00B13F6A"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Въвеждане на производства с предварително изготвени планове с възможност за утвърждаване от съда на извънсъдебно договорен и одобрен от кредиторите план</w:t>
            </w:r>
            <w:r w:rsidR="00F2408C" w:rsidRPr="0090547E">
              <w:rPr>
                <w:rFonts w:asciiTheme="minorHAnsi" w:eastAsia="Cambria" w:hAnsiTheme="minorHAnsi" w:cstheme="minorHAnsi"/>
                <w:sz w:val="20"/>
                <w:szCs w:val="20"/>
              </w:rPr>
              <w:t xml:space="preserve"> </w:t>
            </w:r>
          </w:p>
        </w:tc>
        <w:tc>
          <w:tcPr>
            <w:tcW w:w="2117" w:type="dxa"/>
          </w:tcPr>
          <w:p w14:paraId="2C70B6F6" w14:textId="6B5D6931"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7B27D26E" w14:textId="57690A38"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41C0C8B6" w14:textId="73B9F54F"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039F5EA"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26775ED8" w14:textId="3A9BD91E"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54D0AB70" w14:textId="588820AC"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26</w:t>
            </w:r>
          </w:p>
        </w:tc>
        <w:tc>
          <w:tcPr>
            <w:tcW w:w="2847" w:type="dxa"/>
          </w:tcPr>
          <w:p w14:paraId="644DD395" w14:textId="687BC705" w:rsidR="00F2408C" w:rsidRPr="0090547E" w:rsidRDefault="002544CC"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Задълбочен анализ на разпоредбите на ТЗ с оглед на привеждането им в съответствие с формулировките в Директивата</w:t>
            </w:r>
          </w:p>
        </w:tc>
        <w:tc>
          <w:tcPr>
            <w:tcW w:w="2117" w:type="dxa"/>
          </w:tcPr>
          <w:p w14:paraId="18BAEA8D" w14:textId="109C9E45"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55C4DA85" w14:textId="4004D84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7BFFFC1A" w14:textId="14E9E9F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07E515D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1141B7B6" w14:textId="7A838695" w:rsidTr="00592C16">
        <w:tc>
          <w:tcPr>
            <w:cnfStyle w:val="001000000000" w:firstRow="0" w:lastRow="0" w:firstColumn="1" w:lastColumn="0" w:oddVBand="0" w:evenVBand="0" w:oddHBand="0" w:evenHBand="0" w:firstRowFirstColumn="0" w:firstRowLastColumn="0" w:lastRowFirstColumn="0" w:lastRowLastColumn="0"/>
            <w:tcW w:w="623" w:type="dxa"/>
          </w:tcPr>
          <w:p w14:paraId="1FB99AB1" w14:textId="167C60AA"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27</w:t>
            </w:r>
          </w:p>
        </w:tc>
        <w:tc>
          <w:tcPr>
            <w:tcW w:w="2847" w:type="dxa"/>
          </w:tcPr>
          <w:p w14:paraId="2E702E53" w14:textId="15259009" w:rsidR="00F2408C" w:rsidRPr="0090547E" w:rsidRDefault="006D3038"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Включване на списък с определения на основните понятия и принципи във връзка с превантивното преструктуриране</w:t>
            </w:r>
          </w:p>
        </w:tc>
        <w:tc>
          <w:tcPr>
            <w:tcW w:w="2117" w:type="dxa"/>
          </w:tcPr>
          <w:p w14:paraId="20ADFE92" w14:textId="6A80A2D7"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4E0BE767" w14:textId="7068F8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9B93562" w14:textId="0610DD2E"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22CF0C26"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50A5C724" w14:textId="7C11D7C1"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27E2D8D" w14:textId="3C950E22"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28</w:t>
            </w:r>
          </w:p>
        </w:tc>
        <w:tc>
          <w:tcPr>
            <w:tcW w:w="2847" w:type="dxa"/>
          </w:tcPr>
          <w:p w14:paraId="6DA671CE" w14:textId="5A11CA37" w:rsidR="00F2408C" w:rsidRPr="0090547E" w:rsidRDefault="00643890"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 xml:space="preserve">Изрично въвеждане на възможност за преобразуване на </w:t>
            </w:r>
            <w:r>
              <w:rPr>
                <w:rFonts w:asciiTheme="minorHAnsi" w:eastAsia="Cambria" w:hAnsiTheme="minorHAnsi" w:cstheme="minorHAnsi"/>
                <w:sz w:val="20"/>
                <w:szCs w:val="20"/>
                <w:lang w:val="bg-BG"/>
              </w:rPr>
              <w:lastRenderedPageBreak/>
              <w:t>производството от производство по превантивно преструктуриране в производство по несъстоятелност и обратно</w:t>
            </w:r>
          </w:p>
        </w:tc>
        <w:tc>
          <w:tcPr>
            <w:tcW w:w="2117" w:type="dxa"/>
          </w:tcPr>
          <w:p w14:paraId="2568E825" w14:textId="22A65272"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lastRenderedPageBreak/>
              <w:t>Работна група на Министерство на правосъдието</w:t>
            </w:r>
          </w:p>
        </w:tc>
        <w:tc>
          <w:tcPr>
            <w:tcW w:w="1249" w:type="dxa"/>
          </w:tcPr>
          <w:p w14:paraId="449E941B" w14:textId="5001D77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12A4A049" w14:textId="71B310EB"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38F1208"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021CEC15" w14:textId="32B38DC1" w:rsidTr="00592C16">
        <w:tc>
          <w:tcPr>
            <w:cnfStyle w:val="001000000000" w:firstRow="0" w:lastRow="0" w:firstColumn="1" w:lastColumn="0" w:oddVBand="0" w:evenVBand="0" w:oddHBand="0" w:evenHBand="0" w:firstRowFirstColumn="0" w:firstRowLastColumn="0" w:lastRowFirstColumn="0" w:lastRowLastColumn="0"/>
            <w:tcW w:w="623" w:type="dxa"/>
          </w:tcPr>
          <w:p w14:paraId="6E5F31BC" w14:textId="3D4C06EB" w:rsidR="00F2408C" w:rsidRPr="0090547E" w:rsidRDefault="00F2408C" w:rsidP="00F2408C">
            <w:pPr>
              <w:rPr>
                <w:rFonts w:asciiTheme="minorHAnsi" w:eastAsia="Cambria" w:hAnsiTheme="minorHAnsi" w:cstheme="minorHAnsi"/>
                <w:sz w:val="20"/>
                <w:szCs w:val="20"/>
              </w:rPr>
            </w:pPr>
            <w:r w:rsidRPr="0090547E">
              <w:rPr>
                <w:rFonts w:asciiTheme="minorHAnsi" w:eastAsia="Cambria" w:hAnsiTheme="minorHAnsi" w:cstheme="minorHAnsi"/>
                <w:sz w:val="20"/>
                <w:szCs w:val="20"/>
              </w:rPr>
              <w:t>2</w:t>
            </w:r>
            <w:r>
              <w:rPr>
                <w:rFonts w:asciiTheme="minorHAnsi" w:eastAsia="Cambria" w:hAnsiTheme="minorHAnsi" w:cstheme="minorHAnsi"/>
                <w:sz w:val="20"/>
                <w:szCs w:val="20"/>
              </w:rPr>
              <w:t>9</w:t>
            </w:r>
          </w:p>
        </w:tc>
        <w:tc>
          <w:tcPr>
            <w:tcW w:w="2847" w:type="dxa"/>
          </w:tcPr>
          <w:p w14:paraId="5503EAD0" w14:textId="0862B21B" w:rsidR="00F2408C" w:rsidRPr="0090547E" w:rsidRDefault="00A12FB9"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Обсъждане на възможностите за опростяване на теста за неплатежоспособност на длъжника, евентуално с премахване на разликата между юридически и физически лица по отношение на определянето на неплатежоспособността на длъжника</w:t>
            </w:r>
          </w:p>
        </w:tc>
        <w:tc>
          <w:tcPr>
            <w:tcW w:w="2117" w:type="dxa"/>
          </w:tcPr>
          <w:p w14:paraId="12540E99" w14:textId="116E9CDC"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3DC0BFAD" w14:textId="7D9D05C6"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6861D40" w14:textId="0BF36742"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2D51FE94"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50391043" w14:textId="3DA048F6"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9143026" w14:textId="57752034"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30</w:t>
            </w:r>
          </w:p>
        </w:tc>
        <w:tc>
          <w:tcPr>
            <w:tcW w:w="2847" w:type="dxa"/>
          </w:tcPr>
          <w:p w14:paraId="1688169F" w14:textId="37CFB1B1" w:rsidR="00F2408C" w:rsidRPr="0090547E" w:rsidRDefault="00B86A9A"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Регламентиране на назначаването на синдик като „посредник“ в преговорите само като възможност (а не задължително)</w:t>
            </w:r>
            <w:r w:rsidR="00504829">
              <w:rPr>
                <w:rFonts w:asciiTheme="minorHAnsi" w:eastAsia="Cambria" w:hAnsiTheme="minorHAnsi" w:cstheme="minorHAnsi"/>
                <w:sz w:val="20"/>
                <w:szCs w:val="20"/>
                <w:lang w:val="bg-BG"/>
              </w:rPr>
              <w:t xml:space="preserve"> в ограничени случаи според обстоятелствата</w:t>
            </w:r>
          </w:p>
        </w:tc>
        <w:tc>
          <w:tcPr>
            <w:tcW w:w="2117" w:type="dxa"/>
          </w:tcPr>
          <w:p w14:paraId="7DD88C21" w14:textId="01641B59"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7784BAEE" w14:textId="336E9C72"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A0440D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91BCD00"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2EDFA9BE" w14:textId="4A94455A" w:rsidTr="00592C16">
        <w:tc>
          <w:tcPr>
            <w:cnfStyle w:val="001000000000" w:firstRow="0" w:lastRow="0" w:firstColumn="1" w:lastColumn="0" w:oddVBand="0" w:evenVBand="0" w:oddHBand="0" w:evenHBand="0" w:firstRowFirstColumn="0" w:firstRowLastColumn="0" w:lastRowFirstColumn="0" w:lastRowLastColumn="0"/>
            <w:tcW w:w="623" w:type="dxa"/>
          </w:tcPr>
          <w:p w14:paraId="60844847" w14:textId="08A4686F"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31</w:t>
            </w:r>
          </w:p>
        </w:tc>
        <w:tc>
          <w:tcPr>
            <w:tcW w:w="2847" w:type="dxa"/>
          </w:tcPr>
          <w:p w14:paraId="4DD5A52F" w14:textId="4FC5DFCF" w:rsidR="00F2408C" w:rsidRPr="0090547E" w:rsidRDefault="009D678C"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 xml:space="preserve">Недопускане на ситуации, в които кредиторите, обхванати от спирането, не изпълняват, прекратяват или изменят съществени договори заради задължения, възникнали преди датата на спирането, единствено </w:t>
            </w:r>
            <w:r w:rsidR="002923F8">
              <w:rPr>
                <w:rFonts w:asciiTheme="minorHAnsi" w:eastAsia="Cambria" w:hAnsiTheme="minorHAnsi" w:cstheme="minorHAnsi"/>
                <w:sz w:val="20"/>
                <w:szCs w:val="20"/>
                <w:lang w:val="bg-BG"/>
              </w:rPr>
              <w:t>поради обстоятелството, че не са получили плащане от длъжника</w:t>
            </w:r>
          </w:p>
        </w:tc>
        <w:tc>
          <w:tcPr>
            <w:tcW w:w="2117" w:type="dxa"/>
          </w:tcPr>
          <w:p w14:paraId="182ECA4D" w14:textId="75EC89F4"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5613B7B9" w14:textId="0EFF4CFC"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4D7C268C"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5356B0F"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77B9DED1" w14:textId="5D58DE5D"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6B15309F" w14:textId="0FFBE269"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32</w:t>
            </w:r>
          </w:p>
        </w:tc>
        <w:tc>
          <w:tcPr>
            <w:tcW w:w="2847" w:type="dxa"/>
          </w:tcPr>
          <w:p w14:paraId="26F743AB" w14:textId="5B519671" w:rsidR="00F2408C" w:rsidRPr="0090547E" w:rsidRDefault="002923F8"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Преосмисляне и ограничаване до минимум на изискванията във връзка с молбата за откриване на производство, като се сведат единствено до необходимите да се установи, че: (1) длъжникът има жизнеспособно предприятие и (2) има вероятност предприятието да изпадне в неплатежоспособност</w:t>
            </w:r>
          </w:p>
        </w:tc>
        <w:tc>
          <w:tcPr>
            <w:tcW w:w="2117" w:type="dxa"/>
          </w:tcPr>
          <w:p w14:paraId="76EBACFE" w14:textId="479BC382"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4A587D1D" w14:textId="78D3E48E"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FC4B0A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5576D4D"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4EA9C494" w14:textId="760902CE" w:rsidTr="00592C16">
        <w:tc>
          <w:tcPr>
            <w:cnfStyle w:val="001000000000" w:firstRow="0" w:lastRow="0" w:firstColumn="1" w:lastColumn="0" w:oddVBand="0" w:evenVBand="0" w:oddHBand="0" w:evenHBand="0" w:firstRowFirstColumn="0" w:firstRowLastColumn="0" w:lastRowFirstColumn="0" w:lastRowLastColumn="0"/>
            <w:tcW w:w="623" w:type="dxa"/>
          </w:tcPr>
          <w:p w14:paraId="2AA37034" w14:textId="4BA300AD"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lastRenderedPageBreak/>
              <w:t>33</w:t>
            </w:r>
          </w:p>
        </w:tc>
        <w:tc>
          <w:tcPr>
            <w:tcW w:w="2847" w:type="dxa"/>
          </w:tcPr>
          <w:p w14:paraId="5B14552E" w14:textId="14B5B0E7" w:rsidR="00F2408C" w:rsidRPr="0090547E" w:rsidRDefault="00DF4E76"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Даване на възможност на длъжника да приложи доклад за жизнеспособността към останалите изисквани документи при подаване на молбата</w:t>
            </w:r>
          </w:p>
        </w:tc>
        <w:tc>
          <w:tcPr>
            <w:tcW w:w="2117" w:type="dxa"/>
          </w:tcPr>
          <w:p w14:paraId="36149AD5" w14:textId="76704833"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4F849E0B" w14:textId="328CCDEA"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DAFDC78" w14:textId="5EC44C2B"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2BD7EE3"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0B93837D" w14:textId="4AB9B397"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4C5FDECD" w14:textId="764840D4"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34</w:t>
            </w:r>
          </w:p>
        </w:tc>
        <w:tc>
          <w:tcPr>
            <w:tcW w:w="2847" w:type="dxa"/>
          </w:tcPr>
          <w:p w14:paraId="14F32A9A" w14:textId="04C742B1" w:rsidR="00F2408C" w:rsidRPr="0090547E" w:rsidRDefault="0058646D"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Опростяване на разделянето на кредиторите по класове</w:t>
            </w:r>
          </w:p>
        </w:tc>
        <w:tc>
          <w:tcPr>
            <w:tcW w:w="2117" w:type="dxa"/>
          </w:tcPr>
          <w:p w14:paraId="4FB61E66" w14:textId="1CCF9994"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18B921B3" w14:textId="6D991600"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114E800F"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512B7BA0"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72C943C4" w14:textId="0C3285D1" w:rsidTr="00592C16">
        <w:tc>
          <w:tcPr>
            <w:cnfStyle w:val="001000000000" w:firstRow="0" w:lastRow="0" w:firstColumn="1" w:lastColumn="0" w:oddVBand="0" w:evenVBand="0" w:oddHBand="0" w:evenHBand="0" w:firstRowFirstColumn="0" w:firstRowLastColumn="0" w:lastRowFirstColumn="0" w:lastRowLastColumn="0"/>
            <w:tcW w:w="623" w:type="dxa"/>
          </w:tcPr>
          <w:p w14:paraId="066BA4D4" w14:textId="123E2D60"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35</w:t>
            </w:r>
          </w:p>
        </w:tc>
        <w:tc>
          <w:tcPr>
            <w:tcW w:w="2847" w:type="dxa"/>
          </w:tcPr>
          <w:p w14:paraId="6A9F0B84" w14:textId="748B8EE5" w:rsidR="00F2408C" w:rsidRPr="0090547E" w:rsidRDefault="00E876CA"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Допускане на възможността група кредитори с обективно общи интереси да образуват отделен клас</w:t>
            </w:r>
          </w:p>
        </w:tc>
        <w:tc>
          <w:tcPr>
            <w:tcW w:w="2117" w:type="dxa"/>
          </w:tcPr>
          <w:p w14:paraId="7289B120" w14:textId="2F2D0DE9"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275D013A" w14:textId="7339059C"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3604D76D"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09444A7E"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09734D6C" w14:textId="1BEA73A8"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92A1E57" w14:textId="460EC391"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36</w:t>
            </w:r>
          </w:p>
        </w:tc>
        <w:tc>
          <w:tcPr>
            <w:tcW w:w="2847" w:type="dxa"/>
          </w:tcPr>
          <w:p w14:paraId="4FDAAB7A" w14:textId="7B145D05" w:rsidR="00F2408C" w:rsidRPr="0090547E" w:rsidRDefault="00E01B2C"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Обсъждане на възможността за нотифициране на плана по електронен път</w:t>
            </w:r>
          </w:p>
        </w:tc>
        <w:tc>
          <w:tcPr>
            <w:tcW w:w="2117" w:type="dxa"/>
          </w:tcPr>
          <w:p w14:paraId="12F136D3" w14:textId="114ABE14"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4AD0E56A"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4AFDE627" w14:textId="24EDE03C"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0C63AA22"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0DD91216" w14:textId="6682935F" w:rsidTr="00592C16">
        <w:tc>
          <w:tcPr>
            <w:cnfStyle w:val="001000000000" w:firstRow="0" w:lastRow="0" w:firstColumn="1" w:lastColumn="0" w:oddVBand="0" w:evenVBand="0" w:oddHBand="0" w:evenHBand="0" w:firstRowFirstColumn="0" w:firstRowLastColumn="0" w:lastRowFirstColumn="0" w:lastRowLastColumn="0"/>
            <w:tcW w:w="623" w:type="dxa"/>
          </w:tcPr>
          <w:p w14:paraId="25C155BE" w14:textId="7C2844C7"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37</w:t>
            </w:r>
          </w:p>
        </w:tc>
        <w:tc>
          <w:tcPr>
            <w:tcW w:w="2847" w:type="dxa"/>
          </w:tcPr>
          <w:p w14:paraId="05031DEA" w14:textId="65F4AEB1" w:rsidR="00F2408C" w:rsidRPr="0090547E" w:rsidRDefault="00FA591D"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Въвеждане на разпоредби за принудително налагане между класове кредитори с предпочитание за правилата на абсолютния приоритет пред правилата за относителния приоритет</w:t>
            </w:r>
          </w:p>
        </w:tc>
        <w:tc>
          <w:tcPr>
            <w:tcW w:w="2117" w:type="dxa"/>
          </w:tcPr>
          <w:p w14:paraId="639F3CD9" w14:textId="47BFA863"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6EEE3C6D" w14:textId="54C0165E"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44911B82"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3A5C861E"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30C25364" w14:textId="0A92083D"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2B4FB4C5" w14:textId="2FE389CB"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38</w:t>
            </w:r>
          </w:p>
        </w:tc>
        <w:tc>
          <w:tcPr>
            <w:tcW w:w="2847" w:type="dxa"/>
          </w:tcPr>
          <w:p w14:paraId="2BD6A0A4" w14:textId="567F4C1A" w:rsidR="00F2408C" w:rsidRPr="0090547E" w:rsidRDefault="00F61A72"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Ограничаване на възможността съдът да утвърждава план „с изменения“ до минимални формални корекции</w:t>
            </w:r>
          </w:p>
        </w:tc>
        <w:tc>
          <w:tcPr>
            <w:tcW w:w="2117" w:type="dxa"/>
          </w:tcPr>
          <w:p w14:paraId="63DD7A75" w14:textId="3B193E22" w:rsidR="00F2408C" w:rsidRPr="00A31712" w:rsidRDefault="00DB75D1" w:rsidP="00F2408C">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42AFD443" w14:textId="70638FC1"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6E6EEE8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F52CFBF"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3DEF5D73" w14:textId="46F8A615" w:rsidTr="00592C16">
        <w:tc>
          <w:tcPr>
            <w:cnfStyle w:val="001000000000" w:firstRow="0" w:lastRow="0" w:firstColumn="1" w:lastColumn="0" w:oddVBand="0" w:evenVBand="0" w:oddHBand="0" w:evenHBand="0" w:firstRowFirstColumn="0" w:firstRowLastColumn="0" w:lastRowFirstColumn="0" w:lastRowLastColumn="0"/>
            <w:tcW w:w="623" w:type="dxa"/>
          </w:tcPr>
          <w:p w14:paraId="03FCAF4A" w14:textId="31A2FCA6"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39</w:t>
            </w:r>
          </w:p>
        </w:tc>
        <w:tc>
          <w:tcPr>
            <w:tcW w:w="2847" w:type="dxa"/>
          </w:tcPr>
          <w:p w14:paraId="0FDD50B3" w14:textId="50241DA5" w:rsidR="00F2408C" w:rsidRPr="0090547E" w:rsidRDefault="00FC0B13"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Включване на междинното и новото финансиране в поредността на вземанията и недопускане на неговото последващо обезсилване в условията на производство по несъстоятелност</w:t>
            </w:r>
          </w:p>
        </w:tc>
        <w:tc>
          <w:tcPr>
            <w:tcW w:w="2117" w:type="dxa"/>
          </w:tcPr>
          <w:p w14:paraId="386D99F3" w14:textId="62FDA56C" w:rsidR="00F2408C" w:rsidRPr="00A31712" w:rsidRDefault="00DB75D1" w:rsidP="00F2408C">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5FB7DE96" w14:textId="368EC7F0"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2BE2FC22"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4C084959"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2874C9AA" w14:textId="74F2AD60"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78E04D4D" w14:textId="628389D1"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40</w:t>
            </w:r>
          </w:p>
        </w:tc>
        <w:tc>
          <w:tcPr>
            <w:tcW w:w="2847" w:type="dxa"/>
          </w:tcPr>
          <w:p w14:paraId="50028606" w14:textId="56A1A453" w:rsidR="00F2408C" w:rsidRPr="0090547E" w:rsidRDefault="00FC0B13"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Theme="minorHAnsi" w:hAnsiTheme="minorHAnsi" w:cstheme="minorHAnsi"/>
                <w:color w:val="000000"/>
                <w:sz w:val="20"/>
                <w:szCs w:val="20"/>
                <w:lang w:val="bg-BG"/>
              </w:rPr>
              <w:t>Промени в дружественото право чрез допълване на набор от задължения при „вероятност за несъстоятелност“ по ТЗ</w:t>
            </w:r>
          </w:p>
        </w:tc>
        <w:tc>
          <w:tcPr>
            <w:tcW w:w="2117" w:type="dxa"/>
          </w:tcPr>
          <w:p w14:paraId="0BDC622F" w14:textId="5FCEC430" w:rsidR="00F2408C" w:rsidRPr="00A31712" w:rsidRDefault="00DB75D1" w:rsidP="009933C2">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Работна група на Министерство на правосъдието</w:t>
            </w:r>
          </w:p>
        </w:tc>
        <w:tc>
          <w:tcPr>
            <w:tcW w:w="1249" w:type="dxa"/>
          </w:tcPr>
          <w:p w14:paraId="20AF5BED" w14:textId="6A578803"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363" w:type="dxa"/>
          </w:tcPr>
          <w:p w14:paraId="02664514"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161" w:type="dxa"/>
          </w:tcPr>
          <w:p w14:paraId="1CF2381C"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3733E597" w14:textId="135F43F2" w:rsidTr="00592C16">
        <w:tc>
          <w:tcPr>
            <w:cnfStyle w:val="001000000000" w:firstRow="0" w:lastRow="0" w:firstColumn="1" w:lastColumn="0" w:oddVBand="0" w:evenVBand="0" w:oddHBand="0" w:evenHBand="0" w:firstRowFirstColumn="0" w:firstRowLastColumn="0" w:lastRowFirstColumn="0" w:lastRowLastColumn="0"/>
            <w:tcW w:w="623" w:type="dxa"/>
          </w:tcPr>
          <w:p w14:paraId="6ABC7431" w14:textId="3A44A45A"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41</w:t>
            </w:r>
          </w:p>
        </w:tc>
        <w:tc>
          <w:tcPr>
            <w:tcW w:w="2847" w:type="dxa"/>
          </w:tcPr>
          <w:p w14:paraId="5AC266B9" w14:textId="3F8A481D" w:rsidR="00F2408C" w:rsidRPr="0090547E" w:rsidRDefault="00D660DA" w:rsidP="00F2408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 xml:space="preserve">Насърчаване на промяната в културата на институционалната рамка първоначално чрез включване в програми за обучение на бъдещи синдици на теми и </w:t>
            </w:r>
            <w:r>
              <w:rPr>
                <w:rFonts w:asciiTheme="minorHAnsi" w:eastAsiaTheme="minorHAnsi" w:hAnsiTheme="minorHAnsi" w:cstheme="minorHAnsi"/>
                <w:color w:val="000000"/>
                <w:sz w:val="20"/>
                <w:szCs w:val="20"/>
                <w:lang w:val="bg-BG"/>
              </w:rPr>
              <w:lastRenderedPageBreak/>
              <w:t>практически примери с по-тясна насоченост към преструктурирането</w:t>
            </w:r>
          </w:p>
        </w:tc>
        <w:tc>
          <w:tcPr>
            <w:tcW w:w="2117" w:type="dxa"/>
          </w:tcPr>
          <w:p w14:paraId="6EEBA8C3" w14:textId="0EE510AF" w:rsidR="00F2408C" w:rsidRPr="00A31712" w:rsidRDefault="0028479B"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lastRenderedPageBreak/>
              <w:t>Министерство на правосъдието</w:t>
            </w:r>
          </w:p>
        </w:tc>
        <w:tc>
          <w:tcPr>
            <w:tcW w:w="1249" w:type="dxa"/>
          </w:tcPr>
          <w:p w14:paraId="61B62DB5" w14:textId="77777777"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2504761C" w14:textId="4A768ACF" w:rsidR="00F2408C" w:rsidRPr="00A31712"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48BE501D" w14:textId="77777777" w:rsidR="00F2408C" w:rsidRDefault="00F2408C" w:rsidP="00F2408C">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0"/>
                <w:szCs w:val="20"/>
              </w:rPr>
            </w:pPr>
          </w:p>
        </w:tc>
      </w:tr>
      <w:tr w:rsidR="00D660DA" w:rsidRPr="00A31712" w14:paraId="361C408C" w14:textId="48144106" w:rsidTr="00592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14:paraId="438DE13E" w14:textId="7661DFBE" w:rsidR="00F2408C" w:rsidRPr="0090547E" w:rsidRDefault="00F2408C" w:rsidP="00F2408C">
            <w:pPr>
              <w:rPr>
                <w:rFonts w:asciiTheme="minorHAnsi" w:eastAsia="Cambria" w:hAnsiTheme="minorHAnsi" w:cstheme="minorHAnsi"/>
                <w:sz w:val="20"/>
                <w:szCs w:val="20"/>
              </w:rPr>
            </w:pPr>
            <w:r>
              <w:rPr>
                <w:rFonts w:asciiTheme="minorHAnsi" w:eastAsia="Cambria" w:hAnsiTheme="minorHAnsi" w:cstheme="minorHAnsi"/>
                <w:sz w:val="20"/>
                <w:szCs w:val="20"/>
              </w:rPr>
              <w:t>42</w:t>
            </w:r>
          </w:p>
        </w:tc>
        <w:tc>
          <w:tcPr>
            <w:tcW w:w="2847" w:type="dxa"/>
          </w:tcPr>
          <w:p w14:paraId="3506DB72" w14:textId="0362CEBA" w:rsidR="00F2408C" w:rsidRPr="0090547E" w:rsidRDefault="00D660DA" w:rsidP="00F2408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lang w:val="bg-BG"/>
              </w:rPr>
              <w:t>Укрепване на капацитета на синдиците и съдиите в производства по несъстоятелност с оглед на новите задължения след приемане на измененията и допълненията на ТЗ</w:t>
            </w:r>
          </w:p>
        </w:tc>
        <w:tc>
          <w:tcPr>
            <w:tcW w:w="2117" w:type="dxa"/>
          </w:tcPr>
          <w:p w14:paraId="631D68AC" w14:textId="7D863357" w:rsidR="00F2408C" w:rsidRDefault="0028479B"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lang w:val="bg-BG"/>
              </w:rPr>
              <w:t>Министерство на правосъдието</w:t>
            </w:r>
          </w:p>
        </w:tc>
        <w:tc>
          <w:tcPr>
            <w:tcW w:w="1249" w:type="dxa"/>
          </w:tcPr>
          <w:p w14:paraId="7A457A87" w14:textId="77777777" w:rsidR="00F2408C" w:rsidRPr="00A31712"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c>
          <w:tcPr>
            <w:tcW w:w="1363" w:type="dxa"/>
          </w:tcPr>
          <w:p w14:paraId="567A8A66" w14:textId="562AABF4"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r>
              <w:rPr>
                <w:rFonts w:asciiTheme="minorHAnsi" w:eastAsia="Cambria" w:hAnsiTheme="minorHAnsi" w:cstheme="minorHAnsi"/>
                <w:sz w:val="20"/>
                <w:szCs w:val="20"/>
              </w:rPr>
              <w:t>x</w:t>
            </w:r>
          </w:p>
        </w:tc>
        <w:tc>
          <w:tcPr>
            <w:tcW w:w="1161" w:type="dxa"/>
          </w:tcPr>
          <w:p w14:paraId="4C0F70E0" w14:textId="77777777" w:rsidR="00F2408C" w:rsidRDefault="00F2408C" w:rsidP="00F2408C">
            <w:pPr>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0"/>
                <w:szCs w:val="20"/>
              </w:rPr>
            </w:pPr>
          </w:p>
        </w:tc>
      </w:tr>
    </w:tbl>
    <w:p w14:paraId="092207B7" w14:textId="77777777" w:rsidR="00A4435D" w:rsidRPr="00A4435D" w:rsidRDefault="00A4435D" w:rsidP="00175413">
      <w:pPr>
        <w:rPr>
          <w:rFonts w:eastAsia="Cambria"/>
        </w:rPr>
      </w:pPr>
    </w:p>
    <w:sectPr w:rsidR="00A4435D" w:rsidRPr="00A4435D" w:rsidSect="00882B68">
      <w:headerReference w:type="even" r:id="rId14"/>
      <w:headerReference w:type="default" r:id="rId15"/>
      <w:footerReference w:type="default" r:id="rId16"/>
      <w:headerReference w:type="first" r:id="rId1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A1A83" w14:textId="77777777" w:rsidR="000C5743" w:rsidRDefault="000C5743">
      <w:r>
        <w:separator/>
      </w:r>
    </w:p>
    <w:p w14:paraId="7AF80ACC" w14:textId="77777777" w:rsidR="000C5743" w:rsidRDefault="000C5743"/>
  </w:endnote>
  <w:endnote w:type="continuationSeparator" w:id="0">
    <w:p w14:paraId="13AC5389" w14:textId="77777777" w:rsidR="000C5743" w:rsidRDefault="000C5743">
      <w:r>
        <w:continuationSeparator/>
      </w:r>
    </w:p>
    <w:p w14:paraId="550D5DF9" w14:textId="77777777" w:rsidR="000C5743" w:rsidRDefault="000C5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77475070"/>
      <w:docPartObj>
        <w:docPartGallery w:val="Page Numbers (Bottom of Page)"/>
        <w:docPartUnique/>
      </w:docPartObj>
    </w:sdtPr>
    <w:sdtEndPr>
      <w:rPr>
        <w:rStyle w:val="PageNumber"/>
      </w:rPr>
    </w:sdtEndPr>
    <w:sdtContent>
      <w:p w14:paraId="622BD3FB" w14:textId="57AF6D2B" w:rsidR="00F2408C" w:rsidRDefault="00F2408C" w:rsidP="00F24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0622F" w14:textId="77777777" w:rsidR="00F2408C" w:rsidRDefault="00F2408C" w:rsidP="006C6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0669746"/>
      <w:docPartObj>
        <w:docPartGallery w:val="Page Numbers (Bottom of Page)"/>
        <w:docPartUnique/>
      </w:docPartObj>
    </w:sdtPr>
    <w:sdtEndPr>
      <w:rPr>
        <w:rStyle w:val="PageNumber"/>
      </w:rPr>
    </w:sdtEndPr>
    <w:sdtContent>
      <w:p w14:paraId="5F601107" w14:textId="6D7B613C" w:rsidR="00F2408C" w:rsidRDefault="00F2408C" w:rsidP="00F240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1DD6B00" w14:textId="1BC98E30" w:rsidR="00F2408C" w:rsidRDefault="00F2408C" w:rsidP="006C6C9B">
    <w:pPr>
      <w:pStyle w:val="Footer"/>
      <w:ind w:right="360"/>
      <w:jc w:val="right"/>
    </w:pPr>
  </w:p>
  <w:p w14:paraId="265E93FA" w14:textId="77777777" w:rsidR="00F2408C" w:rsidRDefault="00F2408C">
    <w:pPr>
      <w:pStyle w:val="BodyText"/>
      <w:spacing w:line="14" w:lineRule="auto"/>
      <w:rPr>
        <w:sz w:val="20"/>
      </w:rPr>
    </w:pPr>
  </w:p>
  <w:p w14:paraId="26B1E66C" w14:textId="77777777" w:rsidR="00F2408C" w:rsidRDefault="00F240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289A2" w14:textId="77777777" w:rsidR="000C5743" w:rsidRDefault="000C5743">
      <w:r>
        <w:separator/>
      </w:r>
    </w:p>
    <w:p w14:paraId="3B9706CF" w14:textId="77777777" w:rsidR="000C5743" w:rsidRDefault="000C5743"/>
  </w:footnote>
  <w:footnote w:type="continuationSeparator" w:id="0">
    <w:p w14:paraId="40846585" w14:textId="77777777" w:rsidR="000C5743" w:rsidRDefault="000C5743">
      <w:r>
        <w:continuationSeparator/>
      </w:r>
    </w:p>
    <w:p w14:paraId="323779AE" w14:textId="77777777" w:rsidR="000C5743" w:rsidRDefault="000C5743"/>
  </w:footnote>
  <w:footnote w:id="1">
    <w:p w14:paraId="70BF3FD3" w14:textId="2BB0714C" w:rsidR="00F2408C" w:rsidRPr="009933C2" w:rsidRDefault="00F2408C" w:rsidP="006B547E">
      <w:pPr>
        <w:jc w:val="both"/>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6B547E">
        <w:rPr>
          <w:rFonts w:asciiTheme="minorHAnsi" w:hAnsiTheme="minorHAnsi" w:cstheme="minorHAnsi"/>
          <w:sz w:val="18"/>
          <w:szCs w:val="18"/>
          <w:lang w:val="bg-BG"/>
        </w:rPr>
        <w:t>Текстът на Директивата може да се види тук:</w:t>
      </w:r>
      <w:r w:rsidRPr="009933C2">
        <w:rPr>
          <w:rFonts w:asciiTheme="minorHAnsi" w:hAnsiTheme="minorHAnsi" w:cstheme="minorHAnsi"/>
          <w:sz w:val="18"/>
          <w:szCs w:val="18"/>
        </w:rPr>
        <w:t xml:space="preserve"> </w:t>
      </w:r>
      <w:hyperlink r:id="rId1" w:history="1">
        <w:r w:rsidRPr="009933C2">
          <w:rPr>
            <w:rStyle w:val="Hyperlink"/>
            <w:rFonts w:asciiTheme="minorHAnsi" w:hAnsiTheme="minorHAnsi" w:cstheme="minorHAnsi"/>
            <w:sz w:val="18"/>
            <w:szCs w:val="18"/>
          </w:rPr>
          <w:t>https://eur-lex.europa.eu/legal-content/EN/TXT/?uri=CELEX%3A52016PC0723</w:t>
        </w:r>
      </w:hyperlink>
      <w:r w:rsidRPr="009933C2">
        <w:rPr>
          <w:rFonts w:asciiTheme="minorHAnsi" w:hAnsiTheme="minorHAnsi" w:cstheme="minorHAnsi"/>
          <w:sz w:val="18"/>
          <w:szCs w:val="18"/>
        </w:rPr>
        <w:t xml:space="preserve">. </w:t>
      </w:r>
      <w:r w:rsidR="006B547E">
        <w:rPr>
          <w:rFonts w:asciiTheme="minorHAnsi" w:hAnsiTheme="minorHAnsi" w:cstheme="minorHAnsi"/>
          <w:sz w:val="18"/>
          <w:szCs w:val="18"/>
          <w:lang w:val="bg-BG"/>
        </w:rPr>
        <w:t>Директивата е приета от Европейския парламент и влезе в сила през юни 2019 година. Държавите членки на ЕС имаха двегодишен срок да съобразят националната си нормативна уредба с разпоредбите на Директивата.</w:t>
      </w:r>
      <w:r w:rsidRPr="009933C2">
        <w:rPr>
          <w:rFonts w:asciiTheme="minorHAnsi" w:hAnsiTheme="minorHAnsi" w:cstheme="minorHAnsi"/>
          <w:sz w:val="18"/>
          <w:szCs w:val="18"/>
        </w:rPr>
        <w:t>.</w:t>
      </w:r>
    </w:p>
    <w:p w14:paraId="7BDDCAE6" w14:textId="7400732A" w:rsidR="00F2408C" w:rsidRPr="009933C2" w:rsidRDefault="00F2408C">
      <w:pPr>
        <w:pStyle w:val="FootnoteText"/>
        <w:rPr>
          <w:rFonts w:asciiTheme="minorHAnsi" w:hAnsiTheme="minorHAnsi" w:cstheme="minorHAnsi"/>
          <w:sz w:val="18"/>
          <w:szCs w:val="18"/>
        </w:rPr>
      </w:pPr>
    </w:p>
  </w:footnote>
  <w:footnote w:id="2">
    <w:p w14:paraId="7D771E47" w14:textId="7FD3F40B" w:rsidR="00F2408C" w:rsidRPr="009933C2" w:rsidRDefault="00F2408C" w:rsidP="00D90203">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F162DB">
        <w:rPr>
          <w:rFonts w:asciiTheme="minorHAnsi" w:hAnsiTheme="minorHAnsi" w:cstheme="minorHAnsi"/>
          <w:sz w:val="18"/>
          <w:szCs w:val="18"/>
          <w:lang w:val="bg-BG"/>
        </w:rPr>
        <w:t xml:space="preserve">Вж по темата Доклад за ИРП, стр. </w:t>
      </w:r>
      <w:r w:rsidR="00F162DB" w:rsidRPr="00CF66CE">
        <w:rPr>
          <w:rFonts w:asciiTheme="minorHAnsi" w:hAnsiTheme="minorHAnsi" w:cstheme="minorHAnsi"/>
          <w:sz w:val="18"/>
          <w:szCs w:val="18"/>
          <w:lang w:val="bg-BG"/>
        </w:rPr>
        <w:t>15-17.</w:t>
      </w:r>
    </w:p>
  </w:footnote>
  <w:footnote w:id="3">
    <w:p w14:paraId="5A40ABA9" w14:textId="420233C2"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53280B">
        <w:rPr>
          <w:rFonts w:asciiTheme="minorHAnsi" w:hAnsiTheme="minorHAnsi" w:cstheme="minorHAnsi"/>
          <w:sz w:val="18"/>
          <w:szCs w:val="18"/>
          <w:lang w:val="bg-BG"/>
        </w:rPr>
        <w:t xml:space="preserve">Вж Доклад за сравнителния анализ на ИРП, Раздел 3, стр. </w:t>
      </w:r>
      <w:r w:rsidR="0053280B" w:rsidRPr="00CF66CE">
        <w:rPr>
          <w:rFonts w:asciiTheme="minorHAnsi" w:hAnsiTheme="minorHAnsi" w:cstheme="minorHAnsi"/>
          <w:sz w:val="18"/>
          <w:szCs w:val="18"/>
          <w:lang w:val="bg-BG"/>
        </w:rPr>
        <w:t>22.</w:t>
      </w:r>
    </w:p>
  </w:footnote>
  <w:footnote w:id="4">
    <w:p w14:paraId="62E37BC8" w14:textId="1217D553"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53280B">
        <w:rPr>
          <w:rFonts w:asciiTheme="minorHAnsi" w:hAnsiTheme="minorHAnsi" w:cstheme="minorHAnsi"/>
          <w:sz w:val="18"/>
          <w:szCs w:val="18"/>
          <w:lang w:val="bg-BG"/>
        </w:rPr>
        <w:t xml:space="preserve">Вж Доклад за сравнителния анализ на ИРП, Раздел 3, стр. </w:t>
      </w:r>
      <w:r w:rsidR="0053280B" w:rsidRPr="00CF66CE">
        <w:rPr>
          <w:rFonts w:asciiTheme="minorHAnsi" w:hAnsiTheme="minorHAnsi" w:cstheme="minorHAnsi"/>
          <w:sz w:val="18"/>
          <w:szCs w:val="18"/>
          <w:lang w:val="bg-BG"/>
        </w:rPr>
        <w:t xml:space="preserve">16 и </w:t>
      </w:r>
      <w:r w:rsidR="00ED2CC1" w:rsidRPr="00CF66CE">
        <w:rPr>
          <w:rFonts w:asciiTheme="minorHAnsi" w:hAnsiTheme="minorHAnsi" w:cstheme="minorHAnsi"/>
          <w:sz w:val="18"/>
          <w:szCs w:val="18"/>
          <w:lang w:val="bg-BG"/>
        </w:rPr>
        <w:t>20.</w:t>
      </w:r>
    </w:p>
  </w:footnote>
  <w:footnote w:id="5">
    <w:p w14:paraId="2A416B47" w14:textId="7F6380C3" w:rsidR="00F2408C" w:rsidRPr="009933C2" w:rsidRDefault="00F2408C" w:rsidP="00D92A4A">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9A0A5B">
        <w:rPr>
          <w:rFonts w:asciiTheme="minorHAnsi" w:hAnsiTheme="minorHAnsi" w:cstheme="minorHAnsi"/>
          <w:sz w:val="18"/>
          <w:szCs w:val="18"/>
          <w:lang w:val="bg-BG"/>
        </w:rPr>
        <w:t xml:space="preserve">Раздел 6 от Доклада за ИРП разглежда подробно източниците на данни, стр. </w:t>
      </w:r>
      <w:r w:rsidR="009A0A5B" w:rsidRPr="00CF66CE">
        <w:rPr>
          <w:rFonts w:asciiTheme="minorHAnsi" w:hAnsiTheme="minorHAnsi" w:cstheme="minorHAnsi"/>
          <w:sz w:val="18"/>
          <w:szCs w:val="18"/>
          <w:lang w:val="bg-BG"/>
        </w:rPr>
        <w:t>30-4</w:t>
      </w:r>
      <w:r w:rsidR="00CF66CE" w:rsidRPr="00CF66CE">
        <w:rPr>
          <w:rFonts w:asciiTheme="minorHAnsi" w:hAnsiTheme="minorHAnsi" w:cstheme="minorHAnsi"/>
          <w:sz w:val="18"/>
          <w:szCs w:val="18"/>
          <w:lang w:val="bg-BG"/>
        </w:rPr>
        <w:t>7</w:t>
      </w:r>
      <w:r w:rsidR="009A0A5B" w:rsidRPr="00CF66CE">
        <w:rPr>
          <w:rFonts w:asciiTheme="minorHAnsi" w:hAnsiTheme="minorHAnsi" w:cstheme="minorHAnsi"/>
          <w:sz w:val="18"/>
          <w:szCs w:val="18"/>
          <w:lang w:val="bg-BG"/>
        </w:rPr>
        <w:t>.</w:t>
      </w:r>
    </w:p>
  </w:footnote>
  <w:footnote w:id="6">
    <w:p w14:paraId="1AF28B66" w14:textId="2299EF5A"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0F6EED">
        <w:rPr>
          <w:rFonts w:asciiTheme="minorHAnsi" w:hAnsiTheme="minorHAnsi" w:cstheme="minorHAnsi"/>
          <w:sz w:val="18"/>
          <w:szCs w:val="18"/>
          <w:lang w:val="bg-BG"/>
        </w:rPr>
        <w:t xml:space="preserve">Вж параграф 6.1, стр. </w:t>
      </w:r>
      <w:r w:rsidR="000F6EED" w:rsidRPr="00530F14">
        <w:rPr>
          <w:rFonts w:asciiTheme="minorHAnsi" w:hAnsiTheme="minorHAnsi" w:cstheme="minorHAnsi"/>
          <w:sz w:val="18"/>
          <w:szCs w:val="18"/>
          <w:lang w:val="bg-BG"/>
        </w:rPr>
        <w:t>3</w:t>
      </w:r>
      <w:r w:rsidR="00530F14" w:rsidRPr="00530F14">
        <w:rPr>
          <w:rFonts w:asciiTheme="minorHAnsi" w:hAnsiTheme="minorHAnsi" w:cstheme="minorHAnsi"/>
          <w:sz w:val="18"/>
          <w:szCs w:val="18"/>
          <w:lang w:val="bg-BG"/>
        </w:rPr>
        <w:t>1</w:t>
      </w:r>
      <w:r w:rsidR="000F6EED">
        <w:rPr>
          <w:rFonts w:asciiTheme="minorHAnsi" w:hAnsiTheme="minorHAnsi" w:cstheme="minorHAnsi"/>
          <w:sz w:val="18"/>
          <w:szCs w:val="18"/>
          <w:lang w:val="bg-BG"/>
        </w:rPr>
        <w:t xml:space="preserve"> от Доклада за ИРП.</w:t>
      </w:r>
    </w:p>
  </w:footnote>
  <w:footnote w:id="7">
    <w:p w14:paraId="6BCB1CAB" w14:textId="053D4CEF" w:rsidR="00F2408C" w:rsidRPr="009933C2" w:rsidRDefault="00F2408C" w:rsidP="00D90203">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750D17">
        <w:rPr>
          <w:rFonts w:asciiTheme="minorHAnsi" w:hAnsiTheme="minorHAnsi" w:cstheme="minorHAnsi"/>
          <w:sz w:val="18"/>
          <w:szCs w:val="18"/>
          <w:lang w:val="bg-BG"/>
        </w:rPr>
        <w:t xml:space="preserve">Вж </w:t>
      </w:r>
      <w:r w:rsidR="00750D17">
        <w:rPr>
          <w:rFonts w:asciiTheme="minorHAnsi" w:hAnsiTheme="minorHAnsi" w:cstheme="minorHAnsi"/>
          <w:sz w:val="18"/>
          <w:szCs w:val="18"/>
          <w:lang w:val="bg-BG"/>
        </w:rPr>
        <w:t xml:space="preserve">параграф 6.2, стр. </w:t>
      </w:r>
      <w:r w:rsidR="00750D17" w:rsidRPr="00530F14">
        <w:rPr>
          <w:rFonts w:asciiTheme="minorHAnsi" w:hAnsiTheme="minorHAnsi" w:cstheme="minorHAnsi"/>
          <w:sz w:val="18"/>
          <w:szCs w:val="18"/>
          <w:lang w:val="bg-BG"/>
        </w:rPr>
        <w:t>38</w:t>
      </w:r>
      <w:r w:rsidR="00750D17">
        <w:rPr>
          <w:rFonts w:asciiTheme="minorHAnsi" w:hAnsiTheme="minorHAnsi" w:cstheme="minorHAnsi"/>
          <w:sz w:val="18"/>
          <w:szCs w:val="18"/>
          <w:lang w:val="bg-BG"/>
        </w:rPr>
        <w:t xml:space="preserve"> от Доклада за ИРП.</w:t>
      </w:r>
    </w:p>
  </w:footnote>
  <w:footnote w:id="8">
    <w:p w14:paraId="5A89F1B4" w14:textId="7A342790" w:rsidR="00F2408C" w:rsidRPr="009933C2" w:rsidRDefault="00F2408C">
      <w:pPr>
        <w:pStyle w:val="FootnoteText"/>
        <w:rPr>
          <w:rFonts w:asciiTheme="minorHAnsi" w:hAnsiTheme="minorHAnsi" w:cstheme="minorHAnsi"/>
          <w:sz w:val="18"/>
          <w:szCs w:val="18"/>
        </w:rPr>
      </w:pPr>
      <w:r w:rsidRPr="009933C2">
        <w:rPr>
          <w:rFonts w:asciiTheme="minorHAnsi" w:hAnsiTheme="minorHAnsi" w:cstheme="minorHAnsi"/>
          <w:sz w:val="18"/>
          <w:szCs w:val="18"/>
          <w:vertAlign w:val="superscript"/>
        </w:rPr>
        <w:footnoteRef/>
      </w:r>
      <w:r w:rsidRPr="009933C2">
        <w:rPr>
          <w:rFonts w:asciiTheme="minorHAnsi" w:hAnsiTheme="minorHAnsi" w:cstheme="minorHAnsi"/>
          <w:sz w:val="18"/>
          <w:szCs w:val="18"/>
          <w:vertAlign w:val="superscript"/>
        </w:rPr>
        <w:t xml:space="preserve"> </w:t>
      </w:r>
      <w:r w:rsidR="00750D17">
        <w:rPr>
          <w:rFonts w:asciiTheme="minorHAnsi" w:hAnsiTheme="minorHAnsi" w:cstheme="minorHAnsi"/>
          <w:sz w:val="18"/>
          <w:szCs w:val="18"/>
          <w:lang w:val="bg-BG"/>
        </w:rPr>
        <w:t xml:space="preserve">Вж </w:t>
      </w:r>
      <w:r w:rsidR="00750D17">
        <w:rPr>
          <w:rFonts w:asciiTheme="minorHAnsi" w:hAnsiTheme="minorHAnsi" w:cstheme="minorHAnsi"/>
          <w:sz w:val="18"/>
          <w:szCs w:val="18"/>
          <w:lang w:val="bg-BG"/>
        </w:rPr>
        <w:t xml:space="preserve">параграф 6.3, стр. </w:t>
      </w:r>
      <w:r w:rsidR="00750D17" w:rsidRPr="00530F14">
        <w:rPr>
          <w:rFonts w:asciiTheme="minorHAnsi" w:hAnsiTheme="minorHAnsi" w:cstheme="minorHAnsi"/>
          <w:sz w:val="18"/>
          <w:szCs w:val="18"/>
          <w:lang w:val="bg-BG"/>
        </w:rPr>
        <w:t>4</w:t>
      </w:r>
      <w:r w:rsidR="00530F14" w:rsidRPr="00530F14">
        <w:rPr>
          <w:rFonts w:asciiTheme="minorHAnsi" w:hAnsiTheme="minorHAnsi" w:cstheme="minorHAnsi"/>
          <w:sz w:val="18"/>
          <w:szCs w:val="18"/>
          <w:lang w:val="bg-BG"/>
        </w:rPr>
        <w:t>2</w:t>
      </w:r>
      <w:r w:rsidR="00750D17">
        <w:rPr>
          <w:rFonts w:asciiTheme="minorHAnsi" w:hAnsiTheme="minorHAnsi" w:cstheme="minorHAnsi"/>
          <w:sz w:val="18"/>
          <w:szCs w:val="18"/>
          <w:lang w:val="bg-BG"/>
        </w:rPr>
        <w:t xml:space="preserve"> от Доклада за ИРП.</w:t>
      </w:r>
    </w:p>
  </w:footnote>
  <w:footnote w:id="9">
    <w:p w14:paraId="478F0F6E" w14:textId="38758C96" w:rsidR="00F2408C" w:rsidRPr="009933C2" w:rsidRDefault="00F2408C">
      <w:pPr>
        <w:pStyle w:val="FootnoteText"/>
        <w:rPr>
          <w:rFonts w:asciiTheme="minorHAnsi" w:hAnsiTheme="minorHAnsi" w:cstheme="minorHAnsi"/>
          <w:sz w:val="18"/>
          <w:szCs w:val="18"/>
        </w:rPr>
      </w:pPr>
      <w:r w:rsidRPr="009933C2">
        <w:rPr>
          <w:rFonts w:asciiTheme="minorHAnsi" w:hAnsiTheme="minorHAnsi" w:cstheme="minorHAnsi"/>
          <w:sz w:val="18"/>
          <w:szCs w:val="18"/>
          <w:vertAlign w:val="superscript"/>
        </w:rPr>
        <w:footnoteRef/>
      </w:r>
      <w:r w:rsidRPr="009933C2">
        <w:rPr>
          <w:rFonts w:asciiTheme="minorHAnsi" w:hAnsiTheme="minorHAnsi" w:cstheme="minorHAnsi"/>
          <w:sz w:val="18"/>
          <w:szCs w:val="18"/>
        </w:rPr>
        <w:t xml:space="preserve"> </w:t>
      </w:r>
      <w:r w:rsidR="000D01B4">
        <w:rPr>
          <w:rFonts w:asciiTheme="minorHAnsi" w:hAnsiTheme="minorHAnsi" w:cstheme="minorHAnsi"/>
          <w:sz w:val="18"/>
          <w:szCs w:val="18"/>
          <w:lang w:val="bg-BG"/>
        </w:rPr>
        <w:t xml:space="preserve">Вж </w:t>
      </w:r>
      <w:r w:rsidR="00530F14">
        <w:rPr>
          <w:rFonts w:asciiTheme="minorHAnsi" w:hAnsiTheme="minorHAnsi" w:cstheme="minorHAnsi"/>
          <w:sz w:val="18"/>
          <w:szCs w:val="18"/>
          <w:lang w:val="bg-BG"/>
        </w:rPr>
        <w:t>точка</w:t>
      </w:r>
      <w:r w:rsidR="000D01B4">
        <w:rPr>
          <w:rFonts w:asciiTheme="minorHAnsi" w:hAnsiTheme="minorHAnsi" w:cstheme="minorHAnsi"/>
          <w:sz w:val="18"/>
          <w:szCs w:val="18"/>
          <w:lang w:val="bg-BG"/>
        </w:rPr>
        <w:t xml:space="preserve"> 7, стр. </w:t>
      </w:r>
      <w:r w:rsidR="000D01B4" w:rsidRPr="00530F14">
        <w:rPr>
          <w:rFonts w:asciiTheme="minorHAnsi" w:hAnsiTheme="minorHAnsi" w:cstheme="minorHAnsi"/>
          <w:sz w:val="18"/>
          <w:szCs w:val="18"/>
          <w:lang w:val="bg-BG"/>
        </w:rPr>
        <w:t>11</w:t>
      </w:r>
      <w:r w:rsidR="000D01B4">
        <w:rPr>
          <w:rFonts w:asciiTheme="minorHAnsi" w:hAnsiTheme="minorHAnsi" w:cstheme="minorHAnsi"/>
          <w:sz w:val="18"/>
          <w:szCs w:val="18"/>
          <w:lang w:val="bg-BG"/>
        </w:rPr>
        <w:t xml:space="preserve"> от Доклада за ИРП.</w:t>
      </w:r>
    </w:p>
  </w:footnote>
  <w:footnote w:id="10">
    <w:p w14:paraId="5B45C2F3" w14:textId="151E36B0" w:rsidR="00D2303A" w:rsidRPr="00D2303A" w:rsidRDefault="00D2303A" w:rsidP="00731D1A">
      <w:pPr>
        <w:pStyle w:val="FootnoteText"/>
        <w:jc w:val="both"/>
      </w:pPr>
      <w:r>
        <w:rPr>
          <w:rStyle w:val="FootnoteReference"/>
        </w:rPr>
        <w:footnoteRef/>
      </w:r>
      <w:r>
        <w:t xml:space="preserve"> </w:t>
      </w:r>
      <w:r w:rsidR="00731D1A">
        <w:rPr>
          <w:rFonts w:asciiTheme="minorHAnsi" w:hAnsiTheme="minorHAnsi" w:cstheme="minorHAnsi"/>
          <w:sz w:val="18"/>
          <w:szCs w:val="18"/>
          <w:lang w:val="bg-BG"/>
        </w:rPr>
        <w:t xml:space="preserve">За </w:t>
      </w:r>
      <w:r w:rsidR="00731D1A">
        <w:rPr>
          <w:rFonts w:asciiTheme="minorHAnsi" w:hAnsiTheme="minorHAnsi" w:cstheme="minorHAnsi"/>
          <w:sz w:val="18"/>
          <w:szCs w:val="18"/>
          <w:lang w:val="bg-BG"/>
        </w:rPr>
        <w:t xml:space="preserve">разработването на подходяща методология за самооценка в Доклада за ИРП се предлага да се създаде работна група. Вж  параграф 7.3, стр. </w:t>
      </w:r>
      <w:r w:rsidR="00731D1A" w:rsidRPr="001F1BD2">
        <w:rPr>
          <w:rFonts w:asciiTheme="minorHAnsi" w:hAnsiTheme="minorHAnsi" w:cstheme="minorHAnsi"/>
          <w:sz w:val="18"/>
          <w:szCs w:val="18"/>
          <w:lang w:val="bg-BG"/>
        </w:rPr>
        <w:t>5</w:t>
      </w:r>
      <w:r w:rsidR="001F1BD2" w:rsidRPr="001F1BD2">
        <w:rPr>
          <w:rFonts w:asciiTheme="minorHAnsi" w:hAnsiTheme="minorHAnsi" w:cstheme="minorHAnsi"/>
          <w:sz w:val="18"/>
          <w:szCs w:val="18"/>
          <w:lang w:val="bg-BG"/>
        </w:rPr>
        <w:t>0</w:t>
      </w:r>
      <w:r w:rsidR="00731D1A">
        <w:rPr>
          <w:rFonts w:asciiTheme="minorHAnsi" w:hAnsiTheme="minorHAnsi" w:cstheme="minorHAnsi"/>
          <w:sz w:val="18"/>
          <w:szCs w:val="18"/>
          <w:lang w:val="bg-BG"/>
        </w:rPr>
        <w:t xml:space="preserve"> от Доклада за ИРП.</w:t>
      </w:r>
    </w:p>
  </w:footnote>
  <w:footnote w:id="11">
    <w:p w14:paraId="06F284AC" w14:textId="481438F4" w:rsidR="0023377D" w:rsidRDefault="0023377D" w:rsidP="009449AC">
      <w:pPr>
        <w:pStyle w:val="FootnoteText"/>
        <w:jc w:val="both"/>
      </w:pPr>
      <w:r>
        <w:rPr>
          <w:rStyle w:val="FootnoteReference"/>
        </w:rPr>
        <w:footnoteRef/>
      </w:r>
      <w:r>
        <w:t xml:space="preserve"> </w:t>
      </w:r>
      <w:r w:rsidR="009449AC">
        <w:rPr>
          <w:rFonts w:asciiTheme="minorHAnsi" w:hAnsiTheme="minorHAnsi" w:cstheme="minorHAnsi"/>
          <w:sz w:val="18"/>
          <w:szCs w:val="18"/>
          <w:lang w:val="bg-BG"/>
        </w:rPr>
        <w:t xml:space="preserve">ЗНФП </w:t>
      </w:r>
      <w:r w:rsidR="009449AC">
        <w:rPr>
          <w:rFonts w:asciiTheme="minorHAnsi" w:hAnsiTheme="minorHAnsi" w:cstheme="minorHAnsi"/>
          <w:sz w:val="18"/>
          <w:szCs w:val="18"/>
          <w:lang w:val="bg-BG"/>
        </w:rPr>
        <w:t xml:space="preserve">са предприятия, които играят важна роля в националната икономика и изпълняват важни обществени функции. Провалът им може да има заразяващ ефект и разрушителни последици. Несъстоятелността на ЗНФП може да породи тревоги, сходни с </w:t>
      </w:r>
      <w:r w:rsidR="00064DD1">
        <w:rPr>
          <w:rFonts w:asciiTheme="minorHAnsi" w:hAnsiTheme="minorHAnsi" w:cstheme="minorHAnsi"/>
          <w:sz w:val="18"/>
          <w:szCs w:val="18"/>
          <w:lang w:val="bg-BG"/>
        </w:rPr>
        <w:t>тревогите при несъстоятелност на банки.</w:t>
      </w:r>
    </w:p>
  </w:footnote>
  <w:footnote w:id="12">
    <w:p w14:paraId="3E9E8859" w14:textId="79989D4C" w:rsidR="00F2408C" w:rsidRPr="009933C2" w:rsidRDefault="00F2408C">
      <w:pPr>
        <w:pStyle w:val="FootnoteText"/>
        <w:rPr>
          <w:rFonts w:asciiTheme="minorHAnsi" w:hAnsiTheme="minorHAnsi" w:cstheme="minorHAnsi"/>
          <w:sz w:val="18"/>
          <w:szCs w:val="18"/>
        </w:rPr>
      </w:pPr>
      <w:r w:rsidRPr="009933C2">
        <w:rPr>
          <w:rFonts w:asciiTheme="minorHAnsi" w:hAnsiTheme="minorHAnsi" w:cstheme="minorHAnsi"/>
          <w:sz w:val="18"/>
          <w:szCs w:val="18"/>
          <w:vertAlign w:val="superscript"/>
        </w:rPr>
        <w:footnoteRef/>
      </w:r>
      <w:r w:rsidRPr="009933C2">
        <w:rPr>
          <w:rFonts w:asciiTheme="minorHAnsi" w:hAnsiTheme="minorHAnsi" w:cstheme="minorHAnsi"/>
          <w:sz w:val="18"/>
          <w:szCs w:val="18"/>
          <w:vertAlign w:val="superscript"/>
        </w:rPr>
        <w:t xml:space="preserve"> </w:t>
      </w:r>
      <w:r w:rsidR="00103D6F">
        <w:rPr>
          <w:rFonts w:asciiTheme="minorHAnsi" w:hAnsiTheme="minorHAnsi" w:cstheme="minorHAnsi"/>
          <w:sz w:val="18"/>
          <w:szCs w:val="18"/>
          <w:lang w:val="bg-BG"/>
        </w:rPr>
        <w:t xml:space="preserve">Вж </w:t>
      </w:r>
      <w:r w:rsidR="00103D6F">
        <w:rPr>
          <w:rFonts w:asciiTheme="minorHAnsi" w:hAnsiTheme="minorHAnsi" w:cstheme="minorHAnsi"/>
          <w:sz w:val="18"/>
          <w:szCs w:val="18"/>
          <w:lang w:val="bg-BG"/>
        </w:rPr>
        <w:t xml:space="preserve">Резюме на Доклада за ИРП, стр. </w:t>
      </w:r>
      <w:r w:rsidR="00103D6F" w:rsidRPr="001F1BD2">
        <w:rPr>
          <w:rFonts w:asciiTheme="minorHAnsi" w:hAnsiTheme="minorHAnsi" w:cstheme="minorHAnsi"/>
          <w:sz w:val="18"/>
          <w:szCs w:val="18"/>
          <w:lang w:val="bg-BG"/>
        </w:rPr>
        <w:t>11.</w:t>
      </w:r>
    </w:p>
  </w:footnote>
  <w:footnote w:id="13">
    <w:p w14:paraId="51A2DF82" w14:textId="77C1EDC7"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CC150F">
        <w:rPr>
          <w:rFonts w:asciiTheme="minorHAnsi" w:hAnsiTheme="minorHAnsi" w:cstheme="minorHAnsi"/>
          <w:sz w:val="18"/>
          <w:szCs w:val="18"/>
          <w:lang w:val="bg-BG"/>
        </w:rPr>
        <w:t xml:space="preserve">Вж Раздел 8 на Доклада за ИРП, стр. </w:t>
      </w:r>
      <w:r w:rsidR="00CC150F" w:rsidRPr="001F1BD2">
        <w:rPr>
          <w:rFonts w:asciiTheme="minorHAnsi" w:hAnsiTheme="minorHAnsi" w:cstheme="minorHAnsi"/>
          <w:sz w:val="18"/>
          <w:szCs w:val="18"/>
          <w:lang w:val="bg-BG"/>
        </w:rPr>
        <w:t>5</w:t>
      </w:r>
      <w:r w:rsidR="001F1BD2" w:rsidRPr="001F1BD2">
        <w:rPr>
          <w:rFonts w:asciiTheme="minorHAnsi" w:hAnsiTheme="minorHAnsi" w:cstheme="minorHAnsi"/>
          <w:sz w:val="18"/>
          <w:szCs w:val="18"/>
          <w:lang w:val="bg-BG"/>
        </w:rPr>
        <w:t>7</w:t>
      </w:r>
      <w:r w:rsidR="00CC150F" w:rsidRPr="001F1BD2">
        <w:rPr>
          <w:rFonts w:asciiTheme="minorHAnsi" w:hAnsiTheme="minorHAnsi" w:cstheme="minorHAnsi"/>
          <w:sz w:val="18"/>
          <w:szCs w:val="18"/>
          <w:lang w:val="bg-BG"/>
        </w:rPr>
        <w:t>-6</w:t>
      </w:r>
      <w:r w:rsidR="001F1BD2" w:rsidRPr="001F1BD2">
        <w:rPr>
          <w:rFonts w:asciiTheme="minorHAnsi" w:hAnsiTheme="minorHAnsi" w:cstheme="minorHAnsi"/>
          <w:sz w:val="18"/>
          <w:szCs w:val="18"/>
          <w:lang w:val="bg-BG"/>
        </w:rPr>
        <w:t>2</w:t>
      </w:r>
      <w:r w:rsidR="00CC150F" w:rsidRPr="001F1BD2">
        <w:rPr>
          <w:rFonts w:asciiTheme="minorHAnsi" w:hAnsiTheme="minorHAnsi" w:cstheme="minorHAnsi"/>
          <w:sz w:val="18"/>
          <w:szCs w:val="18"/>
          <w:lang w:val="bg-BG"/>
        </w:rPr>
        <w:t>.</w:t>
      </w:r>
    </w:p>
  </w:footnote>
  <w:footnote w:id="14">
    <w:p w14:paraId="5B32ACA9" w14:textId="03F08691" w:rsidR="00BD5A83" w:rsidRPr="009933C2" w:rsidRDefault="00BD5A83" w:rsidP="009933C2">
      <w:pPr>
        <w:pStyle w:val="FootnoteText"/>
        <w:jc w:val="both"/>
        <w:rPr>
          <w:rFonts w:asciiTheme="minorHAnsi" w:hAnsiTheme="minorHAnsi" w:cstheme="minorHAnsi"/>
          <w:sz w:val="18"/>
          <w:szCs w:val="18"/>
        </w:rPr>
      </w:pPr>
      <w:r w:rsidRPr="009933C2">
        <w:rPr>
          <w:rFonts w:asciiTheme="minorHAnsi" w:hAnsiTheme="minorHAnsi" w:cstheme="minorHAnsi"/>
          <w:sz w:val="18"/>
          <w:szCs w:val="18"/>
        </w:rPr>
        <w:footnoteRef/>
      </w:r>
      <w:r w:rsidRPr="009933C2">
        <w:rPr>
          <w:rFonts w:asciiTheme="minorHAnsi" w:hAnsiTheme="minorHAnsi" w:cstheme="minorHAnsi"/>
          <w:sz w:val="18"/>
          <w:szCs w:val="18"/>
        </w:rPr>
        <w:t xml:space="preserve"> </w:t>
      </w:r>
      <w:r w:rsidR="00FC79C9">
        <w:rPr>
          <w:rFonts w:asciiTheme="minorHAnsi" w:hAnsiTheme="minorHAnsi" w:cstheme="minorHAnsi"/>
          <w:sz w:val="18"/>
          <w:szCs w:val="18"/>
          <w:lang w:val="bg-BG"/>
        </w:rPr>
        <w:t>Някои от тези инициативи вече са предложени в изготвения от Световната банка Доклад за спазването на стандартите и кодексите за несъстоятелността и режимите за кредиторите/длъжниците за България от 2016 година.</w:t>
      </w:r>
      <w:r w:rsidRPr="009933C2">
        <w:rPr>
          <w:rFonts w:asciiTheme="minorHAnsi" w:hAnsiTheme="minorHAnsi" w:cstheme="minorHAnsi"/>
          <w:sz w:val="18"/>
          <w:szCs w:val="18"/>
        </w:rPr>
        <w:t xml:space="preserve"> </w:t>
      </w:r>
    </w:p>
  </w:footnote>
  <w:footnote w:id="15">
    <w:p w14:paraId="3607DE32" w14:textId="07830D17"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436D65">
        <w:rPr>
          <w:rFonts w:asciiTheme="minorHAnsi" w:hAnsiTheme="minorHAnsi" w:cstheme="minorHAnsi"/>
          <w:sz w:val="18"/>
          <w:szCs w:val="18"/>
          <w:lang w:val="bg-BG"/>
        </w:rPr>
        <w:t xml:space="preserve">Вж </w:t>
      </w:r>
      <w:r w:rsidR="00F11E6D">
        <w:rPr>
          <w:rFonts w:asciiTheme="minorHAnsi" w:hAnsiTheme="minorHAnsi" w:cstheme="minorHAnsi"/>
          <w:sz w:val="18"/>
          <w:szCs w:val="18"/>
          <w:lang w:val="bg-BG"/>
        </w:rPr>
        <w:t xml:space="preserve">Доклад за ИРП, параграф 4.4.2, стр. </w:t>
      </w:r>
      <w:r w:rsidR="00F11E6D" w:rsidRPr="004B745F">
        <w:rPr>
          <w:rFonts w:asciiTheme="minorHAnsi" w:hAnsiTheme="minorHAnsi" w:cstheme="minorHAnsi"/>
          <w:sz w:val="18"/>
          <w:szCs w:val="18"/>
          <w:lang w:val="bg-BG"/>
        </w:rPr>
        <w:t>2</w:t>
      </w:r>
      <w:r w:rsidR="004B745F" w:rsidRPr="004B745F">
        <w:rPr>
          <w:rFonts w:asciiTheme="minorHAnsi" w:hAnsiTheme="minorHAnsi" w:cstheme="minorHAnsi"/>
          <w:sz w:val="18"/>
          <w:szCs w:val="18"/>
          <w:lang w:val="bg-BG"/>
        </w:rPr>
        <w:t>6</w:t>
      </w:r>
      <w:r w:rsidR="00F11E6D" w:rsidRPr="004B745F">
        <w:rPr>
          <w:rFonts w:asciiTheme="minorHAnsi" w:hAnsiTheme="minorHAnsi" w:cstheme="minorHAnsi"/>
          <w:sz w:val="18"/>
          <w:szCs w:val="18"/>
          <w:lang w:val="bg-BG"/>
        </w:rPr>
        <w:t>.</w:t>
      </w:r>
    </w:p>
  </w:footnote>
  <w:footnote w:id="16">
    <w:p w14:paraId="7F2E11D5" w14:textId="66FDB65F"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974793">
        <w:rPr>
          <w:rFonts w:asciiTheme="minorHAnsi" w:hAnsiTheme="minorHAnsi" w:cstheme="minorHAnsi"/>
          <w:sz w:val="18"/>
          <w:szCs w:val="18"/>
          <w:lang w:val="bg-BG"/>
        </w:rPr>
        <w:t>Вж Доклад за превантивното преструктуриране, Раздел 17, стр.</w:t>
      </w:r>
      <w:r w:rsidRPr="009933C2">
        <w:rPr>
          <w:rFonts w:asciiTheme="minorHAnsi" w:hAnsiTheme="minorHAnsi" w:cstheme="minorHAnsi"/>
          <w:sz w:val="18"/>
          <w:szCs w:val="18"/>
        </w:rPr>
        <w:t xml:space="preserve"> </w:t>
      </w:r>
      <w:r w:rsidR="00F11E6D" w:rsidRPr="004B745F">
        <w:rPr>
          <w:rFonts w:asciiTheme="minorHAnsi" w:hAnsiTheme="minorHAnsi" w:cstheme="minorHAnsi"/>
          <w:sz w:val="18"/>
          <w:szCs w:val="18"/>
          <w:lang w:val="bg-BG"/>
        </w:rPr>
        <w:t>65</w:t>
      </w:r>
      <w:r w:rsidRPr="004B745F">
        <w:rPr>
          <w:rFonts w:asciiTheme="minorHAnsi" w:hAnsiTheme="minorHAnsi" w:cstheme="minorHAnsi"/>
          <w:sz w:val="18"/>
          <w:szCs w:val="18"/>
        </w:rPr>
        <w:t>.</w:t>
      </w:r>
    </w:p>
  </w:footnote>
  <w:footnote w:id="17">
    <w:p w14:paraId="24DCC425" w14:textId="42A5569A" w:rsidR="00F2408C" w:rsidRPr="009933C2" w:rsidRDefault="00F2408C" w:rsidP="001846E9">
      <w:pPr>
        <w:pStyle w:val="FootnoteText"/>
        <w:jc w:val="both"/>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5F27C9">
        <w:rPr>
          <w:rFonts w:asciiTheme="minorHAnsi" w:hAnsiTheme="minorHAnsi" w:cstheme="minorHAnsi"/>
          <w:sz w:val="18"/>
          <w:szCs w:val="18"/>
          <w:lang w:val="bg-BG"/>
        </w:rPr>
        <w:t xml:space="preserve">Докладът за превантивното преструктуриране не обхваща анализ на отделните членове на ТЗ. Вместо това в него се анализират разпоредбите на Директивата, които се отнасят до рамките за превантивно преструктуриране и след това </w:t>
      </w:r>
      <w:r w:rsidR="003432E4">
        <w:rPr>
          <w:rFonts w:asciiTheme="minorHAnsi" w:hAnsiTheme="minorHAnsi" w:cstheme="minorHAnsi"/>
          <w:sz w:val="18"/>
          <w:szCs w:val="18"/>
          <w:lang w:val="bg-BG"/>
        </w:rPr>
        <w:t xml:space="preserve">конкретизира начините, по които залегналите в Директивата принципи може да бъдат отразени в действащата система съгласно ТЗ. Вж Част </w:t>
      </w:r>
      <w:r w:rsidR="003432E4">
        <w:rPr>
          <w:rFonts w:asciiTheme="minorHAnsi" w:hAnsiTheme="minorHAnsi" w:cstheme="minorHAnsi"/>
          <w:sz w:val="18"/>
          <w:szCs w:val="18"/>
          <w:lang w:val="en-GB"/>
        </w:rPr>
        <w:t>II</w:t>
      </w:r>
      <w:r w:rsidR="003432E4">
        <w:rPr>
          <w:rFonts w:asciiTheme="minorHAnsi" w:hAnsiTheme="minorHAnsi" w:cstheme="minorHAnsi"/>
          <w:sz w:val="18"/>
          <w:szCs w:val="18"/>
          <w:lang w:val="bg-BG"/>
        </w:rPr>
        <w:t xml:space="preserve"> от втория доклад, раздели 1-18.</w:t>
      </w:r>
    </w:p>
  </w:footnote>
  <w:footnote w:id="18">
    <w:p w14:paraId="6919515E" w14:textId="75F08D8E" w:rsidR="00F2408C" w:rsidRPr="009933C2" w:rsidRDefault="00F2408C" w:rsidP="00677A9F">
      <w:pPr>
        <w:pStyle w:val="FootnoteText"/>
        <w:jc w:val="both"/>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A96F09">
        <w:rPr>
          <w:rFonts w:asciiTheme="minorHAnsi" w:hAnsiTheme="minorHAnsi" w:cstheme="minorHAnsi"/>
          <w:sz w:val="18"/>
          <w:szCs w:val="18"/>
          <w:lang w:val="bg-BG"/>
        </w:rPr>
        <w:t xml:space="preserve">Вж </w:t>
      </w:r>
      <w:r w:rsidR="00A96F09">
        <w:rPr>
          <w:rFonts w:asciiTheme="minorHAnsi" w:hAnsiTheme="minorHAnsi" w:cstheme="minorHAnsi"/>
          <w:sz w:val="18"/>
          <w:szCs w:val="18"/>
          <w:lang w:val="bg-BG"/>
        </w:rPr>
        <w:t xml:space="preserve">Раздел 3 от Доклада за превантивното преструктуриране, стр. </w:t>
      </w:r>
      <w:r w:rsidR="00A96F09" w:rsidRPr="004B745F">
        <w:rPr>
          <w:rFonts w:asciiTheme="minorHAnsi" w:hAnsiTheme="minorHAnsi" w:cstheme="minorHAnsi"/>
          <w:sz w:val="18"/>
          <w:szCs w:val="18"/>
          <w:lang w:val="bg-BG"/>
        </w:rPr>
        <w:t>25.</w:t>
      </w:r>
    </w:p>
  </w:footnote>
  <w:footnote w:id="19">
    <w:p w14:paraId="414308DA" w14:textId="6334692B"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CC253E">
        <w:rPr>
          <w:rFonts w:asciiTheme="minorHAnsi" w:hAnsiTheme="minorHAnsi" w:cstheme="minorHAnsi"/>
          <w:sz w:val="18"/>
          <w:szCs w:val="18"/>
          <w:lang w:val="bg-BG"/>
        </w:rPr>
        <w:t xml:space="preserve">Вж Раздел 4 от Доклада за превантивното преструктуриране, стр. </w:t>
      </w:r>
      <w:r w:rsidR="00CC253E" w:rsidRPr="004B745F">
        <w:rPr>
          <w:rFonts w:asciiTheme="minorHAnsi" w:hAnsiTheme="minorHAnsi" w:cstheme="minorHAnsi"/>
          <w:sz w:val="18"/>
          <w:szCs w:val="18"/>
          <w:lang w:val="bg-BG"/>
        </w:rPr>
        <w:t>36-38.</w:t>
      </w:r>
    </w:p>
  </w:footnote>
  <w:footnote w:id="20">
    <w:p w14:paraId="6654476D" w14:textId="6766EC35" w:rsidR="00F2408C" w:rsidRPr="009933C2" w:rsidRDefault="00F2408C" w:rsidP="001846E9">
      <w:pPr>
        <w:pStyle w:val="FootnoteText"/>
        <w:jc w:val="both"/>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503F01">
        <w:rPr>
          <w:rFonts w:asciiTheme="minorHAnsi" w:hAnsiTheme="minorHAnsi" w:cstheme="minorHAnsi"/>
          <w:sz w:val="18"/>
          <w:szCs w:val="18"/>
          <w:lang w:val="bg-BG"/>
        </w:rPr>
        <w:t xml:space="preserve">За повече подробности във връзка с предварително изготвените планове вж Раздел 3 от Доклада за превантивното преструктуриране, стр. </w:t>
      </w:r>
      <w:r w:rsidR="00503F01" w:rsidRPr="003D4A05">
        <w:rPr>
          <w:rFonts w:asciiTheme="minorHAnsi" w:hAnsiTheme="minorHAnsi" w:cstheme="minorHAnsi"/>
          <w:sz w:val="18"/>
          <w:szCs w:val="18"/>
          <w:lang w:val="bg-BG"/>
        </w:rPr>
        <w:t>33.</w:t>
      </w:r>
    </w:p>
  </w:footnote>
  <w:footnote w:id="21">
    <w:p w14:paraId="12E17803" w14:textId="06C39EBA"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F10148">
        <w:rPr>
          <w:rFonts w:asciiTheme="minorHAnsi" w:hAnsiTheme="minorHAnsi" w:cstheme="minorHAnsi"/>
          <w:sz w:val="18"/>
          <w:szCs w:val="18"/>
          <w:lang w:val="bg-BG"/>
        </w:rPr>
        <w:t xml:space="preserve">Вж Раздели 6-8 от Доклада за превантивното преструктуриране, стр. </w:t>
      </w:r>
      <w:r w:rsidR="00F10148" w:rsidRPr="003D4A05">
        <w:rPr>
          <w:rFonts w:asciiTheme="minorHAnsi" w:hAnsiTheme="minorHAnsi" w:cstheme="minorHAnsi"/>
          <w:sz w:val="18"/>
          <w:szCs w:val="18"/>
          <w:lang w:val="bg-BG"/>
        </w:rPr>
        <w:t>45-53.</w:t>
      </w:r>
    </w:p>
  </w:footnote>
  <w:footnote w:id="22">
    <w:p w14:paraId="47189D1E" w14:textId="1870362E"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E660E6">
        <w:rPr>
          <w:rFonts w:asciiTheme="minorHAnsi" w:hAnsiTheme="minorHAnsi" w:cstheme="minorHAnsi"/>
          <w:sz w:val="18"/>
          <w:szCs w:val="18"/>
          <w:lang w:val="bg-BG"/>
        </w:rPr>
        <w:t>Вж Раздел 9 от Доклада за превантивното преструктуриране, стр</w:t>
      </w:r>
      <w:r w:rsidR="00E660E6" w:rsidRPr="003D4A05">
        <w:rPr>
          <w:rFonts w:asciiTheme="minorHAnsi" w:hAnsiTheme="minorHAnsi" w:cstheme="minorHAnsi"/>
          <w:sz w:val="18"/>
          <w:szCs w:val="18"/>
          <w:lang w:val="bg-BG"/>
        </w:rPr>
        <w:t>. 53.</w:t>
      </w:r>
    </w:p>
  </w:footnote>
  <w:footnote w:id="23">
    <w:p w14:paraId="2C77CB93" w14:textId="25A349A7" w:rsidR="00F2408C" w:rsidRPr="009933C2" w:rsidRDefault="00F2408C">
      <w:pPr>
        <w:pStyle w:val="FootnoteText"/>
        <w:rPr>
          <w:rFonts w:asciiTheme="minorHAnsi" w:hAnsiTheme="minorHAnsi" w:cstheme="minorHAnsi"/>
          <w:sz w:val="18"/>
          <w:szCs w:val="18"/>
        </w:rPr>
      </w:pPr>
      <w:r w:rsidRPr="009933C2">
        <w:rPr>
          <w:rStyle w:val="FootnoteReference"/>
          <w:rFonts w:asciiTheme="minorHAnsi" w:hAnsiTheme="minorHAnsi" w:cstheme="minorHAnsi"/>
          <w:sz w:val="18"/>
          <w:szCs w:val="18"/>
        </w:rPr>
        <w:footnoteRef/>
      </w:r>
      <w:r w:rsidRPr="009933C2">
        <w:rPr>
          <w:rFonts w:asciiTheme="minorHAnsi" w:hAnsiTheme="minorHAnsi" w:cstheme="minorHAnsi"/>
          <w:sz w:val="18"/>
          <w:szCs w:val="18"/>
        </w:rPr>
        <w:t xml:space="preserve"> </w:t>
      </w:r>
      <w:r w:rsidR="00835CC1">
        <w:rPr>
          <w:rFonts w:asciiTheme="minorHAnsi" w:hAnsiTheme="minorHAnsi" w:cstheme="minorHAnsi"/>
          <w:sz w:val="18"/>
          <w:szCs w:val="18"/>
          <w:lang w:val="bg-BG"/>
        </w:rPr>
        <w:t xml:space="preserve">Вж </w:t>
      </w:r>
      <w:r w:rsidR="00835CC1">
        <w:rPr>
          <w:rFonts w:asciiTheme="minorHAnsi" w:hAnsiTheme="minorHAnsi" w:cstheme="minorHAnsi"/>
          <w:sz w:val="18"/>
          <w:szCs w:val="18"/>
          <w:lang w:val="bg-BG"/>
        </w:rPr>
        <w:t xml:space="preserve">Раздел 18 от Доклада за превантивното преструктуриране, стр. </w:t>
      </w:r>
      <w:r w:rsidR="00835CC1" w:rsidRPr="003D4A05">
        <w:rPr>
          <w:rFonts w:asciiTheme="minorHAnsi" w:hAnsiTheme="minorHAnsi" w:cstheme="minorHAnsi"/>
          <w:sz w:val="18"/>
          <w:szCs w:val="18"/>
          <w:lang w:val="bg-BG"/>
        </w:rPr>
        <w:t>69-</w:t>
      </w:r>
      <w:r w:rsidR="007C6939" w:rsidRPr="003D4A05">
        <w:rPr>
          <w:rFonts w:asciiTheme="minorHAnsi" w:hAnsiTheme="minorHAnsi" w:cstheme="minorHAnsi"/>
          <w:sz w:val="18"/>
          <w:szCs w:val="18"/>
          <w:lang w:val="bg-BG"/>
        </w:rPr>
        <w:t>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0CD3" w14:textId="1D04F5C2" w:rsidR="00F2408C" w:rsidRDefault="00F24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8FED" w14:textId="33B1B687" w:rsidR="00F2408C" w:rsidRDefault="007235E2">
    <w:pPr>
      <w:pStyle w:val="Header"/>
    </w:pPr>
    <w:r>
      <w:rPr>
        <w:rFonts w:eastAsiaTheme="minorHAnsi"/>
        <w:noProof/>
        <w:sz w:val="24"/>
        <w:szCs w:val="24"/>
      </w:rPr>
      <mc:AlternateContent>
        <mc:Choice Requires="wps">
          <w:drawing>
            <wp:anchor distT="45720" distB="45720" distL="114300" distR="114300" simplePos="0" relativeHeight="485830656" behindDoc="0" locked="0" layoutInCell="1" allowOverlap="1" wp14:anchorId="475E784D" wp14:editId="761AC30E">
              <wp:simplePos x="0" y="0"/>
              <wp:positionH relativeFrom="column">
                <wp:posOffset>4914900</wp:posOffset>
              </wp:positionH>
              <wp:positionV relativeFrom="paragraph">
                <wp:posOffset>508000</wp:posOffset>
              </wp:positionV>
              <wp:extent cx="1600200" cy="5505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0545"/>
                      </a:xfrm>
                      <a:prstGeom prst="rect">
                        <a:avLst/>
                      </a:prstGeom>
                      <a:solidFill>
                        <a:srgbClr val="FFFFFF"/>
                      </a:solidFill>
                      <a:ln w="9525">
                        <a:noFill/>
                        <a:miter lim="800000"/>
                        <a:headEnd/>
                        <a:tailEnd/>
                      </a:ln>
                    </wps:spPr>
                    <wps:txbx>
                      <w:txbxContent>
                        <w:p w14:paraId="0E3A04A8" w14:textId="77777777" w:rsidR="007235E2" w:rsidRDefault="007235E2" w:rsidP="007235E2">
                          <w:pPr>
                            <w:rPr>
                              <w:sz w:val="20"/>
                              <w:szCs w:val="20"/>
                            </w:rPr>
                          </w:pPr>
                          <w:r>
                            <w:rPr>
                              <w:sz w:val="20"/>
                              <w:szCs w:val="20"/>
                              <w:lang w:val="bg-BG"/>
                            </w:rPr>
                            <w:t>Този проект се финансира от Европейския съюз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E784D" id="_x0000_t202" coordsize="21600,21600" o:spt="202" path="m,l,21600r21600,l21600,xe">
              <v:stroke joinstyle="miter"/>
              <v:path gradientshapeok="t" o:connecttype="rect"/>
            </v:shapetype>
            <v:shape id="Text Box 5" o:spid="_x0000_s1042" type="#_x0000_t202" style="position:absolute;margin-left:387pt;margin-top:40pt;width:126pt;height:43.35pt;z-index:485830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" stroked="f">
              <v:textbox style="mso-fit-shape-to-text:t">
                <w:txbxContent>
                  <w:p w14:paraId="0E3A04A8" w14:textId="77777777" w:rsidR="007235E2" w:rsidRDefault="007235E2" w:rsidP="007235E2">
                    <w:pPr>
                      <w:rPr>
                        <w:sz w:val="20"/>
                        <w:szCs w:val="20"/>
                      </w:rPr>
                    </w:pPr>
                    <w:r>
                      <w:rPr>
                        <w:sz w:val="20"/>
                        <w:szCs w:val="20"/>
                        <w:lang w:val="bg-BG"/>
                      </w:rPr>
                      <w:t>Този проект се финансира от Европейския съюз</w:t>
                    </w:r>
                  </w:p>
                </w:txbxContent>
              </v:textbox>
              <w10:wrap type="square"/>
            </v:shape>
          </w:pict>
        </mc:Fallback>
      </mc:AlternateContent>
    </w:r>
    <w:r w:rsidR="00F2408C">
      <w:rPr>
        <w:noProof/>
      </w:rPr>
      <w:drawing>
        <wp:anchor distT="0" distB="0" distL="0" distR="0" simplePos="0" relativeHeight="485828608" behindDoc="1" locked="0" layoutInCell="1" allowOverlap="1" wp14:anchorId="0C2C16E6" wp14:editId="681FC0E0">
          <wp:simplePos x="0" y="0"/>
          <wp:positionH relativeFrom="page">
            <wp:posOffset>5638800</wp:posOffset>
          </wp:positionH>
          <wp:positionV relativeFrom="paragraph">
            <wp:posOffset>-135890</wp:posOffset>
          </wp:positionV>
          <wp:extent cx="1470660" cy="838200"/>
          <wp:effectExtent l="0" t="0" r="0" b="0"/>
          <wp:wrapTight wrapText="bothSides">
            <wp:wrapPolygon edited="0">
              <wp:start x="0" y="0"/>
              <wp:lineTo x="0" y="21109"/>
              <wp:lineTo x="21264" y="21109"/>
              <wp:lineTo x="21264" y="0"/>
              <wp:lineTo x="0" y="0"/>
            </wp:wrapPolygon>
          </wp:wrapTight>
          <wp:docPr id="10" name="image2.jpeg" descr="C:\Users\wb380437\WinRAR-HOLD\Rar$DRa0.310\jpg-lr\en\logo_ce-en-rvb-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rotWithShape="1">
                  <a:blip r:embed="rId1" cstate="print"/>
                  <a:srcRect t="1" b="5714"/>
                  <a:stretch/>
                </pic:blipFill>
                <pic:spPr bwMode="auto">
                  <a:xfrm>
                    <a:off x="0" y="0"/>
                    <a:ext cx="1470660"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408C">
      <w:rPr>
        <w:noProof/>
      </w:rPr>
      <w:drawing>
        <wp:anchor distT="0" distB="0" distL="0" distR="0" simplePos="0" relativeHeight="485826560" behindDoc="0" locked="0" layoutInCell="1" allowOverlap="1" wp14:anchorId="4638A11E" wp14:editId="6EE21002">
          <wp:simplePos x="0" y="0"/>
          <wp:positionH relativeFrom="page">
            <wp:posOffset>695001</wp:posOffset>
          </wp:positionH>
          <wp:positionV relativeFrom="paragraph">
            <wp:posOffset>-9525</wp:posOffset>
          </wp:positionV>
          <wp:extent cx="3073179" cy="597979"/>
          <wp:effectExtent l="0" t="0" r="0" b="0"/>
          <wp:wrapTopAndBottom/>
          <wp:docPr id="11" name="image1.jpeg" descr="C:\Users\wb453366\WinRAR-HOLD\Rar$DRa0.776\WBG-FinanceCompInnov\horizontal\color\WBG-FCI-Horizontal-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3073179" cy="597979"/>
                  </a:xfrm>
                  <a:prstGeom prst="rect">
                    <a:avLst/>
                  </a:prstGeom>
                </pic:spPr>
              </pic:pic>
            </a:graphicData>
          </a:graphic>
        </wp:anchor>
      </w:drawing>
    </w:r>
  </w:p>
  <w:p w14:paraId="4F61C3F9" w14:textId="6254D124" w:rsidR="00F2408C" w:rsidRDefault="00F24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F5F6F" w14:textId="20594DA8" w:rsidR="00F2408C" w:rsidRDefault="00F240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E4A8F" w14:textId="6ABB2794" w:rsidR="00F2408C" w:rsidRDefault="00F2408C">
    <w:pPr>
      <w:pStyle w:val="Header"/>
    </w:pPr>
  </w:p>
  <w:p w14:paraId="2C1755B9" w14:textId="77777777" w:rsidR="00F2408C" w:rsidRDefault="00F240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447A" w14:textId="61D96844" w:rsidR="00F2408C" w:rsidRDefault="00F2408C">
    <w:pPr>
      <w:pStyle w:val="Header"/>
    </w:pPr>
  </w:p>
  <w:p w14:paraId="58A758AF" w14:textId="77777777" w:rsidR="00F2408C" w:rsidRDefault="00F2408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FD7B" w14:textId="6AE83EB9" w:rsidR="00F2408C" w:rsidRDefault="00F2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43CF3"/>
    <w:multiLevelType w:val="hybridMultilevel"/>
    <w:tmpl w:val="81B46140"/>
    <w:lvl w:ilvl="0" w:tplc="04100011">
      <w:start w:val="1"/>
      <w:numFmt w:val="decimal"/>
      <w:lvlText w:val="%1)"/>
      <w:lvlJc w:val="left"/>
      <w:pPr>
        <w:ind w:left="720" w:hanging="360"/>
      </w:pPr>
    </w:lvl>
    <w:lvl w:ilvl="1" w:tplc="0409000F">
      <w:start w:val="1"/>
      <w:numFmt w:val="decimal"/>
      <w:lvlText w:val="%2."/>
      <w:lvlJc w:val="left"/>
      <w:pPr>
        <w:ind w:left="1440" w:hanging="360"/>
      </w:pPr>
    </w:lvl>
    <w:lvl w:ilvl="2" w:tplc="DFC65352">
      <w:start w:val="2"/>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C1"/>
    <w:rsid w:val="000002F6"/>
    <w:rsid w:val="0000086B"/>
    <w:rsid w:val="00003E39"/>
    <w:rsid w:val="000043B2"/>
    <w:rsid w:val="00004858"/>
    <w:rsid w:val="00005AD9"/>
    <w:rsid w:val="00005B1B"/>
    <w:rsid w:val="00005F39"/>
    <w:rsid w:val="0001218B"/>
    <w:rsid w:val="00015C59"/>
    <w:rsid w:val="00021ACF"/>
    <w:rsid w:val="00022EBF"/>
    <w:rsid w:val="000238BD"/>
    <w:rsid w:val="000264C3"/>
    <w:rsid w:val="000266F4"/>
    <w:rsid w:val="000272EA"/>
    <w:rsid w:val="00030F6A"/>
    <w:rsid w:val="00031D0D"/>
    <w:rsid w:val="0003268C"/>
    <w:rsid w:val="00036497"/>
    <w:rsid w:val="00036BF4"/>
    <w:rsid w:val="000404F8"/>
    <w:rsid w:val="00042F5B"/>
    <w:rsid w:val="000433F6"/>
    <w:rsid w:val="00043A0C"/>
    <w:rsid w:val="00044ACF"/>
    <w:rsid w:val="000476BF"/>
    <w:rsid w:val="00047FB5"/>
    <w:rsid w:val="00050986"/>
    <w:rsid w:val="00050CF4"/>
    <w:rsid w:val="0005113E"/>
    <w:rsid w:val="000523CE"/>
    <w:rsid w:val="00053634"/>
    <w:rsid w:val="000544CD"/>
    <w:rsid w:val="00054531"/>
    <w:rsid w:val="0005481B"/>
    <w:rsid w:val="00054A2C"/>
    <w:rsid w:val="00054EF3"/>
    <w:rsid w:val="000605D8"/>
    <w:rsid w:val="00061D85"/>
    <w:rsid w:val="0006252D"/>
    <w:rsid w:val="0006330A"/>
    <w:rsid w:val="00064DD1"/>
    <w:rsid w:val="00066B2E"/>
    <w:rsid w:val="000701B3"/>
    <w:rsid w:val="00070A9C"/>
    <w:rsid w:val="000711DB"/>
    <w:rsid w:val="0007199F"/>
    <w:rsid w:val="00073439"/>
    <w:rsid w:val="00074E51"/>
    <w:rsid w:val="000755D0"/>
    <w:rsid w:val="00076514"/>
    <w:rsid w:val="0008001F"/>
    <w:rsid w:val="00081589"/>
    <w:rsid w:val="00082089"/>
    <w:rsid w:val="00082AC6"/>
    <w:rsid w:val="000860D1"/>
    <w:rsid w:val="000871C3"/>
    <w:rsid w:val="00094305"/>
    <w:rsid w:val="0009540E"/>
    <w:rsid w:val="000A0D18"/>
    <w:rsid w:val="000A1B38"/>
    <w:rsid w:val="000A2084"/>
    <w:rsid w:val="000A28C4"/>
    <w:rsid w:val="000A318C"/>
    <w:rsid w:val="000A350C"/>
    <w:rsid w:val="000A4605"/>
    <w:rsid w:val="000A5DFB"/>
    <w:rsid w:val="000A65AF"/>
    <w:rsid w:val="000A7C64"/>
    <w:rsid w:val="000B0140"/>
    <w:rsid w:val="000B0832"/>
    <w:rsid w:val="000B103C"/>
    <w:rsid w:val="000B18DB"/>
    <w:rsid w:val="000B1C39"/>
    <w:rsid w:val="000B30C0"/>
    <w:rsid w:val="000B3A6E"/>
    <w:rsid w:val="000B3E11"/>
    <w:rsid w:val="000B413C"/>
    <w:rsid w:val="000B4B5F"/>
    <w:rsid w:val="000B5FC0"/>
    <w:rsid w:val="000B72E1"/>
    <w:rsid w:val="000B73B6"/>
    <w:rsid w:val="000C0FA5"/>
    <w:rsid w:val="000C2658"/>
    <w:rsid w:val="000C459B"/>
    <w:rsid w:val="000C55CA"/>
    <w:rsid w:val="000C5743"/>
    <w:rsid w:val="000C5F91"/>
    <w:rsid w:val="000C6701"/>
    <w:rsid w:val="000C7B0B"/>
    <w:rsid w:val="000D01B4"/>
    <w:rsid w:val="000D04A3"/>
    <w:rsid w:val="000D0715"/>
    <w:rsid w:val="000D173D"/>
    <w:rsid w:val="000D1A9A"/>
    <w:rsid w:val="000D1B98"/>
    <w:rsid w:val="000D35D2"/>
    <w:rsid w:val="000D4321"/>
    <w:rsid w:val="000D49E2"/>
    <w:rsid w:val="000D6392"/>
    <w:rsid w:val="000D6B5C"/>
    <w:rsid w:val="000D7449"/>
    <w:rsid w:val="000D7A69"/>
    <w:rsid w:val="000D7BAE"/>
    <w:rsid w:val="000E16EC"/>
    <w:rsid w:val="000E210E"/>
    <w:rsid w:val="000E35E9"/>
    <w:rsid w:val="000E3E3D"/>
    <w:rsid w:val="000E44FF"/>
    <w:rsid w:val="000E494E"/>
    <w:rsid w:val="000E581F"/>
    <w:rsid w:val="000E68F7"/>
    <w:rsid w:val="000E6AA2"/>
    <w:rsid w:val="000E74D8"/>
    <w:rsid w:val="000E7537"/>
    <w:rsid w:val="000E7B59"/>
    <w:rsid w:val="000F015A"/>
    <w:rsid w:val="000F2CAA"/>
    <w:rsid w:val="000F4443"/>
    <w:rsid w:val="000F4AB1"/>
    <w:rsid w:val="000F64F1"/>
    <w:rsid w:val="000F6EED"/>
    <w:rsid w:val="00102241"/>
    <w:rsid w:val="001030CB"/>
    <w:rsid w:val="001035AA"/>
    <w:rsid w:val="00103D6F"/>
    <w:rsid w:val="001049BF"/>
    <w:rsid w:val="00105036"/>
    <w:rsid w:val="001054A5"/>
    <w:rsid w:val="001057A6"/>
    <w:rsid w:val="00106523"/>
    <w:rsid w:val="00107E94"/>
    <w:rsid w:val="00113DF6"/>
    <w:rsid w:val="00114D58"/>
    <w:rsid w:val="00115362"/>
    <w:rsid w:val="00115668"/>
    <w:rsid w:val="00115FCE"/>
    <w:rsid w:val="00116359"/>
    <w:rsid w:val="00116E0F"/>
    <w:rsid w:val="00120BE4"/>
    <w:rsid w:val="00123BB6"/>
    <w:rsid w:val="00123F34"/>
    <w:rsid w:val="001241D1"/>
    <w:rsid w:val="00124254"/>
    <w:rsid w:val="001242E1"/>
    <w:rsid w:val="00126FA8"/>
    <w:rsid w:val="0012776D"/>
    <w:rsid w:val="00130CAB"/>
    <w:rsid w:val="00132E1B"/>
    <w:rsid w:val="00134762"/>
    <w:rsid w:val="001374F2"/>
    <w:rsid w:val="00137927"/>
    <w:rsid w:val="001405C2"/>
    <w:rsid w:val="00140B86"/>
    <w:rsid w:val="00140EC2"/>
    <w:rsid w:val="001438C0"/>
    <w:rsid w:val="00144739"/>
    <w:rsid w:val="001475DF"/>
    <w:rsid w:val="00150505"/>
    <w:rsid w:val="00150B21"/>
    <w:rsid w:val="00152399"/>
    <w:rsid w:val="00154AC8"/>
    <w:rsid w:val="00155A00"/>
    <w:rsid w:val="001561F3"/>
    <w:rsid w:val="00156BDD"/>
    <w:rsid w:val="00157FF8"/>
    <w:rsid w:val="00160C20"/>
    <w:rsid w:val="001611D5"/>
    <w:rsid w:val="00161684"/>
    <w:rsid w:val="0016172C"/>
    <w:rsid w:val="00161BF3"/>
    <w:rsid w:val="00162721"/>
    <w:rsid w:val="001636C1"/>
    <w:rsid w:val="001647E0"/>
    <w:rsid w:val="001649D4"/>
    <w:rsid w:val="00167C82"/>
    <w:rsid w:val="00170F9B"/>
    <w:rsid w:val="00170FC4"/>
    <w:rsid w:val="00171621"/>
    <w:rsid w:val="00175157"/>
    <w:rsid w:val="00175413"/>
    <w:rsid w:val="00175BDD"/>
    <w:rsid w:val="00176BC6"/>
    <w:rsid w:val="0018155F"/>
    <w:rsid w:val="0018310F"/>
    <w:rsid w:val="00183995"/>
    <w:rsid w:val="001846E9"/>
    <w:rsid w:val="00184C3A"/>
    <w:rsid w:val="00184F23"/>
    <w:rsid w:val="001857E3"/>
    <w:rsid w:val="0018621F"/>
    <w:rsid w:val="00186B6F"/>
    <w:rsid w:val="0019084D"/>
    <w:rsid w:val="0019149D"/>
    <w:rsid w:val="00192400"/>
    <w:rsid w:val="0019360B"/>
    <w:rsid w:val="001942CD"/>
    <w:rsid w:val="00195E52"/>
    <w:rsid w:val="00197041"/>
    <w:rsid w:val="001975F2"/>
    <w:rsid w:val="00197764"/>
    <w:rsid w:val="00197D5F"/>
    <w:rsid w:val="001A060B"/>
    <w:rsid w:val="001A0C17"/>
    <w:rsid w:val="001A196E"/>
    <w:rsid w:val="001A2510"/>
    <w:rsid w:val="001A2755"/>
    <w:rsid w:val="001A28A3"/>
    <w:rsid w:val="001A3274"/>
    <w:rsid w:val="001A441B"/>
    <w:rsid w:val="001A7C80"/>
    <w:rsid w:val="001B0782"/>
    <w:rsid w:val="001B1021"/>
    <w:rsid w:val="001B1049"/>
    <w:rsid w:val="001B15E0"/>
    <w:rsid w:val="001B1678"/>
    <w:rsid w:val="001B64C0"/>
    <w:rsid w:val="001C04C7"/>
    <w:rsid w:val="001C25CA"/>
    <w:rsid w:val="001C4F1A"/>
    <w:rsid w:val="001C6BE5"/>
    <w:rsid w:val="001C6F8A"/>
    <w:rsid w:val="001D0F9A"/>
    <w:rsid w:val="001D226C"/>
    <w:rsid w:val="001D28DC"/>
    <w:rsid w:val="001D353A"/>
    <w:rsid w:val="001D50B3"/>
    <w:rsid w:val="001D56B1"/>
    <w:rsid w:val="001D6CBF"/>
    <w:rsid w:val="001D7541"/>
    <w:rsid w:val="001E0173"/>
    <w:rsid w:val="001E036F"/>
    <w:rsid w:val="001E08BB"/>
    <w:rsid w:val="001E1364"/>
    <w:rsid w:val="001E25C5"/>
    <w:rsid w:val="001E37DD"/>
    <w:rsid w:val="001E4C37"/>
    <w:rsid w:val="001E5809"/>
    <w:rsid w:val="001E5BB6"/>
    <w:rsid w:val="001E674B"/>
    <w:rsid w:val="001E7E0E"/>
    <w:rsid w:val="001F0E23"/>
    <w:rsid w:val="001F1446"/>
    <w:rsid w:val="001F1BD2"/>
    <w:rsid w:val="001F2441"/>
    <w:rsid w:val="001F3020"/>
    <w:rsid w:val="001F37D1"/>
    <w:rsid w:val="001F3DAF"/>
    <w:rsid w:val="001F459B"/>
    <w:rsid w:val="001F4C54"/>
    <w:rsid w:val="001F585C"/>
    <w:rsid w:val="001F5DEC"/>
    <w:rsid w:val="001F5EBA"/>
    <w:rsid w:val="001F6035"/>
    <w:rsid w:val="001F6CE7"/>
    <w:rsid w:val="001F6F73"/>
    <w:rsid w:val="001F6FF9"/>
    <w:rsid w:val="001F7B67"/>
    <w:rsid w:val="00201B47"/>
    <w:rsid w:val="00202543"/>
    <w:rsid w:val="00204EEE"/>
    <w:rsid w:val="00205C14"/>
    <w:rsid w:val="00205EE9"/>
    <w:rsid w:val="00206F8B"/>
    <w:rsid w:val="00210C67"/>
    <w:rsid w:val="00211EED"/>
    <w:rsid w:val="0021296D"/>
    <w:rsid w:val="00212F96"/>
    <w:rsid w:val="002132D4"/>
    <w:rsid w:val="00214573"/>
    <w:rsid w:val="00214882"/>
    <w:rsid w:val="00214C28"/>
    <w:rsid w:val="002156AB"/>
    <w:rsid w:val="002167B1"/>
    <w:rsid w:val="002169C4"/>
    <w:rsid w:val="00217CF8"/>
    <w:rsid w:val="00217DA5"/>
    <w:rsid w:val="002202E0"/>
    <w:rsid w:val="00221033"/>
    <w:rsid w:val="0022176E"/>
    <w:rsid w:val="002217C7"/>
    <w:rsid w:val="0022254A"/>
    <w:rsid w:val="00223669"/>
    <w:rsid w:val="002255E5"/>
    <w:rsid w:val="0022696C"/>
    <w:rsid w:val="00227E53"/>
    <w:rsid w:val="0023079B"/>
    <w:rsid w:val="00231776"/>
    <w:rsid w:val="00231984"/>
    <w:rsid w:val="00232536"/>
    <w:rsid w:val="0023377D"/>
    <w:rsid w:val="00234226"/>
    <w:rsid w:val="002344B1"/>
    <w:rsid w:val="00234737"/>
    <w:rsid w:val="002347D7"/>
    <w:rsid w:val="00234DCC"/>
    <w:rsid w:val="0023579F"/>
    <w:rsid w:val="00235966"/>
    <w:rsid w:val="00237154"/>
    <w:rsid w:val="0024085C"/>
    <w:rsid w:val="0024139A"/>
    <w:rsid w:val="00243094"/>
    <w:rsid w:val="00243B95"/>
    <w:rsid w:val="00243F74"/>
    <w:rsid w:val="00245C54"/>
    <w:rsid w:val="00246382"/>
    <w:rsid w:val="00247A73"/>
    <w:rsid w:val="00247F33"/>
    <w:rsid w:val="002506A8"/>
    <w:rsid w:val="0025175C"/>
    <w:rsid w:val="00252072"/>
    <w:rsid w:val="0025392C"/>
    <w:rsid w:val="00253D59"/>
    <w:rsid w:val="002544CC"/>
    <w:rsid w:val="002562B0"/>
    <w:rsid w:val="002569FB"/>
    <w:rsid w:val="00256BDF"/>
    <w:rsid w:val="002573B2"/>
    <w:rsid w:val="002575D7"/>
    <w:rsid w:val="00257BD2"/>
    <w:rsid w:val="00261131"/>
    <w:rsid w:val="00261993"/>
    <w:rsid w:val="00261E29"/>
    <w:rsid w:val="00262921"/>
    <w:rsid w:val="002634BE"/>
    <w:rsid w:val="0026389C"/>
    <w:rsid w:val="00263D40"/>
    <w:rsid w:val="00267AA1"/>
    <w:rsid w:val="00272881"/>
    <w:rsid w:val="00274848"/>
    <w:rsid w:val="002755AD"/>
    <w:rsid w:val="002759CC"/>
    <w:rsid w:val="00280E95"/>
    <w:rsid w:val="00281330"/>
    <w:rsid w:val="00283C6C"/>
    <w:rsid w:val="0028479B"/>
    <w:rsid w:val="00286E16"/>
    <w:rsid w:val="0029031E"/>
    <w:rsid w:val="0029046A"/>
    <w:rsid w:val="0029101F"/>
    <w:rsid w:val="002917E7"/>
    <w:rsid w:val="002918FB"/>
    <w:rsid w:val="002923F8"/>
    <w:rsid w:val="002937CC"/>
    <w:rsid w:val="00294E24"/>
    <w:rsid w:val="00296640"/>
    <w:rsid w:val="002A0E57"/>
    <w:rsid w:val="002A193C"/>
    <w:rsid w:val="002A1E0F"/>
    <w:rsid w:val="002A1E96"/>
    <w:rsid w:val="002A3B00"/>
    <w:rsid w:val="002A5A48"/>
    <w:rsid w:val="002A60AB"/>
    <w:rsid w:val="002A67EC"/>
    <w:rsid w:val="002B0F42"/>
    <w:rsid w:val="002B1123"/>
    <w:rsid w:val="002B11E1"/>
    <w:rsid w:val="002B2D78"/>
    <w:rsid w:val="002B329D"/>
    <w:rsid w:val="002B3DAF"/>
    <w:rsid w:val="002B49B2"/>
    <w:rsid w:val="002B7344"/>
    <w:rsid w:val="002B7A00"/>
    <w:rsid w:val="002C4EC9"/>
    <w:rsid w:val="002C69AB"/>
    <w:rsid w:val="002C796E"/>
    <w:rsid w:val="002D0074"/>
    <w:rsid w:val="002D1294"/>
    <w:rsid w:val="002D1965"/>
    <w:rsid w:val="002D1E8A"/>
    <w:rsid w:val="002D2723"/>
    <w:rsid w:val="002D2EF7"/>
    <w:rsid w:val="002D32F6"/>
    <w:rsid w:val="002D43B4"/>
    <w:rsid w:val="002D6FCF"/>
    <w:rsid w:val="002D7433"/>
    <w:rsid w:val="002D7708"/>
    <w:rsid w:val="002E0016"/>
    <w:rsid w:val="002E1034"/>
    <w:rsid w:val="002E1181"/>
    <w:rsid w:val="002E2171"/>
    <w:rsid w:val="002E2465"/>
    <w:rsid w:val="002E2587"/>
    <w:rsid w:val="002E33D6"/>
    <w:rsid w:val="002E5E24"/>
    <w:rsid w:val="002E6745"/>
    <w:rsid w:val="002E6914"/>
    <w:rsid w:val="002E6A66"/>
    <w:rsid w:val="002E767B"/>
    <w:rsid w:val="002E78E4"/>
    <w:rsid w:val="002F3117"/>
    <w:rsid w:val="002F31E3"/>
    <w:rsid w:val="002F44FD"/>
    <w:rsid w:val="002F474F"/>
    <w:rsid w:val="002F514A"/>
    <w:rsid w:val="002F5775"/>
    <w:rsid w:val="002F616B"/>
    <w:rsid w:val="002F6940"/>
    <w:rsid w:val="003003A1"/>
    <w:rsid w:val="00300B71"/>
    <w:rsid w:val="0030132E"/>
    <w:rsid w:val="00301C70"/>
    <w:rsid w:val="003024B6"/>
    <w:rsid w:val="00302947"/>
    <w:rsid w:val="003038D3"/>
    <w:rsid w:val="00303D7D"/>
    <w:rsid w:val="00304754"/>
    <w:rsid w:val="00304C5B"/>
    <w:rsid w:val="00304D72"/>
    <w:rsid w:val="00306A31"/>
    <w:rsid w:val="00307F93"/>
    <w:rsid w:val="0031381A"/>
    <w:rsid w:val="003164A0"/>
    <w:rsid w:val="0031686B"/>
    <w:rsid w:val="003175FC"/>
    <w:rsid w:val="00320292"/>
    <w:rsid w:val="00320FBB"/>
    <w:rsid w:val="003216EC"/>
    <w:rsid w:val="0032382F"/>
    <w:rsid w:val="00323925"/>
    <w:rsid w:val="00323A67"/>
    <w:rsid w:val="00324856"/>
    <w:rsid w:val="00326303"/>
    <w:rsid w:val="00326C5B"/>
    <w:rsid w:val="003301B4"/>
    <w:rsid w:val="003310B4"/>
    <w:rsid w:val="003322CC"/>
    <w:rsid w:val="00335EA7"/>
    <w:rsid w:val="0033693E"/>
    <w:rsid w:val="00336A5E"/>
    <w:rsid w:val="00337E77"/>
    <w:rsid w:val="00340324"/>
    <w:rsid w:val="00341FDE"/>
    <w:rsid w:val="0034275C"/>
    <w:rsid w:val="003432E4"/>
    <w:rsid w:val="0034479C"/>
    <w:rsid w:val="0034641D"/>
    <w:rsid w:val="0034653D"/>
    <w:rsid w:val="00347A57"/>
    <w:rsid w:val="0035115B"/>
    <w:rsid w:val="0035181A"/>
    <w:rsid w:val="00353277"/>
    <w:rsid w:val="00353898"/>
    <w:rsid w:val="00353E56"/>
    <w:rsid w:val="003557D7"/>
    <w:rsid w:val="00356055"/>
    <w:rsid w:val="003564ED"/>
    <w:rsid w:val="003571A2"/>
    <w:rsid w:val="003607D4"/>
    <w:rsid w:val="003608A7"/>
    <w:rsid w:val="00362BFE"/>
    <w:rsid w:val="00363337"/>
    <w:rsid w:val="00364E74"/>
    <w:rsid w:val="003666B7"/>
    <w:rsid w:val="003669B4"/>
    <w:rsid w:val="00366BEC"/>
    <w:rsid w:val="003676CF"/>
    <w:rsid w:val="00371581"/>
    <w:rsid w:val="00371B5C"/>
    <w:rsid w:val="00372498"/>
    <w:rsid w:val="00372D6A"/>
    <w:rsid w:val="00373935"/>
    <w:rsid w:val="00373AC5"/>
    <w:rsid w:val="003744D3"/>
    <w:rsid w:val="00374B14"/>
    <w:rsid w:val="00375648"/>
    <w:rsid w:val="00376A4D"/>
    <w:rsid w:val="0037723B"/>
    <w:rsid w:val="0038056A"/>
    <w:rsid w:val="00382591"/>
    <w:rsid w:val="00383361"/>
    <w:rsid w:val="003834E2"/>
    <w:rsid w:val="00383DD0"/>
    <w:rsid w:val="00384771"/>
    <w:rsid w:val="003852A5"/>
    <w:rsid w:val="00386B03"/>
    <w:rsid w:val="003875B5"/>
    <w:rsid w:val="00394045"/>
    <w:rsid w:val="00395085"/>
    <w:rsid w:val="003954B3"/>
    <w:rsid w:val="00395E1D"/>
    <w:rsid w:val="0039713C"/>
    <w:rsid w:val="003A1C3D"/>
    <w:rsid w:val="003A2ABA"/>
    <w:rsid w:val="003A2E59"/>
    <w:rsid w:val="003A387D"/>
    <w:rsid w:val="003A3DB2"/>
    <w:rsid w:val="003A4516"/>
    <w:rsid w:val="003A4909"/>
    <w:rsid w:val="003B1426"/>
    <w:rsid w:val="003B1842"/>
    <w:rsid w:val="003B20BA"/>
    <w:rsid w:val="003B353F"/>
    <w:rsid w:val="003B44B9"/>
    <w:rsid w:val="003B676E"/>
    <w:rsid w:val="003B795A"/>
    <w:rsid w:val="003C10F7"/>
    <w:rsid w:val="003C13F0"/>
    <w:rsid w:val="003C1592"/>
    <w:rsid w:val="003C17CA"/>
    <w:rsid w:val="003C1D8F"/>
    <w:rsid w:val="003C1F85"/>
    <w:rsid w:val="003C6C95"/>
    <w:rsid w:val="003C7276"/>
    <w:rsid w:val="003C79D1"/>
    <w:rsid w:val="003D083D"/>
    <w:rsid w:val="003D0CBF"/>
    <w:rsid w:val="003D1891"/>
    <w:rsid w:val="003D1D30"/>
    <w:rsid w:val="003D388B"/>
    <w:rsid w:val="003D47FF"/>
    <w:rsid w:val="003D481D"/>
    <w:rsid w:val="003D4A05"/>
    <w:rsid w:val="003D5277"/>
    <w:rsid w:val="003D77F4"/>
    <w:rsid w:val="003D7C0A"/>
    <w:rsid w:val="003E0512"/>
    <w:rsid w:val="003E2A88"/>
    <w:rsid w:val="003E33E0"/>
    <w:rsid w:val="003E4E9C"/>
    <w:rsid w:val="003E6409"/>
    <w:rsid w:val="003E79B0"/>
    <w:rsid w:val="003F0232"/>
    <w:rsid w:val="003F0B6E"/>
    <w:rsid w:val="003F12BB"/>
    <w:rsid w:val="003F1AD6"/>
    <w:rsid w:val="003F1D75"/>
    <w:rsid w:val="003F1EE5"/>
    <w:rsid w:val="003F2448"/>
    <w:rsid w:val="003F2969"/>
    <w:rsid w:val="003F431D"/>
    <w:rsid w:val="003F4445"/>
    <w:rsid w:val="003F5B4D"/>
    <w:rsid w:val="003F5F7D"/>
    <w:rsid w:val="003F7A24"/>
    <w:rsid w:val="00401127"/>
    <w:rsid w:val="00401FEA"/>
    <w:rsid w:val="004027FC"/>
    <w:rsid w:val="00404400"/>
    <w:rsid w:val="004045DE"/>
    <w:rsid w:val="004071E7"/>
    <w:rsid w:val="00407CB8"/>
    <w:rsid w:val="00407D71"/>
    <w:rsid w:val="00412053"/>
    <w:rsid w:val="004129C7"/>
    <w:rsid w:val="00413287"/>
    <w:rsid w:val="00414E77"/>
    <w:rsid w:val="0041509F"/>
    <w:rsid w:val="0041785D"/>
    <w:rsid w:val="00417A3B"/>
    <w:rsid w:val="00421E23"/>
    <w:rsid w:val="00422654"/>
    <w:rsid w:val="004249AA"/>
    <w:rsid w:val="004249AB"/>
    <w:rsid w:val="00424E57"/>
    <w:rsid w:val="00424E7C"/>
    <w:rsid w:val="004256EC"/>
    <w:rsid w:val="00425938"/>
    <w:rsid w:val="00427BE1"/>
    <w:rsid w:val="004305CA"/>
    <w:rsid w:val="00430926"/>
    <w:rsid w:val="0043186D"/>
    <w:rsid w:val="00431D4F"/>
    <w:rsid w:val="00432254"/>
    <w:rsid w:val="00433087"/>
    <w:rsid w:val="0043317D"/>
    <w:rsid w:val="00436197"/>
    <w:rsid w:val="00436D65"/>
    <w:rsid w:val="00441509"/>
    <w:rsid w:val="004438B1"/>
    <w:rsid w:val="00445521"/>
    <w:rsid w:val="004458E4"/>
    <w:rsid w:val="00445922"/>
    <w:rsid w:val="0044624E"/>
    <w:rsid w:val="004479EC"/>
    <w:rsid w:val="00447A32"/>
    <w:rsid w:val="004506DA"/>
    <w:rsid w:val="00451384"/>
    <w:rsid w:val="004521FC"/>
    <w:rsid w:val="00452590"/>
    <w:rsid w:val="00452B67"/>
    <w:rsid w:val="00453DCB"/>
    <w:rsid w:val="00453F83"/>
    <w:rsid w:val="00455829"/>
    <w:rsid w:val="00455A09"/>
    <w:rsid w:val="004562BF"/>
    <w:rsid w:val="0045666B"/>
    <w:rsid w:val="00461CB0"/>
    <w:rsid w:val="00466C94"/>
    <w:rsid w:val="004707BF"/>
    <w:rsid w:val="004720B0"/>
    <w:rsid w:val="004734C1"/>
    <w:rsid w:val="004764D8"/>
    <w:rsid w:val="004769FC"/>
    <w:rsid w:val="00481A1A"/>
    <w:rsid w:val="0048257C"/>
    <w:rsid w:val="0048281C"/>
    <w:rsid w:val="00483492"/>
    <w:rsid w:val="00483627"/>
    <w:rsid w:val="00484E51"/>
    <w:rsid w:val="00487072"/>
    <w:rsid w:val="004906DE"/>
    <w:rsid w:val="004907F7"/>
    <w:rsid w:val="004943FA"/>
    <w:rsid w:val="00494644"/>
    <w:rsid w:val="0049670C"/>
    <w:rsid w:val="004979D8"/>
    <w:rsid w:val="004A1E65"/>
    <w:rsid w:val="004A1EDD"/>
    <w:rsid w:val="004A3A71"/>
    <w:rsid w:val="004A3E36"/>
    <w:rsid w:val="004A4AA0"/>
    <w:rsid w:val="004A5D8D"/>
    <w:rsid w:val="004A6B07"/>
    <w:rsid w:val="004B0154"/>
    <w:rsid w:val="004B0B4F"/>
    <w:rsid w:val="004B150E"/>
    <w:rsid w:val="004B1CCE"/>
    <w:rsid w:val="004B29D2"/>
    <w:rsid w:val="004B2F8F"/>
    <w:rsid w:val="004B4B4B"/>
    <w:rsid w:val="004B5BB9"/>
    <w:rsid w:val="004B68EA"/>
    <w:rsid w:val="004B745F"/>
    <w:rsid w:val="004C18B9"/>
    <w:rsid w:val="004C1D64"/>
    <w:rsid w:val="004C2A2D"/>
    <w:rsid w:val="004C2C06"/>
    <w:rsid w:val="004C3DAF"/>
    <w:rsid w:val="004C4874"/>
    <w:rsid w:val="004C5267"/>
    <w:rsid w:val="004C570E"/>
    <w:rsid w:val="004C6C5B"/>
    <w:rsid w:val="004C7AF2"/>
    <w:rsid w:val="004C7D16"/>
    <w:rsid w:val="004D0651"/>
    <w:rsid w:val="004D1667"/>
    <w:rsid w:val="004D2EFB"/>
    <w:rsid w:val="004D36F0"/>
    <w:rsid w:val="004D40C3"/>
    <w:rsid w:val="004D54F5"/>
    <w:rsid w:val="004D56B5"/>
    <w:rsid w:val="004D6F53"/>
    <w:rsid w:val="004D7839"/>
    <w:rsid w:val="004D7D67"/>
    <w:rsid w:val="004E049A"/>
    <w:rsid w:val="004E1F85"/>
    <w:rsid w:val="004E2D8E"/>
    <w:rsid w:val="004E32AB"/>
    <w:rsid w:val="004E5F00"/>
    <w:rsid w:val="004E718A"/>
    <w:rsid w:val="004F0236"/>
    <w:rsid w:val="004F0E5F"/>
    <w:rsid w:val="004F14A0"/>
    <w:rsid w:val="004F16F2"/>
    <w:rsid w:val="004F218D"/>
    <w:rsid w:val="004F2B6A"/>
    <w:rsid w:val="004F3865"/>
    <w:rsid w:val="004F3A50"/>
    <w:rsid w:val="004F3B90"/>
    <w:rsid w:val="004F3EC8"/>
    <w:rsid w:val="004F4385"/>
    <w:rsid w:val="004F4620"/>
    <w:rsid w:val="004F4D24"/>
    <w:rsid w:val="004F53EB"/>
    <w:rsid w:val="004F53FF"/>
    <w:rsid w:val="004F57C3"/>
    <w:rsid w:val="004F7AC1"/>
    <w:rsid w:val="00500365"/>
    <w:rsid w:val="00503F01"/>
    <w:rsid w:val="00504829"/>
    <w:rsid w:val="00504CE2"/>
    <w:rsid w:val="0050504D"/>
    <w:rsid w:val="0050575D"/>
    <w:rsid w:val="00506704"/>
    <w:rsid w:val="0050724C"/>
    <w:rsid w:val="00507A0F"/>
    <w:rsid w:val="00510817"/>
    <w:rsid w:val="005126ED"/>
    <w:rsid w:val="005127B7"/>
    <w:rsid w:val="005132EE"/>
    <w:rsid w:val="005134F7"/>
    <w:rsid w:val="00514C7A"/>
    <w:rsid w:val="00515BD8"/>
    <w:rsid w:val="00515E8A"/>
    <w:rsid w:val="0051639D"/>
    <w:rsid w:val="00516FE7"/>
    <w:rsid w:val="00517D0D"/>
    <w:rsid w:val="00520454"/>
    <w:rsid w:val="00520707"/>
    <w:rsid w:val="00520F93"/>
    <w:rsid w:val="00522D6B"/>
    <w:rsid w:val="005232C2"/>
    <w:rsid w:val="005243E3"/>
    <w:rsid w:val="00524DFC"/>
    <w:rsid w:val="00525E86"/>
    <w:rsid w:val="0052670D"/>
    <w:rsid w:val="00530F14"/>
    <w:rsid w:val="00531324"/>
    <w:rsid w:val="0053239F"/>
    <w:rsid w:val="0053280B"/>
    <w:rsid w:val="005329B4"/>
    <w:rsid w:val="00536B4D"/>
    <w:rsid w:val="00537353"/>
    <w:rsid w:val="00540914"/>
    <w:rsid w:val="00544274"/>
    <w:rsid w:val="00545320"/>
    <w:rsid w:val="0054540B"/>
    <w:rsid w:val="00546341"/>
    <w:rsid w:val="005465DA"/>
    <w:rsid w:val="0054723F"/>
    <w:rsid w:val="00550E89"/>
    <w:rsid w:val="00551034"/>
    <w:rsid w:val="00553A91"/>
    <w:rsid w:val="00554994"/>
    <w:rsid w:val="0055654C"/>
    <w:rsid w:val="00556567"/>
    <w:rsid w:val="0055737B"/>
    <w:rsid w:val="0055741F"/>
    <w:rsid w:val="00560E0E"/>
    <w:rsid w:val="00560EC5"/>
    <w:rsid w:val="00562F5F"/>
    <w:rsid w:val="00563CA3"/>
    <w:rsid w:val="00565E20"/>
    <w:rsid w:val="00567B3C"/>
    <w:rsid w:val="00567D8E"/>
    <w:rsid w:val="00571000"/>
    <w:rsid w:val="005713C2"/>
    <w:rsid w:val="00571849"/>
    <w:rsid w:val="005719D9"/>
    <w:rsid w:val="0057202E"/>
    <w:rsid w:val="005721F1"/>
    <w:rsid w:val="00573374"/>
    <w:rsid w:val="00573A33"/>
    <w:rsid w:val="005761AE"/>
    <w:rsid w:val="00576A6C"/>
    <w:rsid w:val="00580209"/>
    <w:rsid w:val="00580BDA"/>
    <w:rsid w:val="00580E90"/>
    <w:rsid w:val="005815AF"/>
    <w:rsid w:val="0058468C"/>
    <w:rsid w:val="005851DC"/>
    <w:rsid w:val="00585B84"/>
    <w:rsid w:val="0058646D"/>
    <w:rsid w:val="00586597"/>
    <w:rsid w:val="00586F5C"/>
    <w:rsid w:val="00587083"/>
    <w:rsid w:val="00592C16"/>
    <w:rsid w:val="0059319A"/>
    <w:rsid w:val="00593247"/>
    <w:rsid w:val="0059324F"/>
    <w:rsid w:val="00593539"/>
    <w:rsid w:val="00593EE8"/>
    <w:rsid w:val="00594998"/>
    <w:rsid w:val="00596259"/>
    <w:rsid w:val="00596E3F"/>
    <w:rsid w:val="0059759B"/>
    <w:rsid w:val="005A1728"/>
    <w:rsid w:val="005A30C1"/>
    <w:rsid w:val="005A429C"/>
    <w:rsid w:val="005A50DF"/>
    <w:rsid w:val="005A5924"/>
    <w:rsid w:val="005A7088"/>
    <w:rsid w:val="005A7680"/>
    <w:rsid w:val="005A7C4B"/>
    <w:rsid w:val="005B047C"/>
    <w:rsid w:val="005B0EEA"/>
    <w:rsid w:val="005B1918"/>
    <w:rsid w:val="005B27DA"/>
    <w:rsid w:val="005B31A7"/>
    <w:rsid w:val="005B44CD"/>
    <w:rsid w:val="005B48B0"/>
    <w:rsid w:val="005B4F8E"/>
    <w:rsid w:val="005B6199"/>
    <w:rsid w:val="005B6D41"/>
    <w:rsid w:val="005B770F"/>
    <w:rsid w:val="005C0AB0"/>
    <w:rsid w:val="005C12EF"/>
    <w:rsid w:val="005C13C8"/>
    <w:rsid w:val="005C1CC4"/>
    <w:rsid w:val="005C2C63"/>
    <w:rsid w:val="005C2DA5"/>
    <w:rsid w:val="005C6E5C"/>
    <w:rsid w:val="005D1265"/>
    <w:rsid w:val="005D29D2"/>
    <w:rsid w:val="005D2D25"/>
    <w:rsid w:val="005D338D"/>
    <w:rsid w:val="005D3A97"/>
    <w:rsid w:val="005D3D87"/>
    <w:rsid w:val="005D3F1D"/>
    <w:rsid w:val="005D4774"/>
    <w:rsid w:val="005D4C91"/>
    <w:rsid w:val="005D6F2F"/>
    <w:rsid w:val="005D788B"/>
    <w:rsid w:val="005E01DD"/>
    <w:rsid w:val="005E11DC"/>
    <w:rsid w:val="005E13F8"/>
    <w:rsid w:val="005E270B"/>
    <w:rsid w:val="005E4DBA"/>
    <w:rsid w:val="005E535B"/>
    <w:rsid w:val="005E5791"/>
    <w:rsid w:val="005E5977"/>
    <w:rsid w:val="005F03BA"/>
    <w:rsid w:val="005F27C9"/>
    <w:rsid w:val="005F2EA4"/>
    <w:rsid w:val="005F455F"/>
    <w:rsid w:val="005F46DD"/>
    <w:rsid w:val="005F504C"/>
    <w:rsid w:val="005F5439"/>
    <w:rsid w:val="005F573F"/>
    <w:rsid w:val="005F59E2"/>
    <w:rsid w:val="005F7343"/>
    <w:rsid w:val="00603AE8"/>
    <w:rsid w:val="00603D3C"/>
    <w:rsid w:val="00606182"/>
    <w:rsid w:val="0060693A"/>
    <w:rsid w:val="00607BA4"/>
    <w:rsid w:val="00610EB7"/>
    <w:rsid w:val="00611A46"/>
    <w:rsid w:val="00612F1C"/>
    <w:rsid w:val="00613AAB"/>
    <w:rsid w:val="00613C07"/>
    <w:rsid w:val="00614F5F"/>
    <w:rsid w:val="0061533B"/>
    <w:rsid w:val="00615A82"/>
    <w:rsid w:val="00615F35"/>
    <w:rsid w:val="006168DE"/>
    <w:rsid w:val="0062011A"/>
    <w:rsid w:val="0062243D"/>
    <w:rsid w:val="00622B55"/>
    <w:rsid w:val="0062404D"/>
    <w:rsid w:val="006259BC"/>
    <w:rsid w:val="006259EB"/>
    <w:rsid w:val="00625E22"/>
    <w:rsid w:val="00627EE0"/>
    <w:rsid w:val="00630247"/>
    <w:rsid w:val="00631A1B"/>
    <w:rsid w:val="00631F39"/>
    <w:rsid w:val="00632178"/>
    <w:rsid w:val="00632886"/>
    <w:rsid w:val="006339AD"/>
    <w:rsid w:val="006347EE"/>
    <w:rsid w:val="0063492C"/>
    <w:rsid w:val="00635223"/>
    <w:rsid w:val="00635831"/>
    <w:rsid w:val="00636CAF"/>
    <w:rsid w:val="00636FC0"/>
    <w:rsid w:val="0063788B"/>
    <w:rsid w:val="00641542"/>
    <w:rsid w:val="006425D6"/>
    <w:rsid w:val="0064262B"/>
    <w:rsid w:val="006432F4"/>
    <w:rsid w:val="00643890"/>
    <w:rsid w:val="00643AF3"/>
    <w:rsid w:val="00645CB3"/>
    <w:rsid w:val="0064720E"/>
    <w:rsid w:val="00650648"/>
    <w:rsid w:val="0065071D"/>
    <w:rsid w:val="00651CFA"/>
    <w:rsid w:val="00654227"/>
    <w:rsid w:val="00655278"/>
    <w:rsid w:val="00655603"/>
    <w:rsid w:val="0065627B"/>
    <w:rsid w:val="00657213"/>
    <w:rsid w:val="00660414"/>
    <w:rsid w:val="00661897"/>
    <w:rsid w:val="0066197F"/>
    <w:rsid w:val="00664B69"/>
    <w:rsid w:val="00666A04"/>
    <w:rsid w:val="0067037C"/>
    <w:rsid w:val="006705BF"/>
    <w:rsid w:val="0067507E"/>
    <w:rsid w:val="0067579B"/>
    <w:rsid w:val="00675D04"/>
    <w:rsid w:val="00677A9F"/>
    <w:rsid w:val="00680511"/>
    <w:rsid w:val="0068093D"/>
    <w:rsid w:val="00680D03"/>
    <w:rsid w:val="00682A86"/>
    <w:rsid w:val="00682FD6"/>
    <w:rsid w:val="006832DE"/>
    <w:rsid w:val="0068339E"/>
    <w:rsid w:val="00684AC7"/>
    <w:rsid w:val="00686505"/>
    <w:rsid w:val="00690395"/>
    <w:rsid w:val="00690A68"/>
    <w:rsid w:val="00690CD7"/>
    <w:rsid w:val="006911A0"/>
    <w:rsid w:val="00691220"/>
    <w:rsid w:val="00691E15"/>
    <w:rsid w:val="00692878"/>
    <w:rsid w:val="00692D64"/>
    <w:rsid w:val="006933E5"/>
    <w:rsid w:val="00693581"/>
    <w:rsid w:val="00694C5F"/>
    <w:rsid w:val="0069708B"/>
    <w:rsid w:val="006A1028"/>
    <w:rsid w:val="006A256E"/>
    <w:rsid w:val="006A2D48"/>
    <w:rsid w:val="006A6ACA"/>
    <w:rsid w:val="006A6EE6"/>
    <w:rsid w:val="006B184C"/>
    <w:rsid w:val="006B1FD2"/>
    <w:rsid w:val="006B4ECA"/>
    <w:rsid w:val="006B547E"/>
    <w:rsid w:val="006B7819"/>
    <w:rsid w:val="006B7F8B"/>
    <w:rsid w:val="006C0436"/>
    <w:rsid w:val="006C12ED"/>
    <w:rsid w:val="006C21C7"/>
    <w:rsid w:val="006C3C67"/>
    <w:rsid w:val="006C407A"/>
    <w:rsid w:val="006C6C9B"/>
    <w:rsid w:val="006D1B22"/>
    <w:rsid w:val="006D286E"/>
    <w:rsid w:val="006D2954"/>
    <w:rsid w:val="006D2E96"/>
    <w:rsid w:val="006D2F76"/>
    <w:rsid w:val="006D3038"/>
    <w:rsid w:val="006D32A7"/>
    <w:rsid w:val="006D38ED"/>
    <w:rsid w:val="006D3BB2"/>
    <w:rsid w:val="006D4660"/>
    <w:rsid w:val="006D50B2"/>
    <w:rsid w:val="006D521C"/>
    <w:rsid w:val="006D5D62"/>
    <w:rsid w:val="006D7F39"/>
    <w:rsid w:val="006E011D"/>
    <w:rsid w:val="006E1D30"/>
    <w:rsid w:val="006E2F93"/>
    <w:rsid w:val="006E6018"/>
    <w:rsid w:val="006E7F9D"/>
    <w:rsid w:val="006F070A"/>
    <w:rsid w:val="006F3FA2"/>
    <w:rsid w:val="006F53D6"/>
    <w:rsid w:val="007009EF"/>
    <w:rsid w:val="00700A4E"/>
    <w:rsid w:val="00700C19"/>
    <w:rsid w:val="00702043"/>
    <w:rsid w:val="00703318"/>
    <w:rsid w:val="00703945"/>
    <w:rsid w:val="00706946"/>
    <w:rsid w:val="007079DE"/>
    <w:rsid w:val="00707E15"/>
    <w:rsid w:val="007107E0"/>
    <w:rsid w:val="00711777"/>
    <w:rsid w:val="007126B5"/>
    <w:rsid w:val="007141E4"/>
    <w:rsid w:val="0071438E"/>
    <w:rsid w:val="00714664"/>
    <w:rsid w:val="00714D26"/>
    <w:rsid w:val="00714ECA"/>
    <w:rsid w:val="00715F9B"/>
    <w:rsid w:val="007178D5"/>
    <w:rsid w:val="007203FE"/>
    <w:rsid w:val="00722478"/>
    <w:rsid w:val="007225DC"/>
    <w:rsid w:val="007235E2"/>
    <w:rsid w:val="0072484C"/>
    <w:rsid w:val="00724E48"/>
    <w:rsid w:val="00725EE7"/>
    <w:rsid w:val="007272DF"/>
    <w:rsid w:val="007306C1"/>
    <w:rsid w:val="007306C6"/>
    <w:rsid w:val="00731D1A"/>
    <w:rsid w:val="00731E31"/>
    <w:rsid w:val="0073308C"/>
    <w:rsid w:val="00733105"/>
    <w:rsid w:val="00733430"/>
    <w:rsid w:val="0073602D"/>
    <w:rsid w:val="00736513"/>
    <w:rsid w:val="0073716B"/>
    <w:rsid w:val="00737F8A"/>
    <w:rsid w:val="0074156F"/>
    <w:rsid w:val="00742296"/>
    <w:rsid w:val="00742B53"/>
    <w:rsid w:val="0074308E"/>
    <w:rsid w:val="00743CE7"/>
    <w:rsid w:val="00743FD2"/>
    <w:rsid w:val="0074404F"/>
    <w:rsid w:val="00744B3D"/>
    <w:rsid w:val="00745445"/>
    <w:rsid w:val="00745511"/>
    <w:rsid w:val="0074790A"/>
    <w:rsid w:val="00750339"/>
    <w:rsid w:val="00750D17"/>
    <w:rsid w:val="007547F4"/>
    <w:rsid w:val="007553DF"/>
    <w:rsid w:val="00761F93"/>
    <w:rsid w:val="00763774"/>
    <w:rsid w:val="007638F5"/>
    <w:rsid w:val="007639F2"/>
    <w:rsid w:val="0076452B"/>
    <w:rsid w:val="00765AC7"/>
    <w:rsid w:val="00767366"/>
    <w:rsid w:val="007704B2"/>
    <w:rsid w:val="0077194D"/>
    <w:rsid w:val="00771C7C"/>
    <w:rsid w:val="00772345"/>
    <w:rsid w:val="00772FC5"/>
    <w:rsid w:val="007730BC"/>
    <w:rsid w:val="007756DE"/>
    <w:rsid w:val="00777353"/>
    <w:rsid w:val="00780937"/>
    <w:rsid w:val="0078121C"/>
    <w:rsid w:val="007812F9"/>
    <w:rsid w:val="00781611"/>
    <w:rsid w:val="0078211B"/>
    <w:rsid w:val="007824B6"/>
    <w:rsid w:val="00783539"/>
    <w:rsid w:val="007838DC"/>
    <w:rsid w:val="007842B9"/>
    <w:rsid w:val="007842D7"/>
    <w:rsid w:val="00784545"/>
    <w:rsid w:val="00785169"/>
    <w:rsid w:val="00786C71"/>
    <w:rsid w:val="0078734C"/>
    <w:rsid w:val="00787DC0"/>
    <w:rsid w:val="00790BB6"/>
    <w:rsid w:val="00791211"/>
    <w:rsid w:val="00791883"/>
    <w:rsid w:val="00791FB1"/>
    <w:rsid w:val="00792D21"/>
    <w:rsid w:val="007935C3"/>
    <w:rsid w:val="00793CA5"/>
    <w:rsid w:val="00794D04"/>
    <w:rsid w:val="00796D5D"/>
    <w:rsid w:val="00797DF6"/>
    <w:rsid w:val="00797EC7"/>
    <w:rsid w:val="00797FE6"/>
    <w:rsid w:val="007A0DEA"/>
    <w:rsid w:val="007A0FF8"/>
    <w:rsid w:val="007A1997"/>
    <w:rsid w:val="007A2BB2"/>
    <w:rsid w:val="007A5140"/>
    <w:rsid w:val="007A5E13"/>
    <w:rsid w:val="007A78B8"/>
    <w:rsid w:val="007B0A1C"/>
    <w:rsid w:val="007B1268"/>
    <w:rsid w:val="007B2B69"/>
    <w:rsid w:val="007B3529"/>
    <w:rsid w:val="007B4E25"/>
    <w:rsid w:val="007B4F5C"/>
    <w:rsid w:val="007B6737"/>
    <w:rsid w:val="007C071C"/>
    <w:rsid w:val="007C0929"/>
    <w:rsid w:val="007C1927"/>
    <w:rsid w:val="007C1BAC"/>
    <w:rsid w:val="007C1DDD"/>
    <w:rsid w:val="007C2141"/>
    <w:rsid w:val="007C25AC"/>
    <w:rsid w:val="007C4BC3"/>
    <w:rsid w:val="007C4EDE"/>
    <w:rsid w:val="007C5DD7"/>
    <w:rsid w:val="007C5DEF"/>
    <w:rsid w:val="007C6062"/>
    <w:rsid w:val="007C612A"/>
    <w:rsid w:val="007C6939"/>
    <w:rsid w:val="007C72AF"/>
    <w:rsid w:val="007C7721"/>
    <w:rsid w:val="007D2D5F"/>
    <w:rsid w:val="007D3656"/>
    <w:rsid w:val="007D3E7F"/>
    <w:rsid w:val="007D455C"/>
    <w:rsid w:val="007D4F11"/>
    <w:rsid w:val="007D5087"/>
    <w:rsid w:val="007D50EF"/>
    <w:rsid w:val="007D539A"/>
    <w:rsid w:val="007D5A24"/>
    <w:rsid w:val="007D6CFD"/>
    <w:rsid w:val="007D6DDD"/>
    <w:rsid w:val="007E0090"/>
    <w:rsid w:val="007E0771"/>
    <w:rsid w:val="007E2A2B"/>
    <w:rsid w:val="007E57A7"/>
    <w:rsid w:val="007F0D50"/>
    <w:rsid w:val="007F1DC4"/>
    <w:rsid w:val="007F368C"/>
    <w:rsid w:val="007F37CB"/>
    <w:rsid w:val="007F4695"/>
    <w:rsid w:val="007F5931"/>
    <w:rsid w:val="007F6B89"/>
    <w:rsid w:val="007F6DBE"/>
    <w:rsid w:val="007F6E3C"/>
    <w:rsid w:val="007F6E5C"/>
    <w:rsid w:val="007F726E"/>
    <w:rsid w:val="007F790B"/>
    <w:rsid w:val="0080293A"/>
    <w:rsid w:val="00803A22"/>
    <w:rsid w:val="00804B58"/>
    <w:rsid w:val="00804F3D"/>
    <w:rsid w:val="00805229"/>
    <w:rsid w:val="008062E3"/>
    <w:rsid w:val="008101E4"/>
    <w:rsid w:val="00812514"/>
    <w:rsid w:val="00814536"/>
    <w:rsid w:val="00814EF9"/>
    <w:rsid w:val="00815008"/>
    <w:rsid w:val="0081551D"/>
    <w:rsid w:val="00817056"/>
    <w:rsid w:val="0081720F"/>
    <w:rsid w:val="008206A4"/>
    <w:rsid w:val="00820D4B"/>
    <w:rsid w:val="008215A3"/>
    <w:rsid w:val="00821A0D"/>
    <w:rsid w:val="00821BD0"/>
    <w:rsid w:val="00823633"/>
    <w:rsid w:val="008252F8"/>
    <w:rsid w:val="00826A77"/>
    <w:rsid w:val="00826A9D"/>
    <w:rsid w:val="00827B99"/>
    <w:rsid w:val="0083007E"/>
    <w:rsid w:val="00831249"/>
    <w:rsid w:val="008313DA"/>
    <w:rsid w:val="008320E5"/>
    <w:rsid w:val="00832422"/>
    <w:rsid w:val="00833DE9"/>
    <w:rsid w:val="00835CC1"/>
    <w:rsid w:val="008364D7"/>
    <w:rsid w:val="008375CF"/>
    <w:rsid w:val="008376DB"/>
    <w:rsid w:val="008379C2"/>
    <w:rsid w:val="008400D8"/>
    <w:rsid w:val="00840AAD"/>
    <w:rsid w:val="0084131E"/>
    <w:rsid w:val="008413CF"/>
    <w:rsid w:val="00841ACE"/>
    <w:rsid w:val="00841AF4"/>
    <w:rsid w:val="0084268F"/>
    <w:rsid w:val="008468A0"/>
    <w:rsid w:val="00847CCC"/>
    <w:rsid w:val="008515E3"/>
    <w:rsid w:val="00851809"/>
    <w:rsid w:val="0085272F"/>
    <w:rsid w:val="00854749"/>
    <w:rsid w:val="00854882"/>
    <w:rsid w:val="008548A0"/>
    <w:rsid w:val="00854AC2"/>
    <w:rsid w:val="00855730"/>
    <w:rsid w:val="00856D04"/>
    <w:rsid w:val="00863F37"/>
    <w:rsid w:val="0086436D"/>
    <w:rsid w:val="00870F36"/>
    <w:rsid w:val="00871797"/>
    <w:rsid w:val="008728CB"/>
    <w:rsid w:val="00873C5F"/>
    <w:rsid w:val="008742F1"/>
    <w:rsid w:val="00874D87"/>
    <w:rsid w:val="00875FE8"/>
    <w:rsid w:val="0087600B"/>
    <w:rsid w:val="00876898"/>
    <w:rsid w:val="008769BA"/>
    <w:rsid w:val="00880769"/>
    <w:rsid w:val="00880CE9"/>
    <w:rsid w:val="00881BCA"/>
    <w:rsid w:val="00882B68"/>
    <w:rsid w:val="00882E5D"/>
    <w:rsid w:val="00882F8D"/>
    <w:rsid w:val="00883301"/>
    <w:rsid w:val="00884417"/>
    <w:rsid w:val="008863BC"/>
    <w:rsid w:val="008919D6"/>
    <w:rsid w:val="0089261A"/>
    <w:rsid w:val="00893A5E"/>
    <w:rsid w:val="00893B40"/>
    <w:rsid w:val="00894ECA"/>
    <w:rsid w:val="00895255"/>
    <w:rsid w:val="0089697F"/>
    <w:rsid w:val="00896CDC"/>
    <w:rsid w:val="008A067D"/>
    <w:rsid w:val="008A0B00"/>
    <w:rsid w:val="008A23F6"/>
    <w:rsid w:val="008A2480"/>
    <w:rsid w:val="008A3C64"/>
    <w:rsid w:val="008A598A"/>
    <w:rsid w:val="008A7C97"/>
    <w:rsid w:val="008B29E1"/>
    <w:rsid w:val="008B33F3"/>
    <w:rsid w:val="008B4AA4"/>
    <w:rsid w:val="008B5F9A"/>
    <w:rsid w:val="008C07E0"/>
    <w:rsid w:val="008C12C7"/>
    <w:rsid w:val="008C161F"/>
    <w:rsid w:val="008C193C"/>
    <w:rsid w:val="008C306B"/>
    <w:rsid w:val="008C320F"/>
    <w:rsid w:val="008C485F"/>
    <w:rsid w:val="008C48F4"/>
    <w:rsid w:val="008C50D0"/>
    <w:rsid w:val="008C5C2F"/>
    <w:rsid w:val="008C6975"/>
    <w:rsid w:val="008D14AB"/>
    <w:rsid w:val="008D2266"/>
    <w:rsid w:val="008D29C5"/>
    <w:rsid w:val="008D35BF"/>
    <w:rsid w:val="008D3643"/>
    <w:rsid w:val="008D5A29"/>
    <w:rsid w:val="008D61EA"/>
    <w:rsid w:val="008D64DD"/>
    <w:rsid w:val="008D6BA4"/>
    <w:rsid w:val="008E1249"/>
    <w:rsid w:val="008E14F7"/>
    <w:rsid w:val="008E2B1D"/>
    <w:rsid w:val="008E338D"/>
    <w:rsid w:val="008E5A37"/>
    <w:rsid w:val="008E7ABD"/>
    <w:rsid w:val="008F1B98"/>
    <w:rsid w:val="008F2A9A"/>
    <w:rsid w:val="008F33B2"/>
    <w:rsid w:val="008F576B"/>
    <w:rsid w:val="008F66A6"/>
    <w:rsid w:val="008F70EF"/>
    <w:rsid w:val="00900918"/>
    <w:rsid w:val="00903287"/>
    <w:rsid w:val="00904D68"/>
    <w:rsid w:val="0090547E"/>
    <w:rsid w:val="009055C7"/>
    <w:rsid w:val="00905B3F"/>
    <w:rsid w:val="00906048"/>
    <w:rsid w:val="00906126"/>
    <w:rsid w:val="0090618F"/>
    <w:rsid w:val="0090789E"/>
    <w:rsid w:val="00907A3C"/>
    <w:rsid w:val="00907D30"/>
    <w:rsid w:val="00910BD5"/>
    <w:rsid w:val="00910CFB"/>
    <w:rsid w:val="00911C5A"/>
    <w:rsid w:val="0091263A"/>
    <w:rsid w:val="00913421"/>
    <w:rsid w:val="00915846"/>
    <w:rsid w:val="0091603A"/>
    <w:rsid w:val="00916AC2"/>
    <w:rsid w:val="00922C6F"/>
    <w:rsid w:val="009239A8"/>
    <w:rsid w:val="00924777"/>
    <w:rsid w:val="00924CB9"/>
    <w:rsid w:val="00925224"/>
    <w:rsid w:val="00926360"/>
    <w:rsid w:val="00926B89"/>
    <w:rsid w:val="00927CCB"/>
    <w:rsid w:val="00931B4B"/>
    <w:rsid w:val="0093294B"/>
    <w:rsid w:val="00932D1A"/>
    <w:rsid w:val="00933263"/>
    <w:rsid w:val="00933441"/>
    <w:rsid w:val="00934221"/>
    <w:rsid w:val="00934429"/>
    <w:rsid w:val="009363BD"/>
    <w:rsid w:val="009371D0"/>
    <w:rsid w:val="00937741"/>
    <w:rsid w:val="009414B2"/>
    <w:rsid w:val="00941C3E"/>
    <w:rsid w:val="009422B2"/>
    <w:rsid w:val="009449AC"/>
    <w:rsid w:val="009452A0"/>
    <w:rsid w:val="0094661C"/>
    <w:rsid w:val="00950E8C"/>
    <w:rsid w:val="00951169"/>
    <w:rsid w:val="00951F60"/>
    <w:rsid w:val="009548D4"/>
    <w:rsid w:val="009549AC"/>
    <w:rsid w:val="0095732C"/>
    <w:rsid w:val="0095764A"/>
    <w:rsid w:val="00957D30"/>
    <w:rsid w:val="00960281"/>
    <w:rsid w:val="00961864"/>
    <w:rsid w:val="00963262"/>
    <w:rsid w:val="0096364B"/>
    <w:rsid w:val="00964413"/>
    <w:rsid w:val="0096459C"/>
    <w:rsid w:val="00964F12"/>
    <w:rsid w:val="009660BA"/>
    <w:rsid w:val="009667F9"/>
    <w:rsid w:val="009701CC"/>
    <w:rsid w:val="009714DD"/>
    <w:rsid w:val="00974793"/>
    <w:rsid w:val="00975963"/>
    <w:rsid w:val="00980439"/>
    <w:rsid w:val="00983791"/>
    <w:rsid w:val="0098395E"/>
    <w:rsid w:val="00984910"/>
    <w:rsid w:val="00985302"/>
    <w:rsid w:val="0098591B"/>
    <w:rsid w:val="0098600A"/>
    <w:rsid w:val="009865AD"/>
    <w:rsid w:val="00987C99"/>
    <w:rsid w:val="00987D65"/>
    <w:rsid w:val="009902F4"/>
    <w:rsid w:val="009918EB"/>
    <w:rsid w:val="00991B60"/>
    <w:rsid w:val="00991D16"/>
    <w:rsid w:val="009926F1"/>
    <w:rsid w:val="009933C2"/>
    <w:rsid w:val="00993637"/>
    <w:rsid w:val="00993A75"/>
    <w:rsid w:val="00996354"/>
    <w:rsid w:val="009972C0"/>
    <w:rsid w:val="00997923"/>
    <w:rsid w:val="00997B86"/>
    <w:rsid w:val="009A09A8"/>
    <w:rsid w:val="009A0A5B"/>
    <w:rsid w:val="009A0FDB"/>
    <w:rsid w:val="009A2626"/>
    <w:rsid w:val="009A4930"/>
    <w:rsid w:val="009A6D64"/>
    <w:rsid w:val="009B049C"/>
    <w:rsid w:val="009B104C"/>
    <w:rsid w:val="009B10AA"/>
    <w:rsid w:val="009B2ADA"/>
    <w:rsid w:val="009B40BA"/>
    <w:rsid w:val="009B460A"/>
    <w:rsid w:val="009B4A79"/>
    <w:rsid w:val="009B5880"/>
    <w:rsid w:val="009B7222"/>
    <w:rsid w:val="009B731F"/>
    <w:rsid w:val="009C01AB"/>
    <w:rsid w:val="009C0BC7"/>
    <w:rsid w:val="009C1CAD"/>
    <w:rsid w:val="009C6941"/>
    <w:rsid w:val="009C6A1B"/>
    <w:rsid w:val="009D03BB"/>
    <w:rsid w:val="009D18F0"/>
    <w:rsid w:val="009D1EB1"/>
    <w:rsid w:val="009D23CA"/>
    <w:rsid w:val="009D29F7"/>
    <w:rsid w:val="009D422F"/>
    <w:rsid w:val="009D4D7E"/>
    <w:rsid w:val="009D5F65"/>
    <w:rsid w:val="009D678C"/>
    <w:rsid w:val="009D706A"/>
    <w:rsid w:val="009E0C92"/>
    <w:rsid w:val="009E10D6"/>
    <w:rsid w:val="009E22DB"/>
    <w:rsid w:val="009E272B"/>
    <w:rsid w:val="009E31ED"/>
    <w:rsid w:val="009E35B0"/>
    <w:rsid w:val="009E3CFE"/>
    <w:rsid w:val="009E5BD3"/>
    <w:rsid w:val="009E6B5D"/>
    <w:rsid w:val="009E7BE1"/>
    <w:rsid w:val="009E7D57"/>
    <w:rsid w:val="009F0094"/>
    <w:rsid w:val="009F0628"/>
    <w:rsid w:val="009F1A16"/>
    <w:rsid w:val="009F3A91"/>
    <w:rsid w:val="009F4A39"/>
    <w:rsid w:val="009F503A"/>
    <w:rsid w:val="009F6357"/>
    <w:rsid w:val="009F6B25"/>
    <w:rsid w:val="00A00B81"/>
    <w:rsid w:val="00A00BA4"/>
    <w:rsid w:val="00A022C8"/>
    <w:rsid w:val="00A02E40"/>
    <w:rsid w:val="00A03350"/>
    <w:rsid w:val="00A05FB0"/>
    <w:rsid w:val="00A06BC6"/>
    <w:rsid w:val="00A06DA0"/>
    <w:rsid w:val="00A06E6B"/>
    <w:rsid w:val="00A1095F"/>
    <w:rsid w:val="00A1110C"/>
    <w:rsid w:val="00A1185F"/>
    <w:rsid w:val="00A12FB9"/>
    <w:rsid w:val="00A13DD2"/>
    <w:rsid w:val="00A14858"/>
    <w:rsid w:val="00A15A15"/>
    <w:rsid w:val="00A1645F"/>
    <w:rsid w:val="00A20C75"/>
    <w:rsid w:val="00A21319"/>
    <w:rsid w:val="00A21585"/>
    <w:rsid w:val="00A23D72"/>
    <w:rsid w:val="00A25957"/>
    <w:rsid w:val="00A25EDE"/>
    <w:rsid w:val="00A261EE"/>
    <w:rsid w:val="00A278EB"/>
    <w:rsid w:val="00A279B5"/>
    <w:rsid w:val="00A30923"/>
    <w:rsid w:val="00A3101D"/>
    <w:rsid w:val="00A31712"/>
    <w:rsid w:val="00A346F6"/>
    <w:rsid w:val="00A35293"/>
    <w:rsid w:val="00A36049"/>
    <w:rsid w:val="00A379C3"/>
    <w:rsid w:val="00A406D5"/>
    <w:rsid w:val="00A4121E"/>
    <w:rsid w:val="00A4139A"/>
    <w:rsid w:val="00A41C81"/>
    <w:rsid w:val="00A433FD"/>
    <w:rsid w:val="00A4435D"/>
    <w:rsid w:val="00A448E4"/>
    <w:rsid w:val="00A449A5"/>
    <w:rsid w:val="00A4591E"/>
    <w:rsid w:val="00A47BDE"/>
    <w:rsid w:val="00A50CA0"/>
    <w:rsid w:val="00A51DA0"/>
    <w:rsid w:val="00A53BAB"/>
    <w:rsid w:val="00A5480D"/>
    <w:rsid w:val="00A565A8"/>
    <w:rsid w:val="00A6004A"/>
    <w:rsid w:val="00A607F1"/>
    <w:rsid w:val="00A62148"/>
    <w:rsid w:val="00A62F88"/>
    <w:rsid w:val="00A64EA7"/>
    <w:rsid w:val="00A6756A"/>
    <w:rsid w:val="00A67D69"/>
    <w:rsid w:val="00A7042A"/>
    <w:rsid w:val="00A711E8"/>
    <w:rsid w:val="00A7338A"/>
    <w:rsid w:val="00A746FE"/>
    <w:rsid w:val="00A75B36"/>
    <w:rsid w:val="00A76E40"/>
    <w:rsid w:val="00A77226"/>
    <w:rsid w:val="00A77A5C"/>
    <w:rsid w:val="00A77C3A"/>
    <w:rsid w:val="00A814AB"/>
    <w:rsid w:val="00A81A83"/>
    <w:rsid w:val="00A81C70"/>
    <w:rsid w:val="00A8232D"/>
    <w:rsid w:val="00A83177"/>
    <w:rsid w:val="00A854AF"/>
    <w:rsid w:val="00A856E8"/>
    <w:rsid w:val="00A85D7A"/>
    <w:rsid w:val="00A86420"/>
    <w:rsid w:val="00A864C0"/>
    <w:rsid w:val="00A86D91"/>
    <w:rsid w:val="00A9011B"/>
    <w:rsid w:val="00A9168D"/>
    <w:rsid w:val="00A92CF9"/>
    <w:rsid w:val="00A93274"/>
    <w:rsid w:val="00A9413A"/>
    <w:rsid w:val="00A94454"/>
    <w:rsid w:val="00A94C1C"/>
    <w:rsid w:val="00A95FA8"/>
    <w:rsid w:val="00A96006"/>
    <w:rsid w:val="00A963DC"/>
    <w:rsid w:val="00A96F09"/>
    <w:rsid w:val="00A97AE5"/>
    <w:rsid w:val="00A97ECA"/>
    <w:rsid w:val="00A97FF6"/>
    <w:rsid w:val="00AA14CC"/>
    <w:rsid w:val="00AA16EE"/>
    <w:rsid w:val="00AA28D6"/>
    <w:rsid w:val="00AA2C04"/>
    <w:rsid w:val="00AA2FD5"/>
    <w:rsid w:val="00AA521B"/>
    <w:rsid w:val="00AA5E96"/>
    <w:rsid w:val="00AA65D3"/>
    <w:rsid w:val="00AA6693"/>
    <w:rsid w:val="00AA7035"/>
    <w:rsid w:val="00AA78CD"/>
    <w:rsid w:val="00AA7E46"/>
    <w:rsid w:val="00AB096C"/>
    <w:rsid w:val="00AB2644"/>
    <w:rsid w:val="00AB27D6"/>
    <w:rsid w:val="00AB2EE3"/>
    <w:rsid w:val="00AB413F"/>
    <w:rsid w:val="00AB4919"/>
    <w:rsid w:val="00AB6E50"/>
    <w:rsid w:val="00AC07A5"/>
    <w:rsid w:val="00AC47EA"/>
    <w:rsid w:val="00AC4D4F"/>
    <w:rsid w:val="00AC4DC9"/>
    <w:rsid w:val="00AC58EF"/>
    <w:rsid w:val="00AC5AC0"/>
    <w:rsid w:val="00AC5D8B"/>
    <w:rsid w:val="00AC7330"/>
    <w:rsid w:val="00AD03BC"/>
    <w:rsid w:val="00AD0935"/>
    <w:rsid w:val="00AD2631"/>
    <w:rsid w:val="00AD338C"/>
    <w:rsid w:val="00AD3F78"/>
    <w:rsid w:val="00AD40BA"/>
    <w:rsid w:val="00AD4454"/>
    <w:rsid w:val="00AD4551"/>
    <w:rsid w:val="00AD55A5"/>
    <w:rsid w:val="00AD62AA"/>
    <w:rsid w:val="00AD78F3"/>
    <w:rsid w:val="00AE0439"/>
    <w:rsid w:val="00AE39EC"/>
    <w:rsid w:val="00AE6A18"/>
    <w:rsid w:val="00AF0353"/>
    <w:rsid w:val="00AF0873"/>
    <w:rsid w:val="00AF0AE3"/>
    <w:rsid w:val="00AF1D0A"/>
    <w:rsid w:val="00AF2612"/>
    <w:rsid w:val="00AF2749"/>
    <w:rsid w:val="00AF684E"/>
    <w:rsid w:val="00AF6BC0"/>
    <w:rsid w:val="00AF72F0"/>
    <w:rsid w:val="00B0077E"/>
    <w:rsid w:val="00B01D90"/>
    <w:rsid w:val="00B032BF"/>
    <w:rsid w:val="00B04A73"/>
    <w:rsid w:val="00B04DF3"/>
    <w:rsid w:val="00B04E8B"/>
    <w:rsid w:val="00B04E92"/>
    <w:rsid w:val="00B0632A"/>
    <w:rsid w:val="00B06C63"/>
    <w:rsid w:val="00B07012"/>
    <w:rsid w:val="00B07608"/>
    <w:rsid w:val="00B1308C"/>
    <w:rsid w:val="00B13F6A"/>
    <w:rsid w:val="00B153FD"/>
    <w:rsid w:val="00B16D30"/>
    <w:rsid w:val="00B1719C"/>
    <w:rsid w:val="00B17A07"/>
    <w:rsid w:val="00B17FCD"/>
    <w:rsid w:val="00B215FF"/>
    <w:rsid w:val="00B22E49"/>
    <w:rsid w:val="00B231DC"/>
    <w:rsid w:val="00B25A2F"/>
    <w:rsid w:val="00B26E6D"/>
    <w:rsid w:val="00B271D0"/>
    <w:rsid w:val="00B278DF"/>
    <w:rsid w:val="00B3040C"/>
    <w:rsid w:val="00B3101F"/>
    <w:rsid w:val="00B31AC2"/>
    <w:rsid w:val="00B32398"/>
    <w:rsid w:val="00B3262B"/>
    <w:rsid w:val="00B33C3A"/>
    <w:rsid w:val="00B3524D"/>
    <w:rsid w:val="00B358C4"/>
    <w:rsid w:val="00B41205"/>
    <w:rsid w:val="00B42623"/>
    <w:rsid w:val="00B43319"/>
    <w:rsid w:val="00B43931"/>
    <w:rsid w:val="00B43B3C"/>
    <w:rsid w:val="00B449CE"/>
    <w:rsid w:val="00B44C08"/>
    <w:rsid w:val="00B44CC6"/>
    <w:rsid w:val="00B44E80"/>
    <w:rsid w:val="00B464F2"/>
    <w:rsid w:val="00B47086"/>
    <w:rsid w:val="00B51289"/>
    <w:rsid w:val="00B514B0"/>
    <w:rsid w:val="00B53337"/>
    <w:rsid w:val="00B53F72"/>
    <w:rsid w:val="00B552B4"/>
    <w:rsid w:val="00B56A4F"/>
    <w:rsid w:val="00B57BDB"/>
    <w:rsid w:val="00B57C84"/>
    <w:rsid w:val="00B57CDF"/>
    <w:rsid w:val="00B603CB"/>
    <w:rsid w:val="00B605FC"/>
    <w:rsid w:val="00B60FBB"/>
    <w:rsid w:val="00B6161A"/>
    <w:rsid w:val="00B62EF6"/>
    <w:rsid w:val="00B63445"/>
    <w:rsid w:val="00B63F6A"/>
    <w:rsid w:val="00B65DE8"/>
    <w:rsid w:val="00B66886"/>
    <w:rsid w:val="00B676CF"/>
    <w:rsid w:val="00B67BE0"/>
    <w:rsid w:val="00B67CA2"/>
    <w:rsid w:val="00B7085A"/>
    <w:rsid w:val="00B731D7"/>
    <w:rsid w:val="00B74F15"/>
    <w:rsid w:val="00B77F41"/>
    <w:rsid w:val="00B81044"/>
    <w:rsid w:val="00B821DB"/>
    <w:rsid w:val="00B82796"/>
    <w:rsid w:val="00B836E4"/>
    <w:rsid w:val="00B84C9F"/>
    <w:rsid w:val="00B866FA"/>
    <w:rsid w:val="00B8687E"/>
    <w:rsid w:val="00B86A9A"/>
    <w:rsid w:val="00B87039"/>
    <w:rsid w:val="00B873B0"/>
    <w:rsid w:val="00B8772A"/>
    <w:rsid w:val="00B9287B"/>
    <w:rsid w:val="00B9326E"/>
    <w:rsid w:val="00B94B30"/>
    <w:rsid w:val="00B958FA"/>
    <w:rsid w:val="00B95AAA"/>
    <w:rsid w:val="00B96656"/>
    <w:rsid w:val="00B975DF"/>
    <w:rsid w:val="00B97BD5"/>
    <w:rsid w:val="00BA0C91"/>
    <w:rsid w:val="00BA269D"/>
    <w:rsid w:val="00BA6486"/>
    <w:rsid w:val="00BA6FAF"/>
    <w:rsid w:val="00BB05ED"/>
    <w:rsid w:val="00BB0844"/>
    <w:rsid w:val="00BB1419"/>
    <w:rsid w:val="00BB24E5"/>
    <w:rsid w:val="00BB2FC2"/>
    <w:rsid w:val="00BC03BE"/>
    <w:rsid w:val="00BC0474"/>
    <w:rsid w:val="00BC06A5"/>
    <w:rsid w:val="00BC0BCC"/>
    <w:rsid w:val="00BC2615"/>
    <w:rsid w:val="00BC3E65"/>
    <w:rsid w:val="00BC48A3"/>
    <w:rsid w:val="00BC58C6"/>
    <w:rsid w:val="00BC643A"/>
    <w:rsid w:val="00BC6AF0"/>
    <w:rsid w:val="00BC712C"/>
    <w:rsid w:val="00BC7DAE"/>
    <w:rsid w:val="00BD06B6"/>
    <w:rsid w:val="00BD35EC"/>
    <w:rsid w:val="00BD4343"/>
    <w:rsid w:val="00BD565C"/>
    <w:rsid w:val="00BD57D5"/>
    <w:rsid w:val="00BD5A83"/>
    <w:rsid w:val="00BD734A"/>
    <w:rsid w:val="00BD756B"/>
    <w:rsid w:val="00BE06B9"/>
    <w:rsid w:val="00BE076F"/>
    <w:rsid w:val="00BE2CAF"/>
    <w:rsid w:val="00BE3553"/>
    <w:rsid w:val="00BE437E"/>
    <w:rsid w:val="00BE554B"/>
    <w:rsid w:val="00BE62E1"/>
    <w:rsid w:val="00BE6460"/>
    <w:rsid w:val="00BE6E65"/>
    <w:rsid w:val="00BE796C"/>
    <w:rsid w:val="00BE7BAA"/>
    <w:rsid w:val="00BF0C58"/>
    <w:rsid w:val="00BF2126"/>
    <w:rsid w:val="00BF481B"/>
    <w:rsid w:val="00BF4CE5"/>
    <w:rsid w:val="00BF61A9"/>
    <w:rsid w:val="00BF63AD"/>
    <w:rsid w:val="00BF6D99"/>
    <w:rsid w:val="00BF7CCC"/>
    <w:rsid w:val="00C01D12"/>
    <w:rsid w:val="00C02F88"/>
    <w:rsid w:val="00C041D1"/>
    <w:rsid w:val="00C05287"/>
    <w:rsid w:val="00C05332"/>
    <w:rsid w:val="00C07FF1"/>
    <w:rsid w:val="00C10920"/>
    <w:rsid w:val="00C122D3"/>
    <w:rsid w:val="00C1235D"/>
    <w:rsid w:val="00C12BCF"/>
    <w:rsid w:val="00C14C11"/>
    <w:rsid w:val="00C15118"/>
    <w:rsid w:val="00C16DCA"/>
    <w:rsid w:val="00C175F0"/>
    <w:rsid w:val="00C17828"/>
    <w:rsid w:val="00C203DC"/>
    <w:rsid w:val="00C20685"/>
    <w:rsid w:val="00C206DE"/>
    <w:rsid w:val="00C2277F"/>
    <w:rsid w:val="00C2320C"/>
    <w:rsid w:val="00C23A73"/>
    <w:rsid w:val="00C23A7E"/>
    <w:rsid w:val="00C23BBE"/>
    <w:rsid w:val="00C2403F"/>
    <w:rsid w:val="00C244B9"/>
    <w:rsid w:val="00C25F6E"/>
    <w:rsid w:val="00C26440"/>
    <w:rsid w:val="00C279FB"/>
    <w:rsid w:val="00C33E29"/>
    <w:rsid w:val="00C34F2E"/>
    <w:rsid w:val="00C36BD5"/>
    <w:rsid w:val="00C40B6D"/>
    <w:rsid w:val="00C4161D"/>
    <w:rsid w:val="00C447C5"/>
    <w:rsid w:val="00C4539D"/>
    <w:rsid w:val="00C46CFB"/>
    <w:rsid w:val="00C46DD1"/>
    <w:rsid w:val="00C47A53"/>
    <w:rsid w:val="00C5371C"/>
    <w:rsid w:val="00C54F2B"/>
    <w:rsid w:val="00C5532D"/>
    <w:rsid w:val="00C5555D"/>
    <w:rsid w:val="00C6125D"/>
    <w:rsid w:val="00C62051"/>
    <w:rsid w:val="00C621D2"/>
    <w:rsid w:val="00C62324"/>
    <w:rsid w:val="00C63D84"/>
    <w:rsid w:val="00C64032"/>
    <w:rsid w:val="00C65CDA"/>
    <w:rsid w:val="00C664C7"/>
    <w:rsid w:val="00C665D5"/>
    <w:rsid w:val="00C66946"/>
    <w:rsid w:val="00C66E2F"/>
    <w:rsid w:val="00C6799C"/>
    <w:rsid w:val="00C67E4C"/>
    <w:rsid w:val="00C70196"/>
    <w:rsid w:val="00C71D58"/>
    <w:rsid w:val="00C72BC8"/>
    <w:rsid w:val="00C72E06"/>
    <w:rsid w:val="00C73062"/>
    <w:rsid w:val="00C739F4"/>
    <w:rsid w:val="00C77FF2"/>
    <w:rsid w:val="00C85672"/>
    <w:rsid w:val="00C8568C"/>
    <w:rsid w:val="00C856CB"/>
    <w:rsid w:val="00C862A2"/>
    <w:rsid w:val="00C8730D"/>
    <w:rsid w:val="00C87427"/>
    <w:rsid w:val="00C87C9D"/>
    <w:rsid w:val="00C910B8"/>
    <w:rsid w:val="00C9173A"/>
    <w:rsid w:val="00C947FA"/>
    <w:rsid w:val="00C94A60"/>
    <w:rsid w:val="00C94F4F"/>
    <w:rsid w:val="00C952E9"/>
    <w:rsid w:val="00C96610"/>
    <w:rsid w:val="00CA0279"/>
    <w:rsid w:val="00CA0385"/>
    <w:rsid w:val="00CA21F2"/>
    <w:rsid w:val="00CA4615"/>
    <w:rsid w:val="00CA4686"/>
    <w:rsid w:val="00CB06DB"/>
    <w:rsid w:val="00CB0CA3"/>
    <w:rsid w:val="00CB3302"/>
    <w:rsid w:val="00CB3FD5"/>
    <w:rsid w:val="00CB4C4B"/>
    <w:rsid w:val="00CB6402"/>
    <w:rsid w:val="00CB6763"/>
    <w:rsid w:val="00CB69F4"/>
    <w:rsid w:val="00CC150F"/>
    <w:rsid w:val="00CC253E"/>
    <w:rsid w:val="00CC51AB"/>
    <w:rsid w:val="00CC55C0"/>
    <w:rsid w:val="00CC55D7"/>
    <w:rsid w:val="00CC5B8C"/>
    <w:rsid w:val="00CC5FD9"/>
    <w:rsid w:val="00CC61B4"/>
    <w:rsid w:val="00CC7918"/>
    <w:rsid w:val="00CD06FC"/>
    <w:rsid w:val="00CD1070"/>
    <w:rsid w:val="00CD47C1"/>
    <w:rsid w:val="00CD4A7C"/>
    <w:rsid w:val="00CD5EBE"/>
    <w:rsid w:val="00CE161D"/>
    <w:rsid w:val="00CE22DC"/>
    <w:rsid w:val="00CE246B"/>
    <w:rsid w:val="00CE26CF"/>
    <w:rsid w:val="00CE6FF5"/>
    <w:rsid w:val="00CF0610"/>
    <w:rsid w:val="00CF0984"/>
    <w:rsid w:val="00CF0D1F"/>
    <w:rsid w:val="00CF1307"/>
    <w:rsid w:val="00CF1E7E"/>
    <w:rsid w:val="00CF21EA"/>
    <w:rsid w:val="00CF265D"/>
    <w:rsid w:val="00CF29BC"/>
    <w:rsid w:val="00CF2C94"/>
    <w:rsid w:val="00CF326B"/>
    <w:rsid w:val="00CF42B1"/>
    <w:rsid w:val="00CF4DA8"/>
    <w:rsid w:val="00CF66CE"/>
    <w:rsid w:val="00D00CAC"/>
    <w:rsid w:val="00D0101D"/>
    <w:rsid w:val="00D022EB"/>
    <w:rsid w:val="00D027BD"/>
    <w:rsid w:val="00D02FD6"/>
    <w:rsid w:val="00D05375"/>
    <w:rsid w:val="00D05B03"/>
    <w:rsid w:val="00D06E8E"/>
    <w:rsid w:val="00D06FA3"/>
    <w:rsid w:val="00D07CA8"/>
    <w:rsid w:val="00D10732"/>
    <w:rsid w:val="00D1084C"/>
    <w:rsid w:val="00D127EB"/>
    <w:rsid w:val="00D12F9E"/>
    <w:rsid w:val="00D13923"/>
    <w:rsid w:val="00D14B6F"/>
    <w:rsid w:val="00D15A8A"/>
    <w:rsid w:val="00D16931"/>
    <w:rsid w:val="00D16B0A"/>
    <w:rsid w:val="00D16F64"/>
    <w:rsid w:val="00D20A37"/>
    <w:rsid w:val="00D217A4"/>
    <w:rsid w:val="00D22E35"/>
    <w:rsid w:val="00D2303A"/>
    <w:rsid w:val="00D24123"/>
    <w:rsid w:val="00D24DED"/>
    <w:rsid w:val="00D260D9"/>
    <w:rsid w:val="00D263B2"/>
    <w:rsid w:val="00D302E5"/>
    <w:rsid w:val="00D30D95"/>
    <w:rsid w:val="00D3108C"/>
    <w:rsid w:val="00D31129"/>
    <w:rsid w:val="00D31D74"/>
    <w:rsid w:val="00D32032"/>
    <w:rsid w:val="00D32D6A"/>
    <w:rsid w:val="00D3353C"/>
    <w:rsid w:val="00D3387E"/>
    <w:rsid w:val="00D37369"/>
    <w:rsid w:val="00D4059E"/>
    <w:rsid w:val="00D40A11"/>
    <w:rsid w:val="00D473B4"/>
    <w:rsid w:val="00D51684"/>
    <w:rsid w:val="00D516EA"/>
    <w:rsid w:val="00D5546D"/>
    <w:rsid w:val="00D5608B"/>
    <w:rsid w:val="00D56B12"/>
    <w:rsid w:val="00D61531"/>
    <w:rsid w:val="00D624F9"/>
    <w:rsid w:val="00D63E18"/>
    <w:rsid w:val="00D64440"/>
    <w:rsid w:val="00D657B0"/>
    <w:rsid w:val="00D658A5"/>
    <w:rsid w:val="00D65C08"/>
    <w:rsid w:val="00D660DA"/>
    <w:rsid w:val="00D666E4"/>
    <w:rsid w:val="00D667EC"/>
    <w:rsid w:val="00D6714F"/>
    <w:rsid w:val="00D7060B"/>
    <w:rsid w:val="00D71D16"/>
    <w:rsid w:val="00D74B1E"/>
    <w:rsid w:val="00D74CDD"/>
    <w:rsid w:val="00D761B1"/>
    <w:rsid w:val="00D76C30"/>
    <w:rsid w:val="00D8039F"/>
    <w:rsid w:val="00D808A5"/>
    <w:rsid w:val="00D829E9"/>
    <w:rsid w:val="00D82F35"/>
    <w:rsid w:val="00D833A5"/>
    <w:rsid w:val="00D86257"/>
    <w:rsid w:val="00D86DA4"/>
    <w:rsid w:val="00D90203"/>
    <w:rsid w:val="00D90CF4"/>
    <w:rsid w:val="00D927B3"/>
    <w:rsid w:val="00D927DE"/>
    <w:rsid w:val="00D92A4A"/>
    <w:rsid w:val="00D93A25"/>
    <w:rsid w:val="00D949A5"/>
    <w:rsid w:val="00D94F53"/>
    <w:rsid w:val="00D96FBE"/>
    <w:rsid w:val="00D96FDB"/>
    <w:rsid w:val="00D97FDE"/>
    <w:rsid w:val="00DA1CE6"/>
    <w:rsid w:val="00DA25F1"/>
    <w:rsid w:val="00DA2682"/>
    <w:rsid w:val="00DA270D"/>
    <w:rsid w:val="00DA2A84"/>
    <w:rsid w:val="00DA2D06"/>
    <w:rsid w:val="00DA3D41"/>
    <w:rsid w:val="00DA3E07"/>
    <w:rsid w:val="00DA6170"/>
    <w:rsid w:val="00DA7820"/>
    <w:rsid w:val="00DB0C9C"/>
    <w:rsid w:val="00DB13AD"/>
    <w:rsid w:val="00DB37D8"/>
    <w:rsid w:val="00DB75D1"/>
    <w:rsid w:val="00DC0749"/>
    <w:rsid w:val="00DC11A5"/>
    <w:rsid w:val="00DC2062"/>
    <w:rsid w:val="00DC20B2"/>
    <w:rsid w:val="00DC20FE"/>
    <w:rsid w:val="00DC2A5A"/>
    <w:rsid w:val="00DC566A"/>
    <w:rsid w:val="00DC7BB6"/>
    <w:rsid w:val="00DC7DE0"/>
    <w:rsid w:val="00DD130B"/>
    <w:rsid w:val="00DD1A71"/>
    <w:rsid w:val="00DD353F"/>
    <w:rsid w:val="00DD3D5C"/>
    <w:rsid w:val="00DD4A1F"/>
    <w:rsid w:val="00DD50D8"/>
    <w:rsid w:val="00DD6736"/>
    <w:rsid w:val="00DD7E9C"/>
    <w:rsid w:val="00DE02E9"/>
    <w:rsid w:val="00DE0760"/>
    <w:rsid w:val="00DE412D"/>
    <w:rsid w:val="00DE4C45"/>
    <w:rsid w:val="00DE589D"/>
    <w:rsid w:val="00DE5CD8"/>
    <w:rsid w:val="00DE65B1"/>
    <w:rsid w:val="00DE6807"/>
    <w:rsid w:val="00DE7027"/>
    <w:rsid w:val="00DE7FCB"/>
    <w:rsid w:val="00DF1A81"/>
    <w:rsid w:val="00DF3D35"/>
    <w:rsid w:val="00DF4E76"/>
    <w:rsid w:val="00DF504A"/>
    <w:rsid w:val="00DF59A7"/>
    <w:rsid w:val="00DF6176"/>
    <w:rsid w:val="00DF781E"/>
    <w:rsid w:val="00E01031"/>
    <w:rsid w:val="00E01287"/>
    <w:rsid w:val="00E01B2C"/>
    <w:rsid w:val="00E03B2A"/>
    <w:rsid w:val="00E04A4E"/>
    <w:rsid w:val="00E07219"/>
    <w:rsid w:val="00E10985"/>
    <w:rsid w:val="00E10BB8"/>
    <w:rsid w:val="00E10EFD"/>
    <w:rsid w:val="00E12A5F"/>
    <w:rsid w:val="00E13E74"/>
    <w:rsid w:val="00E14F56"/>
    <w:rsid w:val="00E15662"/>
    <w:rsid w:val="00E15AFE"/>
    <w:rsid w:val="00E16BEF"/>
    <w:rsid w:val="00E16F4C"/>
    <w:rsid w:val="00E20DE4"/>
    <w:rsid w:val="00E21C5B"/>
    <w:rsid w:val="00E234D2"/>
    <w:rsid w:val="00E24441"/>
    <w:rsid w:val="00E24449"/>
    <w:rsid w:val="00E246DF"/>
    <w:rsid w:val="00E25DA8"/>
    <w:rsid w:val="00E26115"/>
    <w:rsid w:val="00E26BB0"/>
    <w:rsid w:val="00E3003E"/>
    <w:rsid w:val="00E30882"/>
    <w:rsid w:val="00E3164D"/>
    <w:rsid w:val="00E31BC7"/>
    <w:rsid w:val="00E31D6E"/>
    <w:rsid w:val="00E3323F"/>
    <w:rsid w:val="00E340D7"/>
    <w:rsid w:val="00E34F68"/>
    <w:rsid w:val="00E35392"/>
    <w:rsid w:val="00E3548F"/>
    <w:rsid w:val="00E35B3A"/>
    <w:rsid w:val="00E37087"/>
    <w:rsid w:val="00E4023C"/>
    <w:rsid w:val="00E40FD1"/>
    <w:rsid w:val="00E43E05"/>
    <w:rsid w:val="00E449A4"/>
    <w:rsid w:val="00E5288E"/>
    <w:rsid w:val="00E537BE"/>
    <w:rsid w:val="00E53AF8"/>
    <w:rsid w:val="00E55E16"/>
    <w:rsid w:val="00E5689F"/>
    <w:rsid w:val="00E56E3D"/>
    <w:rsid w:val="00E5724F"/>
    <w:rsid w:val="00E57541"/>
    <w:rsid w:val="00E617A8"/>
    <w:rsid w:val="00E6290C"/>
    <w:rsid w:val="00E62F0A"/>
    <w:rsid w:val="00E62F27"/>
    <w:rsid w:val="00E63D4C"/>
    <w:rsid w:val="00E63F49"/>
    <w:rsid w:val="00E64BA9"/>
    <w:rsid w:val="00E660E6"/>
    <w:rsid w:val="00E6739B"/>
    <w:rsid w:val="00E67AFC"/>
    <w:rsid w:val="00E67C31"/>
    <w:rsid w:val="00E717B0"/>
    <w:rsid w:val="00E73697"/>
    <w:rsid w:val="00E73AFA"/>
    <w:rsid w:val="00E73E4F"/>
    <w:rsid w:val="00E74DE2"/>
    <w:rsid w:val="00E757ED"/>
    <w:rsid w:val="00E77A02"/>
    <w:rsid w:val="00E77F1C"/>
    <w:rsid w:val="00E80105"/>
    <w:rsid w:val="00E80B4F"/>
    <w:rsid w:val="00E81C7E"/>
    <w:rsid w:val="00E8432F"/>
    <w:rsid w:val="00E84867"/>
    <w:rsid w:val="00E876CA"/>
    <w:rsid w:val="00E87894"/>
    <w:rsid w:val="00E90D40"/>
    <w:rsid w:val="00E913B2"/>
    <w:rsid w:val="00E91794"/>
    <w:rsid w:val="00E9277A"/>
    <w:rsid w:val="00E929F7"/>
    <w:rsid w:val="00E92DAE"/>
    <w:rsid w:val="00E9375E"/>
    <w:rsid w:val="00E968B2"/>
    <w:rsid w:val="00E97267"/>
    <w:rsid w:val="00EA1F3B"/>
    <w:rsid w:val="00EA2F57"/>
    <w:rsid w:val="00EA3551"/>
    <w:rsid w:val="00EA3FBF"/>
    <w:rsid w:val="00EB1E80"/>
    <w:rsid w:val="00EB2B3F"/>
    <w:rsid w:val="00EB3D5F"/>
    <w:rsid w:val="00EB511E"/>
    <w:rsid w:val="00EB55C8"/>
    <w:rsid w:val="00EB7272"/>
    <w:rsid w:val="00EB7966"/>
    <w:rsid w:val="00EC0025"/>
    <w:rsid w:val="00EC1290"/>
    <w:rsid w:val="00EC2590"/>
    <w:rsid w:val="00EC2CC6"/>
    <w:rsid w:val="00EC4473"/>
    <w:rsid w:val="00EC48E5"/>
    <w:rsid w:val="00EC570A"/>
    <w:rsid w:val="00ED0CE8"/>
    <w:rsid w:val="00ED0EFE"/>
    <w:rsid w:val="00ED1154"/>
    <w:rsid w:val="00ED20FF"/>
    <w:rsid w:val="00ED2B68"/>
    <w:rsid w:val="00ED2CC1"/>
    <w:rsid w:val="00ED2D74"/>
    <w:rsid w:val="00ED31A2"/>
    <w:rsid w:val="00ED31C1"/>
    <w:rsid w:val="00ED4028"/>
    <w:rsid w:val="00ED6EDA"/>
    <w:rsid w:val="00ED7CA1"/>
    <w:rsid w:val="00EE168B"/>
    <w:rsid w:val="00EE2C52"/>
    <w:rsid w:val="00EE43BC"/>
    <w:rsid w:val="00EE4F17"/>
    <w:rsid w:val="00EE65EC"/>
    <w:rsid w:val="00EE74E6"/>
    <w:rsid w:val="00EF0059"/>
    <w:rsid w:val="00EF0B21"/>
    <w:rsid w:val="00EF3043"/>
    <w:rsid w:val="00EF3FC6"/>
    <w:rsid w:val="00EF586D"/>
    <w:rsid w:val="00EF6E8C"/>
    <w:rsid w:val="00EF74D3"/>
    <w:rsid w:val="00F0052B"/>
    <w:rsid w:val="00F0150B"/>
    <w:rsid w:val="00F02113"/>
    <w:rsid w:val="00F02415"/>
    <w:rsid w:val="00F02B3F"/>
    <w:rsid w:val="00F02F0A"/>
    <w:rsid w:val="00F02FDA"/>
    <w:rsid w:val="00F03B72"/>
    <w:rsid w:val="00F10148"/>
    <w:rsid w:val="00F11E6D"/>
    <w:rsid w:val="00F13AAC"/>
    <w:rsid w:val="00F14E0B"/>
    <w:rsid w:val="00F15DAF"/>
    <w:rsid w:val="00F162DB"/>
    <w:rsid w:val="00F2006C"/>
    <w:rsid w:val="00F20121"/>
    <w:rsid w:val="00F21713"/>
    <w:rsid w:val="00F21B71"/>
    <w:rsid w:val="00F2244F"/>
    <w:rsid w:val="00F22616"/>
    <w:rsid w:val="00F2408C"/>
    <w:rsid w:val="00F24C2F"/>
    <w:rsid w:val="00F24FE6"/>
    <w:rsid w:val="00F252B1"/>
    <w:rsid w:val="00F26785"/>
    <w:rsid w:val="00F26F51"/>
    <w:rsid w:val="00F276FF"/>
    <w:rsid w:val="00F32048"/>
    <w:rsid w:val="00F3324A"/>
    <w:rsid w:val="00F33FE4"/>
    <w:rsid w:val="00F36CFC"/>
    <w:rsid w:val="00F36D1F"/>
    <w:rsid w:val="00F435E1"/>
    <w:rsid w:val="00F45472"/>
    <w:rsid w:val="00F50594"/>
    <w:rsid w:val="00F505EB"/>
    <w:rsid w:val="00F53CB4"/>
    <w:rsid w:val="00F54153"/>
    <w:rsid w:val="00F547F4"/>
    <w:rsid w:val="00F55088"/>
    <w:rsid w:val="00F55C2C"/>
    <w:rsid w:val="00F56046"/>
    <w:rsid w:val="00F57055"/>
    <w:rsid w:val="00F573FE"/>
    <w:rsid w:val="00F5758C"/>
    <w:rsid w:val="00F61A72"/>
    <w:rsid w:val="00F63219"/>
    <w:rsid w:val="00F64723"/>
    <w:rsid w:val="00F6765E"/>
    <w:rsid w:val="00F70349"/>
    <w:rsid w:val="00F71C3A"/>
    <w:rsid w:val="00F7357D"/>
    <w:rsid w:val="00F81173"/>
    <w:rsid w:val="00F8139A"/>
    <w:rsid w:val="00F820AB"/>
    <w:rsid w:val="00F82D4F"/>
    <w:rsid w:val="00F83178"/>
    <w:rsid w:val="00F8397A"/>
    <w:rsid w:val="00F83AAE"/>
    <w:rsid w:val="00F83B89"/>
    <w:rsid w:val="00F84270"/>
    <w:rsid w:val="00F8544A"/>
    <w:rsid w:val="00F86AD4"/>
    <w:rsid w:val="00F86FB4"/>
    <w:rsid w:val="00F90B4B"/>
    <w:rsid w:val="00F90E23"/>
    <w:rsid w:val="00F9395C"/>
    <w:rsid w:val="00F942D3"/>
    <w:rsid w:val="00F94624"/>
    <w:rsid w:val="00F97A2C"/>
    <w:rsid w:val="00FA0492"/>
    <w:rsid w:val="00FA0C62"/>
    <w:rsid w:val="00FA158E"/>
    <w:rsid w:val="00FA1E0A"/>
    <w:rsid w:val="00FA1F8B"/>
    <w:rsid w:val="00FA3329"/>
    <w:rsid w:val="00FA345F"/>
    <w:rsid w:val="00FA591D"/>
    <w:rsid w:val="00FA6451"/>
    <w:rsid w:val="00FA7D12"/>
    <w:rsid w:val="00FB16EA"/>
    <w:rsid w:val="00FB2526"/>
    <w:rsid w:val="00FB2FFF"/>
    <w:rsid w:val="00FB3AB1"/>
    <w:rsid w:val="00FB3AFF"/>
    <w:rsid w:val="00FB41B2"/>
    <w:rsid w:val="00FB43DE"/>
    <w:rsid w:val="00FB5DEA"/>
    <w:rsid w:val="00FB603D"/>
    <w:rsid w:val="00FB6655"/>
    <w:rsid w:val="00FC0B13"/>
    <w:rsid w:val="00FC28CF"/>
    <w:rsid w:val="00FC2CDE"/>
    <w:rsid w:val="00FC42C9"/>
    <w:rsid w:val="00FC4F70"/>
    <w:rsid w:val="00FC5A35"/>
    <w:rsid w:val="00FC6DA7"/>
    <w:rsid w:val="00FC7791"/>
    <w:rsid w:val="00FC79C9"/>
    <w:rsid w:val="00FD103C"/>
    <w:rsid w:val="00FD2189"/>
    <w:rsid w:val="00FD22EA"/>
    <w:rsid w:val="00FD2703"/>
    <w:rsid w:val="00FD325C"/>
    <w:rsid w:val="00FD4AFF"/>
    <w:rsid w:val="00FD4D9D"/>
    <w:rsid w:val="00FD4DE5"/>
    <w:rsid w:val="00FD6610"/>
    <w:rsid w:val="00FD75A6"/>
    <w:rsid w:val="00FD7CBB"/>
    <w:rsid w:val="00FE068A"/>
    <w:rsid w:val="00FE1C31"/>
    <w:rsid w:val="00FE20AF"/>
    <w:rsid w:val="00FE26A8"/>
    <w:rsid w:val="00FE37B5"/>
    <w:rsid w:val="00FE4426"/>
    <w:rsid w:val="00FE4889"/>
    <w:rsid w:val="00FE4B92"/>
    <w:rsid w:val="00FE4D6D"/>
    <w:rsid w:val="00FE60AB"/>
    <w:rsid w:val="00FE635D"/>
    <w:rsid w:val="00FE69FF"/>
    <w:rsid w:val="00FE79BF"/>
    <w:rsid w:val="00FF0356"/>
    <w:rsid w:val="00FF31B2"/>
    <w:rsid w:val="00FF3D32"/>
    <w:rsid w:val="00FF3F59"/>
    <w:rsid w:val="00FF40A6"/>
    <w:rsid w:val="00FF5AFE"/>
    <w:rsid w:val="00FF7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E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EB7272"/>
    <w:pPr>
      <w:tabs>
        <w:tab w:val="left" w:pos="6930"/>
      </w:tabs>
      <w:spacing w:before="79"/>
      <w:ind w:left="300" w:right="1669"/>
      <w:outlineLvl w:val="0"/>
    </w:pPr>
    <w:rPr>
      <w:rFonts w:asciiTheme="majorHAnsi" w:hAnsiTheme="majorHAnsi"/>
      <w:bCs/>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Heading2">
    <w:name w:val="heading 2"/>
    <w:basedOn w:val="Normal"/>
    <w:next w:val="Normal"/>
    <w:link w:val="Heading2Char"/>
    <w:uiPriority w:val="9"/>
    <w:unhideWhenUsed/>
    <w:qFormat/>
    <w:rsid w:val="00AC47EA"/>
    <w:pPr>
      <w:keepNext/>
      <w:keepLines/>
      <w:spacing w:before="40"/>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EB7272"/>
    <w:pPr>
      <w:keepNext/>
      <w:keepLines/>
      <w:widowControl/>
      <w:autoSpaceDE/>
      <w:autoSpaceDN/>
      <w:spacing w:before="40"/>
      <w:outlineLvl w:val="2"/>
    </w:pPr>
    <w:rPr>
      <w:rFonts w:asciiTheme="majorHAnsi" w:eastAsiaTheme="majorEastAsia" w:hAnsiTheme="majorHAnsi" w:cstheme="majorBidi"/>
      <w:color w:val="365F91" w:themeColor="accent1" w:themeShade="BF"/>
      <w:sz w:val="28"/>
      <w:szCs w:val="28"/>
      <w:lang w:val="en-GB"/>
    </w:rPr>
  </w:style>
  <w:style w:type="paragraph" w:styleId="Heading4">
    <w:name w:val="heading 4"/>
    <w:basedOn w:val="Normal"/>
    <w:next w:val="Normal"/>
    <w:link w:val="Heading4Char"/>
    <w:uiPriority w:val="9"/>
    <w:unhideWhenUsed/>
    <w:qFormat/>
    <w:rsid w:val="00EB7272"/>
    <w:pPr>
      <w:keepNext/>
      <w:keepLines/>
      <w:widowControl/>
      <w:autoSpaceDE/>
      <w:autoSpaceDN/>
      <w:spacing w:before="40" w:line="259" w:lineRule="auto"/>
      <w:outlineLvl w:val="3"/>
    </w:pPr>
    <w:rPr>
      <w:rFonts w:asciiTheme="majorHAnsi" w:eastAsiaTheme="majorEastAsia" w:hAnsiTheme="majorHAnsi" w:cstheme="majorBidi"/>
      <w:color w:val="365F91" w:themeColor="accent1" w:themeShade="BF"/>
      <w:sz w:val="24"/>
      <w:szCs w:val="24"/>
      <w:lang w:val="en-GB"/>
    </w:rPr>
  </w:style>
  <w:style w:type="paragraph" w:styleId="Heading5">
    <w:name w:val="heading 5"/>
    <w:basedOn w:val="Normal"/>
    <w:next w:val="Normal"/>
    <w:link w:val="Heading5Char"/>
    <w:uiPriority w:val="9"/>
    <w:semiHidden/>
    <w:unhideWhenUsed/>
    <w:qFormat/>
    <w:rsid w:val="00EB7272"/>
    <w:pPr>
      <w:keepNext/>
      <w:keepLines/>
      <w:widowControl/>
      <w:autoSpaceDE/>
      <w:autoSpaceDN/>
      <w:spacing w:before="40" w:line="259" w:lineRule="auto"/>
      <w:outlineLvl w:val="4"/>
    </w:pPr>
    <w:rPr>
      <w:rFonts w:asciiTheme="majorHAnsi" w:eastAsiaTheme="majorEastAsia" w:hAnsiTheme="majorHAnsi" w:cstheme="majorBidi"/>
      <w:caps/>
      <w:color w:val="365F91" w:themeColor="accent1" w:themeShade="BF"/>
      <w:lang w:val="en-GB"/>
    </w:rPr>
  </w:style>
  <w:style w:type="paragraph" w:styleId="Heading6">
    <w:name w:val="heading 6"/>
    <w:basedOn w:val="Normal"/>
    <w:next w:val="Normal"/>
    <w:link w:val="Heading6Char"/>
    <w:uiPriority w:val="9"/>
    <w:semiHidden/>
    <w:unhideWhenUsed/>
    <w:qFormat/>
    <w:rsid w:val="00EB7272"/>
    <w:pPr>
      <w:keepNext/>
      <w:keepLines/>
      <w:widowControl/>
      <w:autoSpaceDE/>
      <w:autoSpaceDN/>
      <w:spacing w:before="40" w:line="259" w:lineRule="auto"/>
      <w:outlineLvl w:val="5"/>
    </w:pPr>
    <w:rPr>
      <w:rFonts w:asciiTheme="majorHAnsi" w:eastAsiaTheme="majorEastAsia" w:hAnsiTheme="majorHAnsi" w:cstheme="majorBidi"/>
      <w:i/>
      <w:iCs/>
      <w:caps/>
      <w:color w:val="244061" w:themeColor="accent1" w:themeShade="80"/>
      <w:lang w:val="en-GB"/>
    </w:rPr>
  </w:style>
  <w:style w:type="paragraph" w:styleId="Heading7">
    <w:name w:val="heading 7"/>
    <w:basedOn w:val="Normal"/>
    <w:next w:val="Normal"/>
    <w:link w:val="Heading7Char"/>
    <w:uiPriority w:val="9"/>
    <w:semiHidden/>
    <w:unhideWhenUsed/>
    <w:qFormat/>
    <w:rsid w:val="00EB7272"/>
    <w:pPr>
      <w:keepNext/>
      <w:keepLines/>
      <w:widowControl/>
      <w:autoSpaceDE/>
      <w:autoSpaceDN/>
      <w:spacing w:before="40" w:line="259" w:lineRule="auto"/>
      <w:outlineLvl w:val="6"/>
    </w:pPr>
    <w:rPr>
      <w:rFonts w:asciiTheme="majorHAnsi" w:eastAsiaTheme="majorEastAsia" w:hAnsiTheme="majorHAnsi" w:cstheme="majorBidi"/>
      <w:b/>
      <w:bCs/>
      <w:color w:val="244061" w:themeColor="accent1" w:themeShade="80"/>
      <w:lang w:val="en-GB"/>
    </w:rPr>
  </w:style>
  <w:style w:type="paragraph" w:styleId="Heading8">
    <w:name w:val="heading 8"/>
    <w:basedOn w:val="Normal"/>
    <w:next w:val="Normal"/>
    <w:link w:val="Heading8Char"/>
    <w:uiPriority w:val="9"/>
    <w:semiHidden/>
    <w:unhideWhenUsed/>
    <w:qFormat/>
    <w:rsid w:val="00EB7272"/>
    <w:pPr>
      <w:keepNext/>
      <w:keepLines/>
      <w:widowControl/>
      <w:autoSpaceDE/>
      <w:autoSpaceDN/>
      <w:spacing w:before="40" w:line="259" w:lineRule="auto"/>
      <w:outlineLvl w:val="7"/>
    </w:pPr>
    <w:rPr>
      <w:rFonts w:asciiTheme="majorHAnsi" w:eastAsiaTheme="majorEastAsia" w:hAnsiTheme="majorHAnsi" w:cstheme="majorBidi"/>
      <w:b/>
      <w:bCs/>
      <w:i/>
      <w:iCs/>
      <w:color w:val="244061" w:themeColor="accent1" w:themeShade="80"/>
      <w:lang w:val="en-GB"/>
    </w:rPr>
  </w:style>
  <w:style w:type="paragraph" w:styleId="Heading9">
    <w:name w:val="heading 9"/>
    <w:basedOn w:val="Normal"/>
    <w:next w:val="Normal"/>
    <w:link w:val="Heading9Char"/>
    <w:uiPriority w:val="9"/>
    <w:semiHidden/>
    <w:unhideWhenUsed/>
    <w:qFormat/>
    <w:rsid w:val="00EB7272"/>
    <w:pPr>
      <w:keepNext/>
      <w:keepLines/>
      <w:widowControl/>
      <w:autoSpaceDE/>
      <w:autoSpaceDN/>
      <w:spacing w:before="40" w:line="259" w:lineRule="auto"/>
      <w:outlineLvl w:val="8"/>
    </w:pPr>
    <w:rPr>
      <w:rFonts w:asciiTheme="majorHAnsi" w:eastAsiaTheme="majorEastAsia" w:hAnsiTheme="majorHAnsi" w:cstheme="majorBidi"/>
      <w:i/>
      <w:iCs/>
      <w:color w:val="244061" w:themeColor="accent1"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uiPriority w:val="39"/>
    <w:qFormat/>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uiPriority w:val="39"/>
    <w:qFormat/>
    <w:pPr>
      <w:pBdr>
        <w:between w:val="double" w:sz="6" w:space="0" w:color="auto"/>
      </w:pBdr>
      <w:spacing w:before="120" w:after="120"/>
      <w:ind w:left="220"/>
      <w:jc w:val="center"/>
    </w:pPr>
    <w:rPr>
      <w:rFonts w:asciiTheme="minorHAnsi" w:hAnsiTheme="minorHAnsi" w:cstheme="minorHAnsi"/>
      <w:sz w:val="20"/>
      <w:szCs w:val="20"/>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73"/>
      <w:ind w:left="319"/>
    </w:pPr>
    <w:rPr>
      <w:rFonts w:ascii="Calibri" w:eastAsia="Calibri" w:hAnsi="Calibri" w:cs="Calibri"/>
      <w:b/>
      <w:bCs/>
      <w:i/>
      <w:sz w:val="72"/>
      <w:szCs w:val="72"/>
    </w:rPr>
  </w:style>
  <w:style w:type="paragraph" w:styleId="ListParagraph">
    <w:name w:val="List Paragraph"/>
    <w:aliases w:val="NUMBERED PARAGRAPH,List Paragraph 1,List Paragraph (numbered (a)),Use Case List Paragraph,References,ReferencesCxSpLast,lp1,Lista vistosa - Énfasis 11,Resume Title,Citation List,List Paragraph Char Char,Bullet 1,List Paragraph1"/>
    <w:basedOn w:val="Normal"/>
    <w:link w:val="ListParagraphChar"/>
    <w:uiPriority w:val="1"/>
    <w:qFormat/>
    <w:pPr>
      <w:ind w:left="1020" w:hanging="360"/>
    </w:pPr>
  </w:style>
  <w:style w:type="paragraph" w:customStyle="1" w:styleId="TableParagraph">
    <w:name w:val="Table Paragraph"/>
    <w:basedOn w:val="Normal"/>
    <w:uiPriority w:val="1"/>
    <w:qFormat/>
  </w:style>
  <w:style w:type="paragraph" w:styleId="FootnoteText">
    <w:name w:val="footnote text"/>
    <w:aliases w:val="Footnote Text Char Char Char Char Char Char,fn,Footnote,Fußnote,FSR footnote,lábléc,single space,FOOTNOTES,Footnote Text Char2 Char,Footnote Text Char1 Char Char,Footnote Text Char Char Char Char,Testo_note,Testo_note1,Char,f,Car"/>
    <w:basedOn w:val="Normal"/>
    <w:link w:val="FootnoteTextChar"/>
    <w:unhideWhenUsed/>
    <w:qFormat/>
    <w:rsid w:val="00841AF4"/>
    <w:rPr>
      <w:sz w:val="20"/>
      <w:szCs w:val="20"/>
    </w:rPr>
  </w:style>
  <w:style w:type="character" w:customStyle="1" w:styleId="FootnoteTextChar">
    <w:name w:val="Footnote Text Char"/>
    <w:aliases w:val="Footnote Text Char Char Char Char Char Char Char,fn Char,Footnote Char,Fußnote Char,FSR footnote Char,lábléc Char,single space Char,FOOTNOTES Char,Footnote Text Char2 Char Char,Footnote Text Char1 Char Char Char,Testo_note Char,f Char"/>
    <w:basedOn w:val="DefaultParagraphFont"/>
    <w:link w:val="FootnoteText"/>
    <w:rsid w:val="00841AF4"/>
    <w:rPr>
      <w:rFonts w:ascii="Times New Roman" w:eastAsia="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fr,ftref,16 Point,Superscript 6 Point,Знак сноски-FN,Ref,de nota al pie,BVI fnr"/>
    <w:basedOn w:val="DefaultParagraphFont"/>
    <w:link w:val="Nota"/>
    <w:uiPriority w:val="99"/>
    <w:unhideWhenUsed/>
    <w:qFormat/>
    <w:rsid w:val="00841AF4"/>
    <w:rPr>
      <w:vertAlign w:val="superscript"/>
    </w:rPr>
  </w:style>
  <w:style w:type="character" w:styleId="CommentReference">
    <w:name w:val="annotation reference"/>
    <w:basedOn w:val="DefaultParagraphFont"/>
    <w:uiPriority w:val="99"/>
    <w:semiHidden/>
    <w:unhideWhenUsed/>
    <w:rsid w:val="00841AF4"/>
    <w:rPr>
      <w:sz w:val="16"/>
      <w:szCs w:val="16"/>
    </w:rPr>
  </w:style>
  <w:style w:type="paragraph" w:styleId="CommentText">
    <w:name w:val="annotation text"/>
    <w:basedOn w:val="Normal"/>
    <w:link w:val="CommentTextChar"/>
    <w:uiPriority w:val="99"/>
    <w:unhideWhenUsed/>
    <w:rsid w:val="00841AF4"/>
    <w:rPr>
      <w:sz w:val="20"/>
      <w:szCs w:val="20"/>
    </w:rPr>
  </w:style>
  <w:style w:type="character" w:customStyle="1" w:styleId="CommentTextChar">
    <w:name w:val="Comment Text Char"/>
    <w:basedOn w:val="DefaultParagraphFont"/>
    <w:link w:val="CommentText"/>
    <w:uiPriority w:val="99"/>
    <w:rsid w:val="00841A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AF4"/>
    <w:rPr>
      <w:b/>
      <w:bCs/>
    </w:rPr>
  </w:style>
  <w:style w:type="character" w:customStyle="1" w:styleId="CommentSubjectChar">
    <w:name w:val="Comment Subject Char"/>
    <w:basedOn w:val="CommentTextChar"/>
    <w:link w:val="CommentSubject"/>
    <w:uiPriority w:val="99"/>
    <w:semiHidden/>
    <w:rsid w:val="00841A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1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F4"/>
    <w:rPr>
      <w:rFonts w:ascii="Segoe UI" w:eastAsia="Times New Roman" w:hAnsi="Segoe UI" w:cs="Segoe UI"/>
      <w:sz w:val="18"/>
      <w:szCs w:val="18"/>
    </w:rPr>
  </w:style>
  <w:style w:type="character" w:styleId="Hyperlink">
    <w:name w:val="Hyperlink"/>
    <w:basedOn w:val="DefaultParagraphFont"/>
    <w:uiPriority w:val="99"/>
    <w:unhideWhenUsed/>
    <w:rsid w:val="00170FC4"/>
    <w:rPr>
      <w:color w:val="0000FF" w:themeColor="hyperlink"/>
      <w:u w:val="single"/>
    </w:rPr>
  </w:style>
  <w:style w:type="character" w:styleId="UnresolvedMention">
    <w:name w:val="Unresolved Mention"/>
    <w:basedOn w:val="DefaultParagraphFont"/>
    <w:uiPriority w:val="99"/>
    <w:semiHidden/>
    <w:unhideWhenUsed/>
    <w:rsid w:val="00170FC4"/>
    <w:rPr>
      <w:color w:val="605E5C"/>
      <w:shd w:val="clear" w:color="auto" w:fill="E1DFDD"/>
    </w:rPr>
  </w:style>
  <w:style w:type="paragraph" w:styleId="NormalWeb">
    <w:name w:val="Normal (Web)"/>
    <w:basedOn w:val="Normal"/>
    <w:uiPriority w:val="99"/>
    <w:unhideWhenUsed/>
    <w:rsid w:val="003D481D"/>
    <w:pPr>
      <w:widowControl/>
      <w:autoSpaceDE/>
      <w:autoSpaceDN/>
      <w:spacing w:before="100" w:beforeAutospacing="1" w:after="100" w:afterAutospacing="1"/>
    </w:pPr>
    <w:rPr>
      <w:sz w:val="24"/>
      <w:szCs w:val="24"/>
      <w:lang w:val="it-IT" w:eastAsia="it-IT"/>
    </w:rPr>
  </w:style>
  <w:style w:type="character" w:styleId="Emphasis">
    <w:name w:val="Emphasis"/>
    <w:basedOn w:val="DefaultParagraphFont"/>
    <w:uiPriority w:val="20"/>
    <w:qFormat/>
    <w:rsid w:val="00FD325C"/>
    <w:rPr>
      <w:i/>
      <w:iCs/>
    </w:rPr>
  </w:style>
  <w:style w:type="table" w:styleId="TableGrid">
    <w:name w:val="Table Grid"/>
    <w:basedOn w:val="TableNormal"/>
    <w:uiPriority w:val="39"/>
    <w:rsid w:val="0007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417"/>
    <w:pPr>
      <w:widowControl/>
      <w:adjustRightInd w:val="0"/>
    </w:pPr>
    <w:rPr>
      <w:rFonts w:ascii="Century Gothic" w:hAnsi="Century Gothic" w:cs="Century Gothic"/>
      <w:color w:val="000000"/>
      <w:sz w:val="24"/>
      <w:szCs w:val="24"/>
      <w:lang w:val="fr-FR"/>
    </w:rPr>
  </w:style>
  <w:style w:type="paragraph" w:styleId="TOCHeading">
    <w:name w:val="TOC Heading"/>
    <w:basedOn w:val="Heading1"/>
    <w:next w:val="Normal"/>
    <w:uiPriority w:val="39"/>
    <w:unhideWhenUsed/>
    <w:qFormat/>
    <w:rsid w:val="00731E31"/>
    <w:pPr>
      <w:keepNext/>
      <w:keepLines/>
      <w:widowControl/>
      <w:autoSpaceDE/>
      <w:autoSpaceDN/>
      <w:spacing w:before="240" w:line="259" w:lineRule="auto"/>
      <w:ind w:left="0"/>
      <w:outlineLvl w:val="9"/>
    </w:pPr>
    <w:rPr>
      <w:rFonts w:eastAsiaTheme="majorEastAsia" w:cstheme="majorBidi"/>
      <w:b/>
      <w:bCs w:val="0"/>
      <w:color w:val="365F91" w:themeColor="accent1" w:themeShade="BF"/>
    </w:rPr>
  </w:style>
  <w:style w:type="paragraph" w:styleId="Revision">
    <w:name w:val="Revision"/>
    <w:hidden/>
    <w:uiPriority w:val="99"/>
    <w:semiHidden/>
    <w:rsid w:val="00D829E9"/>
    <w:pPr>
      <w:widowControl/>
      <w:autoSpaceDE/>
      <w:autoSpaceDN/>
    </w:pPr>
    <w:rPr>
      <w:rFonts w:ascii="Times New Roman" w:eastAsia="Times New Roman" w:hAnsi="Times New Roman" w:cs="Times New Roman"/>
    </w:rPr>
  </w:style>
  <w:style w:type="character" w:customStyle="1" w:styleId="sowc">
    <w:name w:val="sowc"/>
    <w:basedOn w:val="DefaultParagraphFont"/>
    <w:rsid w:val="002937CC"/>
  </w:style>
  <w:style w:type="paragraph" w:customStyle="1" w:styleId="My">
    <w:name w:val="My"/>
    <w:rsid w:val="002937CC"/>
    <w:pPr>
      <w:widowControl/>
      <w:autoSpaceDE/>
      <w:autoSpaceDN/>
    </w:pPr>
    <w:rPr>
      <w:rFonts w:ascii="Verdana" w:eastAsia="Batang" w:hAnsi="Verdana" w:cs="Arial"/>
      <w:sz w:val="24"/>
      <w:szCs w:val="24"/>
      <w:lang w:val="uk-UA" w:eastAsia="ko-KR"/>
    </w:rPr>
  </w:style>
  <w:style w:type="paragraph" w:styleId="Caption">
    <w:name w:val="caption"/>
    <w:basedOn w:val="Normal"/>
    <w:next w:val="Normal"/>
    <w:uiPriority w:val="35"/>
    <w:unhideWhenUsed/>
    <w:qFormat/>
    <w:rsid w:val="00B231DC"/>
    <w:pPr>
      <w:spacing w:after="200"/>
    </w:pPr>
    <w:rPr>
      <w:i/>
      <w:iCs/>
      <w:color w:val="1F497D" w:themeColor="text2"/>
      <w:sz w:val="18"/>
      <w:szCs w:val="18"/>
    </w:rPr>
  </w:style>
  <w:style w:type="paragraph" w:styleId="Header">
    <w:name w:val="header"/>
    <w:basedOn w:val="Normal"/>
    <w:link w:val="HeaderChar"/>
    <w:uiPriority w:val="99"/>
    <w:unhideWhenUsed/>
    <w:rsid w:val="000B0140"/>
    <w:pPr>
      <w:tabs>
        <w:tab w:val="center" w:pos="4819"/>
        <w:tab w:val="right" w:pos="9638"/>
      </w:tabs>
    </w:pPr>
  </w:style>
  <w:style w:type="character" w:customStyle="1" w:styleId="HeaderChar">
    <w:name w:val="Header Char"/>
    <w:basedOn w:val="DefaultParagraphFont"/>
    <w:link w:val="Header"/>
    <w:uiPriority w:val="99"/>
    <w:rsid w:val="000B0140"/>
    <w:rPr>
      <w:rFonts w:ascii="Times New Roman" w:eastAsia="Times New Roman" w:hAnsi="Times New Roman" w:cs="Times New Roman"/>
    </w:rPr>
  </w:style>
  <w:style w:type="paragraph" w:styleId="Footer">
    <w:name w:val="footer"/>
    <w:basedOn w:val="Normal"/>
    <w:link w:val="FooterChar"/>
    <w:uiPriority w:val="99"/>
    <w:unhideWhenUsed/>
    <w:rsid w:val="000B0140"/>
    <w:pPr>
      <w:tabs>
        <w:tab w:val="center" w:pos="4819"/>
        <w:tab w:val="right" w:pos="9638"/>
      </w:tabs>
    </w:pPr>
  </w:style>
  <w:style w:type="character" w:customStyle="1" w:styleId="FooterChar">
    <w:name w:val="Footer Char"/>
    <w:basedOn w:val="DefaultParagraphFont"/>
    <w:link w:val="Footer"/>
    <w:uiPriority w:val="99"/>
    <w:rsid w:val="000B0140"/>
    <w:rPr>
      <w:rFonts w:ascii="Times New Roman" w:eastAsia="Times New Roman" w:hAnsi="Times New Roman" w:cs="Times New Roman"/>
    </w:rPr>
  </w:style>
  <w:style w:type="paragraph" w:styleId="TableofFigures">
    <w:name w:val="table of figures"/>
    <w:basedOn w:val="Normal"/>
    <w:next w:val="Normal"/>
    <w:uiPriority w:val="99"/>
    <w:unhideWhenUsed/>
    <w:rsid w:val="007D6CFD"/>
    <w:pPr>
      <w:ind w:left="440" w:hanging="440"/>
    </w:pPr>
    <w:rPr>
      <w:rFonts w:asciiTheme="minorHAnsi" w:hAnsiTheme="minorHAnsi" w:cstheme="minorHAnsi"/>
      <w:smallCaps/>
      <w:sz w:val="20"/>
      <w:szCs w:val="24"/>
    </w:rPr>
  </w:style>
  <w:style w:type="character" w:customStyle="1" w:styleId="BodyTextChar">
    <w:name w:val="Body Text Char"/>
    <w:basedOn w:val="DefaultParagraphFont"/>
    <w:link w:val="BodyText"/>
    <w:uiPriority w:val="1"/>
    <w:rsid w:val="003A2AB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C47EA"/>
    <w:rPr>
      <w:rFonts w:asciiTheme="majorHAnsi" w:eastAsiaTheme="majorEastAsia" w:hAnsiTheme="majorHAnsi" w:cstheme="majorBidi"/>
      <w:color w:val="365F91" w:themeColor="accent1" w:themeShade="BF"/>
      <w:sz w:val="32"/>
      <w:szCs w:val="32"/>
      <w:lang w:val="en-GB"/>
    </w:rPr>
  </w:style>
  <w:style w:type="character" w:customStyle="1" w:styleId="Heading1Char">
    <w:name w:val="Heading 1 Char"/>
    <w:basedOn w:val="DefaultParagraphFont"/>
    <w:link w:val="Heading1"/>
    <w:uiPriority w:val="9"/>
    <w:rsid w:val="00EB7272"/>
    <w:rPr>
      <w:rFonts w:asciiTheme="majorHAnsi" w:eastAsia="Times New Roman" w:hAnsiTheme="majorHAnsi" w:cs="Times New Roman"/>
      <w:bCs/>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styleId="Strong">
    <w:name w:val="Strong"/>
    <w:basedOn w:val="DefaultParagraphFont"/>
    <w:uiPriority w:val="22"/>
    <w:qFormat/>
    <w:rsid w:val="00B42623"/>
    <w:rPr>
      <w:b/>
      <w:bCs/>
    </w:rPr>
  </w:style>
  <w:style w:type="character" w:customStyle="1" w:styleId="markhys6venv7">
    <w:name w:val="markhys6venv7"/>
    <w:basedOn w:val="DefaultParagraphFont"/>
    <w:rsid w:val="0034641D"/>
  </w:style>
  <w:style w:type="paragraph" w:customStyle="1" w:styleId="p2">
    <w:name w:val="p2"/>
    <w:basedOn w:val="Normal"/>
    <w:rsid w:val="00FB3AB1"/>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EB7272"/>
    <w:rPr>
      <w:rFonts w:asciiTheme="majorHAnsi" w:eastAsiaTheme="majorEastAsia" w:hAnsiTheme="maj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rsid w:val="00EB7272"/>
    <w:rPr>
      <w:rFonts w:asciiTheme="majorHAnsi" w:eastAsiaTheme="majorEastAsia" w:hAnsiTheme="majorHAnsi" w:cstheme="majorBidi"/>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EB7272"/>
    <w:rPr>
      <w:rFonts w:asciiTheme="majorHAnsi" w:eastAsiaTheme="majorEastAsia" w:hAnsiTheme="majorHAnsi" w:cstheme="majorBidi"/>
      <w:caps/>
      <w:color w:val="365F91" w:themeColor="accent1" w:themeShade="BF"/>
      <w:lang w:val="en-GB"/>
    </w:rPr>
  </w:style>
  <w:style w:type="character" w:customStyle="1" w:styleId="Heading6Char">
    <w:name w:val="Heading 6 Char"/>
    <w:basedOn w:val="DefaultParagraphFont"/>
    <w:link w:val="Heading6"/>
    <w:uiPriority w:val="9"/>
    <w:semiHidden/>
    <w:rsid w:val="00EB7272"/>
    <w:rPr>
      <w:rFonts w:asciiTheme="majorHAnsi" w:eastAsiaTheme="majorEastAsia" w:hAnsiTheme="majorHAnsi" w:cstheme="majorBidi"/>
      <w:i/>
      <w:iCs/>
      <w:caps/>
      <w:color w:val="244061" w:themeColor="accent1" w:themeShade="80"/>
      <w:lang w:val="en-GB"/>
    </w:rPr>
  </w:style>
  <w:style w:type="character" w:customStyle="1" w:styleId="Heading7Char">
    <w:name w:val="Heading 7 Char"/>
    <w:basedOn w:val="DefaultParagraphFont"/>
    <w:link w:val="Heading7"/>
    <w:uiPriority w:val="9"/>
    <w:semiHidden/>
    <w:rsid w:val="00EB7272"/>
    <w:rPr>
      <w:rFonts w:asciiTheme="majorHAnsi" w:eastAsiaTheme="majorEastAsia" w:hAnsiTheme="majorHAnsi" w:cstheme="majorBidi"/>
      <w:b/>
      <w:bCs/>
      <w:color w:val="244061" w:themeColor="accent1" w:themeShade="80"/>
      <w:lang w:val="en-GB"/>
    </w:rPr>
  </w:style>
  <w:style w:type="character" w:customStyle="1" w:styleId="Heading8Char">
    <w:name w:val="Heading 8 Char"/>
    <w:basedOn w:val="DefaultParagraphFont"/>
    <w:link w:val="Heading8"/>
    <w:uiPriority w:val="9"/>
    <w:semiHidden/>
    <w:rsid w:val="00EB7272"/>
    <w:rPr>
      <w:rFonts w:asciiTheme="majorHAnsi" w:eastAsiaTheme="majorEastAsia" w:hAnsiTheme="majorHAnsi" w:cstheme="majorBidi"/>
      <w:b/>
      <w:bCs/>
      <w:i/>
      <w:iCs/>
      <w:color w:val="244061" w:themeColor="accent1" w:themeShade="80"/>
      <w:lang w:val="en-GB"/>
    </w:rPr>
  </w:style>
  <w:style w:type="character" w:customStyle="1" w:styleId="Heading9Char">
    <w:name w:val="Heading 9 Char"/>
    <w:basedOn w:val="DefaultParagraphFont"/>
    <w:link w:val="Heading9"/>
    <w:uiPriority w:val="9"/>
    <w:semiHidden/>
    <w:rsid w:val="00EB7272"/>
    <w:rPr>
      <w:rFonts w:asciiTheme="majorHAnsi" w:eastAsiaTheme="majorEastAsia" w:hAnsiTheme="majorHAnsi" w:cstheme="majorBidi"/>
      <w:i/>
      <w:iCs/>
      <w:color w:val="244061" w:themeColor="accent1" w:themeShade="80"/>
      <w:lang w:val="en-GB"/>
    </w:rPr>
  </w:style>
  <w:style w:type="paragraph" w:styleId="NoSpacing">
    <w:name w:val="No Spacing"/>
    <w:link w:val="NoSpacingChar"/>
    <w:uiPriority w:val="1"/>
    <w:qFormat/>
    <w:rsid w:val="00EB7272"/>
    <w:pPr>
      <w:widowControl/>
      <w:autoSpaceDE/>
      <w:autoSpaceDN/>
    </w:pPr>
    <w:rPr>
      <w:rFonts w:eastAsiaTheme="minorEastAsia"/>
      <w:lang w:val="en-GB"/>
    </w:rPr>
  </w:style>
  <w:style w:type="character" w:customStyle="1" w:styleId="NoSpacingChar">
    <w:name w:val="No Spacing Char"/>
    <w:basedOn w:val="DefaultParagraphFont"/>
    <w:link w:val="NoSpacing"/>
    <w:uiPriority w:val="1"/>
    <w:rsid w:val="00EB7272"/>
    <w:rPr>
      <w:rFonts w:eastAsiaTheme="minorEastAsia"/>
      <w:lang w:val="en-GB"/>
    </w:rPr>
  </w:style>
  <w:style w:type="character" w:customStyle="1" w:styleId="TitleChar">
    <w:name w:val="Title Char"/>
    <w:basedOn w:val="DefaultParagraphFont"/>
    <w:link w:val="Title"/>
    <w:uiPriority w:val="10"/>
    <w:rsid w:val="00EB7272"/>
    <w:rPr>
      <w:rFonts w:ascii="Calibri" w:eastAsia="Calibri" w:hAnsi="Calibri" w:cs="Calibri"/>
      <w:b/>
      <w:bCs/>
      <w:i/>
      <w:sz w:val="72"/>
      <w:szCs w:val="72"/>
    </w:rPr>
  </w:style>
  <w:style w:type="paragraph" w:styleId="Subtitle">
    <w:name w:val="Subtitle"/>
    <w:basedOn w:val="Normal"/>
    <w:next w:val="Normal"/>
    <w:link w:val="SubtitleChar"/>
    <w:uiPriority w:val="11"/>
    <w:qFormat/>
    <w:rsid w:val="00EB7272"/>
    <w:pPr>
      <w:widowControl/>
      <w:numPr>
        <w:ilvl w:val="1"/>
      </w:numPr>
      <w:autoSpaceDE/>
      <w:autoSpaceDN/>
      <w:spacing w:after="240"/>
    </w:pPr>
    <w:rPr>
      <w:rFonts w:asciiTheme="majorHAnsi" w:eastAsiaTheme="majorEastAsia" w:hAnsiTheme="majorHAnsi" w:cstheme="majorBidi"/>
      <w:color w:val="4F81BD" w:themeColor="accent1"/>
      <w:sz w:val="28"/>
      <w:szCs w:val="28"/>
      <w:lang w:val="en-GB"/>
    </w:rPr>
  </w:style>
  <w:style w:type="character" w:customStyle="1" w:styleId="SubtitleChar">
    <w:name w:val="Subtitle Char"/>
    <w:basedOn w:val="DefaultParagraphFont"/>
    <w:link w:val="Subtitle"/>
    <w:uiPriority w:val="11"/>
    <w:rsid w:val="00EB7272"/>
    <w:rPr>
      <w:rFonts w:asciiTheme="majorHAnsi" w:eastAsiaTheme="majorEastAsia" w:hAnsiTheme="majorHAnsi" w:cstheme="majorBidi"/>
      <w:color w:val="4F81BD" w:themeColor="accent1"/>
      <w:sz w:val="28"/>
      <w:szCs w:val="28"/>
      <w:lang w:val="en-GB"/>
    </w:rPr>
  </w:style>
  <w:style w:type="paragraph" w:styleId="Quote">
    <w:name w:val="Quote"/>
    <w:basedOn w:val="Normal"/>
    <w:next w:val="Normal"/>
    <w:link w:val="QuoteChar"/>
    <w:uiPriority w:val="29"/>
    <w:qFormat/>
    <w:rsid w:val="00EB7272"/>
    <w:pPr>
      <w:widowControl/>
      <w:autoSpaceDE/>
      <w:autoSpaceDN/>
      <w:spacing w:before="120" w:after="120" w:line="259" w:lineRule="auto"/>
      <w:ind w:left="720"/>
    </w:pPr>
    <w:rPr>
      <w:rFonts w:asciiTheme="minorHAnsi" w:eastAsiaTheme="minorEastAsia" w:hAnsiTheme="minorHAnsi" w:cstheme="minorBidi"/>
      <w:color w:val="1F497D" w:themeColor="text2"/>
      <w:sz w:val="24"/>
      <w:szCs w:val="24"/>
      <w:lang w:val="en-GB"/>
    </w:rPr>
  </w:style>
  <w:style w:type="character" w:customStyle="1" w:styleId="QuoteChar">
    <w:name w:val="Quote Char"/>
    <w:basedOn w:val="DefaultParagraphFont"/>
    <w:link w:val="Quote"/>
    <w:uiPriority w:val="29"/>
    <w:rsid w:val="00EB7272"/>
    <w:rPr>
      <w:rFonts w:eastAsiaTheme="minorEastAsia"/>
      <w:color w:val="1F497D" w:themeColor="text2"/>
      <w:sz w:val="24"/>
      <w:szCs w:val="24"/>
      <w:lang w:val="en-GB"/>
    </w:rPr>
  </w:style>
  <w:style w:type="paragraph" w:styleId="IntenseQuote">
    <w:name w:val="Intense Quote"/>
    <w:basedOn w:val="Normal"/>
    <w:next w:val="Normal"/>
    <w:link w:val="IntenseQuoteChar"/>
    <w:uiPriority w:val="30"/>
    <w:qFormat/>
    <w:rsid w:val="00EB7272"/>
    <w:pPr>
      <w:widowControl/>
      <w:autoSpaceDE/>
      <w:autoSpaceDN/>
      <w:spacing w:before="100" w:beforeAutospacing="1" w:after="240"/>
      <w:ind w:left="720"/>
      <w:jc w:val="center"/>
    </w:pPr>
    <w:rPr>
      <w:rFonts w:asciiTheme="majorHAnsi" w:eastAsiaTheme="majorEastAsia" w:hAnsiTheme="majorHAnsi" w:cstheme="majorBidi"/>
      <w:color w:val="1F497D" w:themeColor="text2"/>
      <w:spacing w:val="-6"/>
      <w:sz w:val="32"/>
      <w:szCs w:val="32"/>
      <w:lang w:val="en-GB"/>
    </w:rPr>
  </w:style>
  <w:style w:type="character" w:customStyle="1" w:styleId="IntenseQuoteChar">
    <w:name w:val="Intense Quote Char"/>
    <w:basedOn w:val="DefaultParagraphFont"/>
    <w:link w:val="IntenseQuote"/>
    <w:uiPriority w:val="30"/>
    <w:rsid w:val="00EB7272"/>
    <w:rPr>
      <w:rFonts w:asciiTheme="majorHAnsi" w:eastAsiaTheme="majorEastAsia" w:hAnsiTheme="majorHAnsi" w:cstheme="majorBidi"/>
      <w:color w:val="1F497D" w:themeColor="text2"/>
      <w:spacing w:val="-6"/>
      <w:sz w:val="32"/>
      <w:szCs w:val="32"/>
      <w:lang w:val="en-GB"/>
    </w:rPr>
  </w:style>
  <w:style w:type="character" w:styleId="SubtleEmphasis">
    <w:name w:val="Subtle Emphasis"/>
    <w:basedOn w:val="DefaultParagraphFont"/>
    <w:uiPriority w:val="19"/>
    <w:qFormat/>
    <w:rsid w:val="00EB7272"/>
    <w:rPr>
      <w:i/>
      <w:iCs/>
      <w:color w:val="595959" w:themeColor="text1" w:themeTint="A6"/>
    </w:rPr>
  </w:style>
  <w:style w:type="character" w:styleId="IntenseEmphasis">
    <w:name w:val="Intense Emphasis"/>
    <w:basedOn w:val="DefaultParagraphFont"/>
    <w:uiPriority w:val="21"/>
    <w:qFormat/>
    <w:rsid w:val="00EB7272"/>
    <w:rPr>
      <w:b/>
      <w:bCs/>
      <w:i/>
      <w:iCs/>
    </w:rPr>
  </w:style>
  <w:style w:type="character" w:styleId="SubtleReference">
    <w:name w:val="Subtle Reference"/>
    <w:basedOn w:val="DefaultParagraphFont"/>
    <w:uiPriority w:val="31"/>
    <w:qFormat/>
    <w:rsid w:val="00EB727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B7272"/>
    <w:rPr>
      <w:b/>
      <w:bCs/>
      <w:smallCaps/>
      <w:color w:val="1F497D" w:themeColor="text2"/>
      <w:u w:val="single"/>
    </w:rPr>
  </w:style>
  <w:style w:type="character" w:styleId="BookTitle">
    <w:name w:val="Book Title"/>
    <w:basedOn w:val="DefaultParagraphFont"/>
    <w:uiPriority w:val="33"/>
    <w:qFormat/>
    <w:rsid w:val="00EB7272"/>
    <w:rPr>
      <w:b/>
      <w:bCs/>
      <w:smallCaps/>
      <w:spacing w:val="10"/>
    </w:rPr>
  </w:style>
  <w:style w:type="character" w:customStyle="1" w:styleId="ListParagraphChar">
    <w:name w:val="List Paragraph Char"/>
    <w:aliases w:val="NUMBERED PARAGRAPH Char,List Paragraph 1 Char,List Paragraph (numbered (a)) Char,Use Case List Paragraph Char,References Char,ReferencesCxSpLast Char,lp1 Char,Lista vistosa - Énfasis 11 Char,Resume Title Char,Citation List Char"/>
    <w:link w:val="ListParagraph"/>
    <w:uiPriority w:val="34"/>
    <w:qFormat/>
    <w:locked/>
    <w:rsid w:val="00B63F6A"/>
    <w:rPr>
      <w:rFonts w:ascii="Times New Roman" w:eastAsia="Times New Roman" w:hAnsi="Times New Roman" w:cs="Times New Roman"/>
    </w:rPr>
  </w:style>
  <w:style w:type="paragraph" w:styleId="TOC4">
    <w:name w:val="toc 4"/>
    <w:basedOn w:val="Normal"/>
    <w:next w:val="Normal"/>
    <w:autoRedefine/>
    <w:uiPriority w:val="39"/>
    <w:unhideWhenUsed/>
    <w:rsid w:val="00DC7DE0"/>
    <w:pPr>
      <w:pBdr>
        <w:between w:val="double" w:sz="6" w:space="0" w:color="auto"/>
      </w:pBdr>
      <w:spacing w:before="120" w:after="120"/>
      <w:ind w:left="44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DC7DE0"/>
    <w:pPr>
      <w:pBdr>
        <w:between w:val="double" w:sz="6" w:space="0" w:color="auto"/>
      </w:pBdr>
      <w:spacing w:before="120" w:after="120"/>
      <w:ind w:left="66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DC7DE0"/>
    <w:pPr>
      <w:pBdr>
        <w:between w:val="double" w:sz="6" w:space="0" w:color="auto"/>
      </w:pBdr>
      <w:spacing w:before="120" w:after="120"/>
      <w:ind w:left="88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DC7DE0"/>
    <w:pPr>
      <w:pBdr>
        <w:between w:val="double" w:sz="6" w:space="0" w:color="auto"/>
      </w:pBdr>
      <w:spacing w:before="120" w:after="120"/>
      <w:ind w:left="11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DC7DE0"/>
    <w:pPr>
      <w:pBdr>
        <w:between w:val="double" w:sz="6" w:space="0" w:color="auto"/>
      </w:pBdr>
      <w:spacing w:before="120" w:after="120"/>
      <w:ind w:left="132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DC7DE0"/>
    <w:pPr>
      <w:pBdr>
        <w:between w:val="double" w:sz="6" w:space="0" w:color="auto"/>
      </w:pBdr>
      <w:spacing w:before="120" w:after="120"/>
      <w:ind w:left="1540"/>
      <w:jc w:val="center"/>
    </w:pPr>
    <w:rPr>
      <w:rFonts w:asciiTheme="minorHAnsi" w:hAnsiTheme="minorHAnsi" w:cstheme="minorHAnsi"/>
      <w:sz w:val="20"/>
      <w:szCs w:val="20"/>
    </w:rPr>
  </w:style>
  <w:style w:type="paragraph" w:customStyle="1" w:styleId="paragraph">
    <w:name w:val="paragraph"/>
    <w:basedOn w:val="Normal"/>
    <w:rsid w:val="00C910B8"/>
    <w:pPr>
      <w:widowControl/>
      <w:autoSpaceDE/>
      <w:autoSpaceDN/>
      <w:spacing w:before="100" w:beforeAutospacing="1" w:after="100" w:afterAutospacing="1"/>
    </w:pPr>
    <w:rPr>
      <w:sz w:val="24"/>
      <w:szCs w:val="24"/>
      <w:lang w:val="pl-PL" w:eastAsia="en-GB"/>
    </w:rPr>
  </w:style>
  <w:style w:type="character" w:styleId="PageNumber">
    <w:name w:val="page number"/>
    <w:basedOn w:val="DefaultParagraphFont"/>
    <w:uiPriority w:val="99"/>
    <w:semiHidden/>
    <w:unhideWhenUsed/>
    <w:rsid w:val="006C6C9B"/>
  </w:style>
  <w:style w:type="table" w:styleId="PlainTable3">
    <w:name w:val="Plain Table 3"/>
    <w:basedOn w:val="TableNormal"/>
    <w:uiPriority w:val="43"/>
    <w:rsid w:val="001846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846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54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ta">
    <w:name w:val="Nota"/>
    <w:basedOn w:val="Normal"/>
    <w:link w:val="FootnoteReference"/>
    <w:uiPriority w:val="99"/>
    <w:rsid w:val="00FA0492"/>
    <w:pPr>
      <w:widowControl/>
      <w:autoSpaceDE/>
      <w:autoSpaceDN/>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5205">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57561190">
      <w:bodyDiv w:val="1"/>
      <w:marLeft w:val="0"/>
      <w:marRight w:val="0"/>
      <w:marTop w:val="0"/>
      <w:marBottom w:val="0"/>
      <w:divBdr>
        <w:top w:val="none" w:sz="0" w:space="0" w:color="auto"/>
        <w:left w:val="none" w:sz="0" w:space="0" w:color="auto"/>
        <w:bottom w:val="none" w:sz="0" w:space="0" w:color="auto"/>
        <w:right w:val="none" w:sz="0" w:space="0" w:color="auto"/>
      </w:divBdr>
    </w:div>
    <w:div w:id="85268391">
      <w:bodyDiv w:val="1"/>
      <w:marLeft w:val="0"/>
      <w:marRight w:val="0"/>
      <w:marTop w:val="0"/>
      <w:marBottom w:val="0"/>
      <w:divBdr>
        <w:top w:val="none" w:sz="0" w:space="0" w:color="auto"/>
        <w:left w:val="none" w:sz="0" w:space="0" w:color="auto"/>
        <w:bottom w:val="none" w:sz="0" w:space="0" w:color="auto"/>
        <w:right w:val="none" w:sz="0" w:space="0" w:color="auto"/>
      </w:divBdr>
      <w:divsChild>
        <w:div w:id="629358456">
          <w:marLeft w:val="274"/>
          <w:marRight w:val="0"/>
          <w:marTop w:val="200"/>
          <w:marBottom w:val="90"/>
          <w:divBdr>
            <w:top w:val="none" w:sz="0" w:space="0" w:color="auto"/>
            <w:left w:val="none" w:sz="0" w:space="0" w:color="auto"/>
            <w:bottom w:val="none" w:sz="0" w:space="0" w:color="auto"/>
            <w:right w:val="none" w:sz="0" w:space="0" w:color="auto"/>
          </w:divBdr>
        </w:div>
      </w:divsChild>
    </w:div>
    <w:div w:id="103574530">
      <w:bodyDiv w:val="1"/>
      <w:marLeft w:val="0"/>
      <w:marRight w:val="0"/>
      <w:marTop w:val="0"/>
      <w:marBottom w:val="0"/>
      <w:divBdr>
        <w:top w:val="none" w:sz="0" w:space="0" w:color="auto"/>
        <w:left w:val="none" w:sz="0" w:space="0" w:color="auto"/>
        <w:bottom w:val="none" w:sz="0" w:space="0" w:color="auto"/>
        <w:right w:val="none" w:sz="0" w:space="0" w:color="auto"/>
      </w:divBdr>
      <w:divsChild>
        <w:div w:id="40174612">
          <w:marLeft w:val="0"/>
          <w:marRight w:val="0"/>
          <w:marTop w:val="0"/>
          <w:marBottom w:val="0"/>
          <w:divBdr>
            <w:top w:val="none" w:sz="0" w:space="0" w:color="auto"/>
            <w:left w:val="none" w:sz="0" w:space="0" w:color="auto"/>
            <w:bottom w:val="none" w:sz="0" w:space="0" w:color="auto"/>
            <w:right w:val="none" w:sz="0" w:space="0" w:color="auto"/>
          </w:divBdr>
          <w:divsChild>
            <w:div w:id="591360982">
              <w:marLeft w:val="0"/>
              <w:marRight w:val="0"/>
              <w:marTop w:val="0"/>
              <w:marBottom w:val="0"/>
              <w:divBdr>
                <w:top w:val="none" w:sz="0" w:space="0" w:color="auto"/>
                <w:left w:val="none" w:sz="0" w:space="0" w:color="auto"/>
                <w:bottom w:val="none" w:sz="0" w:space="0" w:color="auto"/>
                <w:right w:val="none" w:sz="0" w:space="0" w:color="auto"/>
              </w:divBdr>
              <w:divsChild>
                <w:div w:id="15548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3989">
      <w:bodyDiv w:val="1"/>
      <w:marLeft w:val="0"/>
      <w:marRight w:val="0"/>
      <w:marTop w:val="0"/>
      <w:marBottom w:val="0"/>
      <w:divBdr>
        <w:top w:val="none" w:sz="0" w:space="0" w:color="auto"/>
        <w:left w:val="none" w:sz="0" w:space="0" w:color="auto"/>
        <w:bottom w:val="none" w:sz="0" w:space="0" w:color="auto"/>
        <w:right w:val="none" w:sz="0" w:space="0" w:color="auto"/>
      </w:divBdr>
    </w:div>
    <w:div w:id="143087052">
      <w:bodyDiv w:val="1"/>
      <w:marLeft w:val="0"/>
      <w:marRight w:val="0"/>
      <w:marTop w:val="0"/>
      <w:marBottom w:val="0"/>
      <w:divBdr>
        <w:top w:val="none" w:sz="0" w:space="0" w:color="auto"/>
        <w:left w:val="none" w:sz="0" w:space="0" w:color="auto"/>
        <w:bottom w:val="none" w:sz="0" w:space="0" w:color="auto"/>
        <w:right w:val="none" w:sz="0" w:space="0" w:color="auto"/>
      </w:divBdr>
      <w:divsChild>
        <w:div w:id="235823621">
          <w:marLeft w:val="0"/>
          <w:marRight w:val="0"/>
          <w:marTop w:val="0"/>
          <w:marBottom w:val="0"/>
          <w:divBdr>
            <w:top w:val="none" w:sz="0" w:space="0" w:color="auto"/>
            <w:left w:val="none" w:sz="0" w:space="0" w:color="auto"/>
            <w:bottom w:val="none" w:sz="0" w:space="0" w:color="auto"/>
            <w:right w:val="none" w:sz="0" w:space="0" w:color="auto"/>
          </w:divBdr>
          <w:divsChild>
            <w:div w:id="1950427653">
              <w:marLeft w:val="0"/>
              <w:marRight w:val="0"/>
              <w:marTop w:val="0"/>
              <w:marBottom w:val="0"/>
              <w:divBdr>
                <w:top w:val="none" w:sz="0" w:space="0" w:color="auto"/>
                <w:left w:val="none" w:sz="0" w:space="0" w:color="auto"/>
                <w:bottom w:val="none" w:sz="0" w:space="0" w:color="auto"/>
                <w:right w:val="none" w:sz="0" w:space="0" w:color="auto"/>
              </w:divBdr>
              <w:divsChild>
                <w:div w:id="1359812482">
                  <w:marLeft w:val="0"/>
                  <w:marRight w:val="0"/>
                  <w:marTop w:val="0"/>
                  <w:marBottom w:val="0"/>
                  <w:divBdr>
                    <w:top w:val="none" w:sz="0" w:space="0" w:color="auto"/>
                    <w:left w:val="none" w:sz="0" w:space="0" w:color="auto"/>
                    <w:bottom w:val="none" w:sz="0" w:space="0" w:color="auto"/>
                    <w:right w:val="none" w:sz="0" w:space="0" w:color="auto"/>
                  </w:divBdr>
                  <w:divsChild>
                    <w:div w:id="164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57883">
      <w:bodyDiv w:val="1"/>
      <w:marLeft w:val="0"/>
      <w:marRight w:val="0"/>
      <w:marTop w:val="0"/>
      <w:marBottom w:val="0"/>
      <w:divBdr>
        <w:top w:val="none" w:sz="0" w:space="0" w:color="auto"/>
        <w:left w:val="none" w:sz="0" w:space="0" w:color="auto"/>
        <w:bottom w:val="none" w:sz="0" w:space="0" w:color="auto"/>
        <w:right w:val="none" w:sz="0" w:space="0" w:color="auto"/>
      </w:divBdr>
    </w:div>
    <w:div w:id="160388855">
      <w:bodyDiv w:val="1"/>
      <w:marLeft w:val="0"/>
      <w:marRight w:val="0"/>
      <w:marTop w:val="0"/>
      <w:marBottom w:val="0"/>
      <w:divBdr>
        <w:top w:val="none" w:sz="0" w:space="0" w:color="auto"/>
        <w:left w:val="none" w:sz="0" w:space="0" w:color="auto"/>
        <w:bottom w:val="none" w:sz="0" w:space="0" w:color="auto"/>
        <w:right w:val="none" w:sz="0" w:space="0" w:color="auto"/>
      </w:divBdr>
    </w:div>
    <w:div w:id="185604938">
      <w:bodyDiv w:val="1"/>
      <w:marLeft w:val="0"/>
      <w:marRight w:val="0"/>
      <w:marTop w:val="0"/>
      <w:marBottom w:val="0"/>
      <w:divBdr>
        <w:top w:val="none" w:sz="0" w:space="0" w:color="auto"/>
        <w:left w:val="none" w:sz="0" w:space="0" w:color="auto"/>
        <w:bottom w:val="none" w:sz="0" w:space="0" w:color="auto"/>
        <w:right w:val="none" w:sz="0" w:space="0" w:color="auto"/>
      </w:divBdr>
      <w:divsChild>
        <w:div w:id="283400">
          <w:marLeft w:val="0"/>
          <w:marRight w:val="0"/>
          <w:marTop w:val="0"/>
          <w:marBottom w:val="0"/>
          <w:divBdr>
            <w:top w:val="none" w:sz="0" w:space="0" w:color="auto"/>
            <w:left w:val="none" w:sz="0" w:space="0" w:color="auto"/>
            <w:bottom w:val="none" w:sz="0" w:space="0" w:color="auto"/>
            <w:right w:val="none" w:sz="0" w:space="0" w:color="auto"/>
          </w:divBdr>
          <w:divsChild>
            <w:div w:id="65999049">
              <w:marLeft w:val="0"/>
              <w:marRight w:val="0"/>
              <w:marTop w:val="0"/>
              <w:marBottom w:val="0"/>
              <w:divBdr>
                <w:top w:val="none" w:sz="0" w:space="0" w:color="auto"/>
                <w:left w:val="none" w:sz="0" w:space="0" w:color="auto"/>
                <w:bottom w:val="none" w:sz="0" w:space="0" w:color="auto"/>
                <w:right w:val="none" w:sz="0" w:space="0" w:color="auto"/>
              </w:divBdr>
              <w:divsChild>
                <w:div w:id="1278831453">
                  <w:marLeft w:val="0"/>
                  <w:marRight w:val="0"/>
                  <w:marTop w:val="0"/>
                  <w:marBottom w:val="0"/>
                  <w:divBdr>
                    <w:top w:val="none" w:sz="0" w:space="0" w:color="auto"/>
                    <w:left w:val="none" w:sz="0" w:space="0" w:color="auto"/>
                    <w:bottom w:val="none" w:sz="0" w:space="0" w:color="auto"/>
                    <w:right w:val="none" w:sz="0" w:space="0" w:color="auto"/>
                  </w:divBdr>
                  <w:divsChild>
                    <w:div w:id="8277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5017">
      <w:bodyDiv w:val="1"/>
      <w:marLeft w:val="0"/>
      <w:marRight w:val="0"/>
      <w:marTop w:val="0"/>
      <w:marBottom w:val="0"/>
      <w:divBdr>
        <w:top w:val="none" w:sz="0" w:space="0" w:color="auto"/>
        <w:left w:val="none" w:sz="0" w:space="0" w:color="auto"/>
        <w:bottom w:val="none" w:sz="0" w:space="0" w:color="auto"/>
        <w:right w:val="none" w:sz="0" w:space="0" w:color="auto"/>
      </w:divBdr>
    </w:div>
    <w:div w:id="235434659">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
    <w:div w:id="356273046">
      <w:bodyDiv w:val="1"/>
      <w:marLeft w:val="0"/>
      <w:marRight w:val="0"/>
      <w:marTop w:val="0"/>
      <w:marBottom w:val="0"/>
      <w:divBdr>
        <w:top w:val="none" w:sz="0" w:space="0" w:color="auto"/>
        <w:left w:val="none" w:sz="0" w:space="0" w:color="auto"/>
        <w:bottom w:val="none" w:sz="0" w:space="0" w:color="auto"/>
        <w:right w:val="none" w:sz="0" w:space="0" w:color="auto"/>
      </w:divBdr>
    </w:div>
    <w:div w:id="359553917">
      <w:bodyDiv w:val="1"/>
      <w:marLeft w:val="0"/>
      <w:marRight w:val="0"/>
      <w:marTop w:val="0"/>
      <w:marBottom w:val="0"/>
      <w:divBdr>
        <w:top w:val="none" w:sz="0" w:space="0" w:color="auto"/>
        <w:left w:val="none" w:sz="0" w:space="0" w:color="auto"/>
        <w:bottom w:val="none" w:sz="0" w:space="0" w:color="auto"/>
        <w:right w:val="none" w:sz="0" w:space="0" w:color="auto"/>
      </w:divBdr>
    </w:div>
    <w:div w:id="364714120">
      <w:bodyDiv w:val="1"/>
      <w:marLeft w:val="0"/>
      <w:marRight w:val="0"/>
      <w:marTop w:val="0"/>
      <w:marBottom w:val="0"/>
      <w:divBdr>
        <w:top w:val="none" w:sz="0" w:space="0" w:color="auto"/>
        <w:left w:val="none" w:sz="0" w:space="0" w:color="auto"/>
        <w:bottom w:val="none" w:sz="0" w:space="0" w:color="auto"/>
        <w:right w:val="none" w:sz="0" w:space="0" w:color="auto"/>
      </w:divBdr>
    </w:div>
    <w:div w:id="373506998">
      <w:bodyDiv w:val="1"/>
      <w:marLeft w:val="0"/>
      <w:marRight w:val="0"/>
      <w:marTop w:val="0"/>
      <w:marBottom w:val="0"/>
      <w:divBdr>
        <w:top w:val="none" w:sz="0" w:space="0" w:color="auto"/>
        <w:left w:val="none" w:sz="0" w:space="0" w:color="auto"/>
        <w:bottom w:val="none" w:sz="0" w:space="0" w:color="auto"/>
        <w:right w:val="none" w:sz="0" w:space="0" w:color="auto"/>
      </w:divBdr>
    </w:div>
    <w:div w:id="394477660">
      <w:bodyDiv w:val="1"/>
      <w:marLeft w:val="0"/>
      <w:marRight w:val="0"/>
      <w:marTop w:val="0"/>
      <w:marBottom w:val="0"/>
      <w:divBdr>
        <w:top w:val="none" w:sz="0" w:space="0" w:color="auto"/>
        <w:left w:val="none" w:sz="0" w:space="0" w:color="auto"/>
        <w:bottom w:val="none" w:sz="0" w:space="0" w:color="auto"/>
        <w:right w:val="none" w:sz="0" w:space="0" w:color="auto"/>
      </w:divBdr>
    </w:div>
    <w:div w:id="402411747">
      <w:bodyDiv w:val="1"/>
      <w:marLeft w:val="0"/>
      <w:marRight w:val="0"/>
      <w:marTop w:val="0"/>
      <w:marBottom w:val="0"/>
      <w:divBdr>
        <w:top w:val="none" w:sz="0" w:space="0" w:color="auto"/>
        <w:left w:val="none" w:sz="0" w:space="0" w:color="auto"/>
        <w:bottom w:val="none" w:sz="0" w:space="0" w:color="auto"/>
        <w:right w:val="none" w:sz="0" w:space="0" w:color="auto"/>
      </w:divBdr>
    </w:div>
    <w:div w:id="430704831">
      <w:bodyDiv w:val="1"/>
      <w:marLeft w:val="0"/>
      <w:marRight w:val="0"/>
      <w:marTop w:val="0"/>
      <w:marBottom w:val="0"/>
      <w:divBdr>
        <w:top w:val="none" w:sz="0" w:space="0" w:color="auto"/>
        <w:left w:val="none" w:sz="0" w:space="0" w:color="auto"/>
        <w:bottom w:val="none" w:sz="0" w:space="0" w:color="auto"/>
        <w:right w:val="none" w:sz="0" w:space="0" w:color="auto"/>
      </w:divBdr>
    </w:div>
    <w:div w:id="443311071">
      <w:bodyDiv w:val="1"/>
      <w:marLeft w:val="0"/>
      <w:marRight w:val="0"/>
      <w:marTop w:val="0"/>
      <w:marBottom w:val="0"/>
      <w:divBdr>
        <w:top w:val="none" w:sz="0" w:space="0" w:color="auto"/>
        <w:left w:val="none" w:sz="0" w:space="0" w:color="auto"/>
        <w:bottom w:val="none" w:sz="0" w:space="0" w:color="auto"/>
        <w:right w:val="none" w:sz="0" w:space="0" w:color="auto"/>
      </w:divBdr>
    </w:div>
    <w:div w:id="501160993">
      <w:bodyDiv w:val="1"/>
      <w:marLeft w:val="0"/>
      <w:marRight w:val="0"/>
      <w:marTop w:val="0"/>
      <w:marBottom w:val="0"/>
      <w:divBdr>
        <w:top w:val="none" w:sz="0" w:space="0" w:color="auto"/>
        <w:left w:val="none" w:sz="0" w:space="0" w:color="auto"/>
        <w:bottom w:val="none" w:sz="0" w:space="0" w:color="auto"/>
        <w:right w:val="none" w:sz="0" w:space="0" w:color="auto"/>
      </w:divBdr>
    </w:div>
    <w:div w:id="533231614">
      <w:bodyDiv w:val="1"/>
      <w:marLeft w:val="0"/>
      <w:marRight w:val="0"/>
      <w:marTop w:val="0"/>
      <w:marBottom w:val="0"/>
      <w:divBdr>
        <w:top w:val="none" w:sz="0" w:space="0" w:color="auto"/>
        <w:left w:val="none" w:sz="0" w:space="0" w:color="auto"/>
        <w:bottom w:val="none" w:sz="0" w:space="0" w:color="auto"/>
        <w:right w:val="none" w:sz="0" w:space="0" w:color="auto"/>
      </w:divBdr>
    </w:div>
    <w:div w:id="650527657">
      <w:bodyDiv w:val="1"/>
      <w:marLeft w:val="0"/>
      <w:marRight w:val="0"/>
      <w:marTop w:val="0"/>
      <w:marBottom w:val="0"/>
      <w:divBdr>
        <w:top w:val="none" w:sz="0" w:space="0" w:color="auto"/>
        <w:left w:val="none" w:sz="0" w:space="0" w:color="auto"/>
        <w:bottom w:val="none" w:sz="0" w:space="0" w:color="auto"/>
        <w:right w:val="none" w:sz="0" w:space="0" w:color="auto"/>
      </w:divBdr>
    </w:div>
    <w:div w:id="660893157">
      <w:bodyDiv w:val="1"/>
      <w:marLeft w:val="0"/>
      <w:marRight w:val="0"/>
      <w:marTop w:val="0"/>
      <w:marBottom w:val="0"/>
      <w:divBdr>
        <w:top w:val="none" w:sz="0" w:space="0" w:color="auto"/>
        <w:left w:val="none" w:sz="0" w:space="0" w:color="auto"/>
        <w:bottom w:val="none" w:sz="0" w:space="0" w:color="auto"/>
        <w:right w:val="none" w:sz="0" w:space="0" w:color="auto"/>
      </w:divBdr>
      <w:divsChild>
        <w:div w:id="902259069">
          <w:marLeft w:val="0"/>
          <w:marRight w:val="0"/>
          <w:marTop w:val="0"/>
          <w:marBottom w:val="0"/>
          <w:divBdr>
            <w:top w:val="none" w:sz="0" w:space="0" w:color="auto"/>
            <w:left w:val="none" w:sz="0" w:space="0" w:color="auto"/>
            <w:bottom w:val="none" w:sz="0" w:space="0" w:color="auto"/>
            <w:right w:val="none" w:sz="0" w:space="0" w:color="auto"/>
          </w:divBdr>
        </w:div>
      </w:divsChild>
    </w:div>
    <w:div w:id="690423592">
      <w:bodyDiv w:val="1"/>
      <w:marLeft w:val="0"/>
      <w:marRight w:val="0"/>
      <w:marTop w:val="0"/>
      <w:marBottom w:val="0"/>
      <w:divBdr>
        <w:top w:val="none" w:sz="0" w:space="0" w:color="auto"/>
        <w:left w:val="none" w:sz="0" w:space="0" w:color="auto"/>
        <w:bottom w:val="none" w:sz="0" w:space="0" w:color="auto"/>
        <w:right w:val="none" w:sz="0" w:space="0" w:color="auto"/>
      </w:divBdr>
    </w:div>
    <w:div w:id="697052398">
      <w:bodyDiv w:val="1"/>
      <w:marLeft w:val="0"/>
      <w:marRight w:val="0"/>
      <w:marTop w:val="0"/>
      <w:marBottom w:val="0"/>
      <w:divBdr>
        <w:top w:val="none" w:sz="0" w:space="0" w:color="auto"/>
        <w:left w:val="none" w:sz="0" w:space="0" w:color="auto"/>
        <w:bottom w:val="none" w:sz="0" w:space="0" w:color="auto"/>
        <w:right w:val="none" w:sz="0" w:space="0" w:color="auto"/>
      </w:divBdr>
    </w:div>
    <w:div w:id="712314774">
      <w:bodyDiv w:val="1"/>
      <w:marLeft w:val="0"/>
      <w:marRight w:val="0"/>
      <w:marTop w:val="0"/>
      <w:marBottom w:val="0"/>
      <w:divBdr>
        <w:top w:val="none" w:sz="0" w:space="0" w:color="auto"/>
        <w:left w:val="none" w:sz="0" w:space="0" w:color="auto"/>
        <w:bottom w:val="none" w:sz="0" w:space="0" w:color="auto"/>
        <w:right w:val="none" w:sz="0" w:space="0" w:color="auto"/>
      </w:divBdr>
    </w:div>
    <w:div w:id="714080671">
      <w:bodyDiv w:val="1"/>
      <w:marLeft w:val="0"/>
      <w:marRight w:val="0"/>
      <w:marTop w:val="0"/>
      <w:marBottom w:val="0"/>
      <w:divBdr>
        <w:top w:val="none" w:sz="0" w:space="0" w:color="auto"/>
        <w:left w:val="none" w:sz="0" w:space="0" w:color="auto"/>
        <w:bottom w:val="none" w:sz="0" w:space="0" w:color="auto"/>
        <w:right w:val="none" w:sz="0" w:space="0" w:color="auto"/>
      </w:divBdr>
      <w:divsChild>
        <w:div w:id="1740245627">
          <w:marLeft w:val="0"/>
          <w:marRight w:val="0"/>
          <w:marTop w:val="0"/>
          <w:marBottom w:val="0"/>
          <w:divBdr>
            <w:top w:val="none" w:sz="0" w:space="0" w:color="auto"/>
            <w:left w:val="none" w:sz="0" w:space="0" w:color="auto"/>
            <w:bottom w:val="none" w:sz="0" w:space="0" w:color="auto"/>
            <w:right w:val="none" w:sz="0" w:space="0" w:color="auto"/>
          </w:divBdr>
          <w:divsChild>
            <w:div w:id="18706823">
              <w:marLeft w:val="0"/>
              <w:marRight w:val="0"/>
              <w:marTop w:val="0"/>
              <w:marBottom w:val="0"/>
              <w:divBdr>
                <w:top w:val="none" w:sz="0" w:space="0" w:color="auto"/>
                <w:left w:val="none" w:sz="0" w:space="0" w:color="auto"/>
                <w:bottom w:val="none" w:sz="0" w:space="0" w:color="auto"/>
                <w:right w:val="none" w:sz="0" w:space="0" w:color="auto"/>
              </w:divBdr>
              <w:divsChild>
                <w:div w:id="1694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9477">
      <w:bodyDiv w:val="1"/>
      <w:marLeft w:val="0"/>
      <w:marRight w:val="0"/>
      <w:marTop w:val="0"/>
      <w:marBottom w:val="0"/>
      <w:divBdr>
        <w:top w:val="none" w:sz="0" w:space="0" w:color="auto"/>
        <w:left w:val="none" w:sz="0" w:space="0" w:color="auto"/>
        <w:bottom w:val="none" w:sz="0" w:space="0" w:color="auto"/>
        <w:right w:val="none" w:sz="0" w:space="0" w:color="auto"/>
      </w:divBdr>
    </w:div>
    <w:div w:id="773523728">
      <w:bodyDiv w:val="1"/>
      <w:marLeft w:val="0"/>
      <w:marRight w:val="0"/>
      <w:marTop w:val="0"/>
      <w:marBottom w:val="0"/>
      <w:divBdr>
        <w:top w:val="none" w:sz="0" w:space="0" w:color="auto"/>
        <w:left w:val="none" w:sz="0" w:space="0" w:color="auto"/>
        <w:bottom w:val="none" w:sz="0" w:space="0" w:color="auto"/>
        <w:right w:val="none" w:sz="0" w:space="0" w:color="auto"/>
      </w:divBdr>
    </w:div>
    <w:div w:id="798457241">
      <w:bodyDiv w:val="1"/>
      <w:marLeft w:val="0"/>
      <w:marRight w:val="0"/>
      <w:marTop w:val="0"/>
      <w:marBottom w:val="0"/>
      <w:divBdr>
        <w:top w:val="none" w:sz="0" w:space="0" w:color="auto"/>
        <w:left w:val="none" w:sz="0" w:space="0" w:color="auto"/>
        <w:bottom w:val="none" w:sz="0" w:space="0" w:color="auto"/>
        <w:right w:val="none" w:sz="0" w:space="0" w:color="auto"/>
      </w:divBdr>
    </w:div>
    <w:div w:id="817453846">
      <w:bodyDiv w:val="1"/>
      <w:marLeft w:val="0"/>
      <w:marRight w:val="0"/>
      <w:marTop w:val="0"/>
      <w:marBottom w:val="0"/>
      <w:divBdr>
        <w:top w:val="none" w:sz="0" w:space="0" w:color="auto"/>
        <w:left w:val="none" w:sz="0" w:space="0" w:color="auto"/>
        <w:bottom w:val="none" w:sz="0" w:space="0" w:color="auto"/>
        <w:right w:val="none" w:sz="0" w:space="0" w:color="auto"/>
      </w:divBdr>
    </w:div>
    <w:div w:id="822282132">
      <w:bodyDiv w:val="1"/>
      <w:marLeft w:val="0"/>
      <w:marRight w:val="0"/>
      <w:marTop w:val="0"/>
      <w:marBottom w:val="0"/>
      <w:divBdr>
        <w:top w:val="none" w:sz="0" w:space="0" w:color="auto"/>
        <w:left w:val="none" w:sz="0" w:space="0" w:color="auto"/>
        <w:bottom w:val="none" w:sz="0" w:space="0" w:color="auto"/>
        <w:right w:val="none" w:sz="0" w:space="0" w:color="auto"/>
      </w:divBdr>
    </w:div>
    <w:div w:id="895353408">
      <w:bodyDiv w:val="1"/>
      <w:marLeft w:val="0"/>
      <w:marRight w:val="0"/>
      <w:marTop w:val="0"/>
      <w:marBottom w:val="0"/>
      <w:divBdr>
        <w:top w:val="none" w:sz="0" w:space="0" w:color="auto"/>
        <w:left w:val="none" w:sz="0" w:space="0" w:color="auto"/>
        <w:bottom w:val="none" w:sz="0" w:space="0" w:color="auto"/>
        <w:right w:val="none" w:sz="0" w:space="0" w:color="auto"/>
      </w:divBdr>
    </w:div>
    <w:div w:id="898056401">
      <w:bodyDiv w:val="1"/>
      <w:marLeft w:val="0"/>
      <w:marRight w:val="0"/>
      <w:marTop w:val="0"/>
      <w:marBottom w:val="0"/>
      <w:divBdr>
        <w:top w:val="none" w:sz="0" w:space="0" w:color="auto"/>
        <w:left w:val="none" w:sz="0" w:space="0" w:color="auto"/>
        <w:bottom w:val="none" w:sz="0" w:space="0" w:color="auto"/>
        <w:right w:val="none" w:sz="0" w:space="0" w:color="auto"/>
      </w:divBdr>
    </w:div>
    <w:div w:id="931818575">
      <w:bodyDiv w:val="1"/>
      <w:marLeft w:val="0"/>
      <w:marRight w:val="0"/>
      <w:marTop w:val="0"/>
      <w:marBottom w:val="0"/>
      <w:divBdr>
        <w:top w:val="none" w:sz="0" w:space="0" w:color="auto"/>
        <w:left w:val="none" w:sz="0" w:space="0" w:color="auto"/>
        <w:bottom w:val="none" w:sz="0" w:space="0" w:color="auto"/>
        <w:right w:val="none" w:sz="0" w:space="0" w:color="auto"/>
      </w:divBdr>
    </w:div>
    <w:div w:id="939601700">
      <w:bodyDiv w:val="1"/>
      <w:marLeft w:val="0"/>
      <w:marRight w:val="0"/>
      <w:marTop w:val="0"/>
      <w:marBottom w:val="0"/>
      <w:divBdr>
        <w:top w:val="none" w:sz="0" w:space="0" w:color="auto"/>
        <w:left w:val="none" w:sz="0" w:space="0" w:color="auto"/>
        <w:bottom w:val="none" w:sz="0" w:space="0" w:color="auto"/>
        <w:right w:val="none" w:sz="0" w:space="0" w:color="auto"/>
      </w:divBdr>
    </w:div>
    <w:div w:id="952054249">
      <w:bodyDiv w:val="1"/>
      <w:marLeft w:val="0"/>
      <w:marRight w:val="0"/>
      <w:marTop w:val="0"/>
      <w:marBottom w:val="0"/>
      <w:divBdr>
        <w:top w:val="none" w:sz="0" w:space="0" w:color="auto"/>
        <w:left w:val="none" w:sz="0" w:space="0" w:color="auto"/>
        <w:bottom w:val="none" w:sz="0" w:space="0" w:color="auto"/>
        <w:right w:val="none" w:sz="0" w:space="0" w:color="auto"/>
      </w:divBdr>
    </w:div>
    <w:div w:id="1001202755">
      <w:bodyDiv w:val="1"/>
      <w:marLeft w:val="0"/>
      <w:marRight w:val="0"/>
      <w:marTop w:val="0"/>
      <w:marBottom w:val="0"/>
      <w:divBdr>
        <w:top w:val="none" w:sz="0" w:space="0" w:color="auto"/>
        <w:left w:val="none" w:sz="0" w:space="0" w:color="auto"/>
        <w:bottom w:val="none" w:sz="0" w:space="0" w:color="auto"/>
        <w:right w:val="none" w:sz="0" w:space="0" w:color="auto"/>
      </w:divBdr>
    </w:div>
    <w:div w:id="1040008027">
      <w:bodyDiv w:val="1"/>
      <w:marLeft w:val="0"/>
      <w:marRight w:val="0"/>
      <w:marTop w:val="0"/>
      <w:marBottom w:val="0"/>
      <w:divBdr>
        <w:top w:val="none" w:sz="0" w:space="0" w:color="auto"/>
        <w:left w:val="none" w:sz="0" w:space="0" w:color="auto"/>
        <w:bottom w:val="none" w:sz="0" w:space="0" w:color="auto"/>
        <w:right w:val="none" w:sz="0" w:space="0" w:color="auto"/>
      </w:divBdr>
    </w:div>
    <w:div w:id="1040860846">
      <w:bodyDiv w:val="1"/>
      <w:marLeft w:val="0"/>
      <w:marRight w:val="0"/>
      <w:marTop w:val="0"/>
      <w:marBottom w:val="0"/>
      <w:divBdr>
        <w:top w:val="none" w:sz="0" w:space="0" w:color="auto"/>
        <w:left w:val="none" w:sz="0" w:space="0" w:color="auto"/>
        <w:bottom w:val="none" w:sz="0" w:space="0" w:color="auto"/>
        <w:right w:val="none" w:sz="0" w:space="0" w:color="auto"/>
      </w:divBdr>
    </w:div>
    <w:div w:id="1075737200">
      <w:bodyDiv w:val="1"/>
      <w:marLeft w:val="0"/>
      <w:marRight w:val="0"/>
      <w:marTop w:val="0"/>
      <w:marBottom w:val="0"/>
      <w:divBdr>
        <w:top w:val="none" w:sz="0" w:space="0" w:color="auto"/>
        <w:left w:val="none" w:sz="0" w:space="0" w:color="auto"/>
        <w:bottom w:val="none" w:sz="0" w:space="0" w:color="auto"/>
        <w:right w:val="none" w:sz="0" w:space="0" w:color="auto"/>
      </w:divBdr>
    </w:div>
    <w:div w:id="1077899131">
      <w:bodyDiv w:val="1"/>
      <w:marLeft w:val="0"/>
      <w:marRight w:val="0"/>
      <w:marTop w:val="0"/>
      <w:marBottom w:val="0"/>
      <w:divBdr>
        <w:top w:val="none" w:sz="0" w:space="0" w:color="auto"/>
        <w:left w:val="none" w:sz="0" w:space="0" w:color="auto"/>
        <w:bottom w:val="none" w:sz="0" w:space="0" w:color="auto"/>
        <w:right w:val="none" w:sz="0" w:space="0" w:color="auto"/>
      </w:divBdr>
    </w:div>
    <w:div w:id="1082140208">
      <w:bodyDiv w:val="1"/>
      <w:marLeft w:val="0"/>
      <w:marRight w:val="0"/>
      <w:marTop w:val="0"/>
      <w:marBottom w:val="0"/>
      <w:divBdr>
        <w:top w:val="none" w:sz="0" w:space="0" w:color="auto"/>
        <w:left w:val="none" w:sz="0" w:space="0" w:color="auto"/>
        <w:bottom w:val="none" w:sz="0" w:space="0" w:color="auto"/>
        <w:right w:val="none" w:sz="0" w:space="0" w:color="auto"/>
      </w:divBdr>
    </w:div>
    <w:div w:id="1161042008">
      <w:bodyDiv w:val="1"/>
      <w:marLeft w:val="0"/>
      <w:marRight w:val="0"/>
      <w:marTop w:val="0"/>
      <w:marBottom w:val="0"/>
      <w:divBdr>
        <w:top w:val="none" w:sz="0" w:space="0" w:color="auto"/>
        <w:left w:val="none" w:sz="0" w:space="0" w:color="auto"/>
        <w:bottom w:val="none" w:sz="0" w:space="0" w:color="auto"/>
        <w:right w:val="none" w:sz="0" w:space="0" w:color="auto"/>
      </w:divBdr>
    </w:div>
    <w:div w:id="1164199404">
      <w:bodyDiv w:val="1"/>
      <w:marLeft w:val="0"/>
      <w:marRight w:val="0"/>
      <w:marTop w:val="0"/>
      <w:marBottom w:val="0"/>
      <w:divBdr>
        <w:top w:val="none" w:sz="0" w:space="0" w:color="auto"/>
        <w:left w:val="none" w:sz="0" w:space="0" w:color="auto"/>
        <w:bottom w:val="none" w:sz="0" w:space="0" w:color="auto"/>
        <w:right w:val="none" w:sz="0" w:space="0" w:color="auto"/>
      </w:divBdr>
    </w:div>
    <w:div w:id="1168862513">
      <w:bodyDiv w:val="1"/>
      <w:marLeft w:val="0"/>
      <w:marRight w:val="0"/>
      <w:marTop w:val="0"/>
      <w:marBottom w:val="0"/>
      <w:divBdr>
        <w:top w:val="none" w:sz="0" w:space="0" w:color="auto"/>
        <w:left w:val="none" w:sz="0" w:space="0" w:color="auto"/>
        <w:bottom w:val="none" w:sz="0" w:space="0" w:color="auto"/>
        <w:right w:val="none" w:sz="0" w:space="0" w:color="auto"/>
      </w:divBdr>
    </w:div>
    <w:div w:id="1249652797">
      <w:bodyDiv w:val="1"/>
      <w:marLeft w:val="0"/>
      <w:marRight w:val="0"/>
      <w:marTop w:val="0"/>
      <w:marBottom w:val="0"/>
      <w:divBdr>
        <w:top w:val="none" w:sz="0" w:space="0" w:color="auto"/>
        <w:left w:val="none" w:sz="0" w:space="0" w:color="auto"/>
        <w:bottom w:val="none" w:sz="0" w:space="0" w:color="auto"/>
        <w:right w:val="none" w:sz="0" w:space="0" w:color="auto"/>
      </w:divBdr>
    </w:div>
    <w:div w:id="1253129360">
      <w:bodyDiv w:val="1"/>
      <w:marLeft w:val="0"/>
      <w:marRight w:val="0"/>
      <w:marTop w:val="0"/>
      <w:marBottom w:val="0"/>
      <w:divBdr>
        <w:top w:val="none" w:sz="0" w:space="0" w:color="auto"/>
        <w:left w:val="none" w:sz="0" w:space="0" w:color="auto"/>
        <w:bottom w:val="none" w:sz="0" w:space="0" w:color="auto"/>
        <w:right w:val="none" w:sz="0" w:space="0" w:color="auto"/>
      </w:divBdr>
    </w:div>
    <w:div w:id="1281567176">
      <w:bodyDiv w:val="1"/>
      <w:marLeft w:val="0"/>
      <w:marRight w:val="0"/>
      <w:marTop w:val="0"/>
      <w:marBottom w:val="0"/>
      <w:divBdr>
        <w:top w:val="none" w:sz="0" w:space="0" w:color="auto"/>
        <w:left w:val="none" w:sz="0" w:space="0" w:color="auto"/>
        <w:bottom w:val="none" w:sz="0" w:space="0" w:color="auto"/>
        <w:right w:val="none" w:sz="0" w:space="0" w:color="auto"/>
      </w:divBdr>
    </w:div>
    <w:div w:id="1307277372">
      <w:bodyDiv w:val="1"/>
      <w:marLeft w:val="0"/>
      <w:marRight w:val="0"/>
      <w:marTop w:val="0"/>
      <w:marBottom w:val="0"/>
      <w:divBdr>
        <w:top w:val="none" w:sz="0" w:space="0" w:color="auto"/>
        <w:left w:val="none" w:sz="0" w:space="0" w:color="auto"/>
        <w:bottom w:val="none" w:sz="0" w:space="0" w:color="auto"/>
        <w:right w:val="none" w:sz="0" w:space="0" w:color="auto"/>
      </w:divBdr>
    </w:div>
    <w:div w:id="1348219377">
      <w:bodyDiv w:val="1"/>
      <w:marLeft w:val="0"/>
      <w:marRight w:val="0"/>
      <w:marTop w:val="0"/>
      <w:marBottom w:val="0"/>
      <w:divBdr>
        <w:top w:val="none" w:sz="0" w:space="0" w:color="auto"/>
        <w:left w:val="none" w:sz="0" w:space="0" w:color="auto"/>
        <w:bottom w:val="none" w:sz="0" w:space="0" w:color="auto"/>
        <w:right w:val="none" w:sz="0" w:space="0" w:color="auto"/>
      </w:divBdr>
    </w:div>
    <w:div w:id="1352798140">
      <w:bodyDiv w:val="1"/>
      <w:marLeft w:val="0"/>
      <w:marRight w:val="0"/>
      <w:marTop w:val="0"/>
      <w:marBottom w:val="0"/>
      <w:divBdr>
        <w:top w:val="none" w:sz="0" w:space="0" w:color="auto"/>
        <w:left w:val="none" w:sz="0" w:space="0" w:color="auto"/>
        <w:bottom w:val="none" w:sz="0" w:space="0" w:color="auto"/>
        <w:right w:val="none" w:sz="0" w:space="0" w:color="auto"/>
      </w:divBdr>
    </w:div>
    <w:div w:id="1353647090">
      <w:bodyDiv w:val="1"/>
      <w:marLeft w:val="0"/>
      <w:marRight w:val="0"/>
      <w:marTop w:val="0"/>
      <w:marBottom w:val="0"/>
      <w:divBdr>
        <w:top w:val="none" w:sz="0" w:space="0" w:color="auto"/>
        <w:left w:val="none" w:sz="0" w:space="0" w:color="auto"/>
        <w:bottom w:val="none" w:sz="0" w:space="0" w:color="auto"/>
        <w:right w:val="none" w:sz="0" w:space="0" w:color="auto"/>
      </w:divBdr>
    </w:div>
    <w:div w:id="1414619830">
      <w:bodyDiv w:val="1"/>
      <w:marLeft w:val="0"/>
      <w:marRight w:val="0"/>
      <w:marTop w:val="0"/>
      <w:marBottom w:val="0"/>
      <w:divBdr>
        <w:top w:val="none" w:sz="0" w:space="0" w:color="auto"/>
        <w:left w:val="none" w:sz="0" w:space="0" w:color="auto"/>
        <w:bottom w:val="none" w:sz="0" w:space="0" w:color="auto"/>
        <w:right w:val="none" w:sz="0" w:space="0" w:color="auto"/>
      </w:divBdr>
      <w:divsChild>
        <w:div w:id="1290435850">
          <w:marLeft w:val="907"/>
          <w:marRight w:val="0"/>
          <w:marTop w:val="0"/>
          <w:marBottom w:val="240"/>
          <w:divBdr>
            <w:top w:val="none" w:sz="0" w:space="0" w:color="auto"/>
            <w:left w:val="none" w:sz="0" w:space="0" w:color="auto"/>
            <w:bottom w:val="none" w:sz="0" w:space="0" w:color="auto"/>
            <w:right w:val="none" w:sz="0" w:space="0" w:color="auto"/>
          </w:divBdr>
        </w:div>
        <w:div w:id="1372799989">
          <w:marLeft w:val="907"/>
          <w:marRight w:val="0"/>
          <w:marTop w:val="0"/>
          <w:marBottom w:val="240"/>
          <w:divBdr>
            <w:top w:val="none" w:sz="0" w:space="0" w:color="auto"/>
            <w:left w:val="none" w:sz="0" w:space="0" w:color="auto"/>
            <w:bottom w:val="none" w:sz="0" w:space="0" w:color="auto"/>
            <w:right w:val="none" w:sz="0" w:space="0" w:color="auto"/>
          </w:divBdr>
        </w:div>
        <w:div w:id="1383746911">
          <w:marLeft w:val="907"/>
          <w:marRight w:val="0"/>
          <w:marTop w:val="0"/>
          <w:marBottom w:val="240"/>
          <w:divBdr>
            <w:top w:val="none" w:sz="0" w:space="0" w:color="auto"/>
            <w:left w:val="none" w:sz="0" w:space="0" w:color="auto"/>
            <w:bottom w:val="none" w:sz="0" w:space="0" w:color="auto"/>
            <w:right w:val="none" w:sz="0" w:space="0" w:color="auto"/>
          </w:divBdr>
        </w:div>
      </w:divsChild>
    </w:div>
    <w:div w:id="1455902178">
      <w:bodyDiv w:val="1"/>
      <w:marLeft w:val="0"/>
      <w:marRight w:val="0"/>
      <w:marTop w:val="0"/>
      <w:marBottom w:val="0"/>
      <w:divBdr>
        <w:top w:val="none" w:sz="0" w:space="0" w:color="auto"/>
        <w:left w:val="none" w:sz="0" w:space="0" w:color="auto"/>
        <w:bottom w:val="none" w:sz="0" w:space="0" w:color="auto"/>
        <w:right w:val="none" w:sz="0" w:space="0" w:color="auto"/>
      </w:divBdr>
      <w:divsChild>
        <w:div w:id="137498334">
          <w:marLeft w:val="0"/>
          <w:marRight w:val="0"/>
          <w:marTop w:val="0"/>
          <w:marBottom w:val="0"/>
          <w:divBdr>
            <w:top w:val="none" w:sz="0" w:space="0" w:color="auto"/>
            <w:left w:val="none" w:sz="0" w:space="0" w:color="auto"/>
            <w:bottom w:val="none" w:sz="0" w:space="0" w:color="auto"/>
            <w:right w:val="none" w:sz="0" w:space="0" w:color="auto"/>
          </w:divBdr>
          <w:divsChild>
            <w:div w:id="1601792935">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sChild>
                    <w:div w:id="1303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882616">
      <w:bodyDiv w:val="1"/>
      <w:marLeft w:val="0"/>
      <w:marRight w:val="0"/>
      <w:marTop w:val="0"/>
      <w:marBottom w:val="0"/>
      <w:divBdr>
        <w:top w:val="none" w:sz="0" w:space="0" w:color="auto"/>
        <w:left w:val="none" w:sz="0" w:space="0" w:color="auto"/>
        <w:bottom w:val="none" w:sz="0" w:space="0" w:color="auto"/>
        <w:right w:val="none" w:sz="0" w:space="0" w:color="auto"/>
      </w:divBdr>
      <w:divsChild>
        <w:div w:id="1928223412">
          <w:marLeft w:val="0"/>
          <w:marRight w:val="0"/>
          <w:marTop w:val="0"/>
          <w:marBottom w:val="0"/>
          <w:divBdr>
            <w:top w:val="none" w:sz="0" w:space="0" w:color="auto"/>
            <w:left w:val="none" w:sz="0" w:space="0" w:color="auto"/>
            <w:bottom w:val="none" w:sz="0" w:space="0" w:color="auto"/>
            <w:right w:val="none" w:sz="0" w:space="0" w:color="auto"/>
          </w:divBdr>
          <w:divsChild>
            <w:div w:id="308022603">
              <w:marLeft w:val="0"/>
              <w:marRight w:val="0"/>
              <w:marTop w:val="0"/>
              <w:marBottom w:val="0"/>
              <w:divBdr>
                <w:top w:val="none" w:sz="0" w:space="0" w:color="auto"/>
                <w:left w:val="none" w:sz="0" w:space="0" w:color="auto"/>
                <w:bottom w:val="none" w:sz="0" w:space="0" w:color="auto"/>
                <w:right w:val="none" w:sz="0" w:space="0" w:color="auto"/>
              </w:divBdr>
              <w:divsChild>
                <w:div w:id="14455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0026">
      <w:bodyDiv w:val="1"/>
      <w:marLeft w:val="0"/>
      <w:marRight w:val="0"/>
      <w:marTop w:val="0"/>
      <w:marBottom w:val="0"/>
      <w:divBdr>
        <w:top w:val="none" w:sz="0" w:space="0" w:color="auto"/>
        <w:left w:val="none" w:sz="0" w:space="0" w:color="auto"/>
        <w:bottom w:val="none" w:sz="0" w:space="0" w:color="auto"/>
        <w:right w:val="none" w:sz="0" w:space="0" w:color="auto"/>
      </w:divBdr>
    </w:div>
    <w:div w:id="1532454631">
      <w:bodyDiv w:val="1"/>
      <w:marLeft w:val="0"/>
      <w:marRight w:val="0"/>
      <w:marTop w:val="0"/>
      <w:marBottom w:val="0"/>
      <w:divBdr>
        <w:top w:val="none" w:sz="0" w:space="0" w:color="auto"/>
        <w:left w:val="none" w:sz="0" w:space="0" w:color="auto"/>
        <w:bottom w:val="none" w:sz="0" w:space="0" w:color="auto"/>
        <w:right w:val="none" w:sz="0" w:space="0" w:color="auto"/>
      </w:divBdr>
      <w:divsChild>
        <w:div w:id="1995065752">
          <w:marLeft w:val="0"/>
          <w:marRight w:val="0"/>
          <w:marTop w:val="0"/>
          <w:marBottom w:val="0"/>
          <w:divBdr>
            <w:top w:val="none" w:sz="0" w:space="0" w:color="auto"/>
            <w:left w:val="none" w:sz="0" w:space="0" w:color="auto"/>
            <w:bottom w:val="none" w:sz="0" w:space="0" w:color="auto"/>
            <w:right w:val="none" w:sz="0" w:space="0" w:color="auto"/>
          </w:divBdr>
          <w:divsChild>
            <w:div w:id="903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947">
      <w:bodyDiv w:val="1"/>
      <w:marLeft w:val="0"/>
      <w:marRight w:val="0"/>
      <w:marTop w:val="0"/>
      <w:marBottom w:val="0"/>
      <w:divBdr>
        <w:top w:val="none" w:sz="0" w:space="0" w:color="auto"/>
        <w:left w:val="none" w:sz="0" w:space="0" w:color="auto"/>
        <w:bottom w:val="none" w:sz="0" w:space="0" w:color="auto"/>
        <w:right w:val="none" w:sz="0" w:space="0" w:color="auto"/>
      </w:divBdr>
    </w:div>
    <w:div w:id="1582788730">
      <w:bodyDiv w:val="1"/>
      <w:marLeft w:val="0"/>
      <w:marRight w:val="0"/>
      <w:marTop w:val="0"/>
      <w:marBottom w:val="0"/>
      <w:divBdr>
        <w:top w:val="none" w:sz="0" w:space="0" w:color="auto"/>
        <w:left w:val="none" w:sz="0" w:space="0" w:color="auto"/>
        <w:bottom w:val="none" w:sz="0" w:space="0" w:color="auto"/>
        <w:right w:val="none" w:sz="0" w:space="0" w:color="auto"/>
      </w:divBdr>
    </w:div>
    <w:div w:id="1593005552">
      <w:bodyDiv w:val="1"/>
      <w:marLeft w:val="0"/>
      <w:marRight w:val="0"/>
      <w:marTop w:val="0"/>
      <w:marBottom w:val="0"/>
      <w:divBdr>
        <w:top w:val="none" w:sz="0" w:space="0" w:color="auto"/>
        <w:left w:val="none" w:sz="0" w:space="0" w:color="auto"/>
        <w:bottom w:val="none" w:sz="0" w:space="0" w:color="auto"/>
        <w:right w:val="none" w:sz="0" w:space="0" w:color="auto"/>
      </w:divBdr>
    </w:div>
    <w:div w:id="1660307222">
      <w:bodyDiv w:val="1"/>
      <w:marLeft w:val="0"/>
      <w:marRight w:val="0"/>
      <w:marTop w:val="0"/>
      <w:marBottom w:val="0"/>
      <w:divBdr>
        <w:top w:val="none" w:sz="0" w:space="0" w:color="auto"/>
        <w:left w:val="none" w:sz="0" w:space="0" w:color="auto"/>
        <w:bottom w:val="none" w:sz="0" w:space="0" w:color="auto"/>
        <w:right w:val="none" w:sz="0" w:space="0" w:color="auto"/>
      </w:divBdr>
    </w:div>
    <w:div w:id="1669821614">
      <w:bodyDiv w:val="1"/>
      <w:marLeft w:val="0"/>
      <w:marRight w:val="0"/>
      <w:marTop w:val="0"/>
      <w:marBottom w:val="0"/>
      <w:divBdr>
        <w:top w:val="none" w:sz="0" w:space="0" w:color="auto"/>
        <w:left w:val="none" w:sz="0" w:space="0" w:color="auto"/>
        <w:bottom w:val="none" w:sz="0" w:space="0" w:color="auto"/>
        <w:right w:val="none" w:sz="0" w:space="0" w:color="auto"/>
      </w:divBdr>
    </w:div>
    <w:div w:id="1683511284">
      <w:bodyDiv w:val="1"/>
      <w:marLeft w:val="0"/>
      <w:marRight w:val="0"/>
      <w:marTop w:val="0"/>
      <w:marBottom w:val="0"/>
      <w:divBdr>
        <w:top w:val="none" w:sz="0" w:space="0" w:color="auto"/>
        <w:left w:val="none" w:sz="0" w:space="0" w:color="auto"/>
        <w:bottom w:val="none" w:sz="0" w:space="0" w:color="auto"/>
        <w:right w:val="none" w:sz="0" w:space="0" w:color="auto"/>
      </w:divBdr>
    </w:div>
    <w:div w:id="1694767728">
      <w:bodyDiv w:val="1"/>
      <w:marLeft w:val="0"/>
      <w:marRight w:val="0"/>
      <w:marTop w:val="0"/>
      <w:marBottom w:val="0"/>
      <w:divBdr>
        <w:top w:val="none" w:sz="0" w:space="0" w:color="auto"/>
        <w:left w:val="none" w:sz="0" w:space="0" w:color="auto"/>
        <w:bottom w:val="none" w:sz="0" w:space="0" w:color="auto"/>
        <w:right w:val="none" w:sz="0" w:space="0" w:color="auto"/>
      </w:divBdr>
      <w:divsChild>
        <w:div w:id="1180852043">
          <w:marLeft w:val="0"/>
          <w:marRight w:val="0"/>
          <w:marTop w:val="0"/>
          <w:marBottom w:val="0"/>
          <w:divBdr>
            <w:top w:val="none" w:sz="0" w:space="0" w:color="auto"/>
            <w:left w:val="none" w:sz="0" w:space="0" w:color="auto"/>
            <w:bottom w:val="none" w:sz="0" w:space="0" w:color="auto"/>
            <w:right w:val="none" w:sz="0" w:space="0" w:color="auto"/>
          </w:divBdr>
          <w:divsChild>
            <w:div w:id="522673127">
              <w:marLeft w:val="0"/>
              <w:marRight w:val="0"/>
              <w:marTop w:val="0"/>
              <w:marBottom w:val="0"/>
              <w:divBdr>
                <w:top w:val="none" w:sz="0" w:space="0" w:color="auto"/>
                <w:left w:val="none" w:sz="0" w:space="0" w:color="auto"/>
                <w:bottom w:val="none" w:sz="0" w:space="0" w:color="auto"/>
                <w:right w:val="none" w:sz="0" w:space="0" w:color="auto"/>
              </w:divBdr>
              <w:divsChild>
                <w:div w:id="7436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047">
      <w:bodyDiv w:val="1"/>
      <w:marLeft w:val="0"/>
      <w:marRight w:val="0"/>
      <w:marTop w:val="0"/>
      <w:marBottom w:val="0"/>
      <w:divBdr>
        <w:top w:val="none" w:sz="0" w:space="0" w:color="auto"/>
        <w:left w:val="none" w:sz="0" w:space="0" w:color="auto"/>
        <w:bottom w:val="none" w:sz="0" w:space="0" w:color="auto"/>
        <w:right w:val="none" w:sz="0" w:space="0" w:color="auto"/>
      </w:divBdr>
      <w:divsChild>
        <w:div w:id="1148664765">
          <w:marLeft w:val="0"/>
          <w:marRight w:val="0"/>
          <w:marTop w:val="0"/>
          <w:marBottom w:val="0"/>
          <w:divBdr>
            <w:top w:val="none" w:sz="0" w:space="0" w:color="auto"/>
            <w:left w:val="none" w:sz="0" w:space="0" w:color="auto"/>
            <w:bottom w:val="none" w:sz="0" w:space="0" w:color="auto"/>
            <w:right w:val="none" w:sz="0" w:space="0" w:color="auto"/>
          </w:divBdr>
        </w:div>
      </w:divsChild>
    </w:div>
    <w:div w:id="1769539109">
      <w:bodyDiv w:val="1"/>
      <w:marLeft w:val="0"/>
      <w:marRight w:val="0"/>
      <w:marTop w:val="0"/>
      <w:marBottom w:val="0"/>
      <w:divBdr>
        <w:top w:val="none" w:sz="0" w:space="0" w:color="auto"/>
        <w:left w:val="none" w:sz="0" w:space="0" w:color="auto"/>
        <w:bottom w:val="none" w:sz="0" w:space="0" w:color="auto"/>
        <w:right w:val="none" w:sz="0" w:space="0" w:color="auto"/>
      </w:divBdr>
    </w:div>
    <w:div w:id="1795370830">
      <w:bodyDiv w:val="1"/>
      <w:marLeft w:val="0"/>
      <w:marRight w:val="0"/>
      <w:marTop w:val="0"/>
      <w:marBottom w:val="0"/>
      <w:divBdr>
        <w:top w:val="none" w:sz="0" w:space="0" w:color="auto"/>
        <w:left w:val="none" w:sz="0" w:space="0" w:color="auto"/>
        <w:bottom w:val="none" w:sz="0" w:space="0" w:color="auto"/>
        <w:right w:val="none" w:sz="0" w:space="0" w:color="auto"/>
      </w:divBdr>
    </w:div>
    <w:div w:id="1800150288">
      <w:bodyDiv w:val="1"/>
      <w:marLeft w:val="0"/>
      <w:marRight w:val="0"/>
      <w:marTop w:val="0"/>
      <w:marBottom w:val="0"/>
      <w:divBdr>
        <w:top w:val="none" w:sz="0" w:space="0" w:color="auto"/>
        <w:left w:val="none" w:sz="0" w:space="0" w:color="auto"/>
        <w:bottom w:val="none" w:sz="0" w:space="0" w:color="auto"/>
        <w:right w:val="none" w:sz="0" w:space="0" w:color="auto"/>
      </w:divBdr>
    </w:div>
    <w:div w:id="1814172609">
      <w:bodyDiv w:val="1"/>
      <w:marLeft w:val="0"/>
      <w:marRight w:val="0"/>
      <w:marTop w:val="0"/>
      <w:marBottom w:val="0"/>
      <w:divBdr>
        <w:top w:val="none" w:sz="0" w:space="0" w:color="auto"/>
        <w:left w:val="none" w:sz="0" w:space="0" w:color="auto"/>
        <w:bottom w:val="none" w:sz="0" w:space="0" w:color="auto"/>
        <w:right w:val="none" w:sz="0" w:space="0" w:color="auto"/>
      </w:divBdr>
    </w:div>
    <w:div w:id="1818103349">
      <w:bodyDiv w:val="1"/>
      <w:marLeft w:val="0"/>
      <w:marRight w:val="0"/>
      <w:marTop w:val="0"/>
      <w:marBottom w:val="0"/>
      <w:divBdr>
        <w:top w:val="none" w:sz="0" w:space="0" w:color="auto"/>
        <w:left w:val="none" w:sz="0" w:space="0" w:color="auto"/>
        <w:bottom w:val="none" w:sz="0" w:space="0" w:color="auto"/>
        <w:right w:val="none" w:sz="0" w:space="0" w:color="auto"/>
      </w:divBdr>
    </w:div>
    <w:div w:id="1825000877">
      <w:bodyDiv w:val="1"/>
      <w:marLeft w:val="0"/>
      <w:marRight w:val="0"/>
      <w:marTop w:val="0"/>
      <w:marBottom w:val="0"/>
      <w:divBdr>
        <w:top w:val="none" w:sz="0" w:space="0" w:color="auto"/>
        <w:left w:val="none" w:sz="0" w:space="0" w:color="auto"/>
        <w:bottom w:val="none" w:sz="0" w:space="0" w:color="auto"/>
        <w:right w:val="none" w:sz="0" w:space="0" w:color="auto"/>
      </w:divBdr>
    </w:div>
    <w:div w:id="1857424314">
      <w:bodyDiv w:val="1"/>
      <w:marLeft w:val="0"/>
      <w:marRight w:val="0"/>
      <w:marTop w:val="0"/>
      <w:marBottom w:val="0"/>
      <w:divBdr>
        <w:top w:val="none" w:sz="0" w:space="0" w:color="auto"/>
        <w:left w:val="none" w:sz="0" w:space="0" w:color="auto"/>
        <w:bottom w:val="none" w:sz="0" w:space="0" w:color="auto"/>
        <w:right w:val="none" w:sz="0" w:space="0" w:color="auto"/>
      </w:divBdr>
    </w:div>
    <w:div w:id="1908804669">
      <w:bodyDiv w:val="1"/>
      <w:marLeft w:val="0"/>
      <w:marRight w:val="0"/>
      <w:marTop w:val="0"/>
      <w:marBottom w:val="0"/>
      <w:divBdr>
        <w:top w:val="none" w:sz="0" w:space="0" w:color="auto"/>
        <w:left w:val="none" w:sz="0" w:space="0" w:color="auto"/>
        <w:bottom w:val="none" w:sz="0" w:space="0" w:color="auto"/>
        <w:right w:val="none" w:sz="0" w:space="0" w:color="auto"/>
      </w:divBdr>
    </w:div>
    <w:div w:id="1928688127">
      <w:bodyDiv w:val="1"/>
      <w:marLeft w:val="0"/>
      <w:marRight w:val="0"/>
      <w:marTop w:val="0"/>
      <w:marBottom w:val="0"/>
      <w:divBdr>
        <w:top w:val="none" w:sz="0" w:space="0" w:color="auto"/>
        <w:left w:val="none" w:sz="0" w:space="0" w:color="auto"/>
        <w:bottom w:val="none" w:sz="0" w:space="0" w:color="auto"/>
        <w:right w:val="none" w:sz="0" w:space="0" w:color="auto"/>
      </w:divBdr>
    </w:div>
    <w:div w:id="2042974833">
      <w:bodyDiv w:val="1"/>
      <w:marLeft w:val="0"/>
      <w:marRight w:val="0"/>
      <w:marTop w:val="0"/>
      <w:marBottom w:val="0"/>
      <w:divBdr>
        <w:top w:val="none" w:sz="0" w:space="0" w:color="auto"/>
        <w:left w:val="none" w:sz="0" w:space="0" w:color="auto"/>
        <w:bottom w:val="none" w:sz="0" w:space="0" w:color="auto"/>
        <w:right w:val="none" w:sz="0" w:space="0" w:color="auto"/>
      </w:divBdr>
    </w:div>
    <w:div w:id="2043312819">
      <w:bodyDiv w:val="1"/>
      <w:marLeft w:val="0"/>
      <w:marRight w:val="0"/>
      <w:marTop w:val="0"/>
      <w:marBottom w:val="0"/>
      <w:divBdr>
        <w:top w:val="none" w:sz="0" w:space="0" w:color="auto"/>
        <w:left w:val="none" w:sz="0" w:space="0" w:color="auto"/>
        <w:bottom w:val="none" w:sz="0" w:space="0" w:color="auto"/>
        <w:right w:val="none" w:sz="0" w:space="0" w:color="auto"/>
      </w:divBdr>
    </w:div>
    <w:div w:id="2050838273">
      <w:bodyDiv w:val="1"/>
      <w:marLeft w:val="0"/>
      <w:marRight w:val="0"/>
      <w:marTop w:val="0"/>
      <w:marBottom w:val="0"/>
      <w:divBdr>
        <w:top w:val="none" w:sz="0" w:space="0" w:color="auto"/>
        <w:left w:val="none" w:sz="0" w:space="0" w:color="auto"/>
        <w:bottom w:val="none" w:sz="0" w:space="0" w:color="auto"/>
        <w:right w:val="none" w:sz="0" w:space="0" w:color="auto"/>
      </w:divBdr>
    </w:div>
    <w:div w:id="211158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52016PC07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5641BC-D8FB-754F-84FC-C21B78F41316}">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D536-5FE7-49E3-8606-91DEE081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2021-12-21T17:46:00Z</dcterms:created>
  <dcterms:modified xsi:type="dcterms:W3CDTF">2022-01-24T13:53:00Z</dcterms:modified>
</cp:coreProperties>
</file>