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273" w:rsidRPr="002E4E1C" w:rsidRDefault="007E0273" w:rsidP="007E0273">
      <w:pPr>
        <w:rPr>
          <w:b/>
        </w:rPr>
      </w:pPr>
      <w:r w:rsidRPr="002E4E1C">
        <w:rPr>
          <w:b/>
        </w:rPr>
        <w:t>УКАЗАНИЯ ЗА ОПРЕДЕЛЯНЕ НА ВЪЗНАГРАЖДЕНИЯТА НА АДВОКАТИ, ОКАЗАЛИ ПРАВНА ПОМОЩ</w:t>
      </w:r>
      <w:r w:rsidR="00A80D2E">
        <w:rPr>
          <w:b/>
        </w:rPr>
        <w:t xml:space="preserve"> – 30.03.2022 г.</w:t>
      </w:r>
      <w:bookmarkStart w:id="0" w:name="_GoBack"/>
      <w:bookmarkEnd w:id="0"/>
    </w:p>
    <w:p w:rsidR="007E0273" w:rsidRPr="002E4E1C" w:rsidRDefault="007E0273" w:rsidP="007E0273">
      <w:pPr>
        <w:jc w:val="center"/>
        <w:rPr>
          <w:b/>
        </w:rPr>
      </w:pPr>
    </w:p>
    <w:p w:rsidR="007E0273" w:rsidRPr="002E4E1C" w:rsidRDefault="007E0273" w:rsidP="007E0273">
      <w:pPr>
        <w:tabs>
          <w:tab w:val="left" w:pos="7140"/>
        </w:tabs>
        <w:jc w:val="both"/>
      </w:pPr>
      <w:r w:rsidRPr="002E4E1C">
        <w:rPr>
          <w:b/>
        </w:rPr>
        <w:t xml:space="preserve">         </w:t>
      </w:r>
      <w:r w:rsidRPr="002E4E1C">
        <w:t>Настоящите указания са изготвени в изпълнение на правомощията на Националното бюро за правна помощ по Закона за правната помощ  за осъществяване на контрол върху управлението и разпореждането със средствата по бюджета за правна помощ и съобразно изискванията на Закона за финансово управление и контрол в публичния сектор.</w:t>
      </w:r>
    </w:p>
    <w:p w:rsidR="007E0273" w:rsidRPr="002E4E1C" w:rsidRDefault="007E0273" w:rsidP="007E0273">
      <w:pPr>
        <w:jc w:val="both"/>
        <w:rPr>
          <w:lang w:val="ru-RU"/>
        </w:rPr>
      </w:pPr>
      <w:r w:rsidRPr="002E4E1C">
        <w:rPr>
          <w:b/>
          <w:lang w:val="ru-RU"/>
        </w:rPr>
        <w:t xml:space="preserve">         </w:t>
      </w:r>
      <w:r w:rsidRPr="002E4E1C">
        <w:rPr>
          <w:lang w:val="ru-RU"/>
        </w:rPr>
        <w:t>Указанията се</w:t>
      </w:r>
      <w:r w:rsidRPr="002E4E1C">
        <w:rPr>
          <w:b/>
          <w:lang w:val="ru-RU"/>
        </w:rPr>
        <w:t xml:space="preserve"> </w:t>
      </w:r>
      <w:r w:rsidRPr="002E4E1C">
        <w:rPr>
          <w:lang w:val="ru-RU"/>
        </w:rPr>
        <w:t>прилагат от адвокатските съвети, при осъществяване на правомощията им по чл. 38, ал. 2 от ЗПП  и чл. 6 от Наредбата за заплащането на правната помощ, както и от Националното бюро за правна помощ при осъществяването на контрол върху предоставената правна помощ, чрез проверка на отчетите на адвокатите и при определяне на възнаграждението им.</w:t>
      </w:r>
    </w:p>
    <w:p w:rsidR="007E0273" w:rsidRPr="002E4E1C" w:rsidRDefault="007E0273" w:rsidP="007E0273">
      <w:pPr>
        <w:jc w:val="both"/>
        <w:rPr>
          <w:lang w:val="ru-RU"/>
        </w:rPr>
      </w:pPr>
      <w:r w:rsidRPr="002E4E1C">
        <w:rPr>
          <w:lang w:val="ru-RU"/>
        </w:rPr>
        <w:t xml:space="preserve">         Окончателният размер на адвокатското възнаграждение се определя от НБПП, по предложение на адвокатския съвет. Бюрото може да намали или увеличи предложеното възнаграждение от адвокатския съвет или да откаже плащане, при наличието на основание за това, в съответствие с настоящите указания, и чл. 6 и чл. 7, ал. 2 от Наредбата за заплащане на правната помощ.</w:t>
      </w:r>
    </w:p>
    <w:p w:rsidR="007E0273" w:rsidRPr="002E4E1C" w:rsidRDefault="007E0273" w:rsidP="007E0273">
      <w:pPr>
        <w:jc w:val="both"/>
        <w:rPr>
          <w:lang w:val="ru-RU"/>
        </w:rPr>
      </w:pPr>
      <w:r w:rsidRPr="002E4E1C">
        <w:tab/>
        <w:t xml:space="preserve">Настоящите указания конкретизират прилагането на критериите, уредени в Закона за правната помощ и Наредбата за заплащането на правната помощ, показателите и правилата, въз основа на които се оценява дейността на адвоката и се определя </w:t>
      </w:r>
      <w:r w:rsidRPr="002E4E1C">
        <w:rPr>
          <w:lang w:val="ru-RU"/>
        </w:rPr>
        <w:t>размера на основното адвокатско възнаграждение, както и на допълнителните възнаграждения, в случаите нормативно установени с Наредбата за заплащането на правната помощ, съответстващи на предоставения вид правна помощ по конкретен случай.</w:t>
      </w:r>
    </w:p>
    <w:p w:rsidR="007E0273" w:rsidRPr="002E4E1C" w:rsidRDefault="007E0273" w:rsidP="007E0273">
      <w:pPr>
        <w:jc w:val="both"/>
        <w:rPr>
          <w:b/>
          <w:lang w:val="ru-RU"/>
        </w:rPr>
      </w:pPr>
      <w:r w:rsidRPr="002E4E1C">
        <w:rPr>
          <w:b/>
          <w:lang w:val="ru-RU"/>
        </w:rPr>
        <w:tab/>
      </w:r>
    </w:p>
    <w:p w:rsidR="007E0273" w:rsidRPr="002E4E1C" w:rsidRDefault="007E0273" w:rsidP="007E0273">
      <w:pPr>
        <w:ind w:right="20"/>
      </w:pPr>
      <w:r w:rsidRPr="002E4E1C">
        <w:rPr>
          <w:b/>
        </w:rPr>
        <w:t>ОСНОВНИ КРИТЕРИИ ПРИ ОПРЕДЕЛЯНЕ НА ВЪЗНАГРАЖДЕНИЯТА</w:t>
      </w:r>
    </w:p>
    <w:p w:rsidR="007E0273" w:rsidRPr="002E4E1C" w:rsidRDefault="007E0273" w:rsidP="007E0273"/>
    <w:p w:rsidR="007E0273" w:rsidRPr="002E4E1C" w:rsidRDefault="007E0273" w:rsidP="007E0273">
      <w:pPr>
        <w:ind w:right="20" w:firstLine="708"/>
        <w:jc w:val="both"/>
      </w:pPr>
      <w:r w:rsidRPr="002E4E1C">
        <w:rPr>
          <w:b/>
        </w:rPr>
        <w:t>Основните критерии при определяне на размера на адвокатското възнаграждение са видът, количеството и качеството на предоставената правна помощ .</w:t>
      </w:r>
    </w:p>
    <w:p w:rsidR="007E0273" w:rsidRPr="002E4E1C" w:rsidRDefault="007E0273" w:rsidP="007E0273"/>
    <w:p w:rsidR="007E0273" w:rsidRPr="002E4E1C" w:rsidRDefault="007E0273" w:rsidP="007E0273">
      <w:pPr>
        <w:ind w:firstLine="708"/>
        <w:jc w:val="both"/>
      </w:pPr>
      <w:r w:rsidRPr="002E4E1C">
        <w:rPr>
          <w:b/>
        </w:rPr>
        <w:t xml:space="preserve">Видът на предоставената правна помощ </w:t>
      </w:r>
      <w:r w:rsidRPr="002E4E1C">
        <w:t>се определя с акта за</w:t>
      </w:r>
      <w:r w:rsidRPr="002E4E1C">
        <w:rPr>
          <w:b/>
        </w:rPr>
        <w:t xml:space="preserve"> </w:t>
      </w:r>
      <w:r w:rsidRPr="002E4E1C">
        <w:t>допускане на правната помощ постановен от органът по чл. 25, ал.1 и ал. 2 от Закона за правната помощ и е функция от вида на делото и вида на правната помощ по чл. 21 от ЗПП:</w:t>
      </w:r>
    </w:p>
    <w:p w:rsidR="007E0273" w:rsidRPr="002E4E1C" w:rsidRDefault="007E0273" w:rsidP="007E0273">
      <w:pPr>
        <w:numPr>
          <w:ilvl w:val="0"/>
          <w:numId w:val="4"/>
        </w:numPr>
        <w:jc w:val="both"/>
      </w:pPr>
      <w:r w:rsidRPr="002E4E1C">
        <w:t>Консултация;</w:t>
      </w:r>
    </w:p>
    <w:p w:rsidR="007E0273" w:rsidRPr="002E4E1C" w:rsidRDefault="007E0273" w:rsidP="007E0273">
      <w:pPr>
        <w:numPr>
          <w:ilvl w:val="0"/>
          <w:numId w:val="4"/>
        </w:numPr>
        <w:jc w:val="both"/>
      </w:pPr>
      <w:r w:rsidRPr="002E4E1C">
        <w:t>Подготовка на документи за образуване на дело;</w:t>
      </w:r>
    </w:p>
    <w:p w:rsidR="007E0273" w:rsidRPr="002E4E1C" w:rsidRDefault="007E0273" w:rsidP="007E0273">
      <w:pPr>
        <w:numPr>
          <w:ilvl w:val="0"/>
          <w:numId w:val="4"/>
        </w:numPr>
        <w:jc w:val="both"/>
      </w:pPr>
      <w:r w:rsidRPr="002E4E1C">
        <w:t>Процесуално представителство в досъдебна фаза / за наказателното производство / или в съдебна фаза / за всички производства/;</w:t>
      </w:r>
    </w:p>
    <w:p w:rsidR="007E0273" w:rsidRPr="002E4E1C" w:rsidRDefault="007E0273" w:rsidP="007E0273">
      <w:pPr>
        <w:numPr>
          <w:ilvl w:val="0"/>
          <w:numId w:val="4"/>
        </w:numPr>
        <w:jc w:val="both"/>
      </w:pPr>
      <w:r w:rsidRPr="002E4E1C">
        <w:t>Представителство при задържане по чл. 72, ал. 1 от Закона за Министерството на вътрешните работи, чл. 16а от Закона за митниците и по чл. 124б, ал. 1 от Закона за Държавна агенция „Национална сигурност“;</w:t>
      </w:r>
    </w:p>
    <w:p w:rsidR="007E0273" w:rsidRPr="002E4E1C" w:rsidRDefault="007E0273" w:rsidP="007E0273">
      <w:pPr>
        <w:numPr>
          <w:ilvl w:val="0"/>
          <w:numId w:val="4"/>
        </w:numPr>
        <w:jc w:val="both"/>
      </w:pPr>
      <w:r w:rsidRPr="002E4E1C">
        <w:t>Представителство по чл. 25 от Закона за убежището и бежанците.</w:t>
      </w:r>
    </w:p>
    <w:p w:rsidR="007E0273" w:rsidRPr="002E4E1C" w:rsidRDefault="007E0273" w:rsidP="007E0273">
      <w:pPr>
        <w:ind w:firstLine="708"/>
        <w:jc w:val="both"/>
      </w:pPr>
      <w:r w:rsidRPr="002E4E1C">
        <w:rPr>
          <w:b/>
        </w:rPr>
        <w:t xml:space="preserve">Количеството на предоставената правна помощ се удостоверява </w:t>
      </w:r>
      <w:r w:rsidRPr="002E4E1C">
        <w:t xml:space="preserve">с  надлежно оформени писмени документи, издадени от органите по чл. 25, ал. 1 от ЗПП по искане на адвоката - служебна бележка или удостоверение,  копия от постановления на разследващи органи и прокуратура и протоколи от съдебни заседания . </w:t>
      </w:r>
    </w:p>
    <w:p w:rsidR="007E0273" w:rsidRPr="002E4E1C" w:rsidRDefault="007E0273" w:rsidP="007E0273">
      <w:pPr>
        <w:ind w:firstLine="708"/>
        <w:jc w:val="both"/>
        <w:rPr>
          <w:b/>
        </w:rPr>
      </w:pPr>
      <w:r w:rsidRPr="002E4E1C">
        <w:rPr>
          <w:b/>
        </w:rPr>
        <w:t xml:space="preserve">Извънсъдебната дейност на адвоката, </w:t>
      </w:r>
      <w:r w:rsidRPr="002E4E1C">
        <w:t xml:space="preserve">свързана с предоставянето на правна помощ по конкретен случай и </w:t>
      </w:r>
      <w:r w:rsidRPr="002E4E1C">
        <w:rPr>
          <w:b/>
        </w:rPr>
        <w:t xml:space="preserve">изразяваща се в проучване и запознаване с делото, проведени срещи и консултации с лицето, на което се предоставя правна помощ </w:t>
      </w:r>
      <w:r w:rsidRPr="002E4E1C">
        <w:rPr>
          <w:b/>
        </w:rPr>
        <w:lastRenderedPageBreak/>
        <w:t xml:space="preserve">или с негови роднини, включително посещения в местата  за задържане, се удостоверява със съответните документи, установяващи извършеното действие.   </w:t>
      </w:r>
    </w:p>
    <w:p w:rsidR="007E0273" w:rsidRPr="002E4E1C" w:rsidRDefault="007E0273" w:rsidP="007E0273">
      <w:pPr>
        <w:ind w:firstLine="708"/>
        <w:jc w:val="both"/>
        <w:rPr>
          <w:b/>
        </w:rPr>
      </w:pPr>
      <w:r w:rsidRPr="002E4E1C">
        <w:rPr>
          <w:b/>
        </w:rPr>
        <w:t>За осъществена правна помощ при задържане по ЗМВР,</w:t>
      </w:r>
      <w:r w:rsidRPr="002E4E1C">
        <w:t xml:space="preserve"> осъществената от адвоката дейност се удостоверява </w:t>
      </w:r>
      <w:r w:rsidRPr="002E4E1C">
        <w:rPr>
          <w:b/>
        </w:rPr>
        <w:t>с надлежно оформен-попълнен и тристранно подписан отчетен формуляр на дежурния адвокат при полицейско задържане, публикуван на интернет страницата на НБПП .</w:t>
      </w:r>
    </w:p>
    <w:p w:rsidR="007E0273" w:rsidRPr="002E4E1C" w:rsidRDefault="007E0273" w:rsidP="007E0273">
      <w:pPr>
        <w:ind w:firstLine="708"/>
        <w:jc w:val="both"/>
        <w:rPr>
          <w:b/>
        </w:rPr>
      </w:pPr>
      <w:r w:rsidRPr="002E4E1C">
        <w:rPr>
          <w:b/>
        </w:rPr>
        <w:t>Качеството на предоставената правна помощ се преценява съобразно степента на изпълнение на стандартите за качество на предоставената правна помощ .</w:t>
      </w:r>
    </w:p>
    <w:p w:rsidR="007E0273" w:rsidRPr="002E4E1C" w:rsidRDefault="007E0273" w:rsidP="007E0273">
      <w:pPr>
        <w:ind w:firstLine="708"/>
        <w:jc w:val="both"/>
      </w:pPr>
      <w:bookmarkStart w:id="1" w:name="30j0zll" w:colFirst="0" w:colLast="0"/>
      <w:bookmarkEnd w:id="1"/>
    </w:p>
    <w:p w:rsidR="007E0273" w:rsidRPr="002E4E1C" w:rsidRDefault="007E0273" w:rsidP="007E0273">
      <w:pPr>
        <w:widowControl w:val="0"/>
        <w:pBdr>
          <w:top w:val="nil"/>
          <w:left w:val="nil"/>
          <w:bottom w:val="nil"/>
          <w:right w:val="nil"/>
          <w:between w:val="nil"/>
        </w:pBdr>
        <w:spacing w:line="276" w:lineRule="auto"/>
      </w:pPr>
      <w:r w:rsidRPr="002E4E1C">
        <w:rPr>
          <w:b/>
        </w:rPr>
        <w:t>ПОКАЗАТЕЛИ ЗА ОПРЕДЕЛЯНЕ НА ВЪЗНАГРАЖДЕНИЯТА</w:t>
      </w:r>
    </w:p>
    <w:p w:rsidR="007E0273" w:rsidRPr="002E4E1C" w:rsidRDefault="007E0273" w:rsidP="007E0273"/>
    <w:p w:rsidR="007E0273" w:rsidRPr="002E4E1C" w:rsidRDefault="007E0273" w:rsidP="007E0273">
      <w:pPr>
        <w:ind w:right="620" w:firstLine="708"/>
      </w:pPr>
      <w:r w:rsidRPr="002E4E1C">
        <w:rPr>
          <w:b/>
        </w:rPr>
        <w:t>При определяне на размера на адвокатското възнаграждение се вземат предвид следните показатели:</w:t>
      </w:r>
    </w:p>
    <w:p w:rsidR="007E0273" w:rsidRPr="002E4E1C" w:rsidRDefault="007E0273" w:rsidP="007E0273"/>
    <w:p w:rsidR="007E0273" w:rsidRPr="002E4E1C" w:rsidRDefault="007E0273" w:rsidP="007E0273">
      <w:pPr>
        <w:numPr>
          <w:ilvl w:val="0"/>
          <w:numId w:val="1"/>
        </w:numPr>
        <w:tabs>
          <w:tab w:val="left" w:pos="720"/>
        </w:tabs>
        <w:ind w:left="720" w:hanging="364"/>
        <w:rPr>
          <w:rFonts w:ascii="Noto Sans Symbols" w:eastAsia="Noto Sans Symbols" w:hAnsi="Noto Sans Symbols" w:cs="Noto Sans Symbols"/>
        </w:rPr>
      </w:pPr>
      <w:r w:rsidRPr="002E4E1C">
        <w:rPr>
          <w:b/>
        </w:rPr>
        <w:t>Квалификация на деянието</w:t>
      </w:r>
      <w:r w:rsidRPr="002E4E1C">
        <w:t xml:space="preserve"> / по наказателни производства/;</w:t>
      </w:r>
    </w:p>
    <w:p w:rsidR="007E0273" w:rsidRPr="002E4E1C" w:rsidRDefault="007E0273" w:rsidP="007E0273">
      <w:pPr>
        <w:numPr>
          <w:ilvl w:val="0"/>
          <w:numId w:val="1"/>
        </w:numPr>
        <w:tabs>
          <w:tab w:val="left" w:pos="720"/>
        </w:tabs>
        <w:ind w:left="720" w:hanging="364"/>
        <w:rPr>
          <w:rFonts w:ascii="Noto Sans Symbols" w:eastAsia="Noto Sans Symbols" w:hAnsi="Noto Sans Symbols" w:cs="Noto Sans Symbols"/>
        </w:rPr>
      </w:pPr>
      <w:r w:rsidRPr="002E4E1C">
        <w:rPr>
          <w:b/>
        </w:rPr>
        <w:t xml:space="preserve">Предмет на спора и материален интерес </w:t>
      </w:r>
      <w:r w:rsidRPr="002E4E1C">
        <w:t xml:space="preserve"> / по всички производства /;</w:t>
      </w:r>
    </w:p>
    <w:p w:rsidR="007E0273" w:rsidRPr="002E4E1C" w:rsidRDefault="007E0273" w:rsidP="007E0273">
      <w:pPr>
        <w:numPr>
          <w:ilvl w:val="0"/>
          <w:numId w:val="1"/>
        </w:numPr>
        <w:tabs>
          <w:tab w:val="left" w:pos="720"/>
        </w:tabs>
        <w:ind w:left="720" w:hanging="364"/>
        <w:rPr>
          <w:rFonts w:ascii="Noto Sans Symbols" w:eastAsia="Noto Sans Symbols" w:hAnsi="Noto Sans Symbols" w:cs="Noto Sans Symbols"/>
          <w:b/>
        </w:rPr>
      </w:pPr>
      <w:r w:rsidRPr="002E4E1C">
        <w:rPr>
          <w:b/>
        </w:rPr>
        <w:t>Продължителност на делото;</w:t>
      </w:r>
    </w:p>
    <w:p w:rsidR="007E0273" w:rsidRPr="002E4E1C" w:rsidRDefault="007E0273" w:rsidP="007E0273">
      <w:pPr>
        <w:numPr>
          <w:ilvl w:val="0"/>
          <w:numId w:val="1"/>
        </w:numPr>
        <w:tabs>
          <w:tab w:val="left" w:pos="720"/>
        </w:tabs>
        <w:ind w:left="720" w:hanging="364"/>
        <w:rPr>
          <w:rFonts w:ascii="Noto Sans Symbols" w:eastAsia="Noto Sans Symbols" w:hAnsi="Noto Sans Symbols" w:cs="Noto Sans Symbols"/>
        </w:rPr>
      </w:pPr>
      <w:r w:rsidRPr="002E4E1C">
        <w:rPr>
          <w:b/>
        </w:rPr>
        <w:t>Фактическа и правна сложност на делото:</w:t>
      </w:r>
    </w:p>
    <w:p w:rsidR="007E0273" w:rsidRPr="002E4E1C" w:rsidRDefault="007E0273" w:rsidP="007E0273">
      <w:pPr>
        <w:tabs>
          <w:tab w:val="left" w:pos="7140"/>
        </w:tabs>
        <w:jc w:val="both"/>
      </w:pPr>
      <w:r w:rsidRPr="002E4E1C">
        <w:t xml:space="preserve">            </w:t>
      </w:r>
      <w:r w:rsidRPr="002E4E1C">
        <w:rPr>
          <w:b/>
        </w:rPr>
        <w:t>Дела, с висока степен на сложност</w:t>
      </w:r>
      <w:r w:rsidRPr="002E4E1C">
        <w:t>, са дела, които се характеризират със значителен по обем фактически материал за проучване и запознаване, с общия ред, по който се води производството, с многообразие на твърдените от страните правно–релевантни факти, подлежащи на доказване, с многообразие на допустимите от закона доказателства / гласни, писмени, експертни заключения/, с тежестта на повдигнатото обвинение, с многообразие на инкриминираната дейност, наличие на повече от един обвиняем по делото, наличие на допълнителни страни по делото /частен обвинител, граждански ищец и др. /.</w:t>
      </w:r>
    </w:p>
    <w:p w:rsidR="007E0273" w:rsidRPr="002E4E1C" w:rsidRDefault="007E0273" w:rsidP="007E0273">
      <w:pPr>
        <w:numPr>
          <w:ilvl w:val="0"/>
          <w:numId w:val="1"/>
        </w:numPr>
        <w:tabs>
          <w:tab w:val="left" w:pos="720"/>
        </w:tabs>
        <w:ind w:left="720" w:hanging="364"/>
        <w:jc w:val="both"/>
        <w:rPr>
          <w:rFonts w:eastAsia="Noto Sans Symbols"/>
        </w:rPr>
      </w:pPr>
      <w:r w:rsidRPr="002E4E1C">
        <w:rPr>
          <w:b/>
        </w:rPr>
        <w:t>Приносът на адвоката по делото</w:t>
      </w:r>
      <w:r w:rsidRPr="002E4E1C">
        <w:t xml:space="preserve"> -усилията и активността на адвоката при осъществяване на необходимите правни действия - правни съвети, консултации, процесуално- правни действия и представителство, съответстващи на вида правна помощ, вида на делото и реда по който се води същото, особеностите на производството  и др. </w:t>
      </w:r>
    </w:p>
    <w:p w:rsidR="007E0273" w:rsidRPr="002E4E1C" w:rsidRDefault="007E0273" w:rsidP="007E0273">
      <w:pPr>
        <w:tabs>
          <w:tab w:val="left" w:pos="720"/>
        </w:tabs>
        <w:ind w:left="720"/>
        <w:jc w:val="both"/>
        <w:rPr>
          <w:rFonts w:eastAsia="Noto Sans Symbols"/>
        </w:rPr>
      </w:pPr>
      <w:r w:rsidRPr="002E4E1C">
        <w:rPr>
          <w:b/>
        </w:rPr>
        <w:t xml:space="preserve">Приносът на адвоката включва : </w:t>
      </w:r>
      <w:r w:rsidRPr="002E4E1C">
        <w:t>извънсъдебна дейност</w:t>
      </w:r>
      <w:r w:rsidRPr="002E4E1C">
        <w:rPr>
          <w:b/>
        </w:rPr>
        <w:t xml:space="preserve"> -  </w:t>
      </w:r>
      <w:r w:rsidRPr="002E4E1C">
        <w:t>проучване и запознаване с делото,  проведени срещи и консултации с лицето, на което е предоставена правна помощ, изготвени мотивирани документи в законоустановените срокове, реалното и активно участие на адвоката в производството с мотивирани искания, становища, възражения и пледоарии;</w:t>
      </w:r>
    </w:p>
    <w:p w:rsidR="007E0273" w:rsidRPr="002E4E1C" w:rsidRDefault="007E0273" w:rsidP="007E0273">
      <w:pPr>
        <w:numPr>
          <w:ilvl w:val="0"/>
          <w:numId w:val="1"/>
        </w:numPr>
        <w:tabs>
          <w:tab w:val="left" w:pos="720"/>
        </w:tabs>
        <w:ind w:left="720" w:right="20" w:hanging="364"/>
        <w:rPr>
          <w:rFonts w:ascii="Noto Sans Symbols" w:eastAsia="Noto Sans Symbols" w:hAnsi="Noto Sans Symbols" w:cs="Noto Sans Symbols"/>
        </w:rPr>
      </w:pPr>
      <w:r w:rsidRPr="002E4E1C">
        <w:rPr>
          <w:b/>
        </w:rPr>
        <w:t>Времева ангажираност на адвоката</w:t>
      </w:r>
      <w:r w:rsidRPr="002E4E1C">
        <w:t xml:space="preserve"> – дни, часове, брой съдебни заседания без ход и с ход на делото, участие на адвоката във всички фази и / или инстанции на производството или само в част от тях;</w:t>
      </w:r>
    </w:p>
    <w:p w:rsidR="007E0273" w:rsidRPr="002E4E1C" w:rsidRDefault="007E0273" w:rsidP="007E0273">
      <w:pPr>
        <w:numPr>
          <w:ilvl w:val="0"/>
          <w:numId w:val="1"/>
        </w:numPr>
        <w:tabs>
          <w:tab w:val="left" w:pos="720"/>
        </w:tabs>
        <w:ind w:left="720" w:right="20" w:hanging="364"/>
        <w:rPr>
          <w:rFonts w:ascii="Noto Sans Symbols" w:eastAsia="Noto Sans Symbols" w:hAnsi="Noto Sans Symbols" w:cs="Noto Sans Symbols"/>
        </w:rPr>
      </w:pPr>
      <w:r w:rsidRPr="002E4E1C">
        <w:rPr>
          <w:b/>
        </w:rPr>
        <w:t>Степен на изпълнение на стандартите за качество на предоставената правна помощ</w:t>
      </w:r>
      <w:r w:rsidRPr="002E4E1C">
        <w:t>, публикувани на интернет страницата на НБПП;</w:t>
      </w:r>
    </w:p>
    <w:p w:rsidR="007E0273" w:rsidRPr="002E4E1C" w:rsidRDefault="007E0273" w:rsidP="007E0273">
      <w:pPr>
        <w:tabs>
          <w:tab w:val="left" w:pos="720"/>
        </w:tabs>
        <w:ind w:left="720" w:right="20"/>
        <w:jc w:val="both"/>
        <w:rPr>
          <w:rFonts w:ascii="Noto Sans Symbols" w:eastAsia="Noto Sans Symbols" w:hAnsi="Noto Sans Symbols" w:cs="Noto Sans Symbols"/>
        </w:rPr>
      </w:pPr>
    </w:p>
    <w:p w:rsidR="007E0273" w:rsidRPr="002E4E1C" w:rsidRDefault="007E0273" w:rsidP="007E0273">
      <w:pPr>
        <w:pStyle w:val="ListParagraph"/>
        <w:rPr>
          <w:rFonts w:ascii="Noto Sans Symbols" w:eastAsia="Noto Sans Symbols" w:hAnsi="Noto Sans Symbols" w:cs="Noto Sans Symbols"/>
        </w:rPr>
      </w:pPr>
    </w:p>
    <w:p w:rsidR="007E0273" w:rsidRPr="002E4E1C" w:rsidRDefault="007E0273" w:rsidP="007E0273">
      <w:pPr>
        <w:ind w:right="20"/>
      </w:pPr>
      <w:r w:rsidRPr="002E4E1C">
        <w:rPr>
          <w:b/>
        </w:rPr>
        <w:t>ОБЩИ ПРАВИЛА ПРИ ОПРЕДЕЛЯНЕ НА АДВОКАТСКОТО ВЪЗНАГРАЖДЕНИЕ</w:t>
      </w:r>
    </w:p>
    <w:p w:rsidR="007E0273" w:rsidRPr="002E4E1C" w:rsidRDefault="007E0273" w:rsidP="007E0273"/>
    <w:p w:rsidR="007E0273" w:rsidRPr="002E4E1C" w:rsidRDefault="007E0273" w:rsidP="007E0273">
      <w:pPr>
        <w:ind w:firstLine="708"/>
        <w:jc w:val="both"/>
      </w:pPr>
      <w:r w:rsidRPr="002E4E1C">
        <w:t xml:space="preserve">Адвокатското възнаграждение се определя в рамките на определения, в Наредбата за заплащане на правната помощ, минимум и максимум, след оценка на дейността на </w:t>
      </w:r>
      <w:r w:rsidRPr="002E4E1C">
        <w:lastRenderedPageBreak/>
        <w:t>адвоката предоставил правна помощ по конкретния случай, за който е назначен, извършена въз основа на горепосочените критерии и показатели.</w:t>
      </w:r>
    </w:p>
    <w:p w:rsidR="007E0273" w:rsidRPr="002E4E1C" w:rsidRDefault="007E0273" w:rsidP="007E0273"/>
    <w:p w:rsidR="007E0273" w:rsidRPr="002E4E1C" w:rsidRDefault="007E0273" w:rsidP="007E0273">
      <w:pPr>
        <w:ind w:right="20" w:firstLine="708"/>
        <w:jc w:val="both"/>
      </w:pPr>
      <w:r w:rsidRPr="002E4E1C">
        <w:t>Максимално адвокатско възнаграждение може да се определи при наличието на някое/и от долу изброените обстоятелства:</w:t>
      </w:r>
    </w:p>
    <w:p w:rsidR="007E0273" w:rsidRPr="002E4E1C" w:rsidRDefault="007E0273" w:rsidP="007E0273"/>
    <w:p w:rsidR="007E0273" w:rsidRPr="002E4E1C" w:rsidRDefault="007E0273" w:rsidP="007E0273">
      <w:pPr>
        <w:numPr>
          <w:ilvl w:val="0"/>
          <w:numId w:val="2"/>
        </w:numPr>
        <w:tabs>
          <w:tab w:val="left" w:pos="720"/>
        </w:tabs>
        <w:ind w:left="720" w:hanging="364"/>
        <w:rPr>
          <w:rFonts w:ascii="Noto Sans Symbols" w:eastAsia="Noto Sans Symbols" w:hAnsi="Noto Sans Symbols" w:cs="Noto Sans Symbols"/>
        </w:rPr>
      </w:pPr>
      <w:r w:rsidRPr="002E4E1C">
        <w:t>При оправдателна присъда;</w:t>
      </w:r>
    </w:p>
    <w:p w:rsidR="007E0273" w:rsidRPr="002E4E1C" w:rsidRDefault="007E0273" w:rsidP="007E0273">
      <w:pPr>
        <w:rPr>
          <w:rFonts w:ascii="Noto Sans Symbols" w:eastAsia="Noto Sans Symbols" w:hAnsi="Noto Sans Symbols" w:cs="Noto Sans Symbols"/>
        </w:rPr>
      </w:pPr>
    </w:p>
    <w:p w:rsidR="007E0273" w:rsidRPr="002E4E1C" w:rsidRDefault="007E0273" w:rsidP="007E0273">
      <w:pPr>
        <w:numPr>
          <w:ilvl w:val="0"/>
          <w:numId w:val="2"/>
        </w:numPr>
        <w:tabs>
          <w:tab w:val="left" w:pos="720"/>
        </w:tabs>
        <w:ind w:left="720" w:right="20" w:hanging="364"/>
        <w:rPr>
          <w:rFonts w:ascii="Noto Sans Symbols" w:eastAsia="Noto Sans Symbols" w:hAnsi="Noto Sans Symbols" w:cs="Noto Sans Symbols"/>
        </w:rPr>
      </w:pPr>
      <w:r w:rsidRPr="002E4E1C">
        <w:t>При промяна в квалификацията на деянието в по-благоприятна;</w:t>
      </w:r>
    </w:p>
    <w:p w:rsidR="007E0273" w:rsidRPr="002E4E1C" w:rsidRDefault="007E0273" w:rsidP="007E0273">
      <w:pPr>
        <w:rPr>
          <w:rFonts w:ascii="Noto Sans Symbols" w:eastAsia="Noto Sans Symbols" w:hAnsi="Noto Sans Symbols" w:cs="Noto Sans Symbols"/>
        </w:rPr>
      </w:pPr>
    </w:p>
    <w:p w:rsidR="007E0273" w:rsidRPr="002E4E1C" w:rsidRDefault="007E0273" w:rsidP="007E0273">
      <w:pPr>
        <w:numPr>
          <w:ilvl w:val="0"/>
          <w:numId w:val="2"/>
        </w:numPr>
        <w:tabs>
          <w:tab w:val="left" w:pos="720"/>
        </w:tabs>
        <w:ind w:left="720" w:hanging="364"/>
        <w:rPr>
          <w:rFonts w:ascii="Noto Sans Symbols" w:eastAsia="Noto Sans Symbols" w:hAnsi="Noto Sans Symbols" w:cs="Noto Sans Symbols"/>
        </w:rPr>
      </w:pPr>
      <w:r w:rsidRPr="002E4E1C">
        <w:t>При постигане на по-благоприятен резултат за лицето;</w:t>
      </w:r>
    </w:p>
    <w:p w:rsidR="007E0273" w:rsidRPr="002E4E1C" w:rsidRDefault="007E0273" w:rsidP="007E0273">
      <w:pPr>
        <w:rPr>
          <w:rFonts w:ascii="Noto Sans Symbols" w:eastAsia="Noto Sans Symbols" w:hAnsi="Noto Sans Symbols" w:cs="Noto Sans Symbols"/>
        </w:rPr>
      </w:pPr>
    </w:p>
    <w:p w:rsidR="007E0273" w:rsidRPr="002E4E1C" w:rsidRDefault="007E0273" w:rsidP="007E0273">
      <w:pPr>
        <w:numPr>
          <w:ilvl w:val="0"/>
          <w:numId w:val="2"/>
        </w:numPr>
        <w:tabs>
          <w:tab w:val="left" w:pos="720"/>
        </w:tabs>
        <w:ind w:left="720" w:hanging="364"/>
        <w:jc w:val="both"/>
        <w:rPr>
          <w:rFonts w:ascii="Noto Sans Symbols" w:eastAsia="Noto Sans Symbols" w:hAnsi="Noto Sans Symbols" w:cs="Noto Sans Symbols"/>
        </w:rPr>
      </w:pPr>
      <w:r w:rsidRPr="002E4E1C">
        <w:t>При продължителна времева ангажираност на адвоката и извършени всички необходими и дължими,  за конкретния случай,  правни действия и представителство;</w:t>
      </w:r>
    </w:p>
    <w:p w:rsidR="007E0273" w:rsidRPr="002E4E1C" w:rsidRDefault="007E0273" w:rsidP="007E0273">
      <w:pPr>
        <w:pStyle w:val="ListParagraph"/>
      </w:pPr>
    </w:p>
    <w:p w:rsidR="007E0273" w:rsidRPr="002E4E1C" w:rsidRDefault="007E0273" w:rsidP="007E0273">
      <w:pPr>
        <w:numPr>
          <w:ilvl w:val="0"/>
          <w:numId w:val="2"/>
        </w:numPr>
        <w:tabs>
          <w:tab w:val="left" w:pos="720"/>
        </w:tabs>
        <w:ind w:left="720" w:hanging="364"/>
        <w:rPr>
          <w:rFonts w:ascii="Noto Sans Symbols" w:eastAsia="Noto Sans Symbols" w:hAnsi="Noto Sans Symbols" w:cs="Noto Sans Symbols"/>
        </w:rPr>
      </w:pPr>
      <w:r w:rsidRPr="002E4E1C">
        <w:rPr>
          <w:rFonts w:ascii="Noto Sans Symbols" w:eastAsia="Noto Sans Symbols" w:hAnsi="Noto Sans Symbols" w:cs="Noto Sans Symbols"/>
        </w:rPr>
        <w:t>При максимално покриване на стандартите за качество ;</w:t>
      </w:r>
    </w:p>
    <w:p w:rsidR="007E0273" w:rsidRPr="002E4E1C" w:rsidRDefault="007E0273" w:rsidP="007E0273">
      <w:pPr>
        <w:pStyle w:val="ListParagraph"/>
      </w:pPr>
    </w:p>
    <w:p w:rsidR="007E0273" w:rsidRPr="002E4E1C" w:rsidRDefault="007E0273" w:rsidP="007E0273">
      <w:pPr>
        <w:numPr>
          <w:ilvl w:val="0"/>
          <w:numId w:val="2"/>
        </w:numPr>
        <w:tabs>
          <w:tab w:val="left" w:pos="720"/>
        </w:tabs>
        <w:ind w:left="720" w:hanging="364"/>
        <w:rPr>
          <w:rFonts w:ascii="Noto Sans Symbols" w:eastAsia="Noto Sans Symbols" w:hAnsi="Noto Sans Symbols" w:cs="Noto Sans Symbols"/>
        </w:rPr>
      </w:pPr>
      <w:r w:rsidRPr="002E4E1C">
        <w:t>В други случаи съобразно особеностите на производството;</w:t>
      </w:r>
    </w:p>
    <w:p w:rsidR="007E0273" w:rsidRPr="002E4E1C" w:rsidRDefault="007E0273" w:rsidP="007E0273">
      <w:pPr>
        <w:tabs>
          <w:tab w:val="left" w:pos="720"/>
        </w:tabs>
        <w:ind w:left="720" w:hanging="364"/>
        <w:rPr>
          <w:rFonts w:ascii="Noto Sans Symbols" w:eastAsia="Noto Sans Symbols" w:hAnsi="Noto Sans Symbols" w:cs="Noto Sans Symbols"/>
        </w:rPr>
      </w:pPr>
      <w:bookmarkStart w:id="2" w:name="1fob9te" w:colFirst="0" w:colLast="0"/>
      <w:bookmarkEnd w:id="2"/>
    </w:p>
    <w:p w:rsidR="007E0273" w:rsidRPr="002E4E1C" w:rsidRDefault="007E0273" w:rsidP="007E0273">
      <w:pPr>
        <w:ind w:firstLine="708"/>
        <w:jc w:val="both"/>
      </w:pPr>
      <w:r w:rsidRPr="002E4E1C">
        <w:t xml:space="preserve">Минимално адвокатско възнаграждение се определя, когато адвокатът се е запознал с материалите по делото и е назначен, но не е  взел участие в производството, поради наличието на някое от долу изброените обстоятелства: </w:t>
      </w:r>
    </w:p>
    <w:p w:rsidR="007E0273" w:rsidRPr="002E4E1C" w:rsidRDefault="007E0273" w:rsidP="007E0273"/>
    <w:p w:rsidR="007E0273" w:rsidRPr="002E4E1C" w:rsidRDefault="007E0273" w:rsidP="007E0273">
      <w:pPr>
        <w:numPr>
          <w:ilvl w:val="0"/>
          <w:numId w:val="3"/>
        </w:numPr>
        <w:tabs>
          <w:tab w:val="left" w:pos="720"/>
        </w:tabs>
        <w:ind w:left="720" w:hanging="364"/>
        <w:rPr>
          <w:rFonts w:ascii="Noto Sans Symbols" w:eastAsia="Noto Sans Symbols" w:hAnsi="Noto Sans Symbols" w:cs="Noto Sans Symbols"/>
        </w:rPr>
      </w:pPr>
      <w:r w:rsidRPr="002E4E1C">
        <w:t>При замяна на адвоката в първо съдебно заседание;</w:t>
      </w:r>
    </w:p>
    <w:p w:rsidR="007E0273" w:rsidRPr="002E4E1C" w:rsidRDefault="007E0273" w:rsidP="007E0273">
      <w:pPr>
        <w:numPr>
          <w:ilvl w:val="0"/>
          <w:numId w:val="3"/>
        </w:numPr>
        <w:tabs>
          <w:tab w:val="left" w:pos="720"/>
        </w:tabs>
        <w:ind w:left="720" w:hanging="364"/>
        <w:rPr>
          <w:rFonts w:ascii="Noto Sans Symbols" w:eastAsia="Noto Sans Symbols" w:hAnsi="Noto Sans Symbols" w:cs="Noto Sans Symbols"/>
        </w:rPr>
      </w:pPr>
      <w:r w:rsidRPr="002E4E1C">
        <w:t>При освобождаване на адвоката в първо съдебно заседание ;</w:t>
      </w:r>
    </w:p>
    <w:p w:rsidR="007E0273" w:rsidRPr="002E4E1C" w:rsidRDefault="007E0273" w:rsidP="007E0273">
      <w:pPr>
        <w:numPr>
          <w:ilvl w:val="0"/>
          <w:numId w:val="3"/>
        </w:numPr>
        <w:tabs>
          <w:tab w:val="left" w:pos="720"/>
        </w:tabs>
        <w:ind w:left="720" w:hanging="364"/>
        <w:rPr>
          <w:rFonts w:ascii="Noto Sans Symbols" w:eastAsia="Noto Sans Symbols" w:hAnsi="Noto Sans Symbols" w:cs="Noto Sans Symbols"/>
        </w:rPr>
      </w:pPr>
      <w:r w:rsidRPr="002E4E1C">
        <w:t>При прекратяване или спиране на производството в първо съдебно заседание.</w:t>
      </w:r>
    </w:p>
    <w:p w:rsidR="007E0273" w:rsidRPr="002E4E1C" w:rsidRDefault="007E0273" w:rsidP="007E0273">
      <w:pPr>
        <w:numPr>
          <w:ilvl w:val="0"/>
          <w:numId w:val="3"/>
        </w:numPr>
        <w:tabs>
          <w:tab w:val="left" w:pos="720"/>
        </w:tabs>
        <w:ind w:left="720" w:hanging="364"/>
        <w:rPr>
          <w:rFonts w:ascii="Noto Sans Symbols" w:eastAsia="Noto Sans Symbols" w:hAnsi="Noto Sans Symbols" w:cs="Noto Sans Symbols"/>
        </w:rPr>
      </w:pPr>
      <w:r w:rsidRPr="002E4E1C">
        <w:t>В други случаи съобразно особеностите на производството.</w:t>
      </w:r>
    </w:p>
    <w:p w:rsidR="007E0273" w:rsidRPr="002E4E1C" w:rsidRDefault="007E0273" w:rsidP="007E0273">
      <w:pPr>
        <w:ind w:left="700"/>
        <w:rPr>
          <w:lang w:val="en-US"/>
        </w:rPr>
      </w:pPr>
    </w:p>
    <w:p w:rsidR="007E0273" w:rsidRPr="002E4E1C" w:rsidRDefault="007E0273" w:rsidP="007E0273">
      <w:pPr>
        <w:ind w:left="700"/>
      </w:pPr>
      <w:r w:rsidRPr="002E4E1C">
        <w:t>Наличието на някое от горе изброените обстоятелства се взема предвид и в досъдебната фаза на наказателното производство.</w:t>
      </w:r>
    </w:p>
    <w:p w:rsidR="007E0273" w:rsidRPr="002E4E1C" w:rsidRDefault="007E0273" w:rsidP="007E0273">
      <w:pPr>
        <w:ind w:left="700"/>
      </w:pPr>
    </w:p>
    <w:p w:rsidR="007E0273" w:rsidRPr="002E4E1C" w:rsidRDefault="007E0273" w:rsidP="007E0273">
      <w:pPr>
        <w:ind w:firstLine="708"/>
        <w:jc w:val="both"/>
      </w:pPr>
      <w:r w:rsidRPr="002E4E1C">
        <w:t>Друг размер на адвокатското възнаграждение може да се определи по преценка на длъжностното лице проверяващо отчета на адвоката, въз основа на приложените към него доказателства за обема на осъществената от адвоката дейност..</w:t>
      </w:r>
    </w:p>
    <w:p w:rsidR="007E0273" w:rsidRPr="002E4E1C" w:rsidRDefault="007E0273" w:rsidP="007E0273">
      <w:pPr>
        <w:ind w:firstLine="708"/>
        <w:jc w:val="both"/>
      </w:pPr>
    </w:p>
    <w:p w:rsidR="007E0273" w:rsidRPr="002E4E1C" w:rsidRDefault="007E0273" w:rsidP="007E0273">
      <w:pPr>
        <w:ind w:right="20" w:firstLine="708"/>
        <w:jc w:val="both"/>
      </w:pPr>
      <w:r w:rsidRPr="002E4E1C">
        <w:t>За правна помощ във връзка с обжалване на заповеди издадени по реда на Закона за изпълнение на наказанията и задържане под стража / ЗИНЗС – изм. ДВ, бр. 105/2020 год. /</w:t>
      </w:r>
      <w:r w:rsidRPr="002E4E1C">
        <w:rPr>
          <w:lang w:val="ru-RU"/>
        </w:rPr>
        <w:t xml:space="preserve">  възнаграждението се определя на </w:t>
      </w:r>
      <w:r w:rsidRPr="002E4E1C">
        <w:t xml:space="preserve">основание чл. 24 от Наредбата за заплащането на правната помощ. </w:t>
      </w:r>
    </w:p>
    <w:p w:rsidR="007E0273" w:rsidRPr="002E4E1C" w:rsidRDefault="007E0273" w:rsidP="007E0273">
      <w:pPr>
        <w:ind w:right="20" w:firstLine="708"/>
        <w:jc w:val="both"/>
      </w:pPr>
      <w:r w:rsidRPr="002E4E1C">
        <w:t>При предоставяне на правна помощ по наказателно дело, по което срещу подсъдимия е предявен граждански иск, за осъществената от адвоката защита по гражданския иск се дължи възнаграждение на самостоятелно правно основание по Наредбата за заплащането на правната помощ.</w:t>
      </w:r>
    </w:p>
    <w:p w:rsidR="007E0273" w:rsidRPr="002E4E1C" w:rsidRDefault="007E0273" w:rsidP="007E0273">
      <w:pPr>
        <w:ind w:right="20" w:firstLine="708"/>
        <w:jc w:val="both"/>
      </w:pPr>
      <w:r w:rsidRPr="002E4E1C">
        <w:t>В производства, по които е допусната правна помощ на едноличен търговец, възнаграждението се определя по реда на Наредбата за заплащането на правната помощ.</w:t>
      </w:r>
    </w:p>
    <w:p w:rsidR="007E0273" w:rsidRPr="002E4E1C" w:rsidRDefault="007E0273" w:rsidP="007E0273">
      <w:pPr>
        <w:ind w:right="20" w:firstLine="708"/>
        <w:jc w:val="both"/>
      </w:pPr>
      <w:r w:rsidRPr="002E4E1C">
        <w:t xml:space="preserve">Настоящите указания и стандартите за качество на предоставената правна помощ, които са неразделна част от указанията, са приети на заседание на НБПП проведено на 30.03.2022 год.                                                                                                                               </w:t>
      </w:r>
    </w:p>
    <w:p w:rsidR="007E0273" w:rsidRPr="002E4E1C" w:rsidRDefault="007E0273" w:rsidP="007E0273">
      <w:pPr>
        <w:jc w:val="both"/>
        <w:rPr>
          <w:rFonts w:eastAsia="MS Mincho"/>
          <w:b/>
          <w:bCs/>
          <w:lang w:eastAsia="en-US"/>
        </w:rPr>
      </w:pPr>
    </w:p>
    <w:p w:rsidR="007E0273" w:rsidRPr="002E4E1C" w:rsidRDefault="007E0273" w:rsidP="007E0273">
      <w:pPr>
        <w:jc w:val="both"/>
        <w:rPr>
          <w:rFonts w:eastAsia="MS Mincho"/>
          <w:b/>
          <w:bCs/>
          <w:lang w:eastAsia="en-US"/>
        </w:rPr>
      </w:pPr>
    </w:p>
    <w:p w:rsidR="007E0273" w:rsidRPr="002E4E1C" w:rsidRDefault="007E0273" w:rsidP="007E0273">
      <w:pPr>
        <w:pStyle w:val="NoSpacing"/>
        <w:rPr>
          <w:b/>
        </w:rPr>
      </w:pPr>
      <w:r w:rsidRPr="002E4E1C">
        <w:rPr>
          <w:b/>
        </w:rPr>
        <w:t>ЕДИННИ МИНИМАЛНИ СТАНДАРТИ ЗА КАЧЕСТВО НА ПРЕДОСТАВЕНАТА ПРАВНА ПОМОЩ</w:t>
      </w:r>
    </w:p>
    <w:p w:rsidR="007E0273" w:rsidRPr="002E4E1C" w:rsidRDefault="007E0273" w:rsidP="007E0273">
      <w:pPr>
        <w:pStyle w:val="NoSpacing"/>
        <w:jc w:val="both"/>
      </w:pPr>
    </w:p>
    <w:p w:rsidR="007E0273" w:rsidRPr="002E4E1C" w:rsidRDefault="007E0273" w:rsidP="007E0273">
      <w:pPr>
        <w:pStyle w:val="NoSpacing"/>
        <w:jc w:val="both"/>
      </w:pPr>
      <w:r w:rsidRPr="002E4E1C">
        <w:tab/>
        <w:t>Настоящите минимални стандарти гарантират качеството на предоставената правна помощ.</w:t>
      </w:r>
    </w:p>
    <w:p w:rsidR="007E0273" w:rsidRPr="002E4E1C" w:rsidRDefault="007E0273" w:rsidP="007E0273">
      <w:pPr>
        <w:pStyle w:val="NoSpacing"/>
        <w:jc w:val="both"/>
      </w:pPr>
      <w:r w:rsidRPr="002E4E1C">
        <w:tab/>
        <w:t xml:space="preserve">Степента на изпълнение на стандартите за качество е един от основните показатели за оценка на дейността на адвоката, при осъществяването на контрол върху предоставената от него правна помощ, и за определяне на възнаграждението му. </w:t>
      </w:r>
    </w:p>
    <w:p w:rsidR="007E0273" w:rsidRPr="002E4E1C" w:rsidRDefault="007E0273" w:rsidP="007E0273">
      <w:pPr>
        <w:pStyle w:val="NoSpacing"/>
        <w:jc w:val="both"/>
      </w:pPr>
      <w:r w:rsidRPr="002E4E1C">
        <w:tab/>
        <w:t>Стандартите са задължителни за прилагане от НБПП и адвокатските съвети в страната, при осъществяването на една от основните им функции контрол върху предоставената правна помощ по чл. 8, т. 6 от Закона за правната помощ за бюрото и по чл. 18, т. 5 и т. 6 от Закона за правната помощ за адвокатските съвети.</w:t>
      </w:r>
    </w:p>
    <w:p w:rsidR="007E0273" w:rsidRPr="002E4E1C" w:rsidRDefault="007E0273" w:rsidP="007E0273">
      <w:pPr>
        <w:pStyle w:val="NoSpacing"/>
        <w:jc w:val="both"/>
      </w:pPr>
    </w:p>
    <w:p w:rsidR="007E0273" w:rsidRPr="002E4E1C" w:rsidRDefault="007E0273" w:rsidP="007E0273">
      <w:pPr>
        <w:pStyle w:val="NoSpacing"/>
        <w:jc w:val="both"/>
        <w:rPr>
          <w:b/>
          <w:u w:val="single"/>
        </w:rPr>
      </w:pPr>
      <w:r w:rsidRPr="002E4E1C">
        <w:rPr>
          <w:b/>
          <w:u w:val="single"/>
        </w:rPr>
        <w:t>І. Общи минимални стандарти при предоставяне на правна помощ от адвокатите:</w:t>
      </w:r>
    </w:p>
    <w:p w:rsidR="007E0273" w:rsidRPr="002E4E1C" w:rsidRDefault="007E0273" w:rsidP="007E0273">
      <w:pPr>
        <w:pStyle w:val="NoSpacing"/>
        <w:jc w:val="both"/>
        <w:rPr>
          <w:b/>
          <w:u w:val="single"/>
        </w:rPr>
      </w:pPr>
    </w:p>
    <w:p w:rsidR="007E0273" w:rsidRPr="002E4E1C" w:rsidRDefault="007E0273" w:rsidP="007E0273">
      <w:pPr>
        <w:pStyle w:val="NoSpacing"/>
        <w:jc w:val="both"/>
      </w:pPr>
      <w:r w:rsidRPr="002E4E1C">
        <w:t>1. Адвокат, който е вписан в HPПП е длъжен да осъществява правна помощ по реда на Закона за правната помощ, когато е определен за това, като води възложеното му дело със същата грижа, както ако е бил упълномощен от клиента.</w:t>
      </w:r>
    </w:p>
    <w:p w:rsidR="007E0273" w:rsidRPr="002E4E1C" w:rsidRDefault="007E0273" w:rsidP="007E0273">
      <w:pPr>
        <w:pStyle w:val="NoSpacing"/>
        <w:jc w:val="both"/>
        <w:rPr>
          <w:spacing w:val="-10"/>
        </w:rPr>
      </w:pPr>
      <w:r w:rsidRPr="002E4E1C">
        <w:rPr>
          <w:spacing w:val="-10"/>
        </w:rPr>
        <w:t xml:space="preserve">2.  Адвокатът няма право да откаже възложената му правна помощ, освен ако са налице основателни, уважителни или независещи от него причини. В тези случаи е длъжен да уведоми, своевременно, </w:t>
      </w:r>
      <w:proofErr w:type="spellStart"/>
      <w:r w:rsidRPr="002E4E1C">
        <w:rPr>
          <w:spacing w:val="-10"/>
        </w:rPr>
        <w:t>подзащитния</w:t>
      </w:r>
      <w:proofErr w:type="spellEnd"/>
      <w:r w:rsidRPr="002E4E1C">
        <w:rPr>
          <w:spacing w:val="-10"/>
        </w:rPr>
        <w:t xml:space="preserve"> си, така че последният да организира защитата си, както и органа по чл. 25 от ЗПП, който го е назначил.</w:t>
      </w:r>
    </w:p>
    <w:p w:rsidR="007E0273" w:rsidRPr="002E4E1C" w:rsidRDefault="007E0273" w:rsidP="007E0273">
      <w:pPr>
        <w:pStyle w:val="NoSpacing"/>
        <w:jc w:val="both"/>
        <w:rPr>
          <w:spacing w:val="-10"/>
        </w:rPr>
      </w:pPr>
      <w:r w:rsidRPr="002E4E1C">
        <w:rPr>
          <w:spacing w:val="-10"/>
        </w:rPr>
        <w:t xml:space="preserve">3.  Адвокатът е длъжен да предостави правна помощ  добросъвестно  и  компетентно, като използва всички възможни и допустими от закона правни средства за защита на законните права и интереси на </w:t>
      </w:r>
      <w:proofErr w:type="spellStart"/>
      <w:r w:rsidRPr="002E4E1C">
        <w:rPr>
          <w:spacing w:val="-10"/>
        </w:rPr>
        <w:t>подзащитния</w:t>
      </w:r>
      <w:proofErr w:type="spellEnd"/>
      <w:r w:rsidRPr="002E4E1C">
        <w:rPr>
          <w:spacing w:val="-10"/>
        </w:rPr>
        <w:t xml:space="preserve"> си.</w:t>
      </w:r>
    </w:p>
    <w:p w:rsidR="007E0273" w:rsidRPr="002E4E1C" w:rsidRDefault="007E0273" w:rsidP="007E0273">
      <w:pPr>
        <w:pStyle w:val="NoSpacing"/>
        <w:jc w:val="both"/>
        <w:rPr>
          <w:spacing w:val="-10"/>
        </w:rPr>
      </w:pPr>
      <w:r w:rsidRPr="002E4E1C">
        <w:rPr>
          <w:spacing w:val="-10"/>
        </w:rPr>
        <w:t xml:space="preserve">4.   Адвокатът няма право да получава от доверителя или от </w:t>
      </w:r>
      <w:proofErr w:type="spellStart"/>
      <w:r w:rsidRPr="002E4E1C">
        <w:rPr>
          <w:spacing w:val="-10"/>
        </w:rPr>
        <w:t>подзащитния</w:t>
      </w:r>
      <w:proofErr w:type="spellEnd"/>
      <w:r w:rsidRPr="002E4E1C">
        <w:rPr>
          <w:spacing w:val="-10"/>
        </w:rPr>
        <w:t xml:space="preserve"> си възнаграждение и средства за покриване на разходи.</w:t>
      </w:r>
    </w:p>
    <w:p w:rsidR="007E0273" w:rsidRPr="002E4E1C" w:rsidRDefault="007E0273" w:rsidP="007E0273">
      <w:pPr>
        <w:pStyle w:val="NoSpacing"/>
        <w:jc w:val="both"/>
      </w:pPr>
      <w:r w:rsidRPr="002E4E1C">
        <w:rPr>
          <w:spacing w:val="-10"/>
        </w:rPr>
        <w:t xml:space="preserve">5.  </w:t>
      </w:r>
      <w:r w:rsidRPr="002E4E1C">
        <w:t>Адвокатът не може да поема възложена му служебна защита, за изпълнението на която не разполага с време, знае или е бил длъжен да знае, че не притежава необходимите знания и компетентност.</w:t>
      </w:r>
    </w:p>
    <w:p w:rsidR="007E0273" w:rsidRPr="002E4E1C" w:rsidRDefault="007E0273" w:rsidP="007E0273">
      <w:pPr>
        <w:pStyle w:val="NoSpacing"/>
        <w:jc w:val="both"/>
      </w:pPr>
      <w:r w:rsidRPr="002E4E1C">
        <w:t xml:space="preserve">6.  Адвокатът не може без съгласието на лицето, което представлява да встъпва в преговори с противната страна или с нейния адвокат. </w:t>
      </w:r>
    </w:p>
    <w:p w:rsidR="007E0273" w:rsidRPr="002E4E1C" w:rsidRDefault="007E0273" w:rsidP="007E0273">
      <w:pPr>
        <w:pStyle w:val="NoSpacing"/>
        <w:jc w:val="both"/>
      </w:pPr>
      <w:r w:rsidRPr="002E4E1C">
        <w:t>7.  Адвокатът не може да бъде повереник или защитник на страна по дело, възложено му по реда на ЗПП, по което е бил съдия, съдебен заседател, прокурор, следовател или е съпруг, роднина по права линия без ограничение, по съребрена линия до четвърта степен или по сватовство до трета степен на съдия, съдебен заседател, прокурор или следовател по делото.</w:t>
      </w:r>
    </w:p>
    <w:p w:rsidR="007E0273" w:rsidRPr="002E4E1C" w:rsidRDefault="007E0273" w:rsidP="007E0273">
      <w:pPr>
        <w:pStyle w:val="NoSpacing"/>
        <w:jc w:val="both"/>
      </w:pPr>
    </w:p>
    <w:p w:rsidR="007E0273" w:rsidRPr="002E4E1C" w:rsidRDefault="007E0273" w:rsidP="007E0273">
      <w:pPr>
        <w:pStyle w:val="NoSpacing"/>
        <w:jc w:val="both"/>
        <w:rPr>
          <w:b/>
          <w:u w:val="single"/>
        </w:rPr>
      </w:pPr>
      <w:r w:rsidRPr="002E4E1C">
        <w:rPr>
          <w:b/>
          <w:u w:val="single"/>
        </w:rPr>
        <w:t>ІІ.Стандарти за качество на предоставената правна помощ по наказателни дела.</w:t>
      </w:r>
    </w:p>
    <w:p w:rsidR="007E0273" w:rsidRPr="002E4E1C" w:rsidRDefault="007E0273" w:rsidP="007E0273">
      <w:pPr>
        <w:pStyle w:val="NoSpacing"/>
        <w:jc w:val="both"/>
        <w:rPr>
          <w:b/>
          <w:u w:val="single"/>
        </w:rPr>
      </w:pPr>
    </w:p>
    <w:p w:rsidR="007E0273" w:rsidRPr="002E4E1C" w:rsidRDefault="007E0273" w:rsidP="007E0273">
      <w:pPr>
        <w:pStyle w:val="NoSpacing"/>
        <w:widowControl w:val="0"/>
        <w:numPr>
          <w:ilvl w:val="0"/>
          <w:numId w:val="5"/>
        </w:numPr>
        <w:autoSpaceDE w:val="0"/>
        <w:autoSpaceDN w:val="0"/>
        <w:adjustRightInd w:val="0"/>
        <w:jc w:val="both"/>
      </w:pPr>
      <w:r w:rsidRPr="002E4E1C">
        <w:t>Запознаване на клиента с неговите права.</w:t>
      </w:r>
    </w:p>
    <w:p w:rsidR="007E0273" w:rsidRPr="002E4E1C" w:rsidRDefault="007E0273" w:rsidP="007E0273">
      <w:pPr>
        <w:pStyle w:val="NoSpacing"/>
        <w:widowControl w:val="0"/>
        <w:numPr>
          <w:ilvl w:val="0"/>
          <w:numId w:val="5"/>
        </w:numPr>
        <w:autoSpaceDE w:val="0"/>
        <w:autoSpaceDN w:val="0"/>
        <w:adjustRightInd w:val="0"/>
        <w:jc w:val="both"/>
      </w:pPr>
      <w:r w:rsidRPr="002E4E1C">
        <w:t>Подготовка по делото - проучване на материалите и на задължителната и незадължителна съдебна практика по сходни казуси.</w:t>
      </w:r>
    </w:p>
    <w:p w:rsidR="007E0273" w:rsidRPr="002E4E1C" w:rsidRDefault="007E0273" w:rsidP="007E0273">
      <w:pPr>
        <w:pStyle w:val="NoSpacing"/>
        <w:widowControl w:val="0"/>
        <w:numPr>
          <w:ilvl w:val="0"/>
          <w:numId w:val="5"/>
        </w:numPr>
        <w:autoSpaceDE w:val="0"/>
        <w:autoSpaceDN w:val="0"/>
        <w:adjustRightInd w:val="0"/>
        <w:jc w:val="both"/>
      </w:pPr>
      <w:r w:rsidRPr="002E4E1C">
        <w:t>Предварително съгласуване с клиента на линията на защита, включително обсъждане и вземане на решение по въпросите, които се обсъждат в разпоредително заседание.</w:t>
      </w:r>
    </w:p>
    <w:p w:rsidR="007E0273" w:rsidRPr="002E4E1C" w:rsidRDefault="007E0273" w:rsidP="007E0273">
      <w:pPr>
        <w:pStyle w:val="NoSpacing"/>
        <w:widowControl w:val="0"/>
        <w:numPr>
          <w:ilvl w:val="0"/>
          <w:numId w:val="5"/>
        </w:numPr>
        <w:autoSpaceDE w:val="0"/>
        <w:autoSpaceDN w:val="0"/>
        <w:adjustRightInd w:val="0"/>
        <w:jc w:val="both"/>
      </w:pPr>
      <w:r w:rsidRPr="002E4E1C">
        <w:t>Предварително проучване на материалите по делото, подготовка и участие във всяко съдебно заседание и вземане на становище по всички обсъждани въпроси.</w:t>
      </w:r>
    </w:p>
    <w:p w:rsidR="007E0273" w:rsidRPr="002E4E1C" w:rsidRDefault="007E0273" w:rsidP="007E0273">
      <w:pPr>
        <w:pStyle w:val="NoSpacing"/>
        <w:widowControl w:val="0"/>
        <w:numPr>
          <w:ilvl w:val="0"/>
          <w:numId w:val="5"/>
        </w:numPr>
        <w:autoSpaceDE w:val="0"/>
        <w:autoSpaceDN w:val="0"/>
        <w:adjustRightInd w:val="0"/>
        <w:jc w:val="both"/>
      </w:pPr>
      <w:r w:rsidRPr="002E4E1C">
        <w:t xml:space="preserve">Своевременно отправяне на искания за конституиране на страни, отводи, за </w:t>
      </w:r>
      <w:r w:rsidRPr="002E4E1C">
        <w:lastRenderedPageBreak/>
        <w:t>прекратяване на наказателното производство, изразяване на становище относно реда за разглеждане на делото, ангажиране на доказателства, изразяване на аргументирани становища по исканията и доказателствата на другите страни.</w:t>
      </w:r>
    </w:p>
    <w:p w:rsidR="007E0273" w:rsidRPr="002E4E1C" w:rsidRDefault="007E0273" w:rsidP="007E0273">
      <w:pPr>
        <w:pStyle w:val="NoSpacing"/>
        <w:widowControl w:val="0"/>
        <w:numPr>
          <w:ilvl w:val="0"/>
          <w:numId w:val="5"/>
        </w:numPr>
        <w:autoSpaceDE w:val="0"/>
        <w:autoSpaceDN w:val="0"/>
        <w:adjustRightInd w:val="0"/>
        <w:jc w:val="both"/>
      </w:pPr>
      <w:r w:rsidRPr="002E4E1C">
        <w:t xml:space="preserve">Формулиране на доказателствени искания, свързани с предмета на доказване и в подкрепа на линията на защита /интересите на клиента /.   </w:t>
      </w:r>
    </w:p>
    <w:p w:rsidR="007E0273" w:rsidRPr="002E4E1C" w:rsidRDefault="007E0273" w:rsidP="007E0273">
      <w:pPr>
        <w:pStyle w:val="NoSpacing"/>
        <w:widowControl w:val="0"/>
        <w:numPr>
          <w:ilvl w:val="0"/>
          <w:numId w:val="5"/>
        </w:numPr>
        <w:autoSpaceDE w:val="0"/>
        <w:autoSpaceDN w:val="0"/>
        <w:adjustRightInd w:val="0"/>
        <w:jc w:val="both"/>
      </w:pPr>
      <w:r w:rsidRPr="002E4E1C">
        <w:t>Своевременно отправяне на искания за поправки и допълнения в съдебния протокол.</w:t>
      </w:r>
    </w:p>
    <w:p w:rsidR="007E0273" w:rsidRPr="002E4E1C" w:rsidRDefault="007E0273" w:rsidP="007E0273">
      <w:pPr>
        <w:pStyle w:val="NoSpacing"/>
        <w:widowControl w:val="0"/>
        <w:numPr>
          <w:ilvl w:val="0"/>
          <w:numId w:val="5"/>
        </w:numPr>
        <w:autoSpaceDE w:val="0"/>
        <w:autoSpaceDN w:val="0"/>
        <w:adjustRightInd w:val="0"/>
        <w:jc w:val="both"/>
      </w:pPr>
      <w:r w:rsidRPr="002E4E1C">
        <w:t xml:space="preserve">Отправяне на искания за вземане или изменение на мерки за процесуална принуда и своевременно подаване на жалби свързани с техния </w:t>
      </w:r>
      <w:proofErr w:type="spellStart"/>
      <w:r w:rsidRPr="002E4E1C">
        <w:t>инстанционен</w:t>
      </w:r>
      <w:proofErr w:type="spellEnd"/>
      <w:r w:rsidRPr="002E4E1C">
        <w:t xml:space="preserve"> контрол.</w:t>
      </w:r>
    </w:p>
    <w:p w:rsidR="007E0273" w:rsidRPr="002E4E1C" w:rsidRDefault="007E0273" w:rsidP="007E0273">
      <w:pPr>
        <w:pStyle w:val="NoSpacing"/>
        <w:widowControl w:val="0"/>
        <w:numPr>
          <w:ilvl w:val="0"/>
          <w:numId w:val="5"/>
        </w:numPr>
        <w:autoSpaceDE w:val="0"/>
        <w:autoSpaceDN w:val="0"/>
        <w:adjustRightInd w:val="0"/>
        <w:jc w:val="both"/>
      </w:pPr>
      <w:r w:rsidRPr="002E4E1C">
        <w:t>Излагане на аргументирана позиция по въпросите, включени в предмета на доказване и по същество.</w:t>
      </w:r>
    </w:p>
    <w:p w:rsidR="007E0273" w:rsidRPr="002E4E1C" w:rsidRDefault="007E0273" w:rsidP="007E0273">
      <w:pPr>
        <w:pStyle w:val="NoSpacing"/>
        <w:widowControl w:val="0"/>
        <w:numPr>
          <w:ilvl w:val="0"/>
          <w:numId w:val="5"/>
        </w:numPr>
        <w:autoSpaceDE w:val="0"/>
        <w:autoSpaceDN w:val="0"/>
        <w:adjustRightInd w:val="0"/>
        <w:jc w:val="both"/>
      </w:pPr>
      <w:r w:rsidRPr="002E4E1C">
        <w:t xml:space="preserve">Своевременно и мотивиране обжалване на съдебни актове по реда на </w:t>
      </w:r>
      <w:proofErr w:type="spellStart"/>
      <w:r w:rsidRPr="002E4E1C">
        <w:t>инстанционния</w:t>
      </w:r>
      <w:proofErr w:type="spellEnd"/>
      <w:r w:rsidRPr="002E4E1C">
        <w:t xml:space="preserve"> контрол, с изчерпателно посочване на основанията, искането, което се отправя, неизяснените обстоятелства и доказателствените искания.</w:t>
      </w:r>
    </w:p>
    <w:p w:rsidR="007E0273" w:rsidRPr="002E4E1C" w:rsidRDefault="007E0273" w:rsidP="007E0273">
      <w:pPr>
        <w:pStyle w:val="NoSpacing"/>
        <w:ind w:left="720"/>
        <w:jc w:val="both"/>
      </w:pPr>
    </w:p>
    <w:p w:rsidR="007E0273" w:rsidRPr="002E4E1C" w:rsidRDefault="007E0273" w:rsidP="007E0273">
      <w:pPr>
        <w:pStyle w:val="NoSpacing"/>
        <w:jc w:val="both"/>
        <w:rPr>
          <w:b/>
          <w:u w:val="single"/>
        </w:rPr>
      </w:pPr>
    </w:p>
    <w:p w:rsidR="007E0273" w:rsidRPr="002E4E1C" w:rsidRDefault="007E0273" w:rsidP="007E0273">
      <w:pPr>
        <w:pStyle w:val="NoSpacing"/>
        <w:jc w:val="both"/>
        <w:rPr>
          <w:b/>
          <w:u w:val="single"/>
        </w:rPr>
      </w:pPr>
    </w:p>
    <w:p w:rsidR="007E0273" w:rsidRPr="002E4E1C" w:rsidRDefault="007E0273" w:rsidP="007E0273">
      <w:pPr>
        <w:pStyle w:val="NoSpacing"/>
        <w:jc w:val="both"/>
        <w:rPr>
          <w:b/>
          <w:u w:val="single"/>
        </w:rPr>
      </w:pPr>
      <w:r w:rsidRPr="002E4E1C">
        <w:rPr>
          <w:b/>
          <w:u w:val="single"/>
        </w:rPr>
        <w:t>ІІІ.  Стандарти за качество по граждански и административни дела.</w:t>
      </w:r>
    </w:p>
    <w:p w:rsidR="007E0273" w:rsidRPr="002E4E1C" w:rsidRDefault="007E0273" w:rsidP="007E0273">
      <w:pPr>
        <w:pStyle w:val="NoSpacing"/>
        <w:jc w:val="both"/>
        <w:rPr>
          <w:b/>
          <w:u w:val="single"/>
        </w:rPr>
      </w:pPr>
    </w:p>
    <w:p w:rsidR="007E0273" w:rsidRPr="002E4E1C" w:rsidRDefault="007E0273" w:rsidP="007E0273">
      <w:pPr>
        <w:pStyle w:val="NoSpacing"/>
        <w:widowControl w:val="0"/>
        <w:numPr>
          <w:ilvl w:val="0"/>
          <w:numId w:val="6"/>
        </w:numPr>
        <w:autoSpaceDE w:val="0"/>
        <w:autoSpaceDN w:val="0"/>
        <w:adjustRightInd w:val="0"/>
        <w:jc w:val="both"/>
      </w:pPr>
      <w:r w:rsidRPr="002E4E1C">
        <w:t>Предварително съгласуване с клиента на линията на защита.</w:t>
      </w:r>
    </w:p>
    <w:p w:rsidR="007E0273" w:rsidRPr="002E4E1C" w:rsidRDefault="007E0273" w:rsidP="007E0273">
      <w:pPr>
        <w:pStyle w:val="NoSpacing"/>
        <w:widowControl w:val="0"/>
        <w:numPr>
          <w:ilvl w:val="0"/>
          <w:numId w:val="6"/>
        </w:numPr>
        <w:autoSpaceDE w:val="0"/>
        <w:autoSpaceDN w:val="0"/>
        <w:adjustRightInd w:val="0"/>
        <w:jc w:val="both"/>
      </w:pPr>
      <w:r w:rsidRPr="002E4E1C">
        <w:t>Запознаване на клиента с неговите права, правната страна на казуса и необходимите доказателства.</w:t>
      </w:r>
    </w:p>
    <w:p w:rsidR="007E0273" w:rsidRPr="002E4E1C" w:rsidRDefault="007E0273" w:rsidP="007E0273">
      <w:pPr>
        <w:pStyle w:val="NoSpacing"/>
        <w:widowControl w:val="0"/>
        <w:numPr>
          <w:ilvl w:val="0"/>
          <w:numId w:val="6"/>
        </w:numPr>
        <w:autoSpaceDE w:val="0"/>
        <w:autoSpaceDN w:val="0"/>
        <w:adjustRightInd w:val="0"/>
        <w:jc w:val="both"/>
      </w:pPr>
      <w:r w:rsidRPr="002E4E1C">
        <w:t>Предварителна подготовка по делото-запознаване с материалите по делото и проучване на задължителната и незадължителна съдебна практика по сходни казуси.</w:t>
      </w:r>
    </w:p>
    <w:p w:rsidR="007E0273" w:rsidRPr="002E4E1C" w:rsidRDefault="007E0273" w:rsidP="007E0273">
      <w:pPr>
        <w:pStyle w:val="NoSpacing"/>
        <w:widowControl w:val="0"/>
        <w:numPr>
          <w:ilvl w:val="0"/>
          <w:numId w:val="6"/>
        </w:numPr>
        <w:autoSpaceDE w:val="0"/>
        <w:autoSpaceDN w:val="0"/>
        <w:adjustRightInd w:val="0"/>
        <w:jc w:val="both"/>
      </w:pPr>
      <w:r w:rsidRPr="002E4E1C">
        <w:t xml:space="preserve">Депозиране на искови молби с ясно формулирани твърдения, предмет на спора, </w:t>
      </w:r>
      <w:proofErr w:type="spellStart"/>
      <w:r w:rsidRPr="002E4E1C">
        <w:t>петитум</w:t>
      </w:r>
      <w:proofErr w:type="spellEnd"/>
      <w:r w:rsidRPr="002E4E1C">
        <w:t xml:space="preserve"> и доказателствени искания.</w:t>
      </w:r>
    </w:p>
    <w:p w:rsidR="007E0273" w:rsidRPr="002E4E1C" w:rsidRDefault="007E0273" w:rsidP="007E0273">
      <w:pPr>
        <w:pStyle w:val="NoSpacing"/>
        <w:widowControl w:val="0"/>
        <w:numPr>
          <w:ilvl w:val="0"/>
          <w:numId w:val="6"/>
        </w:numPr>
        <w:autoSpaceDE w:val="0"/>
        <w:autoSpaceDN w:val="0"/>
        <w:adjustRightInd w:val="0"/>
        <w:jc w:val="both"/>
      </w:pPr>
      <w:r w:rsidRPr="002E4E1C">
        <w:t xml:space="preserve">Своевременно изготвяне на писмен отговор, който съдържа аргументирано становище по редовността на исковата молба, допустимостта и основателността на предявените искове, с посочване на всички </w:t>
      </w:r>
      <w:proofErr w:type="spellStart"/>
      <w:r w:rsidRPr="002E4E1C">
        <w:t>правоизключващи</w:t>
      </w:r>
      <w:proofErr w:type="spellEnd"/>
      <w:r w:rsidRPr="002E4E1C">
        <w:t xml:space="preserve"> и </w:t>
      </w:r>
      <w:proofErr w:type="spellStart"/>
      <w:r w:rsidRPr="002E4E1C">
        <w:t>правопогасяващи</w:t>
      </w:r>
      <w:proofErr w:type="spellEnd"/>
      <w:r w:rsidRPr="002E4E1C">
        <w:t xml:space="preserve"> възражения, оспорване на документи, формулиране на доказателствени искания, своевременно предявяване на насрещни искове, привличане на трети лица и предявяване на обратни искове срещу тях.</w:t>
      </w:r>
    </w:p>
    <w:p w:rsidR="007E0273" w:rsidRPr="002E4E1C" w:rsidRDefault="007E0273" w:rsidP="007E0273">
      <w:pPr>
        <w:pStyle w:val="NoSpacing"/>
        <w:widowControl w:val="0"/>
        <w:numPr>
          <w:ilvl w:val="0"/>
          <w:numId w:val="6"/>
        </w:numPr>
        <w:autoSpaceDE w:val="0"/>
        <w:autoSpaceDN w:val="0"/>
        <w:adjustRightInd w:val="0"/>
        <w:jc w:val="both"/>
      </w:pPr>
      <w:r w:rsidRPr="002E4E1C">
        <w:t>Депозиране на молби за допълване и поправки на съдебния протокол;</w:t>
      </w:r>
    </w:p>
    <w:p w:rsidR="007E0273" w:rsidRPr="002E4E1C" w:rsidRDefault="007E0273" w:rsidP="007E0273">
      <w:pPr>
        <w:pStyle w:val="NoSpacing"/>
        <w:widowControl w:val="0"/>
        <w:numPr>
          <w:ilvl w:val="0"/>
          <w:numId w:val="6"/>
        </w:numPr>
        <w:autoSpaceDE w:val="0"/>
        <w:autoSpaceDN w:val="0"/>
        <w:adjustRightInd w:val="0"/>
        <w:jc w:val="both"/>
      </w:pPr>
      <w:r w:rsidRPr="002E4E1C">
        <w:t>Предварителна подготовка / снабдяване с допуснати доказателства, получаване и запознаване с изготвени експертизи, представени от насрещната страна книжа и доказателства / и участие във всяко съдебно заседание.</w:t>
      </w:r>
    </w:p>
    <w:p w:rsidR="007E0273" w:rsidRPr="002E4E1C" w:rsidRDefault="007E0273" w:rsidP="007E0273">
      <w:pPr>
        <w:pStyle w:val="NoSpacing"/>
        <w:widowControl w:val="0"/>
        <w:numPr>
          <w:ilvl w:val="0"/>
          <w:numId w:val="6"/>
        </w:numPr>
        <w:autoSpaceDE w:val="0"/>
        <w:autoSpaceDN w:val="0"/>
        <w:adjustRightInd w:val="0"/>
        <w:jc w:val="both"/>
      </w:pPr>
      <w:r w:rsidRPr="002E4E1C">
        <w:t>Изразяване на аргументирано /устно и писмено/ становище по съществото на спора в указания от съда срок.</w:t>
      </w:r>
    </w:p>
    <w:p w:rsidR="007E0273" w:rsidRPr="002E4E1C" w:rsidRDefault="007E0273" w:rsidP="007E0273">
      <w:pPr>
        <w:pStyle w:val="NoSpacing"/>
        <w:widowControl w:val="0"/>
        <w:numPr>
          <w:ilvl w:val="0"/>
          <w:numId w:val="6"/>
        </w:numPr>
        <w:autoSpaceDE w:val="0"/>
        <w:autoSpaceDN w:val="0"/>
        <w:adjustRightInd w:val="0"/>
        <w:jc w:val="both"/>
      </w:pPr>
      <w:r w:rsidRPr="002E4E1C">
        <w:t>Своевременно и мотивирано оспорване на неблагоприятни за клиента съдебни актове с формулиране на доказателствени искания.</w:t>
      </w:r>
    </w:p>
    <w:p w:rsidR="007E0273" w:rsidRPr="002E4E1C" w:rsidRDefault="007E0273" w:rsidP="007E0273">
      <w:pPr>
        <w:ind w:right="20" w:firstLine="708"/>
        <w:jc w:val="both"/>
      </w:pPr>
      <w:r w:rsidRPr="002E4E1C">
        <w:t>Своевременно депозиране на молби за допълване на решението, за поправки на явни фактически грешки.</w:t>
      </w:r>
    </w:p>
    <w:p w:rsidR="00AF1A2E" w:rsidRDefault="00AF1A2E"/>
    <w:sectPr w:rsidR="00AF1A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B1E71"/>
    <w:multiLevelType w:val="multilevel"/>
    <w:tmpl w:val="34C0326A"/>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 w15:restartNumberingAfterBreak="0">
    <w:nsid w:val="2BEB16F2"/>
    <w:multiLevelType w:val="multilevel"/>
    <w:tmpl w:val="FB44E122"/>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 w15:restartNumberingAfterBreak="0">
    <w:nsid w:val="3A9770AF"/>
    <w:multiLevelType w:val="multilevel"/>
    <w:tmpl w:val="5A38865E"/>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 w15:restartNumberingAfterBreak="0">
    <w:nsid w:val="464B63CD"/>
    <w:multiLevelType w:val="hybridMultilevel"/>
    <w:tmpl w:val="D6BA4BF0"/>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4" w15:restartNumberingAfterBreak="0">
    <w:nsid w:val="4DB96562"/>
    <w:multiLevelType w:val="hybridMultilevel"/>
    <w:tmpl w:val="C07CC67C"/>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5" w15:restartNumberingAfterBreak="0">
    <w:nsid w:val="691E667D"/>
    <w:multiLevelType w:val="hybridMultilevel"/>
    <w:tmpl w:val="1DAC9386"/>
    <w:lvl w:ilvl="0" w:tplc="0402000F">
      <w:start w:val="1"/>
      <w:numFmt w:val="decimal"/>
      <w:lvlText w:val="%1."/>
      <w:lvlJc w:val="left"/>
      <w:pPr>
        <w:ind w:left="720" w:hanging="360"/>
      </w:pPr>
      <w:rPr>
        <w:rFonts w:cs="Times New Roman"/>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273"/>
    <w:rsid w:val="001C336A"/>
    <w:rsid w:val="007E0273"/>
    <w:rsid w:val="00A80D2E"/>
    <w:rsid w:val="00AF1A2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65F36"/>
  <w15:docId w15:val="{2522CF22-07B7-43C4-80C9-081712256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273"/>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0273"/>
    <w:pPr>
      <w:ind w:left="720"/>
      <w:contextualSpacing/>
    </w:pPr>
  </w:style>
  <w:style w:type="paragraph" w:styleId="NoSpacing">
    <w:name w:val="No Spacing"/>
    <w:uiPriority w:val="1"/>
    <w:qFormat/>
    <w:rsid w:val="007E0273"/>
    <w:pPr>
      <w:spacing w:after="0" w:line="240" w:lineRule="auto"/>
    </w:pPr>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2022</Words>
  <Characters>11526</Characters>
  <Application>Microsoft Office Word</Application>
  <DocSecurity>0</DocSecurity>
  <Lines>96</Lines>
  <Paragraphs>27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Ilieva</dc:creator>
  <cp:lastModifiedBy>Nelly Krumova</cp:lastModifiedBy>
  <cp:revision>3</cp:revision>
  <dcterms:created xsi:type="dcterms:W3CDTF">2023-02-07T14:06:00Z</dcterms:created>
  <dcterms:modified xsi:type="dcterms:W3CDTF">2023-02-07T14:06:00Z</dcterms:modified>
</cp:coreProperties>
</file>