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967C6" w14:textId="77777777" w:rsidR="00572912" w:rsidRDefault="00572912" w:rsidP="00572912">
      <w:pPr>
        <w:spacing w:after="2081"/>
        <w:rPr>
          <w:rStyle w:val="Bodytext30"/>
          <w:lang w:val="bg-BG"/>
        </w:rPr>
      </w:pPr>
    </w:p>
    <w:p w14:paraId="54CECE00" w14:textId="77777777" w:rsidR="00572912" w:rsidRPr="00AE049D" w:rsidRDefault="00572912" w:rsidP="001D5407">
      <w:pPr>
        <w:spacing w:after="2081"/>
        <w:jc w:val="left"/>
        <w:rPr>
          <w:lang w:val="bg-BG"/>
        </w:rPr>
      </w:pPr>
      <w:r>
        <w:rPr>
          <w:noProof/>
          <w:lang w:val="bg-BG" w:eastAsia="bg-BG"/>
        </w:rPr>
        <w:drawing>
          <wp:anchor distT="0" distB="0" distL="63500" distR="408305" simplePos="0" relativeHeight="251684864" behindDoc="1" locked="0" layoutInCell="1" allowOverlap="1" wp14:anchorId="0FBFC752" wp14:editId="4B4E42CB">
            <wp:simplePos x="0" y="0"/>
            <wp:positionH relativeFrom="margin">
              <wp:posOffset>-3657600</wp:posOffset>
            </wp:positionH>
            <wp:positionV relativeFrom="margin">
              <wp:posOffset>0</wp:posOffset>
            </wp:positionV>
            <wp:extent cx="3249295" cy="10692130"/>
            <wp:effectExtent l="0" t="0" r="0" b="0"/>
            <wp:wrapSquare wrapText="right"/>
            <wp:docPr id="19" name="Picture 2" descr="C:\Users\rumian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miana\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9295" cy="10692130"/>
                    </a:xfrm>
                    <a:prstGeom prst="rect">
                      <a:avLst/>
                    </a:prstGeom>
                    <a:noFill/>
                  </pic:spPr>
                </pic:pic>
              </a:graphicData>
            </a:graphic>
            <wp14:sizeRelH relativeFrom="page">
              <wp14:pctWidth>0</wp14:pctWidth>
            </wp14:sizeRelH>
            <wp14:sizeRelV relativeFrom="page">
              <wp14:pctHeight>0</wp14:pctHeight>
            </wp14:sizeRelV>
          </wp:anchor>
        </w:drawing>
      </w:r>
      <w:r>
        <w:rPr>
          <w:rStyle w:val="Bodytext30"/>
          <w:lang w:val="bg-BG"/>
        </w:rPr>
        <w:t>Приложение на Конвенцията на ОИСР за борба с корупцията</w:t>
      </w:r>
    </w:p>
    <w:p w14:paraId="1CC1C33F" w14:textId="77777777" w:rsidR="00572912" w:rsidRDefault="00572912" w:rsidP="00572912">
      <w:pPr>
        <w:rPr>
          <w:rStyle w:val="Bodytext40"/>
          <w:b w:val="0"/>
          <w:bCs w:val="0"/>
          <w:lang w:val="bg-BG"/>
        </w:rPr>
      </w:pPr>
      <w:r w:rsidRPr="00B42E71">
        <w:rPr>
          <w:lang w:val="bg-BG"/>
        </w:rPr>
        <w:t>Доклад - Фаза 4</w:t>
      </w:r>
      <w:r w:rsidRPr="00AE049D">
        <w:rPr>
          <w:lang w:val="bg-BG"/>
        </w:rPr>
        <w:t xml:space="preserve">: </w:t>
      </w:r>
      <w:r w:rsidRPr="00B42E71">
        <w:rPr>
          <w:rStyle w:val="Bodytext40"/>
          <w:b w:val="0"/>
          <w:bCs w:val="0"/>
          <w:lang w:val="bg-BG"/>
        </w:rPr>
        <w:t>България</w:t>
      </w:r>
    </w:p>
    <w:p w14:paraId="506C1B48" w14:textId="77777777" w:rsidR="00572912" w:rsidRPr="00B42E71" w:rsidRDefault="00572912" w:rsidP="00572912">
      <w:pPr>
        <w:rPr>
          <w:rStyle w:val="Bodytext40"/>
          <w:b w:val="0"/>
          <w:bCs w:val="0"/>
          <w:lang w:val="bg-BG"/>
        </w:rPr>
      </w:pPr>
    </w:p>
    <w:p w14:paraId="5E5F795D" w14:textId="77777777" w:rsidR="00572912" w:rsidRPr="00B42E71" w:rsidRDefault="00572912" w:rsidP="00572912">
      <w:pPr>
        <w:pBdr>
          <w:top w:val="single" w:sz="4" w:space="1" w:color="auto"/>
          <w:left w:val="single" w:sz="4" w:space="4" w:color="auto"/>
          <w:bottom w:val="single" w:sz="4" w:space="1" w:color="auto"/>
          <w:right w:val="single" w:sz="4" w:space="4" w:color="auto"/>
        </w:pBdr>
        <w:jc w:val="left"/>
        <w:rPr>
          <w:sz w:val="32"/>
          <w:szCs w:val="32"/>
          <w:lang w:val="bg-BG"/>
        </w:rPr>
        <w:sectPr w:rsidR="00572912" w:rsidRPr="00B42E71" w:rsidSect="00572912">
          <w:headerReference w:type="first" r:id="rId10"/>
          <w:type w:val="continuous"/>
          <w:pgSz w:w="11900" w:h="16840"/>
          <w:pgMar w:top="0" w:right="2156" w:bottom="0" w:left="5760" w:header="0" w:footer="3" w:gutter="0"/>
          <w:cols w:space="720"/>
          <w:noEndnote/>
          <w:docGrid w:linePitch="360"/>
        </w:sectPr>
      </w:pPr>
      <w:r w:rsidRPr="00B42E71">
        <w:rPr>
          <w:rStyle w:val="Bodytext40"/>
          <w:b w:val="0"/>
          <w:bCs w:val="0"/>
          <w:sz w:val="32"/>
          <w:szCs w:val="32"/>
          <w:lang w:val="bg-BG"/>
        </w:rPr>
        <w:t>Неофициален превод на български език</w:t>
      </w:r>
    </w:p>
    <w:p w14:paraId="2CDA0BE2" w14:textId="77777777" w:rsidR="00572912" w:rsidRDefault="00572912" w:rsidP="00572912">
      <w:pPr>
        <w:pStyle w:val="Bodytext50"/>
        <w:shd w:val="clear" w:color="auto" w:fill="auto"/>
        <w:spacing w:after="0" w:line="320" w:lineRule="exact"/>
        <w:jc w:val="center"/>
        <w:rPr>
          <w:lang w:val="bg-BG"/>
        </w:rPr>
      </w:pPr>
    </w:p>
    <w:p w14:paraId="70080E7A" w14:textId="77777777" w:rsidR="00D919F3" w:rsidRDefault="00D919F3" w:rsidP="00572912">
      <w:pPr>
        <w:pStyle w:val="Bodytext50"/>
        <w:shd w:val="clear" w:color="auto" w:fill="auto"/>
        <w:spacing w:after="0" w:line="320" w:lineRule="exact"/>
        <w:jc w:val="center"/>
        <w:rPr>
          <w:lang w:val="bg-BG"/>
        </w:rPr>
      </w:pPr>
    </w:p>
    <w:p w14:paraId="00205589" w14:textId="77777777" w:rsidR="00D919F3" w:rsidRPr="00D919F3" w:rsidRDefault="00D919F3" w:rsidP="00572912">
      <w:pPr>
        <w:pStyle w:val="Bodytext50"/>
        <w:shd w:val="clear" w:color="auto" w:fill="auto"/>
        <w:spacing w:after="0" w:line="320" w:lineRule="exact"/>
        <w:jc w:val="center"/>
        <w:rPr>
          <w:lang w:val="bg-BG"/>
        </w:rPr>
      </w:pPr>
    </w:p>
    <w:p w14:paraId="50D4D3EC" w14:textId="77777777" w:rsidR="00572912" w:rsidRDefault="00572912" w:rsidP="00572912">
      <w:pPr>
        <w:pStyle w:val="Bodytext50"/>
        <w:shd w:val="clear" w:color="auto" w:fill="auto"/>
        <w:spacing w:after="0" w:line="320" w:lineRule="exact"/>
        <w:jc w:val="center"/>
        <w:rPr>
          <w:lang w:val="bg-BG"/>
        </w:rPr>
      </w:pPr>
      <w:r>
        <w:rPr>
          <w:lang w:val="bg-BG"/>
        </w:rPr>
        <w:t>Приложение на Конвенцията на ОИСР за борба с корупцията</w:t>
      </w:r>
    </w:p>
    <w:p w14:paraId="0FD2F4FB" w14:textId="77777777" w:rsidR="00572912" w:rsidRDefault="00572912" w:rsidP="00572912">
      <w:pPr>
        <w:pStyle w:val="Bodytext50"/>
        <w:shd w:val="clear" w:color="auto" w:fill="auto"/>
        <w:spacing w:after="0" w:line="320" w:lineRule="exact"/>
        <w:jc w:val="center"/>
        <w:rPr>
          <w:lang w:val="bg-BG"/>
        </w:rPr>
      </w:pPr>
    </w:p>
    <w:p w14:paraId="2B0CF868" w14:textId="77777777" w:rsidR="00572912" w:rsidRDefault="00572912" w:rsidP="00572912">
      <w:pPr>
        <w:pStyle w:val="Bodytext50"/>
        <w:shd w:val="clear" w:color="auto" w:fill="auto"/>
        <w:spacing w:after="0" w:line="320" w:lineRule="exact"/>
        <w:jc w:val="center"/>
        <w:rPr>
          <w:lang w:val="bg-BG"/>
        </w:rPr>
      </w:pPr>
    </w:p>
    <w:p w14:paraId="2BA2829A" w14:textId="77777777" w:rsidR="00572912" w:rsidRDefault="00572912" w:rsidP="00572912">
      <w:pPr>
        <w:pStyle w:val="Bodytext50"/>
        <w:shd w:val="clear" w:color="auto" w:fill="auto"/>
        <w:spacing w:after="0" w:line="320" w:lineRule="exact"/>
        <w:jc w:val="center"/>
        <w:rPr>
          <w:lang w:val="bg-BG"/>
        </w:rPr>
      </w:pPr>
    </w:p>
    <w:p w14:paraId="1479191A" w14:textId="77777777" w:rsidR="00572912" w:rsidRDefault="00572912" w:rsidP="00572912">
      <w:pPr>
        <w:pStyle w:val="Bodytext50"/>
        <w:shd w:val="clear" w:color="auto" w:fill="auto"/>
        <w:spacing w:after="0" w:line="320" w:lineRule="exact"/>
        <w:jc w:val="center"/>
        <w:rPr>
          <w:lang w:val="bg-BG"/>
        </w:rPr>
      </w:pPr>
    </w:p>
    <w:p w14:paraId="04C4B50B" w14:textId="77777777" w:rsidR="00572912" w:rsidRDefault="00572912" w:rsidP="00572912">
      <w:pPr>
        <w:pStyle w:val="Bodytext50"/>
        <w:shd w:val="clear" w:color="auto" w:fill="auto"/>
        <w:spacing w:after="0" w:line="320" w:lineRule="exact"/>
        <w:jc w:val="center"/>
        <w:rPr>
          <w:lang w:val="bg-BG"/>
        </w:rPr>
      </w:pPr>
      <w:r>
        <w:rPr>
          <w:lang w:val="bg-BG"/>
        </w:rPr>
        <w:t>Доклад по фаза 4 за България</w:t>
      </w:r>
    </w:p>
    <w:p w14:paraId="09621C20" w14:textId="77777777" w:rsidR="00572912" w:rsidRDefault="00572912" w:rsidP="00572912">
      <w:pPr>
        <w:pStyle w:val="Bodytext50"/>
        <w:shd w:val="clear" w:color="auto" w:fill="auto"/>
        <w:spacing w:after="0" w:line="320" w:lineRule="exact"/>
        <w:jc w:val="center"/>
        <w:rPr>
          <w:lang w:val="bg-BG"/>
        </w:rPr>
      </w:pPr>
    </w:p>
    <w:p w14:paraId="13DDA2C9" w14:textId="77777777" w:rsidR="00572912" w:rsidRDefault="00572912" w:rsidP="00572912">
      <w:pPr>
        <w:pStyle w:val="Bodytext50"/>
        <w:shd w:val="clear" w:color="auto" w:fill="auto"/>
        <w:spacing w:after="0" w:line="320" w:lineRule="exact"/>
        <w:jc w:val="center"/>
        <w:rPr>
          <w:lang w:val="bg-BG"/>
        </w:rPr>
      </w:pPr>
    </w:p>
    <w:p w14:paraId="38BAC479" w14:textId="77777777" w:rsidR="00572912" w:rsidRDefault="00572912" w:rsidP="00572912">
      <w:pPr>
        <w:pStyle w:val="Bodytext50"/>
        <w:shd w:val="clear" w:color="auto" w:fill="auto"/>
        <w:spacing w:after="0" w:line="320" w:lineRule="exact"/>
        <w:jc w:val="center"/>
        <w:rPr>
          <w:lang w:val="bg-BG"/>
        </w:rPr>
      </w:pPr>
    </w:p>
    <w:p w14:paraId="58B7626C" w14:textId="77777777" w:rsidR="00C93B94" w:rsidRDefault="00C93B94" w:rsidP="00572912">
      <w:pPr>
        <w:pStyle w:val="Bodytext50"/>
        <w:shd w:val="clear" w:color="auto" w:fill="auto"/>
        <w:spacing w:after="0" w:line="320" w:lineRule="exact"/>
        <w:jc w:val="center"/>
        <w:rPr>
          <w:lang w:val="bg-BG"/>
        </w:rPr>
      </w:pPr>
    </w:p>
    <w:p w14:paraId="0E47BDE7" w14:textId="77777777" w:rsidR="00C93B94" w:rsidRDefault="00C93B94" w:rsidP="00572912">
      <w:pPr>
        <w:pStyle w:val="Bodytext50"/>
        <w:shd w:val="clear" w:color="auto" w:fill="auto"/>
        <w:spacing w:after="0" w:line="320" w:lineRule="exact"/>
        <w:jc w:val="center"/>
        <w:rPr>
          <w:lang w:val="bg-BG"/>
        </w:rPr>
      </w:pPr>
    </w:p>
    <w:p w14:paraId="714CF346" w14:textId="77777777" w:rsidR="00C93B94" w:rsidRDefault="00C93B94" w:rsidP="00572912">
      <w:pPr>
        <w:pStyle w:val="Bodytext50"/>
        <w:shd w:val="clear" w:color="auto" w:fill="auto"/>
        <w:spacing w:after="0" w:line="320" w:lineRule="exact"/>
        <w:jc w:val="center"/>
        <w:rPr>
          <w:lang w:val="bg-BG"/>
        </w:rPr>
      </w:pPr>
    </w:p>
    <w:p w14:paraId="301DB2A7" w14:textId="77777777" w:rsidR="00C93B94" w:rsidRDefault="00C93B94" w:rsidP="00572912">
      <w:pPr>
        <w:pStyle w:val="Bodytext50"/>
        <w:shd w:val="clear" w:color="auto" w:fill="auto"/>
        <w:spacing w:after="0" w:line="320" w:lineRule="exact"/>
        <w:jc w:val="center"/>
        <w:rPr>
          <w:lang w:val="bg-BG"/>
        </w:rPr>
      </w:pPr>
    </w:p>
    <w:p w14:paraId="7E5B6BA2" w14:textId="77777777" w:rsidR="00C93B94" w:rsidRDefault="00C93B94" w:rsidP="00572912">
      <w:pPr>
        <w:pStyle w:val="Bodytext50"/>
        <w:shd w:val="clear" w:color="auto" w:fill="auto"/>
        <w:spacing w:after="0" w:line="320" w:lineRule="exact"/>
        <w:jc w:val="center"/>
        <w:rPr>
          <w:lang w:val="bg-BG"/>
        </w:rPr>
      </w:pPr>
    </w:p>
    <w:p w14:paraId="143D242F" w14:textId="77777777" w:rsidR="00C93B94" w:rsidRDefault="00C93B94" w:rsidP="00572912">
      <w:pPr>
        <w:pStyle w:val="Bodytext50"/>
        <w:shd w:val="clear" w:color="auto" w:fill="auto"/>
        <w:spacing w:after="0" w:line="320" w:lineRule="exact"/>
        <w:jc w:val="center"/>
        <w:rPr>
          <w:lang w:val="bg-BG"/>
        </w:rPr>
      </w:pPr>
    </w:p>
    <w:p w14:paraId="08A1DC25" w14:textId="77777777" w:rsidR="00C93B94" w:rsidRDefault="00C93B94" w:rsidP="00572912">
      <w:pPr>
        <w:pStyle w:val="Bodytext50"/>
        <w:shd w:val="clear" w:color="auto" w:fill="auto"/>
        <w:spacing w:after="0" w:line="320" w:lineRule="exact"/>
        <w:jc w:val="center"/>
        <w:rPr>
          <w:lang w:val="bg-BG"/>
        </w:rPr>
      </w:pPr>
    </w:p>
    <w:p w14:paraId="44872C57" w14:textId="77777777" w:rsidR="00C93B94" w:rsidRDefault="00C93B94" w:rsidP="00572912">
      <w:pPr>
        <w:pStyle w:val="Bodytext50"/>
        <w:shd w:val="clear" w:color="auto" w:fill="auto"/>
        <w:spacing w:after="0" w:line="320" w:lineRule="exact"/>
        <w:jc w:val="center"/>
        <w:rPr>
          <w:lang w:val="bg-BG"/>
        </w:rPr>
      </w:pPr>
    </w:p>
    <w:p w14:paraId="10BCE897" w14:textId="77777777" w:rsidR="00C93B94" w:rsidRDefault="00C93B94" w:rsidP="00572912">
      <w:pPr>
        <w:pStyle w:val="Bodytext50"/>
        <w:shd w:val="clear" w:color="auto" w:fill="auto"/>
        <w:spacing w:after="0" w:line="320" w:lineRule="exact"/>
        <w:jc w:val="center"/>
        <w:rPr>
          <w:lang w:val="bg-BG"/>
        </w:rPr>
      </w:pPr>
    </w:p>
    <w:p w14:paraId="3A339A4F" w14:textId="77777777" w:rsidR="00C93B94" w:rsidRDefault="00C93B94" w:rsidP="00572912">
      <w:pPr>
        <w:pStyle w:val="Bodytext50"/>
        <w:shd w:val="clear" w:color="auto" w:fill="auto"/>
        <w:spacing w:after="0" w:line="320" w:lineRule="exact"/>
        <w:jc w:val="center"/>
        <w:rPr>
          <w:lang w:val="bg-BG"/>
        </w:rPr>
      </w:pPr>
    </w:p>
    <w:p w14:paraId="68B39E0A" w14:textId="77777777" w:rsidR="00C93B94" w:rsidRDefault="00C93B94" w:rsidP="00572912">
      <w:pPr>
        <w:pStyle w:val="Bodytext50"/>
        <w:shd w:val="clear" w:color="auto" w:fill="auto"/>
        <w:spacing w:after="0" w:line="320" w:lineRule="exact"/>
        <w:jc w:val="center"/>
        <w:rPr>
          <w:lang w:val="bg-BG"/>
        </w:rPr>
      </w:pPr>
    </w:p>
    <w:p w14:paraId="4DC2E190" w14:textId="77777777" w:rsidR="00C93B94" w:rsidRDefault="00C93B94" w:rsidP="00572912">
      <w:pPr>
        <w:pStyle w:val="Bodytext50"/>
        <w:shd w:val="clear" w:color="auto" w:fill="auto"/>
        <w:spacing w:after="0" w:line="320" w:lineRule="exact"/>
        <w:jc w:val="center"/>
        <w:rPr>
          <w:lang w:val="bg-BG"/>
        </w:rPr>
      </w:pPr>
    </w:p>
    <w:p w14:paraId="48543BC9" w14:textId="77777777" w:rsidR="00C93B94" w:rsidRDefault="00C93B94" w:rsidP="00572912">
      <w:pPr>
        <w:pStyle w:val="Bodytext50"/>
        <w:shd w:val="clear" w:color="auto" w:fill="auto"/>
        <w:spacing w:after="0" w:line="320" w:lineRule="exact"/>
        <w:jc w:val="center"/>
        <w:rPr>
          <w:lang w:val="bg-BG"/>
        </w:rPr>
      </w:pPr>
    </w:p>
    <w:p w14:paraId="62866C21" w14:textId="77777777" w:rsidR="00C93B94" w:rsidRDefault="00C93B94" w:rsidP="00572912">
      <w:pPr>
        <w:pStyle w:val="Bodytext50"/>
        <w:shd w:val="clear" w:color="auto" w:fill="auto"/>
        <w:spacing w:after="0" w:line="320" w:lineRule="exact"/>
        <w:jc w:val="center"/>
        <w:rPr>
          <w:lang w:val="bg-BG"/>
        </w:rPr>
      </w:pPr>
    </w:p>
    <w:p w14:paraId="59EF0D39" w14:textId="77777777" w:rsidR="00C93B94" w:rsidRDefault="00C93B94" w:rsidP="00572912">
      <w:pPr>
        <w:pStyle w:val="Bodytext50"/>
        <w:shd w:val="clear" w:color="auto" w:fill="auto"/>
        <w:spacing w:after="0" w:line="320" w:lineRule="exact"/>
        <w:jc w:val="center"/>
        <w:rPr>
          <w:lang w:val="bg-BG"/>
        </w:rPr>
      </w:pPr>
    </w:p>
    <w:p w14:paraId="42DB1860" w14:textId="77777777" w:rsidR="00C93B94" w:rsidRDefault="00C93B94" w:rsidP="00572912">
      <w:pPr>
        <w:pStyle w:val="Bodytext50"/>
        <w:shd w:val="clear" w:color="auto" w:fill="auto"/>
        <w:spacing w:after="0" w:line="320" w:lineRule="exact"/>
        <w:jc w:val="center"/>
        <w:rPr>
          <w:lang w:val="bg-BG"/>
        </w:rPr>
      </w:pPr>
    </w:p>
    <w:p w14:paraId="6A42FE74" w14:textId="77777777" w:rsidR="00C93B94" w:rsidRDefault="00C93B94" w:rsidP="00572912">
      <w:pPr>
        <w:pStyle w:val="Bodytext50"/>
        <w:shd w:val="clear" w:color="auto" w:fill="auto"/>
        <w:spacing w:after="0" w:line="320" w:lineRule="exact"/>
        <w:jc w:val="center"/>
        <w:rPr>
          <w:lang w:val="bg-BG"/>
        </w:rPr>
      </w:pPr>
    </w:p>
    <w:p w14:paraId="27289157" w14:textId="77777777" w:rsidR="00C93B94" w:rsidRDefault="00C93B94" w:rsidP="00572912">
      <w:pPr>
        <w:pStyle w:val="Bodytext50"/>
        <w:shd w:val="clear" w:color="auto" w:fill="auto"/>
        <w:spacing w:after="0" w:line="320" w:lineRule="exact"/>
        <w:jc w:val="center"/>
        <w:rPr>
          <w:lang w:val="bg-BG"/>
        </w:rPr>
      </w:pPr>
    </w:p>
    <w:p w14:paraId="5A5C9158" w14:textId="77777777" w:rsidR="00C93B94" w:rsidRDefault="00C93B94" w:rsidP="00572912">
      <w:pPr>
        <w:pStyle w:val="Bodytext50"/>
        <w:shd w:val="clear" w:color="auto" w:fill="auto"/>
        <w:spacing w:after="0" w:line="320" w:lineRule="exact"/>
        <w:jc w:val="center"/>
        <w:rPr>
          <w:lang w:val="bg-BG"/>
        </w:rPr>
      </w:pPr>
    </w:p>
    <w:p w14:paraId="2C40B589" w14:textId="77777777" w:rsidR="00C93B94" w:rsidRDefault="00C93B94" w:rsidP="00572912">
      <w:pPr>
        <w:pStyle w:val="Bodytext50"/>
        <w:shd w:val="clear" w:color="auto" w:fill="auto"/>
        <w:spacing w:after="0" w:line="320" w:lineRule="exact"/>
        <w:jc w:val="center"/>
        <w:rPr>
          <w:lang w:val="bg-BG"/>
        </w:rPr>
      </w:pPr>
    </w:p>
    <w:p w14:paraId="49811712" w14:textId="77777777" w:rsidR="00C93B94" w:rsidRDefault="00C93B94" w:rsidP="00572912">
      <w:pPr>
        <w:pStyle w:val="Bodytext50"/>
        <w:shd w:val="clear" w:color="auto" w:fill="auto"/>
        <w:spacing w:after="0" w:line="320" w:lineRule="exact"/>
        <w:jc w:val="center"/>
        <w:rPr>
          <w:lang w:val="bg-BG"/>
        </w:rPr>
      </w:pPr>
    </w:p>
    <w:p w14:paraId="785EE042" w14:textId="77777777" w:rsidR="00C93B94" w:rsidRDefault="00C93B94" w:rsidP="00572912">
      <w:pPr>
        <w:pStyle w:val="Bodytext50"/>
        <w:shd w:val="clear" w:color="auto" w:fill="auto"/>
        <w:spacing w:after="0" w:line="320" w:lineRule="exact"/>
        <w:jc w:val="center"/>
        <w:rPr>
          <w:lang w:val="bg-BG"/>
        </w:rPr>
      </w:pPr>
    </w:p>
    <w:p w14:paraId="6ACE3232" w14:textId="77777777" w:rsidR="00C93B94" w:rsidRPr="00AE049D" w:rsidRDefault="00C93B94" w:rsidP="00572912">
      <w:pPr>
        <w:pStyle w:val="Bodytext50"/>
        <w:shd w:val="clear" w:color="auto" w:fill="auto"/>
        <w:spacing w:after="0" w:line="320" w:lineRule="exact"/>
        <w:jc w:val="center"/>
        <w:rPr>
          <w:lang w:val="bg-BG"/>
        </w:rPr>
      </w:pPr>
    </w:p>
    <w:p w14:paraId="70102C6C" w14:textId="77777777" w:rsidR="00572912" w:rsidRDefault="00572912" w:rsidP="00572912">
      <w:pPr>
        <w:framePr w:h="624" w:wrap="notBeside" w:vAnchor="text" w:hAnchor="text" w:xAlign="center" w:y="1"/>
        <w:rPr>
          <w:sz w:val="2"/>
          <w:szCs w:val="2"/>
        </w:rPr>
      </w:pPr>
      <w:r>
        <w:rPr>
          <w:noProof/>
          <w:lang w:val="bg-BG" w:eastAsia="bg-BG"/>
        </w:rPr>
        <w:drawing>
          <wp:inline distT="0" distB="0" distL="0" distR="0" wp14:anchorId="15394EFA" wp14:editId="529786D0">
            <wp:extent cx="1651635" cy="395605"/>
            <wp:effectExtent l="0" t="0" r="0" b="0"/>
            <wp:docPr id="18" name="Picture 1" descr="C:\Users\rumian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iana\AppData\Local\Temp\FineReader12.00\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635" cy="395605"/>
                    </a:xfrm>
                    <a:prstGeom prst="rect">
                      <a:avLst/>
                    </a:prstGeom>
                    <a:noFill/>
                    <a:ln>
                      <a:noFill/>
                    </a:ln>
                  </pic:spPr>
                </pic:pic>
              </a:graphicData>
            </a:graphic>
          </wp:inline>
        </w:drawing>
      </w:r>
    </w:p>
    <w:p w14:paraId="4802EF14" w14:textId="67B5499D" w:rsidR="00C93B94" w:rsidRDefault="00C93B94">
      <w:pPr>
        <w:widowControl/>
        <w:spacing w:after="200" w:line="276" w:lineRule="auto"/>
        <w:jc w:val="left"/>
        <w:rPr>
          <w:rFonts w:ascii="Arial" w:eastAsia="Arial" w:hAnsi="Arial" w:cs="Arial"/>
          <w:sz w:val="19"/>
          <w:szCs w:val="19"/>
          <w:lang w:val="bg-BG"/>
        </w:rPr>
      </w:pPr>
      <w:r>
        <w:rPr>
          <w:lang w:val="bg-BG"/>
        </w:rPr>
        <w:lastRenderedPageBreak/>
        <w:br w:type="page"/>
      </w:r>
    </w:p>
    <w:p w14:paraId="30D605F2" w14:textId="77777777" w:rsidR="00572912" w:rsidRDefault="00572912" w:rsidP="00572912">
      <w:pPr>
        <w:pStyle w:val="Bodytext20"/>
        <w:spacing w:before="0" w:after="0" w:line="240" w:lineRule="auto"/>
        <w:rPr>
          <w:lang w:val="bg-BG"/>
        </w:rPr>
      </w:pPr>
    </w:p>
    <w:p w14:paraId="0C925156" w14:textId="77777777" w:rsidR="00572912" w:rsidRDefault="00572912" w:rsidP="00572912">
      <w:pPr>
        <w:pStyle w:val="Bodytext20"/>
        <w:spacing w:before="0" w:after="0" w:line="240" w:lineRule="auto"/>
        <w:rPr>
          <w:lang w:val="bg-BG"/>
        </w:rPr>
      </w:pPr>
    </w:p>
    <w:p w14:paraId="6446F687" w14:textId="77777777" w:rsidR="00572912" w:rsidRDefault="00572912" w:rsidP="00572912">
      <w:pPr>
        <w:pStyle w:val="Bodytext20"/>
        <w:spacing w:before="0" w:after="0" w:line="240" w:lineRule="auto"/>
        <w:rPr>
          <w:lang w:val="bg-BG"/>
        </w:rPr>
      </w:pPr>
    </w:p>
    <w:p w14:paraId="116C9248" w14:textId="73287965" w:rsidR="00572912" w:rsidRPr="00356FD2" w:rsidRDefault="00572912" w:rsidP="00C93B94">
      <w:pPr>
        <w:pStyle w:val="Bodytext20"/>
        <w:spacing w:before="120" w:after="0" w:line="240" w:lineRule="auto"/>
        <w:rPr>
          <w:lang w:val="bg-BG"/>
        </w:rPr>
      </w:pPr>
      <w:r>
        <w:rPr>
          <w:lang w:val="bg-BG"/>
        </w:rPr>
        <w:t>Т</w:t>
      </w:r>
      <w:r w:rsidRPr="00356FD2">
        <w:rPr>
          <w:lang w:val="bg-BG"/>
        </w:rPr>
        <w:t xml:space="preserve">ози доклад по Фаза 4 за България на Работната група на ОИСР за борба с подкупите оценява и дава препоръки относно прилагането от България на Конвенцията на ОИСР за борба с подкупа на чужди длъжностни лица в международни търговски сделки и Препоръката от 2009 г. на Съвета за по-нататъшна борба с подкупите на </w:t>
      </w:r>
      <w:r w:rsidR="00C93B94">
        <w:rPr>
          <w:lang w:val="bg-BG"/>
        </w:rPr>
        <w:t>чужди длъжностни лица</w:t>
      </w:r>
      <w:r w:rsidRPr="00356FD2">
        <w:rPr>
          <w:lang w:val="bg-BG"/>
        </w:rPr>
        <w:t xml:space="preserve"> </w:t>
      </w:r>
      <w:r w:rsidR="00C93B94">
        <w:rPr>
          <w:lang w:val="bg-BG"/>
        </w:rPr>
        <w:t>в международни бизнес сделки</w:t>
      </w:r>
      <w:r w:rsidRPr="00356FD2">
        <w:rPr>
          <w:lang w:val="bg-BG"/>
        </w:rPr>
        <w:t xml:space="preserve">. Той </w:t>
      </w:r>
      <w:r>
        <w:rPr>
          <w:lang w:val="bg-BG"/>
        </w:rPr>
        <w:t>беше приет от 44-те членове на Р</w:t>
      </w:r>
      <w:r w:rsidRPr="00356FD2">
        <w:rPr>
          <w:lang w:val="bg-BG"/>
        </w:rPr>
        <w:t xml:space="preserve">аботната група на ОИСР за </w:t>
      </w:r>
      <w:r>
        <w:rPr>
          <w:lang w:val="bg-BG"/>
        </w:rPr>
        <w:t xml:space="preserve">борба с </w:t>
      </w:r>
      <w:r w:rsidRPr="00356FD2">
        <w:rPr>
          <w:lang w:val="bg-BG"/>
        </w:rPr>
        <w:t>подкупите на 14 октомври 2021 г.</w:t>
      </w:r>
    </w:p>
    <w:p w14:paraId="32A8EA82" w14:textId="44808A28" w:rsidR="00572912" w:rsidRPr="00356FD2" w:rsidRDefault="00572912" w:rsidP="00C93B94">
      <w:pPr>
        <w:pStyle w:val="Bodytext20"/>
        <w:shd w:val="clear" w:color="auto" w:fill="auto"/>
        <w:spacing w:before="120" w:after="0" w:line="240" w:lineRule="auto"/>
        <w:rPr>
          <w:lang w:val="bg-BG"/>
        </w:rPr>
      </w:pPr>
      <w:r w:rsidRPr="00356FD2">
        <w:rPr>
          <w:lang w:val="bg-BG"/>
        </w:rPr>
        <w:t xml:space="preserve">Докладът е част от </w:t>
      </w:r>
      <w:r w:rsidR="00C93B94" w:rsidRPr="00356FD2">
        <w:rPr>
          <w:lang w:val="bg-BG"/>
        </w:rPr>
        <w:t>четвъртата фаза на наблюдение на подкупите</w:t>
      </w:r>
      <w:r w:rsidR="00C93B94">
        <w:rPr>
          <w:lang w:val="bg-BG"/>
        </w:rPr>
        <w:t xml:space="preserve"> на</w:t>
      </w:r>
      <w:r w:rsidR="00C93B94" w:rsidRPr="00356FD2">
        <w:rPr>
          <w:lang w:val="bg-BG"/>
        </w:rPr>
        <w:t xml:space="preserve"> </w:t>
      </w:r>
      <w:r w:rsidR="00C93B94">
        <w:rPr>
          <w:lang w:val="bg-BG"/>
        </w:rPr>
        <w:t>Работната група на ОИСР</w:t>
      </w:r>
      <w:r w:rsidRPr="00356FD2">
        <w:rPr>
          <w:lang w:val="bg-BG"/>
        </w:rPr>
        <w:t>, стартирала през 2016 г. Фаза 4 разглежда конкретните предизвикателства и положителните постижения на оценяваната страна. Той също така</w:t>
      </w:r>
      <w:r w:rsidR="00C93B94">
        <w:rPr>
          <w:lang w:val="bg-BG"/>
        </w:rPr>
        <w:t xml:space="preserve"> изследва въпроси като разкриване</w:t>
      </w:r>
      <w:r w:rsidRPr="00356FD2">
        <w:rPr>
          <w:lang w:val="bg-BG"/>
        </w:rPr>
        <w:t xml:space="preserve">, правоприлагане, корпоративна отговорност и международно сътрудничество, </w:t>
      </w:r>
      <w:r>
        <w:rPr>
          <w:lang w:val="bg-BG"/>
        </w:rPr>
        <w:t>к</w:t>
      </w:r>
      <w:r w:rsidR="00C93B94">
        <w:rPr>
          <w:lang w:val="bg-BG"/>
        </w:rPr>
        <w:t>ато включва</w:t>
      </w:r>
      <w:r w:rsidRPr="00356FD2">
        <w:rPr>
          <w:lang w:val="bg-BG"/>
        </w:rPr>
        <w:t xml:space="preserve"> и нерешени проблеми от предишни доклади.</w:t>
      </w:r>
    </w:p>
    <w:p w14:paraId="0CA53944" w14:textId="1793FF20" w:rsidR="00220EA9" w:rsidRPr="00572912" w:rsidRDefault="00220EA9" w:rsidP="005D6747">
      <w:pPr>
        <w:rPr>
          <w:rFonts w:ascii="Times New Roman" w:hAnsi="Times New Roman"/>
          <w:lang w:val="en-US"/>
        </w:rPr>
      </w:pPr>
    </w:p>
    <w:p w14:paraId="3992A013" w14:textId="77777777" w:rsidR="00220EA9" w:rsidRDefault="00220EA9" w:rsidP="005D6747">
      <w:pPr>
        <w:rPr>
          <w:rFonts w:ascii="Times New Roman" w:hAnsi="Times New Roman"/>
        </w:rPr>
      </w:pPr>
    </w:p>
    <w:sdt>
      <w:sdtPr>
        <w:rPr>
          <w:rFonts w:ascii="Times New Roman" w:hAnsi="Times New Roman"/>
        </w:rPr>
        <w:id w:val="-2036494991"/>
        <w:docPartObj>
          <w:docPartGallery w:val="Cover Pages"/>
          <w:docPartUnique/>
        </w:docPartObj>
      </w:sdtPr>
      <w:sdtEndPr>
        <w:rPr>
          <w:rFonts w:asciiTheme="minorHAnsi" w:hAnsiTheme="minorHAnsi"/>
        </w:rPr>
      </w:sdtEndPr>
      <w:sdtContent>
        <w:p w14:paraId="4913BF7C" w14:textId="77777777" w:rsidR="005D6747" w:rsidRPr="005D6747" w:rsidRDefault="005D6747" w:rsidP="005D6747">
          <w:pPr>
            <w:rPr>
              <w:rFonts w:ascii="Times New Roman" w:hAnsi="Times New Roman"/>
            </w:rPr>
            <w:sectPr w:rsidR="005D6747" w:rsidRPr="005D6747" w:rsidSect="00FC7B6E">
              <w:headerReference w:type="even" r:id="rId12"/>
              <w:headerReference w:type="default" r:id="rId13"/>
              <w:footerReference w:type="even" r:id="rId14"/>
              <w:footerReference w:type="default" r:id="rId15"/>
              <w:endnotePr>
                <w:numFmt w:val="decimal"/>
              </w:endnotePr>
              <w:pgSz w:w="11906" w:h="16838" w:code="9"/>
              <w:pgMar w:top="1814" w:right="2268" w:bottom="1418" w:left="2268" w:header="1247" w:footer="1247" w:gutter="0"/>
              <w:cols w:space="708"/>
              <w:docGrid w:linePitch="360"/>
            </w:sectPr>
          </w:pPr>
        </w:p>
        <w:p w14:paraId="2F8FBC20" w14:textId="77777777" w:rsidR="00572912" w:rsidRDefault="00572912" w:rsidP="00572912">
          <w:pPr>
            <w:rPr>
              <w:lang w:val="bg-BG"/>
            </w:rPr>
          </w:pPr>
        </w:p>
        <w:p w14:paraId="3830E062" w14:textId="77777777" w:rsidR="00572912" w:rsidRDefault="00572912" w:rsidP="00572912">
          <w:pPr>
            <w:rPr>
              <w:lang w:val="bg-BG"/>
            </w:rPr>
          </w:pPr>
        </w:p>
        <w:p w14:paraId="461CD163" w14:textId="77777777" w:rsidR="00572912" w:rsidRDefault="00572912" w:rsidP="00572912">
          <w:pPr>
            <w:rPr>
              <w:lang w:val="bg-BG"/>
            </w:rPr>
          </w:pPr>
        </w:p>
        <w:p w14:paraId="5A99AF3C" w14:textId="77777777" w:rsidR="00572912" w:rsidRDefault="00572912" w:rsidP="00572912">
          <w:pPr>
            <w:rPr>
              <w:lang w:val="bg-BG"/>
            </w:rPr>
          </w:pPr>
        </w:p>
        <w:p w14:paraId="54E47CB1" w14:textId="77777777" w:rsidR="00572912" w:rsidRDefault="00572912" w:rsidP="00572912">
          <w:pPr>
            <w:rPr>
              <w:lang w:val="bg-BG"/>
            </w:rPr>
          </w:pPr>
        </w:p>
        <w:p w14:paraId="5C9081B8" w14:textId="77777777" w:rsidR="00572912" w:rsidRDefault="00572912" w:rsidP="00572912">
          <w:pPr>
            <w:rPr>
              <w:lang w:val="bg-BG"/>
            </w:rPr>
          </w:pPr>
        </w:p>
        <w:p w14:paraId="2ECD4D81" w14:textId="77777777" w:rsidR="00572912" w:rsidRDefault="00572912" w:rsidP="00572912">
          <w:pPr>
            <w:rPr>
              <w:lang w:val="bg-BG"/>
            </w:rPr>
          </w:pPr>
        </w:p>
        <w:p w14:paraId="152329A7" w14:textId="77777777" w:rsidR="00572912" w:rsidRDefault="00572912" w:rsidP="00572912">
          <w:pPr>
            <w:rPr>
              <w:lang w:val="bg-BG"/>
            </w:rPr>
          </w:pPr>
        </w:p>
        <w:p w14:paraId="0101B2B4" w14:textId="77777777" w:rsidR="00572912" w:rsidRDefault="00572912" w:rsidP="00572912">
          <w:pPr>
            <w:rPr>
              <w:lang w:val="bg-BG"/>
            </w:rPr>
          </w:pPr>
        </w:p>
        <w:p w14:paraId="1124FE89" w14:textId="51D519A8" w:rsidR="00572912" w:rsidRPr="00D919F3" w:rsidRDefault="00572912" w:rsidP="00D919F3">
          <w:pPr>
            <w:widowControl/>
            <w:spacing w:after="200" w:line="276" w:lineRule="auto"/>
            <w:jc w:val="left"/>
            <w:rPr>
              <w:lang w:val="bg-BG"/>
            </w:rPr>
          </w:pPr>
          <w:r>
            <w:rPr>
              <w:lang w:val="bg-BG"/>
            </w:rPr>
            <w:br w:type="page"/>
          </w:r>
        </w:p>
        <w:p w14:paraId="160CFC28" w14:textId="534595C6" w:rsidR="005D6747" w:rsidRPr="005D6747" w:rsidRDefault="001F7101" w:rsidP="00572912"/>
      </w:sdtContent>
    </w:sdt>
    <w:p w14:paraId="0B324534" w14:textId="77777777" w:rsidR="00501199" w:rsidRPr="0009589B" w:rsidRDefault="00501199" w:rsidP="0009589B">
      <w:pPr>
        <w:widowControl/>
        <w:spacing w:before="120" w:after="120" w:line="260" w:lineRule="atLeast"/>
        <w:jc w:val="left"/>
        <w:rPr>
          <w:rFonts w:cstheme="minorHAnsi"/>
          <w:noProof/>
          <w:color w:val="0070C0"/>
          <w:sz w:val="20"/>
          <w:szCs w:val="20"/>
          <w:lang w:val="bg-BG"/>
        </w:rPr>
      </w:pPr>
      <w:bookmarkStart w:id="0" w:name="_Toc21618906"/>
      <w:bookmarkStart w:id="1" w:name="_Toc50638890"/>
      <w:bookmarkStart w:id="2" w:name="_Toc50761919"/>
      <w:bookmarkStart w:id="3" w:name="_Toc51582580"/>
      <w:bookmarkStart w:id="4" w:name="_Toc51604769"/>
      <w:bookmarkStart w:id="5" w:name="_Toc51679302"/>
      <w:bookmarkStart w:id="6" w:name="_Toc51692576"/>
      <w:bookmarkStart w:id="7" w:name="_Toc51693262"/>
      <w:bookmarkStart w:id="8" w:name="_Toc51792229"/>
      <w:bookmarkStart w:id="9" w:name="_Toc51792498"/>
      <w:bookmarkStart w:id="10" w:name="_Toc51847095"/>
      <w:bookmarkStart w:id="11" w:name="_Toc51849012"/>
      <w:bookmarkStart w:id="12" w:name="_Toc51853820"/>
      <w:bookmarkStart w:id="13" w:name="_Toc51853974"/>
      <w:bookmarkStart w:id="14" w:name="_Toc70968417"/>
      <w:bookmarkStart w:id="15" w:name="_Toc51769897"/>
      <w:bookmarkStart w:id="16" w:name="_Toc56083997"/>
      <w:r w:rsidRPr="0009589B">
        <w:rPr>
          <w:rFonts w:cstheme="minorHAnsi"/>
          <w:noProof/>
          <w:color w:val="0070C0"/>
          <w:sz w:val="20"/>
          <w:szCs w:val="20"/>
          <w:lang w:val="en-US"/>
        </w:rPr>
        <w:t>Съдържание</w:t>
      </w:r>
      <w:r w:rsidRPr="0009589B">
        <w:rPr>
          <w:rFonts w:cstheme="minorHAnsi"/>
          <w:noProof/>
          <w:color w:val="0070C0"/>
          <w:sz w:val="20"/>
          <w:szCs w:val="20"/>
          <w:lang w:val="bg-BG"/>
        </w:rPr>
        <w:t>:</w:t>
      </w:r>
    </w:p>
    <w:p w14:paraId="229597FC" w14:textId="6D67254E" w:rsidR="00501199" w:rsidRPr="00F906CF" w:rsidRDefault="001935C2" w:rsidP="0009589B">
      <w:pPr>
        <w:widowControl/>
        <w:spacing w:before="120" w:after="120" w:line="260" w:lineRule="atLeast"/>
        <w:jc w:val="left"/>
        <w:rPr>
          <w:rFonts w:cstheme="minorHAnsi"/>
          <w:noProof/>
          <w:color w:val="0070C0"/>
          <w:sz w:val="20"/>
          <w:szCs w:val="20"/>
          <w:lang w:val="en-US"/>
        </w:rPr>
      </w:pPr>
      <w:r w:rsidRPr="0009589B">
        <w:rPr>
          <w:rFonts w:cstheme="minorHAnsi"/>
          <w:noProof/>
          <w:color w:val="0070C0"/>
          <w:sz w:val="20"/>
          <w:szCs w:val="20"/>
          <w:lang w:val="bg-BG"/>
        </w:rPr>
        <w:t>Резюме</w:t>
      </w:r>
      <w:r w:rsidR="0074524B"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09589B">
        <w:rPr>
          <w:rFonts w:cstheme="minorHAnsi"/>
          <w:noProof/>
          <w:color w:val="0070C0"/>
          <w:sz w:val="20"/>
          <w:szCs w:val="20"/>
          <w:lang w:val="bg-BG"/>
        </w:rPr>
        <w:tab/>
        <w:t xml:space="preserve">    </w:t>
      </w:r>
      <w:r w:rsidR="00F906CF">
        <w:rPr>
          <w:rFonts w:cstheme="minorHAnsi"/>
          <w:noProof/>
          <w:color w:val="0070C0"/>
          <w:sz w:val="20"/>
          <w:szCs w:val="20"/>
          <w:lang w:val="en-US"/>
        </w:rPr>
        <w:t xml:space="preserve">    8</w:t>
      </w:r>
    </w:p>
    <w:p w14:paraId="5FF46BF2" w14:textId="15014956"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b/>
          <w:noProof/>
          <w:color w:val="0070C0"/>
          <w:sz w:val="20"/>
          <w:szCs w:val="20"/>
          <w:lang w:val="bg-BG"/>
        </w:rPr>
        <w:t>Въведение</w:t>
      </w:r>
      <w:r w:rsidR="0009589B">
        <w:rPr>
          <w:rFonts w:cstheme="minorHAnsi"/>
          <w:noProof/>
          <w:color w:val="0070C0"/>
          <w:sz w:val="20"/>
          <w:szCs w:val="20"/>
          <w:lang w:val="bg-BG"/>
        </w:rPr>
        <w:t xml:space="preserve">                                                                                                                                            </w:t>
      </w:r>
      <w:r w:rsidR="00F906CF">
        <w:rPr>
          <w:rFonts w:cstheme="minorHAnsi"/>
          <w:noProof/>
          <w:color w:val="0070C0"/>
          <w:sz w:val="20"/>
          <w:szCs w:val="20"/>
          <w:lang w:val="en-US"/>
        </w:rPr>
        <w:t xml:space="preserve">  10</w:t>
      </w:r>
    </w:p>
    <w:p w14:paraId="3EDE151B" w14:textId="20C086D4" w:rsidR="00501199" w:rsidRPr="0009589B" w:rsidRDefault="0009589B"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1.</w:t>
      </w:r>
      <w:r w:rsidR="00501199" w:rsidRPr="0009589B">
        <w:rPr>
          <w:rFonts w:cstheme="minorHAnsi"/>
          <w:noProof/>
          <w:color w:val="0070C0"/>
          <w:sz w:val="20"/>
          <w:szCs w:val="20"/>
          <w:lang w:val="bg-BG"/>
        </w:rPr>
        <w:t xml:space="preserve">Предишни оценки на България от Работната група </w:t>
      </w:r>
      <w:r w:rsidR="00F41BA2">
        <w:rPr>
          <w:rFonts w:cstheme="minorHAnsi"/>
          <w:noProof/>
          <w:color w:val="0070C0"/>
          <w:sz w:val="20"/>
          <w:szCs w:val="20"/>
          <w:lang w:val="bg-BG"/>
        </w:rPr>
        <w:t>за борба с</w:t>
      </w:r>
      <w:r w:rsidR="00501199" w:rsidRPr="0009589B">
        <w:rPr>
          <w:rFonts w:cstheme="minorHAnsi"/>
          <w:noProof/>
          <w:color w:val="0070C0"/>
          <w:sz w:val="20"/>
          <w:szCs w:val="20"/>
          <w:lang w:val="bg-BG"/>
        </w:rPr>
        <w:t xml:space="preserve"> подкупите</w:t>
      </w:r>
      <w:r w:rsidR="00ED5490" w:rsidRPr="00572912">
        <w:rPr>
          <w:rFonts w:cstheme="minorHAnsi"/>
          <w:noProof/>
          <w:color w:val="0070C0"/>
          <w:sz w:val="20"/>
          <w:szCs w:val="20"/>
          <w:lang w:val="bg-BG"/>
        </w:rPr>
        <w:t xml:space="preserve"> </w:t>
      </w:r>
      <w:r w:rsidR="00ED5490">
        <w:rPr>
          <w:rFonts w:cstheme="minorHAnsi"/>
          <w:noProof/>
          <w:color w:val="0070C0"/>
          <w:sz w:val="20"/>
          <w:szCs w:val="20"/>
          <w:lang w:val="bg-BG"/>
        </w:rPr>
        <w:t>на чужди длъжностни лица</w:t>
      </w:r>
      <w:r w:rsidR="0074524B" w:rsidRPr="0009589B">
        <w:rPr>
          <w:rFonts w:cstheme="minorHAnsi"/>
          <w:noProof/>
          <w:color w:val="0070C0"/>
          <w:sz w:val="20"/>
          <w:szCs w:val="20"/>
          <w:lang w:val="bg-BG"/>
        </w:rPr>
        <w:t xml:space="preserve">    </w:t>
      </w:r>
      <w:r>
        <w:rPr>
          <w:rFonts w:cstheme="minorHAnsi"/>
          <w:noProof/>
          <w:color w:val="0070C0"/>
          <w:sz w:val="20"/>
          <w:szCs w:val="20"/>
          <w:lang w:val="bg-BG"/>
        </w:rPr>
        <w:t xml:space="preserve">                                  </w:t>
      </w:r>
      <w:r w:rsidR="0074524B" w:rsidRPr="0009589B">
        <w:rPr>
          <w:rFonts w:cstheme="minorHAnsi"/>
          <w:noProof/>
          <w:color w:val="0070C0"/>
          <w:sz w:val="20"/>
          <w:szCs w:val="20"/>
          <w:lang w:val="bg-BG"/>
        </w:rPr>
        <w:t xml:space="preserve"> </w:t>
      </w:r>
      <w:r>
        <w:rPr>
          <w:rFonts w:cstheme="minorHAnsi"/>
          <w:noProof/>
          <w:color w:val="0070C0"/>
          <w:sz w:val="20"/>
          <w:szCs w:val="20"/>
          <w:lang w:val="bg-BG"/>
        </w:rPr>
        <w:t xml:space="preserve"> </w:t>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r>
      <w:r w:rsidR="000243F0">
        <w:rPr>
          <w:rFonts w:cstheme="minorHAnsi"/>
          <w:noProof/>
          <w:color w:val="0070C0"/>
          <w:sz w:val="20"/>
          <w:szCs w:val="20"/>
          <w:lang w:val="en-US"/>
        </w:rPr>
        <w:tab/>
        <w:t xml:space="preserve">     </w:t>
      </w:r>
      <w:r w:rsidR="00F906CF">
        <w:rPr>
          <w:rFonts w:cstheme="minorHAnsi"/>
          <w:noProof/>
          <w:color w:val="0070C0"/>
          <w:sz w:val="20"/>
          <w:szCs w:val="20"/>
          <w:lang w:val="en-US"/>
        </w:rPr>
        <w:t xml:space="preserve">  10</w:t>
      </w:r>
    </w:p>
    <w:p w14:paraId="68DC7FC1" w14:textId="4CBDC235" w:rsidR="001935C2" w:rsidRPr="00F906CF" w:rsidRDefault="001935C2" w:rsidP="0009589B">
      <w:pPr>
        <w:widowControl/>
        <w:spacing w:before="120" w:after="120" w:line="260" w:lineRule="atLeast"/>
        <w:jc w:val="left"/>
        <w:rPr>
          <w:rFonts w:cstheme="minorHAnsi"/>
          <w:noProof/>
          <w:color w:val="0070C0"/>
          <w:sz w:val="20"/>
          <w:szCs w:val="20"/>
          <w:lang w:val="en-US"/>
        </w:rPr>
      </w:pPr>
      <w:r w:rsidRPr="0009589B">
        <w:rPr>
          <w:rFonts w:cstheme="minorHAnsi"/>
          <w:noProof/>
          <w:color w:val="0070C0"/>
          <w:sz w:val="20"/>
          <w:szCs w:val="20"/>
          <w:lang w:val="bg-BG"/>
        </w:rPr>
        <w:t xml:space="preserve">2. Процес по Фаза 4 и „виртуално посещение“ по изключение </w:t>
      </w:r>
      <w:r w:rsidR="0074524B"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74524B" w:rsidRPr="0009589B">
        <w:rPr>
          <w:rFonts w:cstheme="minorHAnsi"/>
          <w:noProof/>
          <w:color w:val="0070C0"/>
          <w:sz w:val="20"/>
          <w:szCs w:val="20"/>
          <w:lang w:val="bg-BG"/>
        </w:rPr>
        <w:t xml:space="preserve"> </w:t>
      </w:r>
      <w:r w:rsidR="00F906CF">
        <w:rPr>
          <w:rFonts w:cstheme="minorHAnsi"/>
          <w:noProof/>
          <w:color w:val="0070C0"/>
          <w:sz w:val="20"/>
          <w:szCs w:val="20"/>
          <w:lang w:val="en-US"/>
        </w:rPr>
        <w:t xml:space="preserve">  11</w:t>
      </w:r>
    </w:p>
    <w:p w14:paraId="6E1DEBDF" w14:textId="26DD72CE"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3. Рискът </w:t>
      </w:r>
      <w:r w:rsidR="00254A61" w:rsidRPr="0009589B">
        <w:rPr>
          <w:rFonts w:cstheme="minorHAnsi"/>
          <w:noProof/>
          <w:color w:val="0070C0"/>
          <w:sz w:val="20"/>
          <w:szCs w:val="20"/>
          <w:lang w:val="bg-BG"/>
        </w:rPr>
        <w:t xml:space="preserve">за България </w:t>
      </w:r>
      <w:r w:rsidRPr="0009589B">
        <w:rPr>
          <w:rFonts w:cstheme="minorHAnsi"/>
          <w:noProof/>
          <w:color w:val="0070C0"/>
          <w:sz w:val="20"/>
          <w:szCs w:val="20"/>
          <w:lang w:val="bg-BG"/>
        </w:rPr>
        <w:t xml:space="preserve">от подкупване </w:t>
      </w:r>
      <w:r w:rsidR="00254A61">
        <w:rPr>
          <w:rFonts w:cstheme="minorHAnsi"/>
          <w:noProof/>
          <w:color w:val="0070C0"/>
          <w:sz w:val="20"/>
          <w:szCs w:val="20"/>
          <w:lang w:val="bg-BG"/>
        </w:rPr>
        <w:t xml:space="preserve">в международните търговски сделки </w:t>
      </w:r>
      <w:r w:rsidRPr="0009589B">
        <w:rPr>
          <w:rFonts w:cstheme="minorHAnsi"/>
          <w:noProof/>
          <w:color w:val="0070C0"/>
          <w:sz w:val="20"/>
          <w:szCs w:val="20"/>
          <w:lang w:val="bg-BG"/>
        </w:rPr>
        <w:t xml:space="preserve">в светлината на икономическо положение и търговски профил </w:t>
      </w:r>
      <w:r w:rsidR="00254A61">
        <w:rPr>
          <w:rFonts w:cstheme="minorHAnsi"/>
          <w:noProof/>
          <w:color w:val="0070C0"/>
          <w:sz w:val="20"/>
          <w:szCs w:val="20"/>
          <w:lang w:val="bg-BG"/>
        </w:rPr>
        <w:t>на България</w:t>
      </w:r>
      <w:r w:rsidR="0074524B"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1F7101">
        <w:rPr>
          <w:rFonts w:cstheme="minorHAnsi"/>
          <w:noProof/>
          <w:color w:val="0070C0"/>
          <w:sz w:val="20"/>
          <w:szCs w:val="20"/>
          <w:lang w:val="bg-BG"/>
        </w:rPr>
        <w:tab/>
        <w:t xml:space="preserve">       12</w:t>
      </w:r>
    </w:p>
    <w:p w14:paraId="0CEEC546" w14:textId="02FCFF94"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Икономическа среда</w:t>
      </w:r>
      <w:r w:rsidR="0074524B"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12</w:t>
      </w:r>
    </w:p>
    <w:p w14:paraId="3F12BA43" w14:textId="395448EE"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Държавни предриятия</w:t>
      </w:r>
      <w:r w:rsidR="0074524B"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13</w:t>
      </w:r>
    </w:p>
    <w:p w14:paraId="4C808025" w14:textId="293D2A5C"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в. Икономическото въздействие на здравната криза, предизвикана от </w:t>
      </w:r>
      <w:r w:rsidRPr="0009589B">
        <w:rPr>
          <w:rFonts w:cstheme="minorHAnsi"/>
          <w:noProof/>
          <w:color w:val="0070C0"/>
          <w:sz w:val="20"/>
          <w:szCs w:val="20"/>
          <w:lang w:val="en-US"/>
        </w:rPr>
        <w:t>COVID</w:t>
      </w:r>
      <w:r w:rsidRPr="0009589B">
        <w:rPr>
          <w:rFonts w:cstheme="minorHAnsi"/>
          <w:noProof/>
          <w:color w:val="0070C0"/>
          <w:sz w:val="20"/>
          <w:szCs w:val="20"/>
          <w:lang w:val="bg-BG"/>
        </w:rPr>
        <w:t>-19</w:t>
      </w:r>
      <w:r w:rsidR="0074524B"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14</w:t>
      </w:r>
    </w:p>
    <w:p w14:paraId="78C0E32E" w14:textId="1177B17D"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г. Излагане на България на рискове от подкуп на </w:t>
      </w:r>
      <w:r w:rsidR="0009589B" w:rsidRPr="0009589B">
        <w:rPr>
          <w:rFonts w:cstheme="minorHAnsi"/>
          <w:noProof/>
          <w:color w:val="0070C0"/>
          <w:sz w:val="20"/>
          <w:szCs w:val="20"/>
          <w:lang w:val="bg-BG"/>
        </w:rPr>
        <w:t xml:space="preserve">чужди длъжностни лица  </w:t>
      </w:r>
      <w:r w:rsidR="0074524B"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14</w:t>
      </w:r>
    </w:p>
    <w:p w14:paraId="1AD85074" w14:textId="45408B80" w:rsidR="001935C2" w:rsidRPr="0009589B" w:rsidRDefault="001935C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д. </w:t>
      </w:r>
      <w:r w:rsidR="0048188C">
        <w:rPr>
          <w:rFonts w:cstheme="minorHAnsi"/>
          <w:noProof/>
          <w:color w:val="0070C0"/>
          <w:sz w:val="20"/>
          <w:szCs w:val="20"/>
          <w:lang w:val="bg-BG"/>
        </w:rPr>
        <w:t>Твърдения</w:t>
      </w:r>
      <w:r w:rsidR="00322E23" w:rsidRPr="00572912">
        <w:rPr>
          <w:rFonts w:cstheme="minorHAnsi"/>
          <w:noProof/>
          <w:color w:val="0070C0"/>
          <w:sz w:val="20"/>
          <w:szCs w:val="20"/>
          <w:lang w:val="bg-BG"/>
        </w:rPr>
        <w:t xml:space="preserve"> </w:t>
      </w:r>
      <w:r w:rsidR="0048188C" w:rsidRPr="0009589B">
        <w:rPr>
          <w:rFonts w:cstheme="minorHAnsi"/>
          <w:noProof/>
          <w:color w:val="0070C0"/>
          <w:sz w:val="20"/>
          <w:szCs w:val="20"/>
          <w:lang w:val="bg-BG"/>
        </w:rPr>
        <w:t xml:space="preserve"> </w:t>
      </w:r>
      <w:r w:rsidRPr="0009589B">
        <w:rPr>
          <w:rFonts w:cstheme="minorHAnsi"/>
          <w:noProof/>
          <w:color w:val="0070C0"/>
          <w:sz w:val="20"/>
          <w:szCs w:val="20"/>
          <w:lang w:val="bg-BG"/>
        </w:rPr>
        <w:t xml:space="preserve">и дела за подкуп на </w:t>
      </w:r>
      <w:r w:rsidR="0009589B" w:rsidRPr="0009589B">
        <w:rPr>
          <w:rFonts w:cstheme="minorHAnsi"/>
          <w:noProof/>
          <w:color w:val="0070C0"/>
          <w:sz w:val="20"/>
          <w:szCs w:val="20"/>
          <w:lang w:val="bg-BG"/>
        </w:rPr>
        <w:t xml:space="preserve">чужди длъжностни лица  </w:t>
      </w:r>
      <w:r w:rsidR="00215249" w:rsidRPr="0009589B">
        <w:rPr>
          <w:rFonts w:cstheme="minorHAnsi"/>
          <w:noProof/>
          <w:color w:val="0070C0"/>
          <w:sz w:val="20"/>
          <w:szCs w:val="20"/>
          <w:lang w:val="bg-BG"/>
        </w:rPr>
        <w:t>в България</w:t>
      </w:r>
      <w:r w:rsidR="00AC5A61"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15</w:t>
      </w:r>
    </w:p>
    <w:p w14:paraId="7793259D" w14:textId="1DE3E709" w:rsidR="00215249" w:rsidRPr="0009589B" w:rsidRDefault="0021524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А. Разкриване на подкуп на </w:t>
      </w:r>
      <w:r w:rsidR="0009589B" w:rsidRPr="0009589B">
        <w:rPr>
          <w:rFonts w:cstheme="minorHAnsi"/>
          <w:noProof/>
          <w:color w:val="0070C0"/>
          <w:sz w:val="20"/>
          <w:szCs w:val="20"/>
          <w:lang w:val="bg-BG"/>
        </w:rPr>
        <w:t xml:space="preserve">чужди длъжностни лица  </w:t>
      </w:r>
      <w:r w:rsidR="0009589B">
        <w:rPr>
          <w:rFonts w:cstheme="minorHAnsi"/>
          <w:noProof/>
          <w:color w:val="0070C0"/>
          <w:sz w:val="20"/>
          <w:szCs w:val="20"/>
          <w:lang w:val="bg-BG"/>
        </w:rPr>
        <w:t xml:space="preserve">            </w:t>
      </w:r>
      <w:r w:rsidR="00510D91"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18</w:t>
      </w:r>
    </w:p>
    <w:p w14:paraId="6316F012" w14:textId="631008D0" w:rsidR="00215249" w:rsidRDefault="0021524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1. Капацитетът на България да разкрива подкупи на </w:t>
      </w:r>
      <w:r w:rsidR="0009589B" w:rsidRPr="0009589B">
        <w:rPr>
          <w:rFonts w:cstheme="minorHAnsi"/>
          <w:noProof/>
          <w:color w:val="0070C0"/>
          <w:sz w:val="20"/>
          <w:szCs w:val="20"/>
          <w:lang w:val="bg-BG"/>
        </w:rPr>
        <w:t xml:space="preserve">чужди длъжностни лица  </w:t>
      </w:r>
      <w:r w:rsidR="00322E23">
        <w:rPr>
          <w:rFonts w:cstheme="minorHAnsi"/>
          <w:noProof/>
          <w:color w:val="0070C0"/>
          <w:sz w:val="20"/>
          <w:szCs w:val="20"/>
          <w:lang w:val="bg-BG"/>
        </w:rPr>
        <w:t>посредством</w:t>
      </w:r>
      <w:r w:rsidR="00322E23" w:rsidRPr="0009589B">
        <w:rPr>
          <w:rFonts w:cstheme="minorHAnsi"/>
          <w:noProof/>
          <w:color w:val="0070C0"/>
          <w:sz w:val="20"/>
          <w:szCs w:val="20"/>
          <w:lang w:val="bg-BG"/>
        </w:rPr>
        <w:t xml:space="preserve"> </w:t>
      </w:r>
      <w:r w:rsidRPr="0009589B">
        <w:rPr>
          <w:rFonts w:cstheme="minorHAnsi"/>
          <w:noProof/>
          <w:color w:val="0070C0"/>
          <w:sz w:val="20"/>
          <w:szCs w:val="20"/>
          <w:lang w:val="bg-BG"/>
        </w:rPr>
        <w:t>своята рамка за борба с изпирането на пари</w:t>
      </w:r>
      <w:r w:rsidR="000C741E">
        <w:rPr>
          <w:rFonts w:cstheme="minorHAnsi"/>
          <w:noProof/>
          <w:color w:val="0070C0"/>
          <w:sz w:val="20"/>
          <w:szCs w:val="20"/>
          <w:lang w:val="bg-BG"/>
        </w:rPr>
        <w:t xml:space="preserve">                                                  </w:t>
      </w:r>
      <w:r w:rsidR="00510D91" w:rsidRPr="0009589B">
        <w:rPr>
          <w:rFonts w:cstheme="minorHAnsi"/>
          <w:noProof/>
          <w:color w:val="0070C0"/>
          <w:sz w:val="20"/>
          <w:szCs w:val="20"/>
          <w:lang w:val="bg-BG"/>
        </w:rPr>
        <w:t xml:space="preserve">         </w:t>
      </w:r>
      <w:r w:rsidR="0009589B">
        <w:rPr>
          <w:rFonts w:cstheme="minorHAnsi"/>
          <w:noProof/>
          <w:color w:val="0070C0"/>
          <w:sz w:val="20"/>
          <w:szCs w:val="20"/>
          <w:lang w:val="bg-BG"/>
        </w:rPr>
        <w:t xml:space="preserve">        </w:t>
      </w:r>
      <w:r w:rsidR="00510D91"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18</w:t>
      </w:r>
    </w:p>
    <w:p w14:paraId="26C8BFF8" w14:textId="4DD5549D" w:rsidR="00322E23" w:rsidRPr="0009589B" w:rsidRDefault="00322E23"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2. Разкриване от Министерството на вътрешните работи и Държавна агениция „Национална сигурност“</w:t>
      </w:r>
      <w:r w:rsidR="001F7101">
        <w:rPr>
          <w:rFonts w:cstheme="minorHAnsi"/>
          <w:noProof/>
          <w:color w:val="0070C0"/>
          <w:sz w:val="20"/>
          <w:szCs w:val="20"/>
          <w:lang w:val="bg-BG"/>
        </w:rPr>
        <w:tab/>
      </w:r>
      <w:r w:rsidR="001F7101">
        <w:rPr>
          <w:rFonts w:cstheme="minorHAnsi"/>
          <w:noProof/>
          <w:color w:val="0070C0"/>
          <w:sz w:val="20"/>
          <w:szCs w:val="20"/>
          <w:lang w:val="bg-BG"/>
        </w:rPr>
        <w:tab/>
      </w:r>
      <w:r w:rsidR="001F7101">
        <w:rPr>
          <w:rFonts w:cstheme="minorHAnsi"/>
          <w:noProof/>
          <w:color w:val="0070C0"/>
          <w:sz w:val="20"/>
          <w:szCs w:val="20"/>
          <w:lang w:val="bg-BG"/>
        </w:rPr>
        <w:tab/>
      </w:r>
      <w:r w:rsidR="001F7101">
        <w:rPr>
          <w:rFonts w:cstheme="minorHAnsi"/>
          <w:noProof/>
          <w:color w:val="0070C0"/>
          <w:sz w:val="20"/>
          <w:szCs w:val="20"/>
          <w:lang w:val="bg-BG"/>
        </w:rPr>
        <w:tab/>
        <w:t xml:space="preserve">                                                                                                  21</w:t>
      </w:r>
    </w:p>
    <w:p w14:paraId="0204BC15" w14:textId="5CCB4BE6" w:rsidR="00215249" w:rsidRPr="0009589B" w:rsidRDefault="00322E23"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3</w:t>
      </w:r>
      <w:r w:rsidR="00215249" w:rsidRPr="0009589B">
        <w:rPr>
          <w:rFonts w:cstheme="minorHAnsi"/>
          <w:noProof/>
          <w:color w:val="0070C0"/>
          <w:sz w:val="20"/>
          <w:szCs w:val="20"/>
          <w:lang w:val="bg-BG"/>
        </w:rPr>
        <w:t>. Р</w:t>
      </w:r>
      <w:r w:rsidR="001F7101">
        <w:rPr>
          <w:rFonts w:cstheme="minorHAnsi"/>
          <w:noProof/>
          <w:color w:val="0070C0"/>
          <w:sz w:val="20"/>
          <w:szCs w:val="20"/>
          <w:lang w:val="bg-BG"/>
        </w:rPr>
        <w:t>азкриване и докладване от длъжн</w:t>
      </w:r>
      <w:r w:rsidR="00215249" w:rsidRPr="0009589B">
        <w:rPr>
          <w:rFonts w:cstheme="minorHAnsi"/>
          <w:noProof/>
          <w:color w:val="0070C0"/>
          <w:sz w:val="20"/>
          <w:szCs w:val="20"/>
          <w:lang w:val="bg-BG"/>
        </w:rPr>
        <w:t>остни лица,</w:t>
      </w:r>
      <w:r w:rsidR="00510D91" w:rsidRPr="0009589B">
        <w:rPr>
          <w:rFonts w:cstheme="minorHAnsi"/>
          <w:noProof/>
          <w:color w:val="0070C0"/>
          <w:sz w:val="20"/>
          <w:szCs w:val="20"/>
          <w:lang w:val="bg-BG"/>
        </w:rPr>
        <w:t xml:space="preserve"> вкл</w:t>
      </w:r>
      <w:r>
        <w:rPr>
          <w:rFonts w:cstheme="minorHAnsi"/>
          <w:noProof/>
          <w:color w:val="0070C0"/>
          <w:sz w:val="20"/>
          <w:szCs w:val="20"/>
          <w:lang w:val="bg-BG"/>
        </w:rPr>
        <w:t>ючително</w:t>
      </w:r>
      <w:r w:rsidR="00510D91" w:rsidRPr="0009589B">
        <w:rPr>
          <w:rFonts w:cstheme="minorHAnsi"/>
          <w:noProof/>
          <w:color w:val="0070C0"/>
          <w:sz w:val="20"/>
          <w:szCs w:val="20"/>
          <w:lang w:val="bg-BG"/>
        </w:rPr>
        <w:t xml:space="preserve"> </w:t>
      </w:r>
      <w:r w:rsidR="00215249" w:rsidRPr="0009589B">
        <w:rPr>
          <w:rFonts w:cstheme="minorHAnsi"/>
          <w:noProof/>
          <w:color w:val="0070C0"/>
          <w:sz w:val="20"/>
          <w:szCs w:val="20"/>
          <w:lang w:val="bg-BG"/>
        </w:rPr>
        <w:t xml:space="preserve">служители </w:t>
      </w:r>
      <w:r w:rsidR="000C741E">
        <w:rPr>
          <w:rFonts w:cstheme="minorHAnsi"/>
          <w:noProof/>
          <w:color w:val="0070C0"/>
          <w:sz w:val="20"/>
          <w:szCs w:val="20"/>
          <w:lang w:val="bg-BG"/>
        </w:rPr>
        <w:t>на</w:t>
      </w:r>
      <w:r w:rsidR="00215249" w:rsidRPr="0009589B">
        <w:rPr>
          <w:rFonts w:cstheme="minorHAnsi"/>
          <w:noProof/>
          <w:color w:val="0070C0"/>
          <w:sz w:val="20"/>
          <w:szCs w:val="20"/>
          <w:lang w:val="bg-BG"/>
        </w:rPr>
        <w:t xml:space="preserve"> МВнР</w:t>
      </w:r>
      <w:r w:rsidR="00510D91"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21</w:t>
      </w:r>
    </w:p>
    <w:p w14:paraId="0AB0276E" w14:textId="3804D040"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4</w:t>
      </w:r>
      <w:r w:rsidR="00215249" w:rsidRPr="0009589B">
        <w:rPr>
          <w:rFonts w:cstheme="minorHAnsi"/>
          <w:noProof/>
          <w:color w:val="0070C0"/>
          <w:sz w:val="20"/>
          <w:szCs w:val="20"/>
          <w:lang w:val="bg-BG"/>
        </w:rPr>
        <w:t xml:space="preserve">. Сигнали за нарушения и адекватност на системата </w:t>
      </w:r>
      <w:r w:rsidR="001F7101">
        <w:rPr>
          <w:rFonts w:cstheme="minorHAnsi"/>
          <w:noProof/>
          <w:color w:val="0070C0"/>
          <w:sz w:val="20"/>
          <w:szCs w:val="20"/>
          <w:lang w:val="bg-BG"/>
        </w:rPr>
        <w:t xml:space="preserve">в България </w:t>
      </w:r>
      <w:r w:rsidR="00215249" w:rsidRPr="0009589B">
        <w:rPr>
          <w:rFonts w:cstheme="minorHAnsi"/>
          <w:noProof/>
          <w:color w:val="0070C0"/>
          <w:sz w:val="20"/>
          <w:szCs w:val="20"/>
          <w:lang w:val="bg-BG"/>
        </w:rPr>
        <w:t>за защита на</w:t>
      </w:r>
      <w:r w:rsidR="001F7101">
        <w:rPr>
          <w:rFonts w:cstheme="minorHAnsi"/>
          <w:noProof/>
          <w:color w:val="0070C0"/>
          <w:sz w:val="20"/>
          <w:szCs w:val="20"/>
          <w:lang w:val="bg-BG"/>
        </w:rPr>
        <w:t xml:space="preserve"> лицата, които подават сигнали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22</w:t>
      </w:r>
    </w:p>
    <w:p w14:paraId="22E56A7A" w14:textId="6B3E3E7F"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5</w:t>
      </w:r>
      <w:r w:rsidR="00215249" w:rsidRPr="0009589B">
        <w:rPr>
          <w:rFonts w:cstheme="minorHAnsi"/>
          <w:noProof/>
          <w:color w:val="0070C0"/>
          <w:sz w:val="20"/>
          <w:szCs w:val="20"/>
          <w:lang w:val="bg-BG"/>
        </w:rPr>
        <w:t>. Медии и разследващи журналисти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23</w:t>
      </w:r>
    </w:p>
    <w:p w14:paraId="563287AD" w14:textId="4F8DEA2D"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6</w:t>
      </w:r>
      <w:r w:rsidR="00215249" w:rsidRPr="0009589B">
        <w:rPr>
          <w:rFonts w:cstheme="minorHAnsi"/>
          <w:noProof/>
          <w:color w:val="0070C0"/>
          <w:sz w:val="20"/>
          <w:szCs w:val="20"/>
          <w:lang w:val="bg-BG"/>
        </w:rPr>
        <w:t xml:space="preserve">. </w:t>
      </w:r>
      <w:r w:rsidR="00892A8B">
        <w:rPr>
          <w:rFonts w:cstheme="minorHAnsi"/>
          <w:noProof/>
          <w:color w:val="0070C0"/>
          <w:sz w:val="20"/>
          <w:szCs w:val="20"/>
          <w:lang w:val="bg-BG"/>
        </w:rPr>
        <w:t>Доклади за с</w:t>
      </w:r>
      <w:r w:rsidR="00215249" w:rsidRPr="0009589B">
        <w:rPr>
          <w:rFonts w:cstheme="minorHAnsi"/>
          <w:noProof/>
          <w:color w:val="0070C0"/>
          <w:sz w:val="20"/>
          <w:szCs w:val="20"/>
          <w:lang w:val="bg-BG"/>
        </w:rPr>
        <w:t>амоуличаване от компаниите</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w:t>
      </w:r>
      <w:r w:rsidR="00892A8B">
        <w:rPr>
          <w:rFonts w:cstheme="minorHAnsi"/>
          <w:noProof/>
          <w:color w:val="0070C0"/>
          <w:sz w:val="20"/>
          <w:szCs w:val="20"/>
          <w:lang w:val="bg-BG"/>
        </w:rPr>
        <w:t xml:space="preserve">       24</w:t>
      </w:r>
    </w:p>
    <w:p w14:paraId="6B8BDFBC" w14:textId="459AC778"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7</w:t>
      </w:r>
      <w:r w:rsidR="00215249" w:rsidRPr="0009589B">
        <w:rPr>
          <w:rFonts w:cstheme="minorHAnsi"/>
          <w:noProof/>
          <w:color w:val="0070C0"/>
          <w:sz w:val="20"/>
          <w:szCs w:val="20"/>
          <w:lang w:val="bg-BG"/>
        </w:rPr>
        <w:t>. Данъчни органи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1F7101">
        <w:rPr>
          <w:rFonts w:cstheme="minorHAnsi"/>
          <w:noProof/>
          <w:color w:val="0070C0"/>
          <w:sz w:val="20"/>
          <w:szCs w:val="20"/>
          <w:lang w:val="bg-BG"/>
        </w:rPr>
        <w:t xml:space="preserve">     </w:t>
      </w:r>
      <w:r w:rsidR="00892A8B">
        <w:rPr>
          <w:rFonts w:cstheme="minorHAnsi"/>
          <w:noProof/>
          <w:color w:val="0070C0"/>
          <w:sz w:val="20"/>
          <w:szCs w:val="20"/>
          <w:lang w:val="bg-BG"/>
        </w:rPr>
        <w:t xml:space="preserve">  25</w:t>
      </w:r>
    </w:p>
    <w:p w14:paraId="70131665" w14:textId="49E32590"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8</w:t>
      </w:r>
      <w:r w:rsidR="00215249" w:rsidRPr="0009589B">
        <w:rPr>
          <w:rFonts w:cstheme="minorHAnsi"/>
          <w:noProof/>
          <w:color w:val="0070C0"/>
          <w:sz w:val="20"/>
          <w:szCs w:val="20"/>
          <w:lang w:val="bg-BG"/>
        </w:rPr>
        <w:t>.</w:t>
      </w:r>
      <w:r w:rsidR="00086EB1">
        <w:rPr>
          <w:rFonts w:cstheme="minorHAnsi"/>
          <w:noProof/>
          <w:color w:val="0070C0"/>
          <w:sz w:val="20"/>
          <w:szCs w:val="20"/>
          <w:lang w:val="bg-BG"/>
        </w:rPr>
        <w:t xml:space="preserve"> </w:t>
      </w:r>
      <w:r w:rsidR="00682813">
        <w:rPr>
          <w:rFonts w:cstheme="minorHAnsi"/>
          <w:noProof/>
          <w:color w:val="0070C0"/>
          <w:sz w:val="20"/>
          <w:szCs w:val="20"/>
          <w:lang w:val="bg-BG"/>
        </w:rPr>
        <w:t>Орган</w:t>
      </w:r>
      <w:r w:rsidR="009C74CD">
        <w:rPr>
          <w:rFonts w:cstheme="minorHAnsi"/>
          <w:noProof/>
          <w:color w:val="0070C0"/>
          <w:sz w:val="20"/>
          <w:szCs w:val="20"/>
          <w:lang w:val="bg-BG"/>
        </w:rPr>
        <w:t>, отговарящ</w:t>
      </w:r>
      <w:r w:rsidR="00682813">
        <w:rPr>
          <w:rFonts w:cstheme="minorHAnsi"/>
          <w:noProof/>
          <w:color w:val="0070C0"/>
          <w:sz w:val="20"/>
          <w:szCs w:val="20"/>
          <w:lang w:val="bg-BG"/>
        </w:rPr>
        <w:t xml:space="preserve"> за</w:t>
      </w:r>
      <w:r w:rsidR="00A24020">
        <w:rPr>
          <w:rFonts w:cstheme="minorHAnsi"/>
          <w:noProof/>
          <w:color w:val="0070C0"/>
          <w:sz w:val="20"/>
          <w:szCs w:val="20"/>
          <w:lang w:val="bg-BG"/>
        </w:rPr>
        <w:t xml:space="preserve"> </w:t>
      </w:r>
      <w:r w:rsidR="00215249" w:rsidRPr="0009589B">
        <w:rPr>
          <w:rFonts w:cstheme="minorHAnsi"/>
          <w:noProof/>
          <w:color w:val="0070C0"/>
          <w:sz w:val="20"/>
          <w:szCs w:val="20"/>
          <w:lang w:val="bg-BG"/>
        </w:rPr>
        <w:t>Официална</w:t>
      </w:r>
      <w:r w:rsidR="00A24020">
        <w:rPr>
          <w:rFonts w:cstheme="minorHAnsi"/>
          <w:noProof/>
          <w:color w:val="0070C0"/>
          <w:sz w:val="20"/>
          <w:szCs w:val="20"/>
          <w:lang w:val="bg-BG"/>
        </w:rPr>
        <w:t>та</w:t>
      </w:r>
      <w:r w:rsidR="00215249" w:rsidRPr="0009589B">
        <w:rPr>
          <w:rFonts w:cstheme="minorHAnsi"/>
          <w:noProof/>
          <w:color w:val="0070C0"/>
          <w:sz w:val="20"/>
          <w:szCs w:val="20"/>
          <w:lang w:val="bg-BG"/>
        </w:rPr>
        <w:t xml:space="preserve"> помощ за развитие</w:t>
      </w:r>
      <w:r w:rsidR="00892A8B">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25</w:t>
      </w:r>
    </w:p>
    <w:p w14:paraId="274F1E7F" w14:textId="2460AF6E"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9</w:t>
      </w:r>
      <w:r w:rsidR="00215249" w:rsidRPr="0009589B">
        <w:rPr>
          <w:rFonts w:cstheme="minorHAnsi"/>
          <w:noProof/>
          <w:color w:val="0070C0"/>
          <w:sz w:val="20"/>
          <w:szCs w:val="20"/>
          <w:lang w:val="bg-BG"/>
        </w:rPr>
        <w:t>. Комисия за борба с корупцията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25</w:t>
      </w:r>
    </w:p>
    <w:p w14:paraId="2151C714" w14:textId="67E702BB" w:rsidR="00215249" w:rsidRPr="0009589B" w:rsidRDefault="000A1C52"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10</w:t>
      </w:r>
      <w:r w:rsidR="00215249" w:rsidRPr="0009589B">
        <w:rPr>
          <w:rFonts w:cstheme="minorHAnsi"/>
          <w:noProof/>
          <w:color w:val="0070C0"/>
          <w:sz w:val="20"/>
          <w:szCs w:val="20"/>
          <w:lang w:val="bg-BG"/>
        </w:rPr>
        <w:t>. Счетоводители и одитори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26</w:t>
      </w:r>
    </w:p>
    <w:p w14:paraId="594F150B" w14:textId="358ED61F" w:rsidR="00215249" w:rsidRPr="0009589B" w:rsidRDefault="0021524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Б. </w:t>
      </w:r>
      <w:r w:rsidR="0068208B">
        <w:rPr>
          <w:rFonts w:cstheme="minorHAnsi"/>
          <w:noProof/>
          <w:color w:val="0070C0"/>
          <w:sz w:val="20"/>
          <w:szCs w:val="20"/>
          <w:lang w:val="bg-BG"/>
        </w:rPr>
        <w:t>Наказателно п</w:t>
      </w:r>
      <w:r w:rsidR="00F301EA" w:rsidRPr="0009589B">
        <w:rPr>
          <w:rFonts w:cstheme="minorHAnsi"/>
          <w:noProof/>
          <w:color w:val="0070C0"/>
          <w:sz w:val="20"/>
          <w:szCs w:val="20"/>
          <w:lang w:val="bg-BG"/>
        </w:rPr>
        <w:t xml:space="preserve">реследване на престъплението „подкуп на </w:t>
      </w:r>
      <w:r w:rsidR="00892A8B">
        <w:rPr>
          <w:rFonts w:cstheme="minorHAnsi"/>
          <w:noProof/>
          <w:color w:val="0070C0"/>
          <w:sz w:val="20"/>
          <w:szCs w:val="20"/>
          <w:lang w:val="bg-BG"/>
        </w:rPr>
        <w:t>чужди</w:t>
      </w:r>
      <w:r w:rsidR="000C741E">
        <w:rPr>
          <w:rFonts w:cstheme="minorHAnsi"/>
          <w:noProof/>
          <w:color w:val="0070C0"/>
          <w:sz w:val="20"/>
          <w:szCs w:val="20"/>
          <w:lang w:val="bg-BG"/>
        </w:rPr>
        <w:t xml:space="preserve"> д</w:t>
      </w:r>
      <w:r w:rsidR="00892A8B">
        <w:rPr>
          <w:rFonts w:cstheme="minorHAnsi"/>
          <w:noProof/>
          <w:color w:val="0070C0"/>
          <w:sz w:val="20"/>
          <w:szCs w:val="20"/>
          <w:lang w:val="bg-BG"/>
        </w:rPr>
        <w:t>лъжностни лица</w:t>
      </w:r>
      <w:r w:rsidR="00F301EA" w:rsidRPr="0009589B">
        <w:rPr>
          <w:rFonts w:cstheme="minorHAnsi"/>
          <w:noProof/>
          <w:color w:val="0070C0"/>
          <w:sz w:val="20"/>
          <w:szCs w:val="20"/>
          <w:lang w:val="bg-BG"/>
        </w:rPr>
        <w:t>“</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28</w:t>
      </w:r>
    </w:p>
    <w:p w14:paraId="49E72B7A" w14:textId="27B35B4E"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1. Престъплението „подкуп на </w:t>
      </w:r>
      <w:r w:rsidR="00892A8B">
        <w:rPr>
          <w:rFonts w:cstheme="minorHAnsi"/>
          <w:noProof/>
          <w:color w:val="0070C0"/>
          <w:sz w:val="20"/>
          <w:szCs w:val="20"/>
          <w:lang w:val="bg-BG"/>
        </w:rPr>
        <w:t>чуждо длъжностно лице</w:t>
      </w:r>
      <w:r w:rsidRPr="0009589B">
        <w:rPr>
          <w:rFonts w:cstheme="minorHAnsi"/>
          <w:noProof/>
          <w:color w:val="0070C0"/>
          <w:sz w:val="20"/>
          <w:szCs w:val="20"/>
          <w:lang w:val="bg-BG"/>
        </w:rPr>
        <w:t>“</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28</w:t>
      </w:r>
    </w:p>
    <w:p w14:paraId="447BB10D" w14:textId="220FB419"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Трети облагодетелствани лица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28</w:t>
      </w:r>
    </w:p>
    <w:p w14:paraId="58440F5F" w14:textId="77777777" w:rsidR="000C741E"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б. Действие или </w:t>
      </w:r>
      <w:r w:rsidR="000C741E">
        <w:rPr>
          <w:rFonts w:cstheme="minorHAnsi"/>
          <w:noProof/>
          <w:color w:val="0070C0"/>
          <w:sz w:val="20"/>
          <w:szCs w:val="20"/>
          <w:lang w:val="bg-BG"/>
        </w:rPr>
        <w:t>въздържане от действие</w:t>
      </w:r>
      <w:r w:rsidRPr="0009589B">
        <w:rPr>
          <w:rFonts w:cstheme="minorHAnsi"/>
          <w:noProof/>
          <w:color w:val="0070C0"/>
          <w:sz w:val="20"/>
          <w:szCs w:val="20"/>
          <w:lang w:val="bg-BG"/>
        </w:rPr>
        <w:t xml:space="preserve"> в</w:t>
      </w:r>
      <w:r w:rsidR="00A6468A" w:rsidRPr="0009589B">
        <w:rPr>
          <w:rFonts w:cstheme="minorHAnsi"/>
          <w:noProof/>
          <w:color w:val="0070C0"/>
          <w:sz w:val="20"/>
          <w:szCs w:val="20"/>
          <w:lang w:val="bg-BG"/>
        </w:rPr>
        <w:t>ъв връзка с изпълнението на слу</w:t>
      </w:r>
      <w:r w:rsidRPr="0009589B">
        <w:rPr>
          <w:rFonts w:cstheme="minorHAnsi"/>
          <w:noProof/>
          <w:color w:val="0070C0"/>
          <w:sz w:val="20"/>
          <w:szCs w:val="20"/>
          <w:lang w:val="bg-BG"/>
        </w:rPr>
        <w:t>жебните задължения</w:t>
      </w:r>
      <w:r w:rsidR="000C741E">
        <w:rPr>
          <w:rFonts w:cstheme="minorHAnsi"/>
          <w:noProof/>
          <w:color w:val="0070C0"/>
          <w:sz w:val="20"/>
          <w:szCs w:val="20"/>
          <w:lang w:val="bg-BG"/>
        </w:rPr>
        <w:t xml:space="preserve"> </w:t>
      </w:r>
    </w:p>
    <w:p w14:paraId="460E8C93" w14:textId="6B5CD311" w:rsidR="00F301EA" w:rsidRPr="0009589B" w:rsidRDefault="000C741E"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Pr>
          <w:rFonts w:cstheme="minorHAnsi"/>
          <w:noProof/>
          <w:color w:val="0070C0"/>
          <w:sz w:val="20"/>
          <w:szCs w:val="20"/>
          <w:lang w:val="bg-BG"/>
        </w:rPr>
        <w:t xml:space="preserve">   </w:t>
      </w:r>
      <w:r w:rsidR="00892A8B">
        <w:rPr>
          <w:rFonts w:cstheme="minorHAnsi"/>
          <w:noProof/>
          <w:color w:val="0070C0"/>
          <w:sz w:val="20"/>
          <w:szCs w:val="20"/>
          <w:lang w:val="bg-BG"/>
        </w:rPr>
        <w:t>28</w:t>
      </w:r>
    </w:p>
    <w:p w14:paraId="3733ADCF" w14:textId="59C320F0"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2. Наказания срещу физически лица за подкуп на </w:t>
      </w:r>
      <w:r w:rsidR="000C741E" w:rsidRPr="000C741E">
        <w:rPr>
          <w:rFonts w:cstheme="minorHAnsi"/>
          <w:noProof/>
          <w:color w:val="0070C0"/>
          <w:sz w:val="20"/>
          <w:szCs w:val="20"/>
          <w:lang w:val="bg-BG"/>
        </w:rPr>
        <w:t xml:space="preserve">чужди длъжностни лица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29</w:t>
      </w:r>
    </w:p>
    <w:p w14:paraId="549F9FD6" w14:textId="30092089"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а. </w:t>
      </w:r>
      <w:r w:rsidR="008C7BB2">
        <w:rPr>
          <w:rFonts w:cstheme="minorHAnsi"/>
          <w:noProof/>
          <w:color w:val="0070C0"/>
          <w:sz w:val="20"/>
          <w:szCs w:val="20"/>
          <w:lang w:val="bg-BG"/>
        </w:rPr>
        <w:t>Наказателни санкции</w:t>
      </w:r>
      <w:r w:rsidR="008C7BB2" w:rsidRPr="0009589B">
        <w:rPr>
          <w:rFonts w:cstheme="minorHAnsi"/>
          <w:noProof/>
          <w:color w:val="0070C0"/>
          <w:sz w:val="20"/>
          <w:szCs w:val="20"/>
          <w:lang w:val="bg-BG"/>
        </w:rPr>
        <w:t xml:space="preserve"> </w:t>
      </w:r>
      <w:r w:rsidRPr="0009589B">
        <w:rPr>
          <w:rFonts w:cstheme="minorHAnsi"/>
          <w:noProof/>
          <w:color w:val="0070C0"/>
          <w:sz w:val="20"/>
          <w:szCs w:val="20"/>
          <w:lang w:val="bg-BG"/>
        </w:rPr>
        <w:t>съгласно българското законодателство</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29</w:t>
      </w:r>
    </w:p>
    <w:p w14:paraId="0AC3B315" w14:textId="672D39C4"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Наложени наказания на практика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30</w:t>
      </w:r>
    </w:p>
    <w:p w14:paraId="10B9D40B" w14:textId="10252470"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lastRenderedPageBreak/>
        <w:t>в. Отнемане</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30</w:t>
      </w:r>
    </w:p>
    <w:p w14:paraId="4408724D" w14:textId="69FFA9E2"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3. </w:t>
      </w:r>
      <w:r w:rsidR="00202572">
        <w:rPr>
          <w:rFonts w:cstheme="minorHAnsi"/>
          <w:noProof/>
          <w:color w:val="0070C0"/>
          <w:sz w:val="20"/>
          <w:szCs w:val="20"/>
          <w:lang w:val="bg-BG"/>
        </w:rPr>
        <w:t>П</w:t>
      </w:r>
      <w:r w:rsidRPr="0009589B">
        <w:rPr>
          <w:rFonts w:cstheme="minorHAnsi"/>
          <w:noProof/>
          <w:color w:val="0070C0"/>
          <w:sz w:val="20"/>
          <w:szCs w:val="20"/>
          <w:lang w:val="bg-BG"/>
        </w:rPr>
        <w:t>рестъпления</w:t>
      </w:r>
      <w:r w:rsidR="00202572">
        <w:rPr>
          <w:rFonts w:cstheme="minorHAnsi"/>
          <w:noProof/>
          <w:color w:val="0070C0"/>
          <w:sz w:val="20"/>
          <w:szCs w:val="20"/>
          <w:lang w:val="bg-BG"/>
        </w:rPr>
        <w:t>, свързани</w:t>
      </w:r>
      <w:r w:rsidRPr="0009589B">
        <w:rPr>
          <w:rFonts w:cstheme="minorHAnsi"/>
          <w:noProof/>
          <w:color w:val="0070C0"/>
          <w:sz w:val="20"/>
          <w:szCs w:val="20"/>
          <w:lang w:val="bg-BG"/>
        </w:rPr>
        <w:t xml:space="preserve"> с фалшиво счетоводство и изпиране на пари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31</w:t>
      </w:r>
    </w:p>
    <w:p w14:paraId="1315D8AE" w14:textId="4BE34CA1"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Нарушението „фалшиво счетоводство“</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31</w:t>
      </w:r>
    </w:p>
    <w:p w14:paraId="4826437B" w14:textId="73B94D16"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Санкции за „фалшиво счетоводство“</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31</w:t>
      </w:r>
    </w:p>
    <w:p w14:paraId="7EF7AF54" w14:textId="768C863E"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в. Престъплението изпиране на пари и превантивните мерки</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32</w:t>
      </w:r>
    </w:p>
    <w:p w14:paraId="7F0E2E0F" w14:textId="43717C45"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г. Звеното за финансово разузнаване (ДФР-ДАНС)</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32</w:t>
      </w:r>
    </w:p>
    <w:p w14:paraId="5E0A0217" w14:textId="5D43ABB0"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4. Разследване и наказателно преследване на подкуп на </w:t>
      </w:r>
      <w:r w:rsidR="000C741E">
        <w:rPr>
          <w:rFonts w:cstheme="minorHAnsi"/>
          <w:noProof/>
          <w:color w:val="0070C0"/>
          <w:sz w:val="20"/>
          <w:szCs w:val="20"/>
          <w:lang w:val="bg-BG"/>
        </w:rPr>
        <w:t>чужди длъжностни лица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33</w:t>
      </w:r>
    </w:p>
    <w:p w14:paraId="40FF03F2" w14:textId="081E6E5C"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Разследвания и наказателни преследвания</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33</w:t>
      </w:r>
    </w:p>
    <w:p w14:paraId="124741B8" w14:textId="127C76B9"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б. Преглед на </w:t>
      </w:r>
      <w:r w:rsidR="00202572">
        <w:rPr>
          <w:rFonts w:cstheme="minorHAnsi"/>
          <w:noProof/>
          <w:color w:val="0070C0"/>
          <w:sz w:val="20"/>
          <w:szCs w:val="20"/>
          <w:lang w:val="bg-BG"/>
        </w:rPr>
        <w:t>институциите</w:t>
      </w:r>
      <w:r w:rsidRPr="0009589B">
        <w:rPr>
          <w:rFonts w:cstheme="minorHAnsi"/>
          <w:noProof/>
          <w:color w:val="0070C0"/>
          <w:sz w:val="20"/>
          <w:szCs w:val="20"/>
          <w:lang w:val="bg-BG"/>
        </w:rPr>
        <w:t xml:space="preserve">, отговорни за разследването и наказателното преследване на подкуп на </w:t>
      </w:r>
      <w:r w:rsidR="000C741E">
        <w:rPr>
          <w:rFonts w:cstheme="minorHAnsi"/>
          <w:noProof/>
          <w:color w:val="0070C0"/>
          <w:sz w:val="20"/>
          <w:szCs w:val="20"/>
          <w:lang w:val="bg-BG"/>
        </w:rPr>
        <w:t>чужди длъжностни лица</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33</w:t>
      </w:r>
    </w:p>
    <w:p w14:paraId="52B0EB69" w14:textId="70E92A7A"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в. Провеждане</w:t>
      </w:r>
      <w:r w:rsidR="00892A8B">
        <w:rPr>
          <w:rFonts w:cstheme="minorHAnsi"/>
          <w:noProof/>
          <w:color w:val="0070C0"/>
          <w:sz w:val="20"/>
          <w:szCs w:val="20"/>
          <w:lang w:val="bg-BG"/>
        </w:rPr>
        <w:t xml:space="preserve"> на разследване на случаи на </w:t>
      </w:r>
      <w:r w:rsidRPr="0009589B">
        <w:rPr>
          <w:rFonts w:cstheme="minorHAnsi"/>
          <w:noProof/>
          <w:color w:val="0070C0"/>
          <w:sz w:val="20"/>
          <w:szCs w:val="20"/>
          <w:lang w:val="bg-BG"/>
        </w:rPr>
        <w:t xml:space="preserve">подкуп на </w:t>
      </w:r>
      <w:r w:rsidR="000C741E" w:rsidRPr="000C741E">
        <w:rPr>
          <w:rFonts w:cstheme="minorHAnsi"/>
          <w:noProof/>
          <w:color w:val="0070C0"/>
          <w:sz w:val="20"/>
          <w:szCs w:val="20"/>
          <w:lang w:val="bg-BG"/>
        </w:rPr>
        <w:t>чужди длъжностни лица</w:t>
      </w:r>
      <w:r w:rsidRPr="0009589B">
        <w:rPr>
          <w:rFonts w:cstheme="minorHAnsi"/>
          <w:noProof/>
          <w:color w:val="0070C0"/>
          <w:sz w:val="20"/>
          <w:szCs w:val="20"/>
          <w:lang w:val="bg-BG"/>
        </w:rPr>
        <w:t xml:space="preserve"> и наказателно преследване</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35</w:t>
      </w:r>
    </w:p>
    <w:p w14:paraId="6844047E" w14:textId="4A642EB5"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г. Приключване на дело за подкуп на </w:t>
      </w:r>
      <w:r w:rsidR="000C741E" w:rsidRPr="000C741E">
        <w:rPr>
          <w:rFonts w:cstheme="minorHAnsi"/>
          <w:noProof/>
          <w:color w:val="0070C0"/>
          <w:sz w:val="20"/>
          <w:szCs w:val="20"/>
          <w:lang w:val="bg-BG"/>
        </w:rPr>
        <w:t xml:space="preserve">чужди длъжностни лица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41</w:t>
      </w:r>
    </w:p>
    <w:p w14:paraId="146D3E74" w14:textId="392B3D53" w:rsidR="00F301EA" w:rsidRPr="0009589B" w:rsidRDefault="00F301EA"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5. Взаимна правна</w:t>
      </w:r>
      <w:r w:rsidR="0029780C" w:rsidRPr="0009589B">
        <w:rPr>
          <w:rFonts w:cstheme="minorHAnsi"/>
          <w:noProof/>
          <w:color w:val="0070C0"/>
          <w:sz w:val="20"/>
          <w:szCs w:val="20"/>
          <w:lang w:val="bg-BG"/>
        </w:rPr>
        <w:t xml:space="preserve"> помощ и екстрадиция по дела за подкуп на </w:t>
      </w:r>
      <w:r w:rsidR="000C741E" w:rsidRPr="000C741E">
        <w:rPr>
          <w:rFonts w:cstheme="minorHAnsi"/>
          <w:noProof/>
          <w:color w:val="0070C0"/>
          <w:sz w:val="20"/>
          <w:szCs w:val="20"/>
          <w:lang w:val="bg-BG"/>
        </w:rPr>
        <w:t xml:space="preserve">чужди длъжностни лица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42</w:t>
      </w:r>
    </w:p>
    <w:p w14:paraId="3E01921A" w14:textId="3E6692EC" w:rsidR="0029780C" w:rsidRPr="0009589B" w:rsidRDefault="0029780C"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Взаимна правна помощ (ВПП)</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42</w:t>
      </w:r>
    </w:p>
    <w:p w14:paraId="4D40C0A3" w14:textId="001F37E9" w:rsidR="006E4407" w:rsidRDefault="0029780C"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Екстрадиция</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44</w:t>
      </w:r>
    </w:p>
    <w:p w14:paraId="5D4EBE7E" w14:textId="01F1B7CE" w:rsidR="0029780C" w:rsidRPr="0009589B" w:rsidRDefault="006E4407"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 xml:space="preserve">в. </w:t>
      </w:r>
      <w:r w:rsidR="00FC1633">
        <w:rPr>
          <w:rFonts w:cstheme="minorHAnsi"/>
          <w:noProof/>
          <w:color w:val="0070C0"/>
          <w:sz w:val="20"/>
          <w:szCs w:val="20"/>
          <w:lang w:val="bg-BG"/>
        </w:rPr>
        <w:t>С</w:t>
      </w:r>
      <w:r>
        <w:rPr>
          <w:rFonts w:cstheme="minorHAnsi"/>
          <w:noProof/>
          <w:color w:val="0070C0"/>
          <w:sz w:val="20"/>
          <w:szCs w:val="20"/>
          <w:lang w:val="bg-BG"/>
        </w:rPr>
        <w:t xml:space="preserve">истема за </w:t>
      </w:r>
      <w:r w:rsidR="00A6468A" w:rsidRPr="0009589B">
        <w:rPr>
          <w:rFonts w:cstheme="minorHAnsi"/>
          <w:noProof/>
          <w:color w:val="0070C0"/>
          <w:sz w:val="20"/>
          <w:szCs w:val="20"/>
          <w:lang w:val="bg-BG"/>
        </w:rPr>
        <w:t xml:space="preserve"> </w:t>
      </w:r>
      <w:r>
        <w:rPr>
          <w:rFonts w:cstheme="minorHAnsi"/>
          <w:noProof/>
          <w:color w:val="0070C0"/>
          <w:sz w:val="20"/>
          <w:szCs w:val="20"/>
          <w:lang w:val="bg-BG"/>
        </w:rPr>
        <w:t>управление на ВПП и молбите за екстрадиция</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892A8B">
        <w:rPr>
          <w:rFonts w:cstheme="minorHAnsi"/>
          <w:noProof/>
          <w:color w:val="0070C0"/>
          <w:sz w:val="20"/>
          <w:szCs w:val="20"/>
          <w:lang w:val="bg-BG"/>
        </w:rPr>
        <w:t>45</w:t>
      </w:r>
    </w:p>
    <w:p w14:paraId="30EED9D1" w14:textId="7416D633"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В. Отговорност на юридическите лица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892A8B">
        <w:rPr>
          <w:rFonts w:cstheme="minorHAnsi"/>
          <w:noProof/>
          <w:color w:val="0070C0"/>
          <w:sz w:val="20"/>
          <w:szCs w:val="20"/>
          <w:lang w:val="bg-BG"/>
        </w:rPr>
        <w:t xml:space="preserve">        46</w:t>
      </w:r>
    </w:p>
    <w:p w14:paraId="5626EBEF" w14:textId="281DC9F6" w:rsidR="007F1014" w:rsidRPr="0009589B" w:rsidRDefault="00E0448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1. Обхват на</w:t>
      </w:r>
      <w:r w:rsidR="007F1014" w:rsidRPr="0009589B">
        <w:rPr>
          <w:rFonts w:cstheme="minorHAnsi"/>
          <w:noProof/>
          <w:color w:val="0070C0"/>
          <w:sz w:val="20"/>
          <w:szCs w:val="20"/>
          <w:lang w:val="bg-BG"/>
        </w:rPr>
        <w:t xml:space="preserve"> отговорност</w:t>
      </w:r>
      <w:r w:rsidRPr="0009589B">
        <w:rPr>
          <w:rFonts w:cstheme="minorHAnsi"/>
          <w:noProof/>
          <w:color w:val="0070C0"/>
          <w:sz w:val="20"/>
          <w:szCs w:val="20"/>
          <w:lang w:val="bg-BG"/>
        </w:rPr>
        <w:t xml:space="preserve">та на юридическите лица за подкуп на </w:t>
      </w:r>
      <w:r w:rsidR="000C741E" w:rsidRPr="000C741E">
        <w:rPr>
          <w:rFonts w:cstheme="minorHAnsi"/>
          <w:noProof/>
          <w:color w:val="0070C0"/>
          <w:sz w:val="20"/>
          <w:szCs w:val="20"/>
          <w:lang w:val="bg-BG"/>
        </w:rPr>
        <w:t xml:space="preserve">чужди длъжностни лица  </w:t>
      </w:r>
      <w:r w:rsidR="007F1014" w:rsidRPr="0009589B">
        <w:rPr>
          <w:rFonts w:cstheme="minorHAnsi"/>
          <w:noProof/>
          <w:color w:val="0070C0"/>
          <w:sz w:val="20"/>
          <w:szCs w:val="20"/>
          <w:lang w:val="bg-BG"/>
        </w:rPr>
        <w:t xml:space="preserve">и </w:t>
      </w:r>
      <w:r w:rsidRPr="0009589B">
        <w:rPr>
          <w:rFonts w:cstheme="minorHAnsi"/>
          <w:noProof/>
          <w:color w:val="0070C0"/>
          <w:sz w:val="20"/>
          <w:szCs w:val="20"/>
          <w:lang w:val="bg-BG"/>
        </w:rPr>
        <w:t>свързаните</w:t>
      </w:r>
      <w:r w:rsidR="007F1014" w:rsidRPr="0009589B">
        <w:rPr>
          <w:rFonts w:cstheme="minorHAnsi"/>
          <w:noProof/>
          <w:color w:val="0070C0"/>
          <w:sz w:val="20"/>
          <w:szCs w:val="20"/>
          <w:lang w:val="bg-BG"/>
        </w:rPr>
        <w:t xml:space="preserve"> с </w:t>
      </w:r>
      <w:r w:rsidRPr="0009589B">
        <w:rPr>
          <w:rFonts w:cstheme="minorHAnsi"/>
          <w:noProof/>
          <w:color w:val="0070C0"/>
          <w:sz w:val="20"/>
          <w:szCs w:val="20"/>
          <w:lang w:val="bg-BG"/>
        </w:rPr>
        <w:t>него</w:t>
      </w:r>
      <w:r w:rsidR="000C741E">
        <w:rPr>
          <w:rFonts w:cstheme="minorHAnsi"/>
          <w:noProof/>
          <w:color w:val="0070C0"/>
          <w:sz w:val="20"/>
          <w:szCs w:val="20"/>
          <w:lang w:val="bg-BG"/>
        </w:rPr>
        <w:t xml:space="preserve"> престъплени</w:t>
      </w:r>
      <w:r w:rsidR="004D2A91">
        <w:rPr>
          <w:rFonts w:cstheme="minorHAnsi"/>
          <w:noProof/>
          <w:color w:val="0070C0"/>
          <w:sz w:val="20"/>
          <w:szCs w:val="20"/>
          <w:lang w:val="bg-BG"/>
        </w:rPr>
        <w:t>я</w:t>
      </w:r>
      <w:r w:rsidR="00A6468A" w:rsidRPr="0009589B">
        <w:rPr>
          <w:rFonts w:cstheme="minorHAnsi"/>
          <w:noProof/>
          <w:color w:val="0070C0"/>
          <w:sz w:val="20"/>
          <w:szCs w:val="20"/>
          <w:lang w:val="bg-BG"/>
        </w:rPr>
        <w:t xml:space="preserve">                                                                                                  </w:t>
      </w:r>
      <w:r w:rsidR="000945CB">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945CB">
        <w:rPr>
          <w:rFonts w:cstheme="minorHAnsi"/>
          <w:noProof/>
          <w:color w:val="0070C0"/>
          <w:sz w:val="20"/>
          <w:szCs w:val="20"/>
          <w:lang w:val="bg-BG"/>
        </w:rPr>
        <w:t xml:space="preserve"> 46</w:t>
      </w:r>
    </w:p>
    <w:p w14:paraId="2E3614D4" w14:textId="65BC57BE"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а. Аспекти на отговорността на юридическите лица, които </w:t>
      </w:r>
      <w:r w:rsidR="000945CB">
        <w:rPr>
          <w:rFonts w:cstheme="minorHAnsi"/>
          <w:noProof/>
          <w:color w:val="0070C0"/>
          <w:sz w:val="20"/>
          <w:szCs w:val="20"/>
          <w:lang w:val="bg-BG"/>
        </w:rPr>
        <w:t>изисват проследяване</w:t>
      </w:r>
      <w:r w:rsidRPr="0009589B">
        <w:rPr>
          <w:rFonts w:cstheme="minorHAnsi"/>
          <w:noProof/>
          <w:color w:val="0070C0"/>
          <w:sz w:val="20"/>
          <w:szCs w:val="20"/>
          <w:lang w:val="bg-BG"/>
        </w:rPr>
        <w:t xml:space="preserve"> от Работната група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0945C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0945CB">
        <w:rPr>
          <w:rFonts w:cstheme="minorHAnsi"/>
          <w:noProof/>
          <w:color w:val="0070C0"/>
          <w:sz w:val="20"/>
          <w:szCs w:val="20"/>
          <w:lang w:val="bg-BG"/>
        </w:rPr>
        <w:t>47</w:t>
      </w:r>
    </w:p>
    <w:p w14:paraId="6BC9DD28" w14:textId="5E0B630F"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Производства срещу юридически лица</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0945CB">
        <w:rPr>
          <w:rFonts w:cstheme="minorHAnsi"/>
          <w:noProof/>
          <w:color w:val="0070C0"/>
          <w:sz w:val="20"/>
          <w:szCs w:val="20"/>
          <w:lang w:val="bg-BG"/>
        </w:rPr>
        <w:t xml:space="preserve">   48</w:t>
      </w:r>
    </w:p>
    <w:p w14:paraId="3A36470F" w14:textId="3054762D"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2. Приложение на отговорността на юридическите лица в случаи на подкуп на </w:t>
      </w:r>
      <w:r w:rsidR="000C741E" w:rsidRPr="000C741E">
        <w:rPr>
          <w:rFonts w:cstheme="minorHAnsi"/>
          <w:noProof/>
          <w:color w:val="0070C0"/>
          <w:sz w:val="20"/>
          <w:szCs w:val="20"/>
          <w:lang w:val="bg-BG"/>
        </w:rPr>
        <w:t xml:space="preserve">чужди длъжностни </w:t>
      </w:r>
      <w:r w:rsidR="000C741E">
        <w:rPr>
          <w:rFonts w:cstheme="minorHAnsi"/>
          <w:noProof/>
          <w:color w:val="0070C0"/>
          <w:sz w:val="20"/>
          <w:szCs w:val="20"/>
          <w:lang w:val="bg-BG"/>
        </w:rPr>
        <w:t>ли</w:t>
      </w:r>
      <w:r w:rsidR="000C741E" w:rsidRPr="000C741E">
        <w:rPr>
          <w:rFonts w:cstheme="minorHAnsi"/>
          <w:noProof/>
          <w:color w:val="0070C0"/>
          <w:sz w:val="20"/>
          <w:szCs w:val="20"/>
          <w:lang w:val="bg-BG"/>
        </w:rPr>
        <w:t xml:space="preserve">ца </w:t>
      </w:r>
      <w:r w:rsidR="004D2A91">
        <w:rPr>
          <w:rFonts w:cstheme="minorHAnsi"/>
          <w:noProof/>
          <w:color w:val="0070C0"/>
          <w:sz w:val="20"/>
          <w:szCs w:val="20"/>
          <w:lang w:val="bg-BG"/>
        </w:rPr>
        <w:t>и свързани престъпления</w:t>
      </w:r>
      <w:r w:rsidR="000C741E">
        <w:rPr>
          <w:rFonts w:cstheme="minorHAnsi"/>
          <w:noProof/>
          <w:color w:val="0070C0"/>
          <w:sz w:val="20"/>
          <w:szCs w:val="20"/>
          <w:lang w:val="bg-BG"/>
        </w:rPr>
        <w:t xml:space="preserve">        </w:t>
      </w:r>
      <w:r w:rsidR="000945C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0C741E" w:rsidRPr="000C741E">
        <w:rPr>
          <w:rFonts w:cstheme="minorHAnsi"/>
          <w:noProof/>
          <w:color w:val="0070C0"/>
          <w:sz w:val="20"/>
          <w:szCs w:val="20"/>
          <w:lang w:val="bg-BG"/>
        </w:rPr>
        <w:t xml:space="preserve"> </w:t>
      </w:r>
      <w:r w:rsidR="000945CB">
        <w:rPr>
          <w:rFonts w:cstheme="minorHAnsi"/>
          <w:noProof/>
          <w:color w:val="0070C0"/>
          <w:sz w:val="20"/>
          <w:szCs w:val="20"/>
          <w:lang w:val="bg-BG"/>
        </w:rPr>
        <w:t>52</w:t>
      </w:r>
    </w:p>
    <w:p w14:paraId="4F50EA48" w14:textId="703BE882"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3. </w:t>
      </w:r>
      <w:r w:rsidR="00FC1633">
        <w:rPr>
          <w:rFonts w:cstheme="minorHAnsi"/>
          <w:noProof/>
          <w:color w:val="0070C0"/>
          <w:sz w:val="20"/>
          <w:szCs w:val="20"/>
          <w:lang w:val="bg-BG"/>
        </w:rPr>
        <w:t>С</w:t>
      </w:r>
      <w:r w:rsidR="004A49AF">
        <w:rPr>
          <w:rFonts w:cstheme="minorHAnsi"/>
          <w:noProof/>
          <w:color w:val="0070C0"/>
          <w:sz w:val="20"/>
          <w:szCs w:val="20"/>
          <w:lang w:val="bg-BG"/>
        </w:rPr>
        <w:t>анкции</w:t>
      </w:r>
      <w:r w:rsidRPr="0009589B">
        <w:rPr>
          <w:rFonts w:cstheme="minorHAnsi"/>
          <w:noProof/>
          <w:color w:val="0070C0"/>
          <w:sz w:val="20"/>
          <w:szCs w:val="20"/>
          <w:lang w:val="bg-BG"/>
        </w:rPr>
        <w:t xml:space="preserve"> за юридически лица за подкуп на </w:t>
      </w:r>
      <w:r w:rsidR="000C741E" w:rsidRPr="000C741E">
        <w:rPr>
          <w:rFonts w:cstheme="minorHAnsi"/>
          <w:noProof/>
          <w:color w:val="0070C0"/>
          <w:sz w:val="20"/>
          <w:szCs w:val="20"/>
          <w:lang w:val="bg-BG"/>
        </w:rPr>
        <w:t xml:space="preserve">чужди длъжностни лица  </w:t>
      </w:r>
      <w:r w:rsidR="004A49AF">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0945CB">
        <w:rPr>
          <w:rFonts w:cstheme="minorHAnsi"/>
          <w:noProof/>
          <w:color w:val="0070C0"/>
          <w:sz w:val="20"/>
          <w:szCs w:val="20"/>
          <w:lang w:val="bg-BG"/>
        </w:rPr>
        <w:t xml:space="preserve">                                </w:t>
      </w:r>
      <w:r w:rsidR="006E27BB">
        <w:rPr>
          <w:rFonts w:cstheme="minorHAnsi"/>
          <w:noProof/>
          <w:color w:val="0070C0"/>
          <w:sz w:val="20"/>
          <w:szCs w:val="20"/>
          <w:lang w:val="bg-BG"/>
        </w:rPr>
        <w:t xml:space="preserve"> </w:t>
      </w:r>
      <w:r w:rsidR="000945CB">
        <w:rPr>
          <w:rFonts w:cstheme="minorHAnsi"/>
          <w:noProof/>
          <w:color w:val="0070C0"/>
          <w:sz w:val="20"/>
          <w:szCs w:val="20"/>
          <w:lang w:val="bg-BG"/>
        </w:rPr>
        <w:t>53</w:t>
      </w:r>
    </w:p>
    <w:p w14:paraId="6E38B235" w14:textId="3AFA9D15"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а. Парични санкции </w:t>
      </w:r>
      <w:r w:rsidR="00A6468A"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A6468A" w:rsidRPr="0009589B">
        <w:rPr>
          <w:rFonts w:cstheme="minorHAnsi"/>
          <w:noProof/>
          <w:color w:val="0070C0"/>
          <w:sz w:val="20"/>
          <w:szCs w:val="20"/>
          <w:lang w:val="bg-BG"/>
        </w:rPr>
        <w:t xml:space="preserve">  </w:t>
      </w:r>
      <w:r w:rsidR="006E27BB">
        <w:rPr>
          <w:rFonts w:cstheme="minorHAnsi"/>
          <w:noProof/>
          <w:color w:val="0070C0"/>
          <w:sz w:val="20"/>
          <w:szCs w:val="20"/>
          <w:lang w:val="bg-BG"/>
        </w:rPr>
        <w:t xml:space="preserve">    53</w:t>
      </w:r>
    </w:p>
    <w:p w14:paraId="1019843B" w14:textId="68AA9541"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Допълнителни санкции</w:t>
      </w:r>
      <w:r w:rsidR="004367F2"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6E27BB">
        <w:rPr>
          <w:rFonts w:cstheme="minorHAnsi"/>
          <w:noProof/>
          <w:color w:val="0070C0"/>
          <w:sz w:val="20"/>
          <w:szCs w:val="20"/>
          <w:lang w:val="bg-BG"/>
        </w:rPr>
        <w:t xml:space="preserve">        54</w:t>
      </w:r>
    </w:p>
    <w:p w14:paraId="3DF29158" w14:textId="4B8511FE"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в. Изчисляване на санкции</w:t>
      </w:r>
      <w:r w:rsidR="004367F2" w:rsidRPr="0009589B">
        <w:rPr>
          <w:rFonts w:cstheme="minorHAnsi"/>
          <w:noProof/>
          <w:color w:val="0070C0"/>
          <w:sz w:val="20"/>
          <w:szCs w:val="20"/>
          <w:lang w:val="bg-BG"/>
        </w:rPr>
        <w:t xml:space="preserve">                                                                                                          </w:t>
      </w:r>
      <w:r w:rsidR="000C741E">
        <w:rPr>
          <w:rFonts w:cstheme="minorHAnsi"/>
          <w:noProof/>
          <w:color w:val="0070C0"/>
          <w:sz w:val="20"/>
          <w:szCs w:val="20"/>
          <w:lang w:val="bg-BG"/>
        </w:rPr>
        <w:t xml:space="preserve"> </w:t>
      </w:r>
      <w:r w:rsidR="006E27BB">
        <w:rPr>
          <w:rFonts w:cstheme="minorHAnsi"/>
          <w:noProof/>
          <w:color w:val="0070C0"/>
          <w:sz w:val="20"/>
          <w:szCs w:val="20"/>
          <w:lang w:val="bg-BG"/>
        </w:rPr>
        <w:t xml:space="preserve">           54</w:t>
      </w:r>
    </w:p>
    <w:p w14:paraId="1DBEA281" w14:textId="0B7ED261"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г. Отнемане</w:t>
      </w:r>
      <w:r w:rsidR="004367F2" w:rsidRPr="0009589B">
        <w:rPr>
          <w:rFonts w:cstheme="minorHAnsi"/>
          <w:noProof/>
          <w:color w:val="0070C0"/>
          <w:sz w:val="20"/>
          <w:szCs w:val="20"/>
          <w:lang w:val="bg-BG"/>
        </w:rPr>
        <w:t xml:space="preserve">                                                                                                            </w:t>
      </w:r>
      <w:r w:rsidR="006E27BB">
        <w:rPr>
          <w:rFonts w:cstheme="minorHAnsi"/>
          <w:noProof/>
          <w:color w:val="0070C0"/>
          <w:sz w:val="20"/>
          <w:szCs w:val="20"/>
          <w:lang w:val="bg-BG"/>
        </w:rPr>
        <w:t xml:space="preserve">                                   55</w:t>
      </w:r>
    </w:p>
    <w:p w14:paraId="356CF7EB" w14:textId="64E60B4D"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4. Ангажиране на частния сектор и </w:t>
      </w:r>
      <w:r w:rsidR="006E27BB">
        <w:rPr>
          <w:rFonts w:cstheme="minorHAnsi"/>
          <w:noProof/>
          <w:color w:val="0070C0"/>
          <w:sz w:val="20"/>
          <w:szCs w:val="20"/>
          <w:lang w:val="bg-BG"/>
        </w:rPr>
        <w:t>мерки за контрол</w:t>
      </w:r>
      <w:r w:rsidRPr="0009589B">
        <w:rPr>
          <w:rFonts w:cstheme="minorHAnsi"/>
          <w:noProof/>
          <w:color w:val="0070C0"/>
          <w:sz w:val="20"/>
          <w:szCs w:val="20"/>
          <w:lang w:val="bg-BG"/>
        </w:rPr>
        <w:t xml:space="preserve"> на корупцията</w:t>
      </w:r>
      <w:r w:rsidR="00022A4F">
        <w:rPr>
          <w:rFonts w:cstheme="minorHAnsi"/>
          <w:noProof/>
          <w:color w:val="0070C0"/>
          <w:sz w:val="20"/>
          <w:szCs w:val="20"/>
          <w:lang w:val="bg-BG"/>
        </w:rPr>
        <w:t xml:space="preserve">                       </w:t>
      </w:r>
      <w:r w:rsidR="006E27BB">
        <w:rPr>
          <w:rFonts w:cstheme="minorHAnsi"/>
          <w:noProof/>
          <w:color w:val="0070C0"/>
          <w:sz w:val="20"/>
          <w:szCs w:val="20"/>
          <w:lang w:val="bg-BG"/>
        </w:rPr>
        <w:t xml:space="preserve">                          55</w:t>
      </w:r>
    </w:p>
    <w:p w14:paraId="306FD008" w14:textId="38643FFE"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Повишаване на осведомеността</w:t>
      </w:r>
      <w:r w:rsidR="00022A4F">
        <w:rPr>
          <w:rFonts w:cstheme="minorHAnsi"/>
          <w:noProof/>
          <w:color w:val="0070C0"/>
          <w:sz w:val="20"/>
          <w:szCs w:val="20"/>
          <w:lang w:val="bg-BG"/>
        </w:rPr>
        <w:t xml:space="preserve">                                                                      </w:t>
      </w:r>
      <w:r w:rsidR="002215D3">
        <w:rPr>
          <w:rFonts w:cstheme="minorHAnsi"/>
          <w:noProof/>
          <w:color w:val="0070C0"/>
          <w:sz w:val="20"/>
          <w:szCs w:val="20"/>
          <w:lang w:val="bg-BG"/>
        </w:rPr>
        <w:t xml:space="preserve">                                  55</w:t>
      </w:r>
    </w:p>
    <w:p w14:paraId="4C8C9EB1" w14:textId="1B1C89ED"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б. Корпоративно управление и </w:t>
      </w:r>
      <w:r w:rsidR="002215D3">
        <w:rPr>
          <w:rFonts w:cstheme="minorHAnsi"/>
          <w:noProof/>
          <w:color w:val="0070C0"/>
          <w:sz w:val="20"/>
          <w:szCs w:val="20"/>
          <w:lang w:val="bg-BG"/>
        </w:rPr>
        <w:t xml:space="preserve">политика за съответствие       </w:t>
      </w:r>
      <w:r w:rsidR="00DB2844">
        <w:rPr>
          <w:rFonts w:cstheme="minorHAnsi"/>
          <w:noProof/>
          <w:color w:val="0070C0"/>
          <w:sz w:val="20"/>
          <w:szCs w:val="20"/>
          <w:lang w:val="bg-BG"/>
        </w:rPr>
        <w:t xml:space="preserve">                                                        </w:t>
      </w:r>
      <w:r w:rsidR="002215D3">
        <w:rPr>
          <w:rFonts w:cstheme="minorHAnsi"/>
          <w:noProof/>
          <w:color w:val="0070C0"/>
          <w:sz w:val="20"/>
          <w:szCs w:val="20"/>
          <w:lang w:val="bg-BG"/>
        </w:rPr>
        <w:t xml:space="preserve">    56</w:t>
      </w:r>
    </w:p>
    <w:p w14:paraId="49B0D9B2" w14:textId="05F7D1F6" w:rsidR="007F1014" w:rsidRPr="0009589B"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Г. Други въпроси</w:t>
      </w:r>
      <w:r w:rsidR="00DB2844">
        <w:rPr>
          <w:rFonts w:cstheme="minorHAnsi"/>
          <w:noProof/>
          <w:color w:val="0070C0"/>
          <w:sz w:val="20"/>
          <w:szCs w:val="20"/>
          <w:lang w:val="bg-BG"/>
        </w:rPr>
        <w:t xml:space="preserve">                                                                                                                         </w:t>
      </w:r>
      <w:r w:rsidR="002215D3">
        <w:rPr>
          <w:rFonts w:cstheme="minorHAnsi"/>
          <w:noProof/>
          <w:color w:val="0070C0"/>
          <w:sz w:val="20"/>
          <w:szCs w:val="20"/>
          <w:lang w:val="bg-BG"/>
        </w:rPr>
        <w:t xml:space="preserve">             57</w:t>
      </w:r>
    </w:p>
    <w:p w14:paraId="209C6300" w14:textId="7C160C51" w:rsidR="00DB2844" w:rsidRDefault="007F1014"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1. Данъчни мерки за</w:t>
      </w:r>
      <w:r w:rsidR="002D7379" w:rsidRPr="0009589B">
        <w:rPr>
          <w:rFonts w:cstheme="minorHAnsi"/>
          <w:noProof/>
          <w:color w:val="0070C0"/>
          <w:sz w:val="20"/>
          <w:szCs w:val="20"/>
          <w:lang w:val="bg-BG"/>
        </w:rPr>
        <w:t xml:space="preserve"> борба с подкупа на </w:t>
      </w:r>
      <w:r w:rsidR="000C741E" w:rsidRPr="000C741E">
        <w:rPr>
          <w:rFonts w:cstheme="minorHAnsi"/>
          <w:noProof/>
          <w:color w:val="0070C0"/>
          <w:sz w:val="20"/>
          <w:szCs w:val="20"/>
          <w:lang w:val="bg-BG"/>
        </w:rPr>
        <w:t xml:space="preserve">чужди длъжностни лица  </w:t>
      </w:r>
      <w:r w:rsidR="00DB2844">
        <w:rPr>
          <w:rFonts w:cstheme="minorHAnsi"/>
          <w:noProof/>
          <w:color w:val="0070C0"/>
          <w:sz w:val="20"/>
          <w:szCs w:val="20"/>
          <w:lang w:val="bg-BG"/>
        </w:rPr>
        <w:t xml:space="preserve">                 </w:t>
      </w:r>
      <w:r w:rsidR="002215D3">
        <w:rPr>
          <w:rFonts w:cstheme="minorHAnsi"/>
          <w:noProof/>
          <w:color w:val="0070C0"/>
          <w:sz w:val="20"/>
          <w:szCs w:val="20"/>
          <w:lang w:val="bg-BG"/>
        </w:rPr>
        <w:t xml:space="preserve">                                   57</w:t>
      </w:r>
    </w:p>
    <w:p w14:paraId="2A8EA89B" w14:textId="6D13A374" w:rsidR="002D7379" w:rsidRPr="0009589B" w:rsidRDefault="002D737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Забрана за данъчно приспадане на подкупи и преследване</w:t>
      </w:r>
      <w:r w:rsidR="00DB2844">
        <w:rPr>
          <w:rFonts w:cstheme="minorHAnsi"/>
          <w:noProof/>
          <w:color w:val="0070C0"/>
          <w:sz w:val="20"/>
          <w:szCs w:val="20"/>
          <w:lang w:val="bg-BG"/>
        </w:rPr>
        <w:t xml:space="preserve">                                                      </w:t>
      </w:r>
      <w:r w:rsidR="002215D3">
        <w:rPr>
          <w:rFonts w:cstheme="minorHAnsi"/>
          <w:noProof/>
          <w:color w:val="0070C0"/>
          <w:sz w:val="20"/>
          <w:szCs w:val="20"/>
          <w:lang w:val="bg-BG"/>
        </w:rPr>
        <w:t xml:space="preserve">     </w:t>
      </w:r>
      <w:r w:rsidR="00330E63">
        <w:rPr>
          <w:rFonts w:cstheme="minorHAnsi"/>
          <w:noProof/>
          <w:color w:val="0070C0"/>
          <w:sz w:val="20"/>
          <w:szCs w:val="20"/>
          <w:lang w:val="bg-BG"/>
        </w:rPr>
        <w:t>57</w:t>
      </w:r>
    </w:p>
    <w:p w14:paraId="3DE6FF3A" w14:textId="1C86D925" w:rsidR="002D7379" w:rsidRPr="0009589B" w:rsidRDefault="002D737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lastRenderedPageBreak/>
        <w:t>б. Разкриване и споделяне на информацията</w:t>
      </w:r>
      <w:r w:rsidR="00DB2844">
        <w:rPr>
          <w:rFonts w:cstheme="minorHAnsi"/>
          <w:noProof/>
          <w:color w:val="0070C0"/>
          <w:sz w:val="20"/>
          <w:szCs w:val="20"/>
          <w:lang w:val="bg-BG"/>
        </w:rPr>
        <w:t xml:space="preserve">                                                   </w:t>
      </w:r>
      <w:r w:rsidR="009756D4">
        <w:rPr>
          <w:rFonts w:cstheme="minorHAnsi"/>
          <w:noProof/>
          <w:color w:val="0070C0"/>
          <w:sz w:val="20"/>
          <w:szCs w:val="20"/>
          <w:lang w:val="bg-BG"/>
        </w:rPr>
        <w:t xml:space="preserve">                                   58</w:t>
      </w:r>
    </w:p>
    <w:p w14:paraId="61DA2165" w14:textId="3ED747F7" w:rsidR="002D7379" w:rsidRPr="0009589B" w:rsidRDefault="002D737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в. Докладване пред националните правоприлагащи органи и сътрудничество</w:t>
      </w:r>
      <w:r w:rsidR="009756D4">
        <w:rPr>
          <w:rFonts w:cstheme="minorHAnsi"/>
          <w:noProof/>
          <w:color w:val="0070C0"/>
          <w:sz w:val="20"/>
          <w:szCs w:val="20"/>
          <w:lang w:val="bg-BG"/>
        </w:rPr>
        <w:t xml:space="preserve">                                58</w:t>
      </w:r>
    </w:p>
    <w:p w14:paraId="08400AEB" w14:textId="145505A6" w:rsidR="002D7379" w:rsidRPr="0009589B" w:rsidRDefault="009346D3"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г.  Повишаване на осведомеността и обучение</w:t>
      </w:r>
      <w:r w:rsidR="00DB2844">
        <w:rPr>
          <w:rFonts w:cstheme="minorHAnsi"/>
          <w:noProof/>
          <w:color w:val="0070C0"/>
          <w:sz w:val="20"/>
          <w:szCs w:val="20"/>
          <w:lang w:val="bg-BG"/>
        </w:rPr>
        <w:t xml:space="preserve">                                                                               </w:t>
      </w:r>
      <w:r w:rsidR="009756D4">
        <w:rPr>
          <w:rFonts w:cstheme="minorHAnsi"/>
          <w:noProof/>
          <w:color w:val="0070C0"/>
          <w:sz w:val="20"/>
          <w:szCs w:val="20"/>
          <w:lang w:val="bg-BG"/>
        </w:rPr>
        <w:t xml:space="preserve">     58</w:t>
      </w:r>
    </w:p>
    <w:p w14:paraId="1BEF8A14" w14:textId="1B91C144" w:rsidR="009346D3" w:rsidRPr="0009589B" w:rsidRDefault="009346D3"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д. Данъчно третиране на санкции и отнемания, наложени на юридически лица</w:t>
      </w:r>
      <w:r w:rsidR="009575E5">
        <w:rPr>
          <w:rFonts w:cstheme="minorHAnsi"/>
          <w:noProof/>
          <w:color w:val="0070C0"/>
          <w:sz w:val="20"/>
          <w:szCs w:val="20"/>
          <w:lang w:val="bg-BG"/>
        </w:rPr>
        <w:t xml:space="preserve">                         </w:t>
      </w:r>
      <w:r w:rsidR="009756D4">
        <w:rPr>
          <w:rFonts w:cstheme="minorHAnsi"/>
          <w:noProof/>
          <w:color w:val="0070C0"/>
          <w:sz w:val="20"/>
          <w:szCs w:val="20"/>
          <w:lang w:val="bg-BG"/>
        </w:rPr>
        <w:t xml:space="preserve">      59</w:t>
      </w:r>
    </w:p>
    <w:p w14:paraId="4F90D74A" w14:textId="69A6552B" w:rsidR="009346D3" w:rsidRPr="0009589B" w:rsidRDefault="009346D3"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en-US"/>
        </w:rPr>
        <w:t>e</w:t>
      </w:r>
      <w:r w:rsidRPr="0009589B">
        <w:rPr>
          <w:rFonts w:cstheme="minorHAnsi"/>
          <w:noProof/>
          <w:color w:val="0070C0"/>
          <w:sz w:val="20"/>
          <w:szCs w:val="20"/>
          <w:lang w:val="bg-BG"/>
        </w:rPr>
        <w:t>. Сътрудничество между НАП и задгранични власти</w:t>
      </w:r>
      <w:r w:rsidR="009575E5">
        <w:rPr>
          <w:rFonts w:cstheme="minorHAnsi"/>
          <w:noProof/>
          <w:color w:val="0070C0"/>
          <w:sz w:val="20"/>
          <w:szCs w:val="20"/>
          <w:lang w:val="bg-BG"/>
        </w:rPr>
        <w:t xml:space="preserve">                                                                    </w:t>
      </w:r>
      <w:r w:rsidR="009756D4">
        <w:rPr>
          <w:rFonts w:cstheme="minorHAnsi"/>
          <w:noProof/>
          <w:color w:val="0070C0"/>
          <w:sz w:val="20"/>
          <w:szCs w:val="20"/>
          <w:lang w:val="bg-BG"/>
        </w:rPr>
        <w:t xml:space="preserve">     59</w:t>
      </w:r>
    </w:p>
    <w:p w14:paraId="02A00A4D" w14:textId="425E805A" w:rsidR="002E1B82" w:rsidRPr="0009589B" w:rsidRDefault="009346D3" w:rsidP="004B5E59">
      <w:pPr>
        <w:widowControl/>
        <w:tabs>
          <w:tab w:val="left" w:pos="8820"/>
        </w:tabs>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2. </w:t>
      </w:r>
      <w:r w:rsidR="00853C8F" w:rsidRPr="0009589B">
        <w:rPr>
          <w:rFonts w:cstheme="minorHAnsi"/>
          <w:noProof/>
          <w:color w:val="0070C0"/>
          <w:sz w:val="20"/>
          <w:szCs w:val="20"/>
          <w:lang w:val="bg-BG"/>
        </w:rPr>
        <w:t>Обществени предимства</w:t>
      </w:r>
      <w:r w:rsidR="004B5E59">
        <w:rPr>
          <w:rFonts w:cstheme="minorHAnsi"/>
          <w:noProof/>
          <w:color w:val="0070C0"/>
          <w:sz w:val="20"/>
          <w:szCs w:val="20"/>
          <w:lang w:val="bg-BG"/>
        </w:rPr>
        <w:t xml:space="preserve">                                                                                                               </w:t>
      </w:r>
      <w:r w:rsidR="009756D4">
        <w:rPr>
          <w:rFonts w:cstheme="minorHAnsi"/>
          <w:noProof/>
          <w:color w:val="0070C0"/>
          <w:sz w:val="20"/>
          <w:szCs w:val="20"/>
          <w:lang w:val="bg-BG"/>
        </w:rPr>
        <w:t xml:space="preserve">      60</w:t>
      </w:r>
    </w:p>
    <w:p w14:paraId="50B7EC56" w14:textId="3735ED09" w:rsidR="002E1B82" w:rsidRPr="0009589B" w:rsidRDefault="002E1B8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а. Експортни кредити</w:t>
      </w:r>
      <w:r w:rsidR="004B5E59">
        <w:rPr>
          <w:rFonts w:cstheme="minorHAnsi"/>
          <w:noProof/>
          <w:color w:val="0070C0"/>
          <w:sz w:val="20"/>
          <w:szCs w:val="20"/>
          <w:lang w:val="bg-BG"/>
        </w:rPr>
        <w:t xml:space="preserve">                                                                                                                         </w:t>
      </w:r>
      <w:r w:rsidR="009756D4">
        <w:rPr>
          <w:rFonts w:cstheme="minorHAnsi"/>
          <w:noProof/>
          <w:color w:val="0070C0"/>
          <w:sz w:val="20"/>
          <w:szCs w:val="20"/>
          <w:lang w:val="bg-BG"/>
        </w:rPr>
        <w:t xml:space="preserve">    </w:t>
      </w:r>
      <w:r w:rsidR="004B5E59">
        <w:rPr>
          <w:rFonts w:cstheme="minorHAnsi"/>
          <w:noProof/>
          <w:color w:val="0070C0"/>
          <w:sz w:val="20"/>
          <w:szCs w:val="20"/>
          <w:lang w:val="bg-BG"/>
        </w:rPr>
        <w:t xml:space="preserve"> </w:t>
      </w:r>
      <w:r w:rsidR="009756D4">
        <w:rPr>
          <w:rFonts w:cstheme="minorHAnsi"/>
          <w:noProof/>
          <w:color w:val="0070C0"/>
          <w:sz w:val="20"/>
          <w:szCs w:val="20"/>
          <w:lang w:val="bg-BG"/>
        </w:rPr>
        <w:t xml:space="preserve"> 60</w:t>
      </w:r>
    </w:p>
    <w:p w14:paraId="3AF27A35" w14:textId="0724CB78" w:rsidR="002E1B82" w:rsidRPr="0009589B" w:rsidRDefault="002E1B8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б. Обществени поръчки</w:t>
      </w:r>
      <w:r w:rsidR="004B5E59">
        <w:rPr>
          <w:rFonts w:cstheme="minorHAnsi"/>
          <w:noProof/>
          <w:color w:val="0070C0"/>
          <w:sz w:val="20"/>
          <w:szCs w:val="20"/>
          <w:lang w:val="bg-BG"/>
        </w:rPr>
        <w:t xml:space="preserve">                                                                                        </w:t>
      </w:r>
      <w:r w:rsidR="009756D4">
        <w:rPr>
          <w:rFonts w:cstheme="minorHAnsi"/>
          <w:noProof/>
          <w:color w:val="0070C0"/>
          <w:sz w:val="20"/>
          <w:szCs w:val="20"/>
          <w:lang w:val="bg-BG"/>
        </w:rPr>
        <w:t xml:space="preserve">                                   61</w:t>
      </w:r>
    </w:p>
    <w:p w14:paraId="0347215E" w14:textId="7C67C4AB" w:rsidR="009346D3" w:rsidRPr="0009589B" w:rsidRDefault="002E1B82"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в. </w:t>
      </w:r>
      <w:r w:rsidR="00BE0120" w:rsidRPr="0009589B">
        <w:rPr>
          <w:rFonts w:cstheme="minorHAnsi"/>
          <w:noProof/>
          <w:color w:val="0070C0"/>
          <w:sz w:val="20"/>
          <w:szCs w:val="20"/>
          <w:lang w:val="bg-BG"/>
        </w:rPr>
        <w:t>Официална помощ за развитие</w:t>
      </w:r>
      <w:r w:rsidR="009346D3" w:rsidRPr="0009589B">
        <w:rPr>
          <w:rFonts w:cstheme="minorHAnsi"/>
          <w:noProof/>
          <w:color w:val="0070C0"/>
          <w:sz w:val="20"/>
          <w:szCs w:val="20"/>
          <w:lang w:val="bg-BG"/>
        </w:rPr>
        <w:t xml:space="preserve"> </w:t>
      </w:r>
      <w:r w:rsidR="004B5E59">
        <w:rPr>
          <w:rFonts w:cstheme="minorHAnsi"/>
          <w:noProof/>
          <w:color w:val="0070C0"/>
          <w:sz w:val="20"/>
          <w:szCs w:val="20"/>
          <w:lang w:val="bg-BG"/>
        </w:rPr>
        <w:t xml:space="preserve">                                                                      </w:t>
      </w:r>
      <w:r w:rsidR="009756D4">
        <w:rPr>
          <w:rFonts w:cstheme="minorHAnsi"/>
          <w:noProof/>
          <w:color w:val="0070C0"/>
          <w:sz w:val="20"/>
          <w:szCs w:val="20"/>
          <w:lang w:val="bg-BG"/>
        </w:rPr>
        <w:t xml:space="preserve">                                   62</w:t>
      </w:r>
    </w:p>
    <w:p w14:paraId="5AD7CC05" w14:textId="1B31E314" w:rsidR="0099541D" w:rsidRPr="0009589B" w:rsidRDefault="0099541D"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Заключение: Положителни постижения, </w:t>
      </w:r>
      <w:r w:rsidR="009E3761" w:rsidRPr="0009589B">
        <w:rPr>
          <w:rFonts w:cstheme="minorHAnsi"/>
          <w:noProof/>
          <w:color w:val="0070C0"/>
          <w:sz w:val="20"/>
          <w:szCs w:val="20"/>
          <w:lang w:val="bg-BG"/>
        </w:rPr>
        <w:t>препоръки и въпроси, които изискват проследяване</w:t>
      </w:r>
      <w:r w:rsidR="00522530">
        <w:rPr>
          <w:rFonts w:cstheme="minorHAnsi"/>
          <w:noProof/>
          <w:color w:val="0070C0"/>
          <w:sz w:val="20"/>
          <w:szCs w:val="20"/>
          <w:lang w:val="bg-BG"/>
        </w:rPr>
        <w:t xml:space="preserve">   </w:t>
      </w:r>
      <w:r w:rsidR="009756D4">
        <w:rPr>
          <w:rFonts w:cstheme="minorHAnsi"/>
          <w:noProof/>
          <w:color w:val="0070C0"/>
          <w:sz w:val="20"/>
          <w:szCs w:val="20"/>
          <w:lang w:val="bg-BG"/>
        </w:rPr>
        <w:t xml:space="preserve">    64</w:t>
      </w:r>
    </w:p>
    <w:p w14:paraId="23BAB07D" w14:textId="2FCAA67D" w:rsidR="009E3761" w:rsidRPr="0009589B" w:rsidRDefault="009E3761"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Положителни постижения и добри практики</w:t>
      </w:r>
      <w:r w:rsidR="00522530">
        <w:rPr>
          <w:rFonts w:cstheme="minorHAnsi"/>
          <w:noProof/>
          <w:color w:val="0070C0"/>
          <w:sz w:val="20"/>
          <w:szCs w:val="20"/>
          <w:lang w:val="bg-BG"/>
        </w:rPr>
        <w:t xml:space="preserve">                                                       </w:t>
      </w:r>
      <w:r w:rsidR="009756D4">
        <w:rPr>
          <w:rFonts w:cstheme="minorHAnsi"/>
          <w:noProof/>
          <w:color w:val="0070C0"/>
          <w:sz w:val="20"/>
          <w:szCs w:val="20"/>
          <w:lang w:val="bg-BG"/>
        </w:rPr>
        <w:t xml:space="preserve">                                  65</w:t>
      </w:r>
    </w:p>
    <w:p w14:paraId="4C117FA1" w14:textId="2E18A956" w:rsidR="003E6763" w:rsidRPr="0009589B" w:rsidRDefault="003E6763"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Препоръки на Работната група</w:t>
      </w:r>
      <w:r w:rsidR="00522530">
        <w:rPr>
          <w:rFonts w:cstheme="minorHAnsi"/>
          <w:noProof/>
          <w:color w:val="0070C0"/>
          <w:sz w:val="20"/>
          <w:szCs w:val="20"/>
          <w:lang w:val="bg-BG"/>
        </w:rPr>
        <w:t xml:space="preserve">                                                                            </w:t>
      </w:r>
      <w:r w:rsidR="009756D4">
        <w:rPr>
          <w:rFonts w:cstheme="minorHAnsi"/>
          <w:noProof/>
          <w:color w:val="0070C0"/>
          <w:sz w:val="20"/>
          <w:szCs w:val="20"/>
          <w:lang w:val="bg-BG"/>
        </w:rPr>
        <w:t xml:space="preserve">                                   65</w:t>
      </w:r>
    </w:p>
    <w:p w14:paraId="565A239F" w14:textId="3DF7E1BB" w:rsidR="003E6763" w:rsidRPr="0009589B" w:rsidRDefault="00522530" w:rsidP="0009589B">
      <w:pPr>
        <w:widowControl/>
        <w:spacing w:before="120" w:after="120" w:line="260" w:lineRule="atLeast"/>
        <w:jc w:val="left"/>
        <w:rPr>
          <w:rFonts w:cstheme="minorHAnsi"/>
          <w:noProof/>
          <w:color w:val="0070C0"/>
          <w:sz w:val="20"/>
          <w:szCs w:val="20"/>
          <w:lang w:val="bg-BG"/>
        </w:rPr>
      </w:pPr>
      <w:r>
        <w:rPr>
          <w:rFonts w:cstheme="minorHAnsi"/>
          <w:noProof/>
          <w:color w:val="0070C0"/>
          <w:sz w:val="20"/>
          <w:szCs w:val="20"/>
          <w:lang w:val="bg-BG"/>
        </w:rPr>
        <w:t>Последващи действия от</w:t>
      </w:r>
      <w:r w:rsidR="003E6763" w:rsidRPr="0009589B">
        <w:rPr>
          <w:rFonts w:cstheme="minorHAnsi"/>
          <w:noProof/>
          <w:color w:val="0070C0"/>
          <w:sz w:val="20"/>
          <w:szCs w:val="20"/>
          <w:lang w:val="bg-BG"/>
        </w:rPr>
        <w:t xml:space="preserve"> Работната група </w:t>
      </w:r>
      <w:r>
        <w:rPr>
          <w:rFonts w:cstheme="minorHAnsi"/>
          <w:noProof/>
          <w:color w:val="0070C0"/>
          <w:sz w:val="20"/>
          <w:szCs w:val="20"/>
          <w:lang w:val="bg-BG"/>
        </w:rPr>
        <w:t xml:space="preserve">                                                                                     </w:t>
      </w:r>
      <w:r w:rsidR="009756D4">
        <w:rPr>
          <w:rFonts w:cstheme="minorHAnsi"/>
          <w:noProof/>
          <w:color w:val="0070C0"/>
          <w:sz w:val="20"/>
          <w:szCs w:val="20"/>
          <w:lang w:val="bg-BG"/>
        </w:rPr>
        <w:t xml:space="preserve">    </w:t>
      </w:r>
      <w:r>
        <w:rPr>
          <w:rFonts w:cstheme="minorHAnsi"/>
          <w:noProof/>
          <w:color w:val="0070C0"/>
          <w:sz w:val="20"/>
          <w:szCs w:val="20"/>
          <w:lang w:val="bg-BG"/>
        </w:rPr>
        <w:t xml:space="preserve"> </w:t>
      </w:r>
      <w:r w:rsidR="009756D4">
        <w:rPr>
          <w:rFonts w:cstheme="minorHAnsi"/>
          <w:noProof/>
          <w:color w:val="0070C0"/>
          <w:sz w:val="20"/>
          <w:szCs w:val="20"/>
          <w:lang w:val="bg-BG"/>
        </w:rPr>
        <w:t>70</w:t>
      </w:r>
    </w:p>
    <w:p w14:paraId="5B156653" w14:textId="0A4B1D00" w:rsidR="009E3761" w:rsidRPr="0009589B" w:rsidRDefault="009E3761"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 xml:space="preserve">Приложение 1: Препоръки към България по Фаза 3 и оценка на изпълнението от Работната група </w:t>
      </w:r>
      <w:r w:rsidR="00E770E1">
        <w:rPr>
          <w:rFonts w:cstheme="minorHAnsi"/>
          <w:noProof/>
          <w:color w:val="0070C0"/>
          <w:sz w:val="20"/>
          <w:szCs w:val="20"/>
          <w:lang w:val="bg-BG"/>
        </w:rPr>
        <w:t>за борба с подкупите в международните търговски сделки</w:t>
      </w:r>
      <w:r w:rsidRPr="0009589B">
        <w:rPr>
          <w:rFonts w:cstheme="minorHAnsi"/>
          <w:noProof/>
          <w:color w:val="0070C0"/>
          <w:sz w:val="20"/>
          <w:szCs w:val="20"/>
          <w:lang w:val="bg-BG"/>
        </w:rPr>
        <w:t xml:space="preserve"> през 2013 г.</w:t>
      </w:r>
      <w:r w:rsidR="00E91F21">
        <w:rPr>
          <w:rFonts w:cstheme="minorHAnsi"/>
          <w:noProof/>
          <w:color w:val="0070C0"/>
          <w:sz w:val="20"/>
          <w:szCs w:val="20"/>
          <w:lang w:val="bg-BG"/>
        </w:rPr>
        <w:t xml:space="preserve">              </w:t>
      </w:r>
      <w:r w:rsidR="009756D4">
        <w:rPr>
          <w:rFonts w:cstheme="minorHAnsi"/>
          <w:noProof/>
          <w:color w:val="0070C0"/>
          <w:sz w:val="20"/>
          <w:szCs w:val="20"/>
          <w:lang w:val="bg-BG"/>
        </w:rPr>
        <w:t xml:space="preserve">                             72</w:t>
      </w:r>
    </w:p>
    <w:p w14:paraId="5F0356A4" w14:textId="4C05BC50" w:rsidR="009E3761" w:rsidRPr="0009589B" w:rsidRDefault="00501199" w:rsidP="0009589B">
      <w:pPr>
        <w:widowControl/>
        <w:spacing w:before="120" w:after="120" w:line="260" w:lineRule="atLeast"/>
        <w:jc w:val="left"/>
        <w:rPr>
          <w:rFonts w:cstheme="minorHAnsi"/>
          <w:noProof/>
          <w:color w:val="0070C0"/>
          <w:sz w:val="20"/>
          <w:szCs w:val="20"/>
          <w:lang w:val="bg-BG"/>
        </w:rPr>
      </w:pPr>
      <w:r w:rsidRPr="0009589B">
        <w:rPr>
          <w:rFonts w:cstheme="minorHAnsi"/>
          <w:noProof/>
          <w:color w:val="0070C0"/>
          <w:sz w:val="20"/>
          <w:szCs w:val="20"/>
          <w:lang w:val="bg-BG"/>
        </w:rPr>
        <w:t>Приложение 2: Спи</w:t>
      </w:r>
      <w:r w:rsidR="009E3761" w:rsidRPr="0009589B">
        <w:rPr>
          <w:rFonts w:cstheme="minorHAnsi"/>
          <w:noProof/>
          <w:color w:val="0070C0"/>
          <w:sz w:val="20"/>
          <w:szCs w:val="20"/>
          <w:lang w:val="bg-BG"/>
        </w:rPr>
        <w:t>сък на участниците във виртуалното посещение</w:t>
      </w:r>
      <w:r w:rsidR="00E91F21">
        <w:rPr>
          <w:rFonts w:cstheme="minorHAnsi"/>
          <w:noProof/>
          <w:color w:val="0070C0"/>
          <w:sz w:val="20"/>
          <w:szCs w:val="20"/>
          <w:lang w:val="bg-BG"/>
        </w:rPr>
        <w:t xml:space="preserve">                                            </w:t>
      </w:r>
      <w:r w:rsidR="00735D17">
        <w:rPr>
          <w:rFonts w:cstheme="minorHAnsi"/>
          <w:noProof/>
          <w:color w:val="0070C0"/>
          <w:sz w:val="20"/>
          <w:szCs w:val="20"/>
          <w:lang w:val="bg-BG"/>
        </w:rPr>
        <w:t xml:space="preserve">    77</w:t>
      </w:r>
    </w:p>
    <w:p w14:paraId="1E1FBF47" w14:textId="06E72961" w:rsidR="00501199" w:rsidRPr="0009589B" w:rsidRDefault="00501199" w:rsidP="0009589B">
      <w:pPr>
        <w:widowControl/>
        <w:spacing w:before="120" w:after="120" w:line="260" w:lineRule="atLeast"/>
        <w:jc w:val="left"/>
        <w:rPr>
          <w:rFonts w:cstheme="minorHAnsi"/>
          <w:noProof/>
          <w:color w:val="000000" w:themeColor="text1"/>
          <w:sz w:val="20"/>
          <w:szCs w:val="20"/>
          <w:lang w:val="bg-BG"/>
        </w:rPr>
      </w:pPr>
      <w:r w:rsidRPr="0009589B">
        <w:rPr>
          <w:rFonts w:cstheme="minorHAnsi"/>
          <w:noProof/>
          <w:color w:val="0070C0"/>
          <w:sz w:val="20"/>
          <w:szCs w:val="20"/>
          <w:lang w:val="bg-BG"/>
        </w:rPr>
        <w:t>Приложение 3: Списък на съкраще</w:t>
      </w:r>
      <w:r w:rsidR="009E3761" w:rsidRPr="0009589B">
        <w:rPr>
          <w:rFonts w:cstheme="minorHAnsi"/>
          <w:noProof/>
          <w:color w:val="0070C0"/>
          <w:sz w:val="20"/>
          <w:szCs w:val="20"/>
          <w:lang w:val="bg-BG"/>
        </w:rPr>
        <w:t>ния, термини и акроними</w:t>
      </w:r>
      <w:r w:rsidR="00E91F21">
        <w:rPr>
          <w:rFonts w:cstheme="minorHAnsi"/>
          <w:noProof/>
          <w:color w:val="0070C0"/>
          <w:sz w:val="20"/>
          <w:szCs w:val="20"/>
          <w:lang w:val="bg-BG"/>
        </w:rPr>
        <w:t xml:space="preserve">                                                         </w:t>
      </w:r>
      <w:r w:rsidR="00735D17">
        <w:rPr>
          <w:rFonts w:cstheme="minorHAnsi"/>
          <w:noProof/>
          <w:color w:val="0070C0"/>
          <w:sz w:val="20"/>
          <w:szCs w:val="20"/>
          <w:lang w:val="bg-BG"/>
        </w:rPr>
        <w:t xml:space="preserve">    79</w:t>
      </w:r>
    </w:p>
    <w:p w14:paraId="42F9B746" w14:textId="77777777" w:rsidR="00501199" w:rsidRPr="005B4609" w:rsidRDefault="00501199" w:rsidP="0009589B">
      <w:pPr>
        <w:widowControl/>
        <w:spacing w:after="200" w:line="276" w:lineRule="auto"/>
        <w:jc w:val="left"/>
        <w:rPr>
          <w:rFonts w:asciiTheme="majorHAnsi" w:hAnsiTheme="majorHAnsi"/>
          <w:noProof/>
          <w:color w:val="000000" w:themeColor="text1"/>
          <w:sz w:val="28"/>
          <w:szCs w:val="28"/>
          <w:lang w:val="bg-BG"/>
        </w:rPr>
      </w:pPr>
      <w:r w:rsidRPr="0009589B">
        <w:rPr>
          <w:rFonts w:asciiTheme="majorHAnsi" w:hAnsiTheme="majorHAnsi"/>
          <w:noProof/>
          <w:color w:val="000000" w:themeColor="text1"/>
          <w:sz w:val="20"/>
          <w:szCs w:val="20"/>
          <w:lang w:val="bg-BG"/>
        </w:rPr>
        <w:br w:type="page"/>
      </w:r>
    </w:p>
    <w:p w14:paraId="00F8BFEA" w14:textId="77777777" w:rsidR="005D6747" w:rsidRPr="005B4609" w:rsidRDefault="005D6747" w:rsidP="005D6747">
      <w:pPr>
        <w:widowControl/>
        <w:spacing w:before="120" w:after="120" w:line="260" w:lineRule="atLeast"/>
        <w:rPr>
          <w:rFonts w:asciiTheme="majorHAnsi" w:hAnsiTheme="majorHAnsi"/>
          <w:noProof/>
          <w:color w:val="000000" w:themeColor="text1"/>
          <w:sz w:val="28"/>
          <w:szCs w:val="28"/>
          <w:lang w:val="bg-BG"/>
        </w:rPr>
      </w:pPr>
    </w:p>
    <w:p w14:paraId="61E7326C" w14:textId="77777777" w:rsidR="0084086D" w:rsidRPr="009E3761" w:rsidRDefault="0084086D" w:rsidP="0084086D">
      <w:pPr>
        <w:spacing w:before="120"/>
        <w:rPr>
          <w:b/>
          <w:sz w:val="20"/>
          <w:szCs w:val="20"/>
          <w:lang w:val="bg-BG"/>
        </w:rPr>
      </w:pPr>
      <w:r w:rsidRPr="009E3761">
        <w:rPr>
          <w:b/>
          <w:sz w:val="20"/>
          <w:szCs w:val="20"/>
          <w:lang w:val="bg-BG"/>
        </w:rPr>
        <w:t>Резюме</w:t>
      </w:r>
    </w:p>
    <w:p w14:paraId="7D863ED6" w14:textId="718E078F" w:rsidR="0084086D" w:rsidRPr="005B4609" w:rsidRDefault="0084086D" w:rsidP="0084086D">
      <w:pPr>
        <w:spacing w:before="120"/>
        <w:rPr>
          <w:sz w:val="20"/>
          <w:szCs w:val="20"/>
          <w:lang w:val="bg-BG"/>
        </w:rPr>
      </w:pPr>
      <w:r w:rsidRPr="00572912">
        <w:rPr>
          <w:sz w:val="20"/>
          <w:szCs w:val="20"/>
          <w:lang w:val="bg-BG"/>
        </w:rPr>
        <w:t xml:space="preserve">Настоящият доклад по фаза 4 на Работната група към ОИСР за </w:t>
      </w:r>
      <w:r w:rsidR="00212B23" w:rsidRPr="00572912">
        <w:rPr>
          <w:sz w:val="20"/>
          <w:szCs w:val="20"/>
          <w:lang w:val="bg-BG"/>
        </w:rPr>
        <w:t xml:space="preserve">борба с </w:t>
      </w:r>
      <w:r w:rsidRPr="00572912">
        <w:rPr>
          <w:sz w:val="20"/>
          <w:szCs w:val="20"/>
          <w:lang w:val="bg-BG"/>
        </w:rPr>
        <w:t xml:space="preserve">подкупите оценява и дава препоръки относно въвеждането и прилагането от България на Конвенцията за борба с подкупването на чужди длъжностни лица в международните търговски сделки и свързаните с нея инструменти. Докладът проследява напредъка, постигнат от България след </w:t>
      </w:r>
      <w:r w:rsidRPr="005B4609">
        <w:rPr>
          <w:sz w:val="20"/>
          <w:szCs w:val="20"/>
          <w:lang w:val="bg-BG"/>
        </w:rPr>
        <w:t xml:space="preserve">оценката на Фаза 3 </w:t>
      </w:r>
      <w:r w:rsidRPr="00250CED">
        <w:rPr>
          <w:sz w:val="20"/>
          <w:szCs w:val="20"/>
          <w:lang w:val="bg-BG"/>
        </w:rPr>
        <w:t>от</w:t>
      </w:r>
      <w:r w:rsidRPr="005B4609">
        <w:rPr>
          <w:sz w:val="20"/>
          <w:szCs w:val="20"/>
          <w:lang w:val="bg-BG"/>
        </w:rPr>
        <w:t xml:space="preserve"> 2011 г. Той </w:t>
      </w:r>
      <w:r>
        <w:rPr>
          <w:sz w:val="20"/>
          <w:szCs w:val="20"/>
          <w:lang w:val="bg-BG"/>
        </w:rPr>
        <w:t xml:space="preserve">детайлно </w:t>
      </w:r>
      <w:r w:rsidRPr="005B4609">
        <w:rPr>
          <w:sz w:val="20"/>
          <w:szCs w:val="20"/>
          <w:lang w:val="bg-BG"/>
        </w:rPr>
        <w:t xml:space="preserve">описва постиженията и предизвикателствата </w:t>
      </w:r>
      <w:r w:rsidRPr="00250CED">
        <w:rPr>
          <w:sz w:val="20"/>
          <w:szCs w:val="20"/>
          <w:lang w:val="bg-BG"/>
        </w:rPr>
        <w:t>пред</w:t>
      </w:r>
      <w:r w:rsidRPr="005B4609">
        <w:rPr>
          <w:sz w:val="20"/>
          <w:szCs w:val="20"/>
          <w:lang w:val="bg-BG"/>
        </w:rPr>
        <w:t xml:space="preserve"> България, включително при прилагането на нейн</w:t>
      </w:r>
      <w:r w:rsidR="004352E8">
        <w:rPr>
          <w:sz w:val="20"/>
          <w:szCs w:val="20"/>
          <w:lang w:val="bg-BG"/>
        </w:rPr>
        <w:t>ото зак</w:t>
      </w:r>
      <w:r>
        <w:rPr>
          <w:sz w:val="20"/>
          <w:szCs w:val="20"/>
          <w:lang w:val="bg-BG"/>
        </w:rPr>
        <w:t xml:space="preserve">онодателство в областта на </w:t>
      </w:r>
      <w:r w:rsidRPr="00250CED">
        <w:rPr>
          <w:sz w:val="20"/>
          <w:szCs w:val="20"/>
          <w:lang w:val="bg-BG"/>
        </w:rPr>
        <w:t>подкупването</w:t>
      </w:r>
      <w:r w:rsidRPr="005B4609">
        <w:rPr>
          <w:sz w:val="20"/>
          <w:szCs w:val="20"/>
          <w:lang w:val="bg-BG"/>
        </w:rPr>
        <w:t xml:space="preserve"> </w:t>
      </w:r>
      <w:r>
        <w:rPr>
          <w:sz w:val="20"/>
          <w:szCs w:val="20"/>
          <w:lang w:val="bg-BG"/>
        </w:rPr>
        <w:t>на чужди длъжностни лица</w:t>
      </w:r>
      <w:r w:rsidRPr="005B4609">
        <w:rPr>
          <w:sz w:val="20"/>
          <w:szCs w:val="20"/>
          <w:lang w:val="bg-BG"/>
        </w:rPr>
        <w:t>, корпоративната отговорност и разкриването на подкупи</w:t>
      </w:r>
      <w:r w:rsidRPr="00250CED">
        <w:rPr>
          <w:sz w:val="20"/>
          <w:szCs w:val="20"/>
          <w:lang w:val="bg-BG"/>
        </w:rPr>
        <w:t xml:space="preserve"> на чужди длъжностни лица</w:t>
      </w:r>
      <w:r w:rsidRPr="005B4609">
        <w:rPr>
          <w:sz w:val="20"/>
          <w:szCs w:val="20"/>
          <w:lang w:val="bg-BG"/>
        </w:rPr>
        <w:t>.</w:t>
      </w:r>
    </w:p>
    <w:p w14:paraId="222588BC" w14:textId="77777777" w:rsidR="0084086D" w:rsidRPr="005B4609" w:rsidRDefault="0084086D" w:rsidP="0084086D">
      <w:pPr>
        <w:spacing w:before="120"/>
        <w:rPr>
          <w:sz w:val="20"/>
          <w:szCs w:val="20"/>
          <w:lang w:val="bg-BG"/>
        </w:rPr>
      </w:pPr>
      <w:r w:rsidRPr="005B4609">
        <w:rPr>
          <w:sz w:val="20"/>
          <w:szCs w:val="20"/>
          <w:lang w:val="bg-BG"/>
        </w:rPr>
        <w:t xml:space="preserve">Работната група приветства усилията, положени от България през последните години за прилагане на Конвенцията и свързаните с нея инструменти. </w:t>
      </w:r>
      <w:r w:rsidRPr="00250CED">
        <w:rPr>
          <w:sz w:val="20"/>
          <w:szCs w:val="20"/>
          <w:lang w:val="bg-BG"/>
        </w:rPr>
        <w:t xml:space="preserve">Въпреки това, </w:t>
      </w:r>
      <w:r w:rsidRPr="005B4609">
        <w:rPr>
          <w:sz w:val="20"/>
          <w:szCs w:val="20"/>
          <w:lang w:val="bg-BG"/>
        </w:rPr>
        <w:t>Работната група е сериозно обезпокоена от продължаващата липса на разкриване, разследване и наказателно преследване на случаи на подкуп</w:t>
      </w:r>
      <w:r>
        <w:rPr>
          <w:sz w:val="20"/>
          <w:szCs w:val="20"/>
          <w:lang w:val="bg-BG"/>
        </w:rPr>
        <w:t xml:space="preserve"> на чужди длъжностни лица</w:t>
      </w:r>
      <w:r w:rsidRPr="005B4609">
        <w:rPr>
          <w:sz w:val="20"/>
          <w:szCs w:val="20"/>
          <w:lang w:val="bg-BG"/>
        </w:rPr>
        <w:t xml:space="preserve"> в България и обща</w:t>
      </w:r>
      <w:r w:rsidRPr="00250CED">
        <w:rPr>
          <w:sz w:val="20"/>
          <w:szCs w:val="20"/>
          <w:lang w:val="bg-BG"/>
        </w:rPr>
        <w:t>та</w:t>
      </w:r>
      <w:r w:rsidRPr="005B4609">
        <w:rPr>
          <w:sz w:val="20"/>
          <w:szCs w:val="20"/>
          <w:lang w:val="bg-BG"/>
        </w:rPr>
        <w:t xml:space="preserve"> липса на осведоменост относно рисковете от </w:t>
      </w:r>
      <w:r>
        <w:rPr>
          <w:sz w:val="20"/>
          <w:szCs w:val="20"/>
          <w:lang w:val="bg-BG"/>
        </w:rPr>
        <w:t xml:space="preserve">този вид престъпна дейност </w:t>
      </w:r>
      <w:r w:rsidRPr="005B4609">
        <w:rPr>
          <w:sz w:val="20"/>
          <w:szCs w:val="20"/>
          <w:lang w:val="bg-BG"/>
        </w:rPr>
        <w:t>сред съответните заинтересовани страни от публичния и частния сектор. От фаза 3</w:t>
      </w:r>
      <w:r w:rsidRPr="00250CED">
        <w:rPr>
          <w:sz w:val="20"/>
          <w:szCs w:val="20"/>
          <w:lang w:val="bg-BG"/>
        </w:rPr>
        <w:t xml:space="preserve"> насам</w:t>
      </w:r>
      <w:r w:rsidRPr="005B4609">
        <w:rPr>
          <w:sz w:val="20"/>
          <w:szCs w:val="20"/>
          <w:lang w:val="bg-BG"/>
        </w:rPr>
        <w:t xml:space="preserve"> България е започнала само едно разследване за подкуп </w:t>
      </w:r>
      <w:r>
        <w:rPr>
          <w:sz w:val="20"/>
          <w:szCs w:val="20"/>
          <w:lang w:val="bg-BG"/>
        </w:rPr>
        <w:t>на чуждо длъжностно лице</w:t>
      </w:r>
      <w:r w:rsidRPr="005B4609">
        <w:rPr>
          <w:sz w:val="20"/>
          <w:szCs w:val="20"/>
          <w:lang w:val="bg-BG"/>
        </w:rPr>
        <w:t>, което продължава, а няколко</w:t>
      </w:r>
      <w:r w:rsidRPr="00250CED">
        <w:rPr>
          <w:sz w:val="20"/>
          <w:szCs w:val="20"/>
          <w:lang w:val="bg-BG"/>
        </w:rPr>
        <w:t xml:space="preserve"> от</w:t>
      </w:r>
      <w:r w:rsidRPr="005B4609">
        <w:rPr>
          <w:sz w:val="20"/>
          <w:szCs w:val="20"/>
          <w:lang w:val="bg-BG"/>
        </w:rPr>
        <w:t xml:space="preserve"> твърдения</w:t>
      </w:r>
      <w:r w:rsidRPr="00250CED">
        <w:rPr>
          <w:sz w:val="20"/>
          <w:szCs w:val="20"/>
          <w:lang w:val="bg-BG"/>
        </w:rPr>
        <w:t>та</w:t>
      </w:r>
      <w:r w:rsidRPr="005B4609">
        <w:rPr>
          <w:sz w:val="20"/>
          <w:szCs w:val="20"/>
          <w:lang w:val="bg-BG"/>
        </w:rPr>
        <w:t xml:space="preserve">, съобщени публично или съобщени на българските власти от Работната група, не </w:t>
      </w:r>
      <w:r w:rsidRPr="00250CED">
        <w:rPr>
          <w:sz w:val="20"/>
          <w:szCs w:val="20"/>
          <w:lang w:val="bg-BG"/>
        </w:rPr>
        <w:t>се</w:t>
      </w:r>
      <w:r w:rsidRPr="005B4609">
        <w:rPr>
          <w:sz w:val="20"/>
          <w:szCs w:val="20"/>
          <w:lang w:val="bg-BG"/>
        </w:rPr>
        <w:t xml:space="preserve"> разследва</w:t>
      </w:r>
      <w:r w:rsidRPr="00250CED">
        <w:rPr>
          <w:sz w:val="20"/>
          <w:szCs w:val="20"/>
          <w:lang w:val="bg-BG"/>
        </w:rPr>
        <w:t>т</w:t>
      </w:r>
      <w:r w:rsidRPr="005B4609">
        <w:rPr>
          <w:sz w:val="20"/>
          <w:szCs w:val="20"/>
          <w:lang w:val="bg-BG"/>
        </w:rPr>
        <w:t xml:space="preserve"> проактивно.</w:t>
      </w:r>
    </w:p>
    <w:p w14:paraId="14FB6AD8" w14:textId="25A59B2B" w:rsidR="0084086D" w:rsidRPr="005B4609" w:rsidRDefault="0084086D" w:rsidP="0084086D">
      <w:pPr>
        <w:spacing w:before="120"/>
        <w:rPr>
          <w:sz w:val="20"/>
          <w:szCs w:val="20"/>
          <w:lang w:val="bg-BG"/>
        </w:rPr>
      </w:pPr>
      <w:r w:rsidRPr="005B4609">
        <w:rPr>
          <w:sz w:val="20"/>
          <w:szCs w:val="20"/>
          <w:lang w:val="bg-BG"/>
        </w:rPr>
        <w:t xml:space="preserve">По отношение на </w:t>
      </w:r>
      <w:r w:rsidRPr="00250CED">
        <w:rPr>
          <w:sz w:val="20"/>
          <w:szCs w:val="20"/>
          <w:lang w:val="bg-BG"/>
        </w:rPr>
        <w:t>разкриването</w:t>
      </w:r>
      <w:r w:rsidRPr="005B4609">
        <w:rPr>
          <w:sz w:val="20"/>
          <w:szCs w:val="20"/>
          <w:lang w:val="bg-BG"/>
        </w:rPr>
        <w:t xml:space="preserve">, Работната група призовава България редовно да </w:t>
      </w:r>
      <w:r w:rsidRPr="00250CED">
        <w:rPr>
          <w:sz w:val="20"/>
          <w:szCs w:val="20"/>
          <w:lang w:val="bg-BG"/>
        </w:rPr>
        <w:t>прави преценка на</w:t>
      </w:r>
      <w:r w:rsidRPr="005B4609">
        <w:rPr>
          <w:sz w:val="20"/>
          <w:szCs w:val="20"/>
          <w:lang w:val="bg-BG"/>
        </w:rPr>
        <w:t xml:space="preserve"> </w:t>
      </w:r>
      <w:r w:rsidRPr="00250CED">
        <w:rPr>
          <w:sz w:val="20"/>
          <w:szCs w:val="20"/>
          <w:lang w:val="bg-BG"/>
        </w:rPr>
        <w:t>твърденията</w:t>
      </w:r>
      <w:r w:rsidRPr="005B4609">
        <w:rPr>
          <w:sz w:val="20"/>
          <w:szCs w:val="20"/>
          <w:lang w:val="bg-BG"/>
        </w:rPr>
        <w:t xml:space="preserve">, </w:t>
      </w:r>
      <w:r w:rsidRPr="00250CED">
        <w:rPr>
          <w:sz w:val="20"/>
          <w:szCs w:val="20"/>
          <w:lang w:val="bg-BG"/>
        </w:rPr>
        <w:t>докладвани</w:t>
      </w:r>
      <w:r w:rsidRPr="005B4609">
        <w:rPr>
          <w:sz w:val="20"/>
          <w:szCs w:val="20"/>
          <w:lang w:val="bg-BG"/>
        </w:rPr>
        <w:t xml:space="preserve"> в медиите, да осигури обучени</w:t>
      </w:r>
      <w:r w:rsidRPr="00250CED">
        <w:rPr>
          <w:sz w:val="20"/>
          <w:szCs w:val="20"/>
          <w:lang w:val="bg-BG"/>
        </w:rPr>
        <w:t>я</w:t>
      </w:r>
      <w:r w:rsidRPr="005B4609">
        <w:rPr>
          <w:sz w:val="20"/>
          <w:szCs w:val="20"/>
          <w:lang w:val="bg-BG"/>
        </w:rPr>
        <w:t xml:space="preserve"> и повишаване на осведомеността на публичния и частния сектор, по-специално институциите на нефинансовия сектор, регулирани от законодателството за борба с изпирането на пари, и да приеме законодателство относно докладването и защитата на подаващите сигнали. Работната група препоръчва също така България да</w:t>
      </w:r>
      <w:r w:rsidR="00260CF7">
        <w:rPr>
          <w:sz w:val="20"/>
          <w:szCs w:val="20"/>
          <w:lang w:val="bg-BG"/>
        </w:rPr>
        <w:t xml:space="preserve"> бъде по-активна при събирането на информация от различни източници и да</w:t>
      </w:r>
      <w:r w:rsidRPr="005B4609">
        <w:rPr>
          <w:sz w:val="20"/>
          <w:szCs w:val="20"/>
          <w:lang w:val="bg-BG"/>
        </w:rPr>
        <w:t xml:space="preserve"> позволи анонимните съобщения да се разглеждат като потенциалн</w:t>
      </w:r>
      <w:r w:rsidRPr="00250CED">
        <w:rPr>
          <w:sz w:val="20"/>
          <w:szCs w:val="20"/>
          <w:lang w:val="bg-BG"/>
        </w:rPr>
        <w:t>о</w:t>
      </w:r>
      <w:r w:rsidRPr="005B4609">
        <w:rPr>
          <w:sz w:val="20"/>
          <w:szCs w:val="20"/>
          <w:lang w:val="bg-BG"/>
        </w:rPr>
        <w:t xml:space="preserve"> </w:t>
      </w:r>
      <w:r w:rsidRPr="00250CED">
        <w:rPr>
          <w:sz w:val="20"/>
          <w:szCs w:val="20"/>
          <w:lang w:val="bg-BG"/>
        </w:rPr>
        <w:t>основание</w:t>
      </w:r>
      <w:r w:rsidRPr="005B4609">
        <w:rPr>
          <w:sz w:val="20"/>
          <w:szCs w:val="20"/>
          <w:lang w:val="bg-BG"/>
        </w:rPr>
        <w:t xml:space="preserve"> за започване на досъдебни разследвания, като по този начин увелич</w:t>
      </w:r>
      <w:r w:rsidR="00260CF7">
        <w:rPr>
          <w:sz w:val="20"/>
          <w:szCs w:val="20"/>
          <w:lang w:val="bg-BG"/>
        </w:rPr>
        <w:t>и</w:t>
      </w:r>
      <w:r w:rsidRPr="005B4609">
        <w:rPr>
          <w:sz w:val="20"/>
          <w:szCs w:val="20"/>
          <w:lang w:val="bg-BG"/>
        </w:rPr>
        <w:t xml:space="preserve"> източни</w:t>
      </w:r>
      <w:r w:rsidRPr="00250CED">
        <w:rPr>
          <w:sz w:val="20"/>
          <w:szCs w:val="20"/>
          <w:lang w:val="bg-BG"/>
        </w:rPr>
        <w:t>ците</w:t>
      </w:r>
      <w:r w:rsidRPr="005B4609">
        <w:rPr>
          <w:sz w:val="20"/>
          <w:szCs w:val="20"/>
          <w:lang w:val="bg-BG"/>
        </w:rPr>
        <w:t xml:space="preserve"> на разкриване на случаи. Работната група също така отбелязва, че по-активното участие на българските власти в нейните заседания би могло да улесни разпространението на информация на национално равнище до съответните органи и заинтересовани страни относно прилагането на Конвенцията и </w:t>
      </w:r>
      <w:r w:rsidR="008C08CD">
        <w:rPr>
          <w:sz w:val="20"/>
          <w:szCs w:val="20"/>
          <w:lang w:val="bg-BG"/>
        </w:rPr>
        <w:t>дейността</w:t>
      </w:r>
      <w:r w:rsidRPr="005B4609">
        <w:rPr>
          <w:sz w:val="20"/>
          <w:szCs w:val="20"/>
          <w:lang w:val="bg-BG"/>
        </w:rPr>
        <w:t xml:space="preserve"> на </w:t>
      </w:r>
      <w:r w:rsidRPr="00250CED">
        <w:rPr>
          <w:sz w:val="20"/>
          <w:szCs w:val="20"/>
          <w:lang w:val="bg-BG"/>
        </w:rPr>
        <w:t>Р</w:t>
      </w:r>
      <w:r w:rsidRPr="005B4609">
        <w:rPr>
          <w:sz w:val="20"/>
          <w:szCs w:val="20"/>
          <w:lang w:val="bg-BG"/>
        </w:rPr>
        <w:t>аботната група и да помогне на служителите на правоприлагащите органи при използването на неформални средства за международно сътрудничество.</w:t>
      </w:r>
    </w:p>
    <w:p w14:paraId="0C3E8C15" w14:textId="462D2FDD" w:rsidR="0084086D" w:rsidRPr="005B4609" w:rsidRDefault="0084086D" w:rsidP="0084086D">
      <w:pPr>
        <w:spacing w:before="120"/>
        <w:rPr>
          <w:sz w:val="20"/>
          <w:szCs w:val="20"/>
          <w:lang w:val="bg-BG"/>
        </w:rPr>
      </w:pPr>
      <w:r w:rsidRPr="005B4609">
        <w:rPr>
          <w:sz w:val="20"/>
          <w:szCs w:val="20"/>
          <w:lang w:val="bg-BG"/>
        </w:rPr>
        <w:t xml:space="preserve">Работната група остава сериозно загрижена, че </w:t>
      </w:r>
      <w:r w:rsidR="00260CF7">
        <w:rPr>
          <w:sz w:val="20"/>
          <w:szCs w:val="20"/>
          <w:lang w:val="bg-BG"/>
        </w:rPr>
        <w:t xml:space="preserve">някои от </w:t>
      </w:r>
      <w:r w:rsidRPr="005B4609">
        <w:rPr>
          <w:sz w:val="20"/>
          <w:szCs w:val="20"/>
          <w:lang w:val="bg-BG"/>
        </w:rPr>
        <w:t xml:space="preserve">недостатъците в българското законодателство </w:t>
      </w:r>
      <w:r w:rsidRPr="00250CED">
        <w:rPr>
          <w:sz w:val="20"/>
          <w:szCs w:val="20"/>
          <w:lang w:val="bg-BG"/>
        </w:rPr>
        <w:t>по отношение на подкуп</w:t>
      </w:r>
      <w:r>
        <w:rPr>
          <w:sz w:val="20"/>
          <w:szCs w:val="20"/>
          <w:lang w:val="bg-BG"/>
        </w:rPr>
        <w:t>а на чужди длъжностни лица</w:t>
      </w:r>
      <w:r w:rsidRPr="005B4609">
        <w:rPr>
          <w:sz w:val="20"/>
          <w:szCs w:val="20"/>
          <w:lang w:val="bg-BG"/>
        </w:rPr>
        <w:t xml:space="preserve"> (напр. </w:t>
      </w:r>
      <w:r>
        <w:rPr>
          <w:sz w:val="20"/>
          <w:szCs w:val="20"/>
          <w:lang w:val="bg-BG"/>
        </w:rPr>
        <w:t>п</w:t>
      </w:r>
      <w:r w:rsidRPr="005B4609">
        <w:rPr>
          <w:sz w:val="20"/>
          <w:szCs w:val="20"/>
          <w:lang w:val="bg-BG"/>
        </w:rPr>
        <w:t xml:space="preserve">одкуп за деяния извън </w:t>
      </w:r>
      <w:r w:rsidRPr="00250CED">
        <w:rPr>
          <w:sz w:val="20"/>
          <w:szCs w:val="20"/>
          <w:lang w:val="bg-BG"/>
        </w:rPr>
        <w:t>сферата на компетентност на</w:t>
      </w:r>
      <w:r w:rsidRPr="005B4609">
        <w:rPr>
          <w:sz w:val="20"/>
          <w:szCs w:val="20"/>
          <w:lang w:val="bg-BG"/>
        </w:rPr>
        <w:t xml:space="preserve"> длъжностното лице) и отговорността на юридическите лица остават </w:t>
      </w:r>
      <w:r>
        <w:rPr>
          <w:sz w:val="20"/>
          <w:szCs w:val="20"/>
          <w:lang w:val="bg-BG"/>
        </w:rPr>
        <w:t>неразрешени</w:t>
      </w:r>
      <w:r w:rsidRPr="005B4609">
        <w:rPr>
          <w:sz w:val="20"/>
          <w:szCs w:val="20"/>
          <w:lang w:val="bg-BG"/>
        </w:rPr>
        <w:t xml:space="preserve"> от фаза 3. България </w:t>
      </w:r>
      <w:r w:rsidR="00260CF7">
        <w:rPr>
          <w:sz w:val="20"/>
          <w:szCs w:val="20"/>
          <w:lang w:val="bg-BG"/>
        </w:rPr>
        <w:t xml:space="preserve">все още </w:t>
      </w:r>
      <w:r w:rsidR="00127795">
        <w:rPr>
          <w:sz w:val="20"/>
          <w:szCs w:val="20"/>
          <w:lang w:val="bg-BG"/>
        </w:rPr>
        <w:t>трябва</w:t>
      </w:r>
      <w:r w:rsidR="00260CF7">
        <w:rPr>
          <w:sz w:val="20"/>
          <w:szCs w:val="20"/>
          <w:lang w:val="bg-BG"/>
        </w:rPr>
        <w:t xml:space="preserve"> да направи значителни подобрения в </w:t>
      </w:r>
      <w:r w:rsidRPr="005B4609">
        <w:rPr>
          <w:sz w:val="20"/>
          <w:szCs w:val="20"/>
          <w:lang w:val="bg-BG"/>
        </w:rPr>
        <w:t>правна</w:t>
      </w:r>
      <w:r w:rsidR="00260CF7">
        <w:rPr>
          <w:sz w:val="20"/>
          <w:szCs w:val="20"/>
          <w:lang w:val="bg-BG"/>
        </w:rPr>
        <w:t>та</w:t>
      </w:r>
      <w:r w:rsidRPr="005B4609">
        <w:rPr>
          <w:sz w:val="20"/>
          <w:szCs w:val="20"/>
          <w:lang w:val="bg-BG"/>
        </w:rPr>
        <w:t xml:space="preserve"> рамка за налагане на отговорност на юридическите лица за </w:t>
      </w:r>
      <w:r w:rsidRPr="00250CED">
        <w:rPr>
          <w:sz w:val="20"/>
          <w:szCs w:val="20"/>
          <w:lang w:val="bg-BG"/>
        </w:rPr>
        <w:t>подкуп</w:t>
      </w:r>
      <w:r w:rsidRPr="005B4609">
        <w:rPr>
          <w:sz w:val="20"/>
          <w:szCs w:val="20"/>
          <w:lang w:val="bg-BG"/>
        </w:rPr>
        <w:t xml:space="preserve"> </w:t>
      </w:r>
      <w:r>
        <w:rPr>
          <w:sz w:val="20"/>
          <w:szCs w:val="20"/>
          <w:lang w:val="bg-BG"/>
        </w:rPr>
        <w:t xml:space="preserve">на чужди длъжностни лица </w:t>
      </w:r>
      <w:r w:rsidRPr="005B4609">
        <w:rPr>
          <w:sz w:val="20"/>
          <w:szCs w:val="20"/>
          <w:lang w:val="bg-BG"/>
        </w:rPr>
        <w:t>или свързани</w:t>
      </w:r>
      <w:r w:rsidRPr="00250CED">
        <w:rPr>
          <w:sz w:val="20"/>
          <w:szCs w:val="20"/>
          <w:lang w:val="bg-BG"/>
        </w:rPr>
        <w:t>те</w:t>
      </w:r>
      <w:r w:rsidRPr="005B4609">
        <w:rPr>
          <w:sz w:val="20"/>
          <w:szCs w:val="20"/>
          <w:lang w:val="bg-BG"/>
        </w:rPr>
        <w:t xml:space="preserve"> с </w:t>
      </w:r>
      <w:r w:rsidRPr="00250CED">
        <w:rPr>
          <w:sz w:val="20"/>
          <w:szCs w:val="20"/>
          <w:lang w:val="bg-BG"/>
        </w:rPr>
        <w:t>него</w:t>
      </w:r>
      <w:r w:rsidRPr="005B4609">
        <w:rPr>
          <w:sz w:val="20"/>
          <w:szCs w:val="20"/>
          <w:lang w:val="bg-BG"/>
        </w:rPr>
        <w:t xml:space="preserve"> престъпления,</w:t>
      </w:r>
      <w:r w:rsidR="00260CF7">
        <w:rPr>
          <w:sz w:val="20"/>
          <w:szCs w:val="20"/>
          <w:lang w:val="bg-BG"/>
        </w:rPr>
        <w:t xml:space="preserve"> за да я направи ефективна,</w:t>
      </w:r>
      <w:r w:rsidRPr="005B4609">
        <w:rPr>
          <w:sz w:val="20"/>
          <w:szCs w:val="20"/>
          <w:lang w:val="bg-BG"/>
        </w:rPr>
        <w:t xml:space="preserve"> включително</w:t>
      </w:r>
      <w:r w:rsidR="00260CF7">
        <w:rPr>
          <w:sz w:val="20"/>
          <w:szCs w:val="20"/>
          <w:lang w:val="bg-BG"/>
        </w:rPr>
        <w:t>чрез осигуря</w:t>
      </w:r>
      <w:r w:rsidR="00127795">
        <w:rPr>
          <w:sz w:val="20"/>
          <w:szCs w:val="20"/>
          <w:lang w:val="bg-BG"/>
        </w:rPr>
        <w:t>ване</w:t>
      </w:r>
      <w:r w:rsidR="00260CF7">
        <w:rPr>
          <w:sz w:val="20"/>
          <w:szCs w:val="20"/>
          <w:lang w:val="bg-BG"/>
        </w:rPr>
        <w:t xml:space="preserve"> на</w:t>
      </w:r>
      <w:r w:rsidRPr="005B4609">
        <w:rPr>
          <w:sz w:val="20"/>
          <w:szCs w:val="20"/>
          <w:lang w:val="bg-BG"/>
        </w:rPr>
        <w:t xml:space="preserve"> ефективн</w:t>
      </w:r>
      <w:r w:rsidR="00127795">
        <w:rPr>
          <w:sz w:val="20"/>
          <w:szCs w:val="20"/>
          <w:lang w:val="bg-BG"/>
        </w:rPr>
        <w:t>а</w:t>
      </w:r>
      <w:r w:rsidRPr="005B4609">
        <w:rPr>
          <w:sz w:val="20"/>
          <w:szCs w:val="20"/>
          <w:lang w:val="bg-BG"/>
        </w:rPr>
        <w:t xml:space="preserve"> юрисдикционн</w:t>
      </w:r>
      <w:r w:rsidR="00260CF7">
        <w:rPr>
          <w:sz w:val="20"/>
          <w:szCs w:val="20"/>
          <w:lang w:val="bg-BG"/>
        </w:rPr>
        <w:t xml:space="preserve">а база </w:t>
      </w:r>
      <w:r w:rsidRPr="005B4609">
        <w:rPr>
          <w:sz w:val="20"/>
          <w:szCs w:val="20"/>
          <w:lang w:val="bg-BG"/>
        </w:rPr>
        <w:t xml:space="preserve">за започване на производство срещу юридически лица, </w:t>
      </w:r>
      <w:r w:rsidR="00127795">
        <w:rPr>
          <w:sz w:val="20"/>
          <w:szCs w:val="20"/>
          <w:lang w:val="bg-BG"/>
        </w:rPr>
        <w:t xml:space="preserve">премахване на </w:t>
      </w:r>
      <w:r w:rsidR="00127795" w:rsidRPr="005B4609">
        <w:rPr>
          <w:sz w:val="20"/>
          <w:szCs w:val="20"/>
          <w:lang w:val="bg-BG"/>
        </w:rPr>
        <w:t>не</w:t>
      </w:r>
      <w:r w:rsidR="005C5A06">
        <w:rPr>
          <w:sz w:val="20"/>
          <w:szCs w:val="20"/>
          <w:lang w:val="bg-BG"/>
        </w:rPr>
        <w:t xml:space="preserve">оправданото </w:t>
      </w:r>
      <w:r w:rsidR="00127795">
        <w:rPr>
          <w:sz w:val="20"/>
          <w:szCs w:val="20"/>
          <w:lang w:val="bg-BG"/>
        </w:rPr>
        <w:t>огранич</w:t>
      </w:r>
      <w:r w:rsidR="005C5A06">
        <w:rPr>
          <w:sz w:val="20"/>
          <w:szCs w:val="20"/>
          <w:lang w:val="bg-BG"/>
        </w:rPr>
        <w:t>аване</w:t>
      </w:r>
      <w:r w:rsidRPr="005B4609">
        <w:rPr>
          <w:sz w:val="20"/>
          <w:szCs w:val="20"/>
          <w:lang w:val="bg-BG"/>
        </w:rPr>
        <w:t xml:space="preserve"> </w:t>
      </w:r>
      <w:r w:rsidR="00127795">
        <w:rPr>
          <w:sz w:val="20"/>
          <w:szCs w:val="20"/>
          <w:lang w:val="bg-BG"/>
        </w:rPr>
        <w:t xml:space="preserve">на </w:t>
      </w:r>
      <w:r w:rsidRPr="005B4609">
        <w:rPr>
          <w:sz w:val="20"/>
          <w:szCs w:val="20"/>
          <w:lang w:val="bg-BG"/>
        </w:rPr>
        <w:t>производств</w:t>
      </w:r>
      <w:r w:rsidR="005C5A06">
        <w:rPr>
          <w:sz w:val="20"/>
          <w:szCs w:val="20"/>
          <w:lang w:val="bg-BG"/>
        </w:rPr>
        <w:t>ото</w:t>
      </w:r>
      <w:r w:rsidRPr="005B4609">
        <w:rPr>
          <w:sz w:val="20"/>
          <w:szCs w:val="20"/>
          <w:lang w:val="bg-BG"/>
        </w:rPr>
        <w:t xml:space="preserve"> до случаите, когато физическото лице извършител е преследвано или ос</w:t>
      </w:r>
      <w:r w:rsidR="00127795">
        <w:rPr>
          <w:sz w:val="20"/>
          <w:szCs w:val="20"/>
          <w:lang w:val="bg-BG"/>
        </w:rPr>
        <w:t>ъдено</w:t>
      </w:r>
      <w:r w:rsidRPr="005B4609">
        <w:rPr>
          <w:sz w:val="20"/>
          <w:szCs w:val="20"/>
          <w:lang w:val="bg-BG"/>
        </w:rPr>
        <w:t xml:space="preserve">, и </w:t>
      </w:r>
      <w:r w:rsidR="00127795">
        <w:rPr>
          <w:sz w:val="20"/>
          <w:szCs w:val="20"/>
          <w:lang w:val="bg-BG"/>
        </w:rPr>
        <w:t>избягване на всякакви</w:t>
      </w:r>
      <w:r w:rsidRPr="005B4609">
        <w:rPr>
          <w:sz w:val="20"/>
          <w:szCs w:val="20"/>
          <w:lang w:val="bg-BG"/>
        </w:rPr>
        <w:t xml:space="preserve"> пречки за ефективното санкциониране на юридически лица. В допълнение, наличните </w:t>
      </w:r>
      <w:r w:rsidRPr="00250CED">
        <w:rPr>
          <w:sz w:val="20"/>
          <w:szCs w:val="20"/>
          <w:lang w:val="bg-BG"/>
        </w:rPr>
        <w:t>максимални наказания</w:t>
      </w:r>
      <w:r w:rsidRPr="005B4609">
        <w:rPr>
          <w:sz w:val="20"/>
          <w:szCs w:val="20"/>
          <w:lang w:val="bg-BG"/>
        </w:rPr>
        <w:t xml:space="preserve"> за физически лица</w:t>
      </w:r>
      <w:r>
        <w:rPr>
          <w:sz w:val="20"/>
          <w:szCs w:val="20"/>
          <w:lang w:val="bg-BG"/>
        </w:rPr>
        <w:t xml:space="preserve"> за квалифицираните състави на</w:t>
      </w:r>
      <w:r w:rsidRPr="00250CED">
        <w:rPr>
          <w:sz w:val="20"/>
          <w:szCs w:val="20"/>
          <w:lang w:val="bg-BG"/>
        </w:rPr>
        <w:t xml:space="preserve"> подкуп</w:t>
      </w:r>
      <w:r>
        <w:rPr>
          <w:sz w:val="20"/>
          <w:szCs w:val="20"/>
          <w:lang w:val="bg-BG"/>
        </w:rPr>
        <w:t xml:space="preserve"> на местни длъжностни лица</w:t>
      </w:r>
      <w:r w:rsidR="005C5A06">
        <w:rPr>
          <w:sz w:val="20"/>
          <w:szCs w:val="20"/>
          <w:lang w:val="bg-BG"/>
        </w:rPr>
        <w:t xml:space="preserve"> </w:t>
      </w:r>
      <w:r w:rsidRPr="005B4609">
        <w:rPr>
          <w:sz w:val="20"/>
          <w:szCs w:val="20"/>
          <w:lang w:val="bg-BG"/>
        </w:rPr>
        <w:t xml:space="preserve">все още не са </w:t>
      </w:r>
      <w:r w:rsidRPr="00250CED">
        <w:rPr>
          <w:sz w:val="20"/>
          <w:szCs w:val="20"/>
          <w:lang w:val="bg-BG"/>
        </w:rPr>
        <w:t>предвидени</w:t>
      </w:r>
      <w:r w:rsidRPr="005B4609">
        <w:rPr>
          <w:sz w:val="20"/>
          <w:szCs w:val="20"/>
          <w:lang w:val="bg-BG"/>
        </w:rPr>
        <w:t xml:space="preserve"> за </w:t>
      </w:r>
      <w:r w:rsidRPr="00250CED">
        <w:rPr>
          <w:sz w:val="20"/>
          <w:szCs w:val="20"/>
          <w:lang w:val="bg-BG"/>
        </w:rPr>
        <w:t>подкуп</w:t>
      </w:r>
      <w:r>
        <w:rPr>
          <w:sz w:val="20"/>
          <w:szCs w:val="20"/>
          <w:lang w:val="bg-BG"/>
        </w:rPr>
        <w:t>а на чужди длъжностни лица</w:t>
      </w:r>
      <w:r w:rsidRPr="005B4609">
        <w:rPr>
          <w:sz w:val="20"/>
          <w:szCs w:val="20"/>
          <w:lang w:val="bg-BG"/>
        </w:rPr>
        <w:t xml:space="preserve">, а </w:t>
      </w:r>
      <w:r w:rsidRPr="00250CED">
        <w:rPr>
          <w:sz w:val="20"/>
          <w:szCs w:val="20"/>
          <w:lang w:val="bg-BG"/>
        </w:rPr>
        <w:t>предвидените максимални санкции</w:t>
      </w:r>
      <w:r w:rsidRPr="005B4609">
        <w:rPr>
          <w:sz w:val="20"/>
          <w:szCs w:val="20"/>
          <w:lang w:val="bg-BG"/>
        </w:rPr>
        <w:t xml:space="preserve"> за юридически лица са сред най-ниските в </w:t>
      </w:r>
      <w:r>
        <w:rPr>
          <w:sz w:val="20"/>
          <w:szCs w:val="20"/>
          <w:lang w:val="bg-BG"/>
        </w:rPr>
        <w:t>Р</w:t>
      </w:r>
      <w:r w:rsidRPr="005B4609">
        <w:rPr>
          <w:sz w:val="20"/>
          <w:szCs w:val="20"/>
          <w:lang w:val="bg-BG"/>
        </w:rPr>
        <w:t>аботната група.</w:t>
      </w:r>
    </w:p>
    <w:p w14:paraId="5690AA2A" w14:textId="77777777" w:rsidR="0084086D" w:rsidRPr="005B4609" w:rsidRDefault="0084086D" w:rsidP="0084086D">
      <w:pPr>
        <w:spacing w:before="120"/>
        <w:rPr>
          <w:sz w:val="20"/>
          <w:szCs w:val="20"/>
          <w:lang w:val="bg-BG"/>
        </w:rPr>
      </w:pPr>
      <w:r w:rsidRPr="005B4609">
        <w:rPr>
          <w:sz w:val="20"/>
          <w:szCs w:val="20"/>
          <w:lang w:val="bg-BG"/>
        </w:rPr>
        <w:t xml:space="preserve">Докладът също така подчертава положителните постижения и добрите практики, които имат потенциала да подобрят прилагането на Конвенцията </w:t>
      </w:r>
      <w:r>
        <w:rPr>
          <w:sz w:val="20"/>
          <w:szCs w:val="20"/>
          <w:lang w:val="bg-BG"/>
        </w:rPr>
        <w:t xml:space="preserve">от страна </w:t>
      </w:r>
      <w:r w:rsidRPr="005B4609">
        <w:rPr>
          <w:sz w:val="20"/>
          <w:szCs w:val="20"/>
          <w:lang w:val="bg-BG"/>
        </w:rPr>
        <w:t xml:space="preserve">на България, включително приемането на ново или изменено законодателство (актуализирани разпоредби на Наказателния кодекс, </w:t>
      </w:r>
      <w:r w:rsidRPr="00250CED">
        <w:rPr>
          <w:sz w:val="20"/>
          <w:szCs w:val="20"/>
          <w:lang w:val="bg-BG"/>
        </w:rPr>
        <w:t>ЗАНН</w:t>
      </w:r>
      <w:r w:rsidRPr="005B4609">
        <w:rPr>
          <w:sz w:val="20"/>
          <w:szCs w:val="20"/>
          <w:lang w:val="bg-BG"/>
        </w:rPr>
        <w:t xml:space="preserve"> и приемането на </w:t>
      </w:r>
      <w:r w:rsidRPr="00250CED">
        <w:rPr>
          <w:sz w:val="20"/>
          <w:szCs w:val="20"/>
          <w:lang w:val="bg-BG"/>
        </w:rPr>
        <w:t>ЗМИП</w:t>
      </w:r>
      <w:r w:rsidRPr="005B4609">
        <w:rPr>
          <w:sz w:val="20"/>
          <w:szCs w:val="20"/>
          <w:lang w:val="bg-BG"/>
        </w:rPr>
        <w:t>), усилията в обучението и повишаване на осведомеността за правоприлагане</w:t>
      </w:r>
      <w:r w:rsidRPr="00250CED">
        <w:rPr>
          <w:sz w:val="20"/>
          <w:szCs w:val="20"/>
          <w:lang w:val="bg-BG"/>
        </w:rPr>
        <w:t>то</w:t>
      </w:r>
      <w:r w:rsidRPr="005B4609">
        <w:rPr>
          <w:sz w:val="20"/>
          <w:szCs w:val="20"/>
          <w:lang w:val="bg-BG"/>
        </w:rPr>
        <w:t>, междуведомствена координация и сътрудничество на ЗФР с финансовия сектор.</w:t>
      </w:r>
    </w:p>
    <w:p w14:paraId="06DCF15E" w14:textId="2EDE0B8F" w:rsidR="0084086D" w:rsidRPr="005B4609" w:rsidRDefault="0084086D" w:rsidP="0084086D">
      <w:pPr>
        <w:spacing w:before="120"/>
        <w:rPr>
          <w:sz w:val="20"/>
          <w:szCs w:val="20"/>
          <w:lang w:val="bg-BG"/>
        </w:rPr>
      </w:pPr>
      <w:r w:rsidRPr="005B4609">
        <w:rPr>
          <w:sz w:val="20"/>
          <w:szCs w:val="20"/>
          <w:lang w:val="bg-BG"/>
        </w:rPr>
        <w:t xml:space="preserve">Докладът и препоръките му отразяват констатациите на експерти от Чили и Гърция и бяха приети от Работната група </w:t>
      </w:r>
      <w:r w:rsidRPr="00250CED">
        <w:rPr>
          <w:sz w:val="20"/>
          <w:szCs w:val="20"/>
          <w:lang w:val="bg-BG"/>
        </w:rPr>
        <w:t>на</w:t>
      </w:r>
      <w:r w:rsidRPr="005B4609">
        <w:rPr>
          <w:sz w:val="20"/>
          <w:szCs w:val="20"/>
          <w:lang w:val="bg-BG"/>
        </w:rPr>
        <w:t xml:space="preserve"> </w:t>
      </w:r>
      <w:r w:rsidR="005C5A06">
        <w:rPr>
          <w:sz w:val="20"/>
          <w:szCs w:val="20"/>
          <w:lang w:val="bg-BG"/>
        </w:rPr>
        <w:t>14 октомври 2021 г</w:t>
      </w:r>
      <w:r w:rsidRPr="005B4609">
        <w:rPr>
          <w:sz w:val="20"/>
          <w:szCs w:val="20"/>
          <w:lang w:val="bg-BG"/>
        </w:rPr>
        <w:t>. Т</w:t>
      </w:r>
      <w:r>
        <w:rPr>
          <w:sz w:val="20"/>
          <w:szCs w:val="20"/>
          <w:lang w:val="bg-BG"/>
        </w:rPr>
        <w:t>ой</w:t>
      </w:r>
      <w:r w:rsidRPr="005B4609">
        <w:rPr>
          <w:sz w:val="20"/>
          <w:szCs w:val="20"/>
          <w:lang w:val="bg-BG"/>
        </w:rPr>
        <w:t xml:space="preserve"> се основава на законодателство, данни и други материали, предоставени от България, както и на изследвания, проведени от екипа за оценка. </w:t>
      </w:r>
      <w:r w:rsidRPr="005B4609">
        <w:rPr>
          <w:sz w:val="20"/>
          <w:szCs w:val="20"/>
          <w:lang w:val="bg-BG"/>
        </w:rPr>
        <w:lastRenderedPageBreak/>
        <w:t xml:space="preserve">Информация беше получена и по време на </w:t>
      </w:r>
      <w:r>
        <w:rPr>
          <w:sz w:val="20"/>
          <w:szCs w:val="20"/>
          <w:lang w:val="bg-BG"/>
        </w:rPr>
        <w:t>виртулан</w:t>
      </w:r>
      <w:r w:rsidR="004352E8">
        <w:rPr>
          <w:sz w:val="20"/>
          <w:szCs w:val="20"/>
          <w:lang w:val="bg-BG"/>
        </w:rPr>
        <w:t>о</w:t>
      </w:r>
      <w:r>
        <w:rPr>
          <w:sz w:val="20"/>
          <w:szCs w:val="20"/>
          <w:lang w:val="bg-BG"/>
        </w:rPr>
        <w:t xml:space="preserve">то </w:t>
      </w:r>
      <w:r w:rsidRPr="005B4609">
        <w:rPr>
          <w:sz w:val="20"/>
          <w:szCs w:val="20"/>
          <w:lang w:val="bg-BG"/>
        </w:rPr>
        <w:t>посещение</w:t>
      </w:r>
      <w:r w:rsidR="004352E8">
        <w:rPr>
          <w:sz w:val="20"/>
          <w:szCs w:val="20"/>
          <w:lang w:val="bg-BG"/>
        </w:rPr>
        <w:t xml:space="preserve"> </w:t>
      </w:r>
      <w:r w:rsidRPr="005B4609">
        <w:rPr>
          <w:sz w:val="20"/>
          <w:szCs w:val="20"/>
          <w:lang w:val="bg-BG"/>
        </w:rPr>
        <w:t>през</w:t>
      </w:r>
      <w:r w:rsidRPr="00250CED">
        <w:rPr>
          <w:sz w:val="20"/>
          <w:szCs w:val="20"/>
          <w:lang w:val="bg-BG"/>
        </w:rPr>
        <w:t xml:space="preserve"> месец</w:t>
      </w:r>
      <w:r w:rsidRPr="005B4609">
        <w:rPr>
          <w:sz w:val="20"/>
          <w:szCs w:val="20"/>
          <w:lang w:val="bg-BG"/>
        </w:rPr>
        <w:t xml:space="preserve"> май 2021 г., по време на което екипът за оценка се срещна с представители на</w:t>
      </w:r>
      <w:r w:rsidR="005C5A06">
        <w:rPr>
          <w:sz w:val="20"/>
          <w:szCs w:val="20"/>
          <w:lang w:val="bg-BG"/>
        </w:rPr>
        <w:t xml:space="preserve"> </w:t>
      </w:r>
      <w:r w:rsidRPr="005B4609">
        <w:rPr>
          <w:sz w:val="20"/>
          <w:szCs w:val="20"/>
          <w:lang w:val="bg-BG"/>
        </w:rPr>
        <w:t>публичн</w:t>
      </w:r>
      <w:r w:rsidR="005C5A06">
        <w:rPr>
          <w:sz w:val="20"/>
          <w:szCs w:val="20"/>
          <w:lang w:val="bg-BG"/>
        </w:rPr>
        <w:t>ия</w:t>
      </w:r>
      <w:r w:rsidRPr="005B4609">
        <w:rPr>
          <w:sz w:val="20"/>
          <w:szCs w:val="20"/>
          <w:lang w:val="bg-BG"/>
        </w:rPr>
        <w:t xml:space="preserve"> и частн</w:t>
      </w:r>
      <w:r w:rsidR="005C5A06">
        <w:rPr>
          <w:sz w:val="20"/>
          <w:szCs w:val="20"/>
          <w:lang w:val="bg-BG"/>
        </w:rPr>
        <w:t>ия</w:t>
      </w:r>
      <w:r w:rsidRPr="005B4609">
        <w:rPr>
          <w:sz w:val="20"/>
          <w:szCs w:val="20"/>
          <w:lang w:val="bg-BG"/>
        </w:rPr>
        <w:t xml:space="preserve"> сектор</w:t>
      </w:r>
      <w:r w:rsidR="005C5A06">
        <w:rPr>
          <w:sz w:val="20"/>
          <w:szCs w:val="20"/>
          <w:lang w:val="bg-BG"/>
        </w:rPr>
        <w:t xml:space="preserve"> в България</w:t>
      </w:r>
      <w:r w:rsidRPr="005B4609">
        <w:rPr>
          <w:sz w:val="20"/>
          <w:szCs w:val="20"/>
          <w:lang w:val="bg-BG"/>
        </w:rPr>
        <w:t xml:space="preserve">, правоприлагащите органи, медиите и гражданското общество. Екипът съжалява, че не е имал възможност да се срещне с членове на българския </w:t>
      </w:r>
      <w:r w:rsidRPr="00250CED">
        <w:rPr>
          <w:sz w:val="20"/>
          <w:szCs w:val="20"/>
          <w:lang w:val="bg-BG"/>
        </w:rPr>
        <w:t>п</w:t>
      </w:r>
      <w:r w:rsidRPr="005B4609">
        <w:rPr>
          <w:sz w:val="20"/>
          <w:szCs w:val="20"/>
          <w:lang w:val="bg-BG"/>
        </w:rPr>
        <w:t xml:space="preserve">арламент или на Националния съвет за </w:t>
      </w:r>
      <w:r w:rsidRPr="00250CED">
        <w:rPr>
          <w:sz w:val="20"/>
          <w:szCs w:val="20"/>
          <w:lang w:val="bg-BG"/>
        </w:rPr>
        <w:t>антикорупционни политики</w:t>
      </w:r>
      <w:r w:rsidRPr="005B4609">
        <w:rPr>
          <w:sz w:val="20"/>
          <w:szCs w:val="20"/>
          <w:lang w:val="bg-BG"/>
        </w:rPr>
        <w:t xml:space="preserve">, поради разпускането на българския </w:t>
      </w:r>
      <w:r w:rsidRPr="00250CED">
        <w:rPr>
          <w:sz w:val="20"/>
          <w:szCs w:val="20"/>
          <w:lang w:val="bg-BG"/>
        </w:rPr>
        <w:t>П</w:t>
      </w:r>
      <w:r w:rsidRPr="005B4609">
        <w:rPr>
          <w:sz w:val="20"/>
          <w:szCs w:val="20"/>
          <w:lang w:val="bg-BG"/>
        </w:rPr>
        <w:t xml:space="preserve">арламент през седмицата на </w:t>
      </w:r>
      <w:r w:rsidRPr="00250CED">
        <w:rPr>
          <w:sz w:val="20"/>
          <w:szCs w:val="20"/>
          <w:lang w:val="bg-BG"/>
        </w:rPr>
        <w:t>виртуалн</w:t>
      </w:r>
      <w:r>
        <w:rPr>
          <w:sz w:val="20"/>
          <w:szCs w:val="20"/>
          <w:lang w:val="bg-BG"/>
        </w:rPr>
        <w:t>ото посещение</w:t>
      </w:r>
      <w:r w:rsidRPr="005B4609">
        <w:rPr>
          <w:sz w:val="20"/>
          <w:szCs w:val="20"/>
          <w:lang w:val="bg-BG"/>
        </w:rPr>
        <w:t xml:space="preserve">. Работната група приканва България да представи устен доклад в рамките на една година по въпроси, свързани с отговорността на юридическите лица и защитата на лицата, подаващи сигнали за нередности, и писмен доклад в рамките на две години относно изпълнението на всички препоръки и </w:t>
      </w:r>
      <w:r>
        <w:rPr>
          <w:sz w:val="20"/>
          <w:szCs w:val="20"/>
          <w:lang w:val="bg-BG"/>
        </w:rPr>
        <w:t xml:space="preserve">нейните </w:t>
      </w:r>
      <w:r w:rsidRPr="005B4609">
        <w:rPr>
          <w:sz w:val="20"/>
          <w:szCs w:val="20"/>
          <w:lang w:val="bg-BG"/>
        </w:rPr>
        <w:t>усилия</w:t>
      </w:r>
      <w:r w:rsidR="005C5A06">
        <w:rPr>
          <w:sz w:val="20"/>
          <w:szCs w:val="20"/>
          <w:lang w:val="bg-BG"/>
        </w:rPr>
        <w:t xml:space="preserve"> </w:t>
      </w:r>
      <w:r>
        <w:rPr>
          <w:sz w:val="20"/>
          <w:szCs w:val="20"/>
          <w:lang w:val="bg-BG"/>
        </w:rPr>
        <w:t>в областта на право</w:t>
      </w:r>
      <w:r w:rsidRPr="005B4609">
        <w:rPr>
          <w:sz w:val="20"/>
          <w:szCs w:val="20"/>
          <w:lang w:val="bg-BG"/>
        </w:rPr>
        <w:t>прилагане</w:t>
      </w:r>
      <w:r>
        <w:rPr>
          <w:sz w:val="20"/>
          <w:szCs w:val="20"/>
          <w:lang w:val="bg-BG"/>
        </w:rPr>
        <w:t>то</w:t>
      </w:r>
      <w:r w:rsidRPr="005B4609">
        <w:rPr>
          <w:sz w:val="20"/>
          <w:szCs w:val="20"/>
          <w:lang w:val="bg-BG"/>
        </w:rPr>
        <w:t>.</w:t>
      </w:r>
    </w:p>
    <w:p w14:paraId="65244A09" w14:textId="77777777" w:rsidR="0084086D" w:rsidRPr="005D6747" w:rsidRDefault="0084086D" w:rsidP="00367B42">
      <w:pPr>
        <w:keepNext/>
        <w:keepLines/>
        <w:pageBreakBefore/>
        <w:framePr w:w="8416" w:wrap="notBeside" w:vAnchor="text" w:hAnchor="page" w:x="1381" w:y="2"/>
        <w:widowControl/>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tabs>
          <w:tab w:val="left" w:pos="0"/>
        </w:tabs>
        <w:spacing w:after="600" w:line="720" w:lineRule="exact"/>
        <w:ind w:left="1077" w:hanging="964"/>
        <w:jc w:val="left"/>
        <w:outlineLvl w:val="0"/>
        <w:rPr>
          <w:rFonts w:asciiTheme="majorHAnsi" w:eastAsiaTheme="majorEastAsia" w:hAnsiTheme="majorHAnsi" w:cstheme="majorBidi"/>
          <w:b/>
          <w:color w:val="4E81BD" w:themeColor="accent5"/>
          <w:sz w:val="56"/>
          <w:szCs w:val="32"/>
          <w:lang w:val="bg-BG"/>
        </w:rPr>
      </w:pPr>
      <w:r w:rsidRPr="005D6747">
        <w:rPr>
          <w:rFonts w:asciiTheme="majorHAnsi" w:eastAsiaTheme="majorEastAsia" w:hAnsiTheme="majorHAnsi" w:cstheme="majorBidi"/>
          <w:b/>
          <w:color w:val="4E81BD" w:themeColor="accent5"/>
          <w:sz w:val="56"/>
          <w:szCs w:val="32"/>
          <w:lang w:val="bg-BG"/>
        </w:rPr>
        <w:lastRenderedPageBreak/>
        <w:t>Въведение</w:t>
      </w:r>
    </w:p>
    <w:p w14:paraId="3C391F86" w14:textId="7A7A30E7" w:rsidR="0084086D" w:rsidRPr="00220EA9" w:rsidRDefault="0084086D" w:rsidP="00572912">
      <w:pPr>
        <w:pStyle w:val="Para"/>
        <w:rPr>
          <w:lang w:val="bg-BG"/>
        </w:rPr>
      </w:pPr>
      <w:r w:rsidRPr="00220EA9">
        <w:rPr>
          <w:lang w:val="bg-BG"/>
        </w:rPr>
        <w:t xml:space="preserve">През октомври 2021 г. Работната група по подкупите при международни </w:t>
      </w:r>
      <w:r w:rsidR="008D1637">
        <w:rPr>
          <w:lang w:val="bg-BG"/>
        </w:rPr>
        <w:t>търговски</w:t>
      </w:r>
      <w:r w:rsidRPr="00220EA9">
        <w:rPr>
          <w:lang w:val="bg-BG"/>
        </w:rPr>
        <w:t xml:space="preserve"> </w:t>
      </w:r>
      <w:r w:rsidRPr="005D6747">
        <w:rPr>
          <w:lang w:val="bg-BG"/>
        </w:rPr>
        <w:t xml:space="preserve">сделки </w:t>
      </w:r>
      <w:r w:rsidRPr="00220EA9">
        <w:rPr>
          <w:lang w:val="bg-BG"/>
        </w:rPr>
        <w:t xml:space="preserve">(Работна група) завърши четвъртата си оценка </w:t>
      </w:r>
      <w:r w:rsidR="005C5A06">
        <w:rPr>
          <w:lang w:val="bg-BG"/>
        </w:rPr>
        <w:t xml:space="preserve">на България относно </w:t>
      </w:r>
      <w:r w:rsidRPr="00220EA9">
        <w:rPr>
          <w:lang w:val="bg-BG"/>
        </w:rPr>
        <w:t xml:space="preserve"> прилагането</w:t>
      </w:r>
      <w:r w:rsidR="005C5A06">
        <w:rPr>
          <w:lang w:val="bg-BG"/>
        </w:rPr>
        <w:t xml:space="preserve"> </w:t>
      </w:r>
      <w:r w:rsidRPr="00220EA9">
        <w:rPr>
          <w:lang w:val="bg-BG"/>
        </w:rPr>
        <w:t xml:space="preserve">на Конвенцията </w:t>
      </w:r>
      <w:r w:rsidRPr="005D6747">
        <w:rPr>
          <w:lang w:val="bg-BG"/>
        </w:rPr>
        <w:t xml:space="preserve">на ОИСР </w:t>
      </w:r>
      <w:r w:rsidRPr="005D6747">
        <w:rPr>
          <w:rFonts w:eastAsia="Times New Roman"/>
          <w:color w:val="000000"/>
          <w:lang w:val="ru-RU" w:eastAsia="zh-CN"/>
        </w:rPr>
        <w:t>за борба с подкупването на чужди длъжностни лица в международните търговски сделки (Конвенцията) и Препоръките на Съвета от 2009 г. за по-нататъшна борба с подкупването на чужди длъжностни лица в международните търговски сделки (Препоръките от 2009 г.)</w:t>
      </w:r>
      <w:r w:rsidRPr="00220EA9">
        <w:rPr>
          <w:lang w:val="bg-BG"/>
        </w:rPr>
        <w:t xml:space="preserve"> </w:t>
      </w:r>
      <w:r w:rsidRPr="005D6747">
        <w:rPr>
          <w:rFonts w:eastAsia="Times New Roman"/>
          <w:color w:val="000000"/>
          <w:lang w:val="ru-RU" w:eastAsia="zh-CN"/>
        </w:rPr>
        <w:t>и свързаните с тях инструменти за борба с подкупите.</w:t>
      </w:r>
    </w:p>
    <w:p w14:paraId="767B32DD" w14:textId="25AE5FE4" w:rsidR="0084086D" w:rsidRPr="00220EA9" w:rsidRDefault="0084086D" w:rsidP="008C08CD">
      <w:pPr>
        <w:pStyle w:val="Heading2"/>
        <w:rPr>
          <w:lang w:val="bg-BG"/>
        </w:rPr>
      </w:pPr>
      <w:r w:rsidRPr="00220EA9">
        <w:rPr>
          <w:lang w:val="bg-BG"/>
        </w:rPr>
        <w:t xml:space="preserve">Предишни оценки на България от Работната група </w:t>
      </w:r>
      <w:r w:rsidR="00F906CF">
        <w:rPr>
          <w:lang w:val="bg-BG"/>
        </w:rPr>
        <w:t>за борба с</w:t>
      </w:r>
      <w:r w:rsidRPr="00220EA9">
        <w:rPr>
          <w:lang w:val="bg-BG"/>
        </w:rPr>
        <w:t xml:space="preserve"> подкупите</w:t>
      </w:r>
    </w:p>
    <w:tbl>
      <w:tblPr>
        <w:tblpPr w:leftFromText="180" w:rightFromText="180" w:vertAnchor="text" w:horzAnchor="margin" w:tblpXSpec="right" w:tblpY="27"/>
        <w:tblW w:w="1718" w:type="pct"/>
        <w:tblBorders>
          <w:top w:val="single" w:sz="4" w:space="0" w:color="auto"/>
          <w:left w:val="single" w:sz="4" w:space="0" w:color="auto"/>
          <w:bottom w:val="single" w:sz="4" w:space="0" w:color="auto"/>
          <w:right w:val="single" w:sz="4" w:space="0" w:color="auto"/>
        </w:tblBorders>
        <w:shd w:val="clear" w:color="auto" w:fill="EDF0F7"/>
        <w:tblCellMar>
          <w:top w:w="142" w:type="dxa"/>
          <w:left w:w="142" w:type="dxa"/>
          <w:bottom w:w="142" w:type="dxa"/>
          <w:right w:w="142" w:type="dxa"/>
        </w:tblCellMar>
        <w:tblLook w:val="0000" w:firstRow="0" w:lastRow="0" w:firstColumn="0" w:lastColumn="0" w:noHBand="0" w:noVBand="0"/>
      </w:tblPr>
      <w:tblGrid>
        <w:gridCol w:w="3292"/>
      </w:tblGrid>
      <w:tr w:rsidR="0084086D" w:rsidRPr="008C5C96" w14:paraId="34788C56" w14:textId="77777777" w:rsidTr="00EC675C">
        <w:trPr>
          <w:trHeight w:val="1692"/>
        </w:trPr>
        <w:tc>
          <w:tcPr>
            <w:tcW w:w="5000" w:type="pct"/>
            <w:shd w:val="clear" w:color="auto" w:fill="EDF0F7"/>
          </w:tcPr>
          <w:p w14:paraId="6F5B4AA8" w14:textId="4ADAD993" w:rsidR="0084086D" w:rsidRPr="00220EA9" w:rsidRDefault="0084086D" w:rsidP="00BE02CA">
            <w:pPr>
              <w:widowControl/>
              <w:spacing w:before="120" w:after="120" w:line="260" w:lineRule="atLeast"/>
              <w:jc w:val="center"/>
              <w:rPr>
                <w:b/>
                <w:iCs/>
                <w:color w:val="000000" w:themeColor="text1"/>
                <w:sz w:val="18"/>
                <w:szCs w:val="18"/>
                <w:lang w:val="bg-BG"/>
              </w:rPr>
            </w:pPr>
            <w:r w:rsidRPr="005D6747">
              <w:rPr>
                <w:b/>
                <w:iCs/>
                <w:color w:val="000000" w:themeColor="text1"/>
                <w:sz w:val="18"/>
                <w:szCs w:val="18"/>
                <w:lang w:val="bg-BG"/>
              </w:rPr>
              <w:t>Каре</w:t>
            </w:r>
            <w:r w:rsidRPr="005D6747">
              <w:rPr>
                <w:b/>
                <w:iCs/>
                <w:color w:val="000000" w:themeColor="text1"/>
                <w:sz w:val="18"/>
                <w:szCs w:val="18"/>
              </w:rPr>
              <w:t> </w:t>
            </w:r>
            <w:r w:rsidRPr="00220EA9">
              <w:rPr>
                <w:b/>
                <w:iCs/>
                <w:color w:val="000000" w:themeColor="text1"/>
                <w:sz w:val="18"/>
                <w:szCs w:val="18"/>
                <w:lang w:val="bg-BG"/>
              </w:rPr>
              <w:t xml:space="preserve">1. Предишни оценки на </w:t>
            </w:r>
            <w:r w:rsidRPr="005D6747">
              <w:rPr>
                <w:b/>
                <w:iCs/>
                <w:color w:val="000000" w:themeColor="text1"/>
                <w:sz w:val="18"/>
                <w:szCs w:val="18"/>
                <w:lang w:val="bg-BG"/>
              </w:rPr>
              <w:t>Р</w:t>
            </w:r>
            <w:r w:rsidRPr="00220EA9">
              <w:rPr>
                <w:b/>
                <w:iCs/>
                <w:color w:val="000000" w:themeColor="text1"/>
                <w:sz w:val="18"/>
                <w:szCs w:val="18"/>
                <w:lang w:val="bg-BG"/>
              </w:rPr>
              <w:t>аботна</w:t>
            </w:r>
            <w:r w:rsidRPr="005D6747">
              <w:rPr>
                <w:b/>
                <w:iCs/>
                <w:color w:val="000000" w:themeColor="text1"/>
                <w:sz w:val="18"/>
                <w:szCs w:val="18"/>
                <w:lang w:val="bg-BG"/>
              </w:rPr>
              <w:t>та</w:t>
            </w:r>
            <w:r w:rsidRPr="00220EA9">
              <w:rPr>
                <w:b/>
                <w:iCs/>
                <w:color w:val="000000" w:themeColor="text1"/>
                <w:sz w:val="18"/>
                <w:szCs w:val="18"/>
                <w:lang w:val="bg-BG"/>
              </w:rPr>
              <w:t xml:space="preserve"> </w:t>
            </w:r>
            <w:r w:rsidR="00F906CF">
              <w:rPr>
                <w:b/>
                <w:iCs/>
                <w:color w:val="000000" w:themeColor="text1"/>
                <w:sz w:val="18"/>
                <w:szCs w:val="18"/>
                <w:lang w:val="bg-BG"/>
              </w:rPr>
              <w:t>група за борба с</w:t>
            </w:r>
            <w:r w:rsidRPr="00220EA9">
              <w:rPr>
                <w:b/>
                <w:iCs/>
                <w:color w:val="000000" w:themeColor="text1"/>
                <w:sz w:val="18"/>
                <w:szCs w:val="18"/>
                <w:lang w:val="bg-BG"/>
              </w:rPr>
              <w:t xml:space="preserve"> подкупите </w:t>
            </w:r>
            <w:r w:rsidRPr="005D6747">
              <w:rPr>
                <w:b/>
                <w:iCs/>
                <w:color w:val="000000" w:themeColor="text1"/>
                <w:sz w:val="18"/>
                <w:szCs w:val="18"/>
                <w:lang w:val="bg-BG"/>
              </w:rPr>
              <w:t>за</w:t>
            </w:r>
            <w:r w:rsidRPr="00220EA9">
              <w:rPr>
                <w:b/>
                <w:iCs/>
                <w:color w:val="000000" w:themeColor="text1"/>
                <w:sz w:val="18"/>
                <w:szCs w:val="18"/>
                <w:lang w:val="bg-BG"/>
              </w:rPr>
              <w:t xml:space="preserve"> България</w:t>
            </w:r>
          </w:p>
          <w:p w14:paraId="1C4C1156" w14:textId="77777777" w:rsidR="0084086D" w:rsidRPr="00220EA9" w:rsidRDefault="0084086D" w:rsidP="00BE02CA">
            <w:pPr>
              <w:widowControl/>
              <w:spacing w:before="120" w:after="120" w:line="260" w:lineRule="atLeast"/>
              <w:jc w:val="left"/>
              <w:rPr>
                <w:color w:val="000000" w:themeColor="text1"/>
                <w:sz w:val="18"/>
                <w:szCs w:val="18"/>
                <w:u w:val="single"/>
                <w:lang w:val="bg-BG"/>
              </w:rPr>
            </w:pPr>
            <w:r w:rsidRPr="00220EA9">
              <w:rPr>
                <w:b/>
                <w:bCs/>
                <w:color w:val="000000" w:themeColor="text1"/>
                <w:sz w:val="18"/>
                <w:szCs w:val="18"/>
                <w:u w:val="single"/>
                <w:lang w:val="bg-BG"/>
              </w:rPr>
              <w:t>2014</w:t>
            </w:r>
            <w:r w:rsidRPr="005D6747">
              <w:rPr>
                <w:b/>
                <w:bCs/>
                <w:color w:val="000000" w:themeColor="text1"/>
                <w:sz w:val="18"/>
                <w:szCs w:val="18"/>
                <w:u w:val="single"/>
              </w:rPr>
              <w:t> </w:t>
            </w:r>
            <w:r w:rsidRPr="005D6747">
              <w:rPr>
                <w:color w:val="0000CC"/>
                <w:sz w:val="18"/>
                <w:szCs w:val="18"/>
                <w:u w:val="single"/>
                <w:lang w:val="bg-BG"/>
              </w:rPr>
              <w:t>Д</w:t>
            </w:r>
            <w:r w:rsidRPr="00220EA9">
              <w:rPr>
                <w:color w:val="0000FF" w:themeColor="hyperlink"/>
                <w:sz w:val="18"/>
                <w:szCs w:val="18"/>
                <w:u w:val="single"/>
                <w:lang w:val="bg-BG"/>
              </w:rPr>
              <w:t>опълнителен последващ доклад по Фаза 3</w:t>
            </w:r>
          </w:p>
          <w:p w14:paraId="2D41BEED" w14:textId="77777777" w:rsidR="0084086D" w:rsidRPr="00220EA9" w:rsidRDefault="0084086D" w:rsidP="00BE02CA">
            <w:pPr>
              <w:widowControl/>
              <w:spacing w:before="120" w:after="120" w:line="260" w:lineRule="atLeast"/>
              <w:jc w:val="left"/>
              <w:rPr>
                <w:color w:val="0000CC"/>
                <w:sz w:val="18"/>
                <w:szCs w:val="18"/>
                <w:u w:val="single"/>
                <w:lang w:val="bg-BG"/>
              </w:rPr>
            </w:pPr>
            <w:r w:rsidRPr="00220EA9">
              <w:rPr>
                <w:b/>
                <w:bCs/>
                <w:color w:val="000000" w:themeColor="text1"/>
                <w:sz w:val="18"/>
                <w:szCs w:val="18"/>
                <w:lang w:val="bg-BG"/>
              </w:rPr>
              <w:t>2013</w:t>
            </w:r>
            <w:r w:rsidRPr="005D6747">
              <w:rPr>
                <w:color w:val="000000" w:themeColor="text1"/>
                <w:sz w:val="18"/>
                <w:szCs w:val="18"/>
              </w:rPr>
              <w:t> </w:t>
            </w:r>
            <w:r w:rsidRPr="005D6747">
              <w:rPr>
                <w:color w:val="0000CC"/>
                <w:sz w:val="20"/>
                <w:u w:val="single"/>
                <w:lang w:val="bg-BG"/>
              </w:rPr>
              <w:t>Последващ</w:t>
            </w:r>
            <w:r w:rsidRPr="00220EA9">
              <w:rPr>
                <w:color w:val="0000CC"/>
                <w:sz w:val="18"/>
                <w:szCs w:val="18"/>
                <w:u w:val="single"/>
                <w:lang w:val="bg-BG"/>
              </w:rPr>
              <w:t xml:space="preserve"> доклад по Фаза 3</w:t>
            </w:r>
          </w:p>
          <w:p w14:paraId="4E4643CB" w14:textId="77777777" w:rsidR="0084086D" w:rsidRPr="005D6747" w:rsidRDefault="0084086D" w:rsidP="00BE02CA">
            <w:pPr>
              <w:widowControl/>
              <w:spacing w:before="120" w:after="120" w:line="260" w:lineRule="atLeast"/>
              <w:jc w:val="left"/>
              <w:rPr>
                <w:color w:val="000000" w:themeColor="text1"/>
                <w:sz w:val="18"/>
                <w:szCs w:val="18"/>
                <w:lang w:val="bg-BG"/>
              </w:rPr>
            </w:pPr>
            <w:r w:rsidRPr="00220EA9">
              <w:rPr>
                <w:b/>
                <w:bCs/>
                <w:color w:val="000000" w:themeColor="text1"/>
                <w:sz w:val="18"/>
                <w:szCs w:val="18"/>
                <w:lang w:val="bg-BG"/>
              </w:rPr>
              <w:t>2010</w:t>
            </w:r>
            <w:r w:rsidRPr="005D6747">
              <w:rPr>
                <w:b/>
                <w:bCs/>
                <w:color w:val="000000" w:themeColor="text1"/>
                <w:sz w:val="18"/>
                <w:szCs w:val="18"/>
              </w:rPr>
              <w:t> </w:t>
            </w:r>
            <w:hyperlink r:id="rId16" w:history="1">
              <w:r w:rsidRPr="005D6747">
                <w:rPr>
                  <w:color w:val="0000FF" w:themeColor="hyperlink"/>
                  <w:sz w:val="18"/>
                  <w:szCs w:val="18"/>
                  <w:u w:val="single"/>
                  <w:lang w:val="bg-BG"/>
                </w:rPr>
                <w:t>Доклад</w:t>
              </w:r>
            </w:hyperlink>
            <w:r w:rsidRPr="005D6747">
              <w:rPr>
                <w:color w:val="0000FF" w:themeColor="hyperlink"/>
                <w:sz w:val="18"/>
                <w:szCs w:val="18"/>
                <w:u w:val="single"/>
                <w:lang w:val="bg-BG"/>
              </w:rPr>
              <w:t xml:space="preserve"> по </w:t>
            </w:r>
            <w:r>
              <w:rPr>
                <w:color w:val="0000FF" w:themeColor="hyperlink"/>
                <w:sz w:val="18"/>
                <w:szCs w:val="18"/>
                <w:u w:val="single"/>
                <w:lang w:val="bg-BG"/>
              </w:rPr>
              <w:t>Фаза</w:t>
            </w:r>
            <w:r w:rsidRPr="005D6747">
              <w:rPr>
                <w:color w:val="0000FF" w:themeColor="hyperlink"/>
                <w:sz w:val="18"/>
                <w:szCs w:val="18"/>
                <w:u w:val="single"/>
                <w:lang w:val="bg-BG"/>
              </w:rPr>
              <w:t xml:space="preserve"> 3</w:t>
            </w:r>
          </w:p>
          <w:p w14:paraId="78A39756" w14:textId="77777777" w:rsidR="0084086D" w:rsidRPr="00220EA9" w:rsidRDefault="0084086D" w:rsidP="00BE02CA">
            <w:pPr>
              <w:widowControl/>
              <w:spacing w:before="120" w:after="120" w:line="260" w:lineRule="atLeast"/>
              <w:jc w:val="left"/>
              <w:rPr>
                <w:color w:val="0000CC"/>
                <w:sz w:val="18"/>
                <w:szCs w:val="18"/>
                <w:u w:val="single"/>
                <w:lang w:val="bg-BG"/>
              </w:rPr>
            </w:pPr>
            <w:r w:rsidRPr="00220EA9">
              <w:rPr>
                <w:b/>
                <w:bCs/>
                <w:color w:val="000000" w:themeColor="text1"/>
                <w:sz w:val="18"/>
                <w:szCs w:val="18"/>
                <w:lang w:val="bg-BG"/>
              </w:rPr>
              <w:t>2006</w:t>
            </w:r>
            <w:r w:rsidRPr="005D6747">
              <w:rPr>
                <w:b/>
                <w:bCs/>
                <w:color w:val="000000" w:themeColor="text1"/>
                <w:sz w:val="18"/>
                <w:szCs w:val="18"/>
              </w:rPr>
              <w:t> </w:t>
            </w:r>
            <w:r w:rsidRPr="00220EA9">
              <w:rPr>
                <w:color w:val="000000" w:themeColor="text1"/>
                <w:sz w:val="18"/>
                <w:szCs w:val="18"/>
                <w:lang w:val="bg-BG"/>
              </w:rPr>
              <w:t xml:space="preserve"> </w:t>
            </w:r>
            <w:r w:rsidRPr="00220EA9">
              <w:rPr>
                <w:color w:val="0000CC"/>
                <w:sz w:val="18"/>
                <w:szCs w:val="18"/>
                <w:u w:val="single"/>
                <w:lang w:val="bg-BG"/>
              </w:rPr>
              <w:t>Фаза 2 Писмен последващ доклад</w:t>
            </w:r>
          </w:p>
          <w:p w14:paraId="36F1C138" w14:textId="77777777" w:rsidR="0084086D" w:rsidRPr="005D6747" w:rsidRDefault="0084086D" w:rsidP="00BE02CA">
            <w:pPr>
              <w:widowControl/>
              <w:spacing w:before="120" w:after="120" w:line="260" w:lineRule="atLeast"/>
              <w:jc w:val="left"/>
              <w:rPr>
                <w:color w:val="000000" w:themeColor="text1"/>
                <w:sz w:val="18"/>
                <w:szCs w:val="18"/>
                <w:u w:val="single"/>
                <w:lang w:val="bg-BG"/>
              </w:rPr>
            </w:pPr>
            <w:r w:rsidRPr="00220EA9">
              <w:rPr>
                <w:b/>
                <w:bCs/>
                <w:color w:val="000000" w:themeColor="text1"/>
                <w:sz w:val="18"/>
                <w:szCs w:val="18"/>
                <w:lang w:val="bg-BG"/>
              </w:rPr>
              <w:t>2003</w:t>
            </w:r>
            <w:r w:rsidRPr="005D6747">
              <w:rPr>
                <w:b/>
                <w:bCs/>
                <w:color w:val="000000" w:themeColor="text1"/>
                <w:sz w:val="18"/>
                <w:szCs w:val="18"/>
              </w:rPr>
              <w:t> </w:t>
            </w:r>
            <w:hyperlink r:id="rId17" w:history="1">
              <w:r w:rsidRPr="005D6747">
                <w:rPr>
                  <w:color w:val="0000FF" w:themeColor="hyperlink"/>
                  <w:sz w:val="18"/>
                  <w:szCs w:val="18"/>
                  <w:u w:val="single"/>
                  <w:lang w:val="bg-BG"/>
                </w:rPr>
                <w:t>Доклад</w:t>
              </w:r>
            </w:hyperlink>
            <w:r w:rsidRPr="005D6747">
              <w:rPr>
                <w:color w:val="0000FF" w:themeColor="hyperlink"/>
                <w:sz w:val="18"/>
                <w:szCs w:val="18"/>
                <w:u w:val="single"/>
                <w:lang w:val="bg-BG"/>
              </w:rPr>
              <w:t xml:space="preserve"> по </w:t>
            </w:r>
            <w:r>
              <w:rPr>
                <w:color w:val="0000FF" w:themeColor="hyperlink"/>
                <w:sz w:val="18"/>
                <w:szCs w:val="18"/>
                <w:u w:val="single"/>
                <w:lang w:val="bg-BG"/>
              </w:rPr>
              <w:t>Фаза</w:t>
            </w:r>
            <w:r w:rsidRPr="005D6747">
              <w:rPr>
                <w:color w:val="0000FF" w:themeColor="hyperlink"/>
                <w:sz w:val="18"/>
                <w:szCs w:val="18"/>
                <w:u w:val="single"/>
                <w:lang w:val="bg-BG"/>
              </w:rPr>
              <w:t xml:space="preserve"> 2</w:t>
            </w:r>
          </w:p>
          <w:p w14:paraId="738E484C" w14:textId="77777777" w:rsidR="0084086D" w:rsidRPr="005D6747" w:rsidRDefault="0084086D" w:rsidP="00BE02CA">
            <w:pPr>
              <w:widowControl/>
              <w:spacing w:before="120" w:after="120" w:line="260" w:lineRule="atLeast"/>
              <w:rPr>
                <w:color w:val="000000" w:themeColor="text1"/>
                <w:sz w:val="20"/>
                <w:lang w:val="bg-BG"/>
              </w:rPr>
            </w:pPr>
            <w:r w:rsidRPr="00572912">
              <w:rPr>
                <w:b/>
                <w:bCs/>
                <w:color w:val="000000" w:themeColor="text1"/>
                <w:sz w:val="18"/>
                <w:szCs w:val="18"/>
                <w:lang w:val="bg-BG"/>
              </w:rPr>
              <w:t>1999</w:t>
            </w:r>
            <w:r w:rsidRPr="005D6747">
              <w:rPr>
                <w:b/>
                <w:bCs/>
                <w:color w:val="000000" w:themeColor="text1"/>
                <w:sz w:val="18"/>
                <w:szCs w:val="18"/>
                <w:lang w:val="bg-BG"/>
              </w:rPr>
              <w:t xml:space="preserve"> </w:t>
            </w:r>
            <w:r w:rsidRPr="005D6747">
              <w:rPr>
                <w:color w:val="0000CC"/>
                <w:sz w:val="20"/>
                <w:u w:val="single"/>
                <w:lang w:val="bg-BG"/>
              </w:rPr>
              <w:t xml:space="preserve">Доклад по </w:t>
            </w:r>
            <w:r>
              <w:rPr>
                <w:color w:val="0000CC"/>
                <w:sz w:val="20"/>
                <w:u w:val="single"/>
                <w:lang w:val="bg-BG"/>
              </w:rPr>
              <w:t>Фаза</w:t>
            </w:r>
            <w:r w:rsidRPr="005D6747">
              <w:rPr>
                <w:color w:val="0000CC"/>
                <w:sz w:val="20"/>
                <w:u w:val="single"/>
                <w:lang w:val="bg-BG"/>
              </w:rPr>
              <w:t xml:space="preserve"> 1</w:t>
            </w:r>
          </w:p>
        </w:tc>
      </w:tr>
    </w:tbl>
    <w:p w14:paraId="0FAC9B7B" w14:textId="7043C33B" w:rsidR="0084086D" w:rsidRPr="00572912" w:rsidRDefault="0084086D" w:rsidP="0084086D">
      <w:pPr>
        <w:widowControl/>
        <w:numPr>
          <w:ilvl w:val="0"/>
          <w:numId w:val="1"/>
        </w:numPr>
        <w:spacing w:before="120" w:after="120" w:line="260" w:lineRule="atLeast"/>
        <w:rPr>
          <w:sz w:val="20"/>
          <w:lang w:val="bg-BG"/>
        </w:rPr>
      </w:pPr>
      <w:r w:rsidRPr="00572912">
        <w:rPr>
          <w:sz w:val="20"/>
          <w:lang w:val="bg-BG"/>
        </w:rPr>
        <w:t xml:space="preserve">Мониторингът на прилагането на Конвенцията, Препоръката от 2009 г. и свързаните с нея инструменти се извършва през последователни фази, съгласно договорените принципи и чрез строга система за партньорска проверка. Процесът на наблюдение е задължителен за всички страни по Конвенцията и посещенията на място са задължителни във фази 2, 3 и 4. Въпреки това, поради кризата с </w:t>
      </w:r>
      <w:r w:rsidRPr="005D6747">
        <w:rPr>
          <w:sz w:val="20"/>
        </w:rPr>
        <w:t>COVID</w:t>
      </w:r>
      <w:r w:rsidRPr="00572912">
        <w:rPr>
          <w:sz w:val="20"/>
          <w:lang w:val="bg-BG"/>
        </w:rPr>
        <w:t xml:space="preserve">-19, секретариатът и водещите проверители не успяха да предприемат </w:t>
      </w:r>
      <w:r w:rsidR="009806F5">
        <w:rPr>
          <w:sz w:val="20"/>
          <w:lang w:val="bg-BG"/>
        </w:rPr>
        <w:t>посещение</w:t>
      </w:r>
      <w:r w:rsidR="009806F5" w:rsidRPr="00572912">
        <w:rPr>
          <w:sz w:val="20"/>
          <w:lang w:val="bg-BG"/>
        </w:rPr>
        <w:t xml:space="preserve"> </w:t>
      </w:r>
      <w:r w:rsidRPr="00572912">
        <w:rPr>
          <w:sz w:val="20"/>
          <w:lang w:val="bg-BG"/>
        </w:rPr>
        <w:t xml:space="preserve">на място, което включва срещи със съответните правоприлагащи и държавни органи, както и с гражданското общество и частния сектор. При тези особени обстоятелства България и Работната група по изключение се договориха, че </w:t>
      </w:r>
      <w:r w:rsidR="009806F5">
        <w:rPr>
          <w:sz w:val="20"/>
          <w:lang w:val="bg-BG"/>
        </w:rPr>
        <w:t>посещението</w:t>
      </w:r>
      <w:r w:rsidR="009806F5" w:rsidRPr="00572912">
        <w:rPr>
          <w:sz w:val="20"/>
          <w:lang w:val="bg-BG"/>
        </w:rPr>
        <w:t xml:space="preserve"> </w:t>
      </w:r>
      <w:r w:rsidRPr="00572912">
        <w:rPr>
          <w:sz w:val="20"/>
          <w:lang w:val="bg-BG"/>
        </w:rPr>
        <w:t xml:space="preserve">на място ще се проведе </w:t>
      </w:r>
      <w:r w:rsidRPr="005D6747">
        <w:rPr>
          <w:sz w:val="20"/>
          <w:lang w:val="bg-BG"/>
        </w:rPr>
        <w:t>виртуално</w:t>
      </w:r>
      <w:r w:rsidRPr="00572912">
        <w:rPr>
          <w:sz w:val="20"/>
          <w:lang w:val="bg-BG"/>
        </w:rPr>
        <w:t xml:space="preserve">, но ще включва всички обичайни </w:t>
      </w:r>
      <w:r w:rsidR="00460317">
        <w:rPr>
          <w:sz w:val="20"/>
          <w:lang w:val="bg-BG"/>
        </w:rPr>
        <w:t>срещи</w:t>
      </w:r>
      <w:r w:rsidRPr="00572912">
        <w:rPr>
          <w:sz w:val="20"/>
          <w:lang w:val="bg-BG"/>
        </w:rPr>
        <w:t>, които би</w:t>
      </w:r>
      <w:r w:rsidRPr="005D6747">
        <w:rPr>
          <w:sz w:val="20"/>
          <w:lang w:val="bg-BG"/>
        </w:rPr>
        <w:t>ха</w:t>
      </w:r>
      <w:r w:rsidRPr="00572912">
        <w:rPr>
          <w:sz w:val="20"/>
          <w:lang w:val="bg-BG"/>
        </w:rPr>
        <w:t xml:space="preserve"> били свикани при </w:t>
      </w:r>
      <w:r w:rsidR="00460317">
        <w:rPr>
          <w:sz w:val="20"/>
          <w:lang w:val="bg-BG"/>
        </w:rPr>
        <w:t>посещение</w:t>
      </w:r>
      <w:r w:rsidR="00460317" w:rsidRPr="00572912">
        <w:rPr>
          <w:sz w:val="20"/>
          <w:lang w:val="bg-BG"/>
        </w:rPr>
        <w:t xml:space="preserve"> </w:t>
      </w:r>
      <w:r w:rsidRPr="00572912">
        <w:rPr>
          <w:sz w:val="20"/>
          <w:lang w:val="bg-BG"/>
        </w:rPr>
        <w:t xml:space="preserve">на място. </w:t>
      </w:r>
    </w:p>
    <w:p w14:paraId="6BD58829" w14:textId="77777777" w:rsidR="0084086D" w:rsidRPr="00572912" w:rsidRDefault="0084086D" w:rsidP="0084086D">
      <w:pPr>
        <w:widowControl/>
        <w:numPr>
          <w:ilvl w:val="0"/>
          <w:numId w:val="1"/>
        </w:numPr>
        <w:spacing w:before="120" w:after="120" w:line="260" w:lineRule="atLeast"/>
        <w:rPr>
          <w:sz w:val="20"/>
          <w:lang w:val="bg-BG"/>
        </w:rPr>
      </w:pPr>
      <w:r w:rsidRPr="00572912">
        <w:rPr>
          <w:sz w:val="20"/>
          <w:lang w:val="bg-BG"/>
        </w:rPr>
        <w:t xml:space="preserve">Докладите за мониторинг, които се публикуват систематично на уебсайта на ОИСР, включват препоръки към оценяваната държава. Тези доклади се приемат на база „консенсус минус един“, което означава, че оценяваната страна може да изрази своите виждания и становища, но не може да блокира приемането на окончателния доклад и препоръки. </w:t>
      </w:r>
    </w:p>
    <w:p w14:paraId="79D57BDC" w14:textId="49B0A7F7" w:rsidR="0084086D" w:rsidRPr="00572912" w:rsidRDefault="0084086D" w:rsidP="0084086D">
      <w:pPr>
        <w:widowControl/>
        <w:numPr>
          <w:ilvl w:val="0"/>
          <w:numId w:val="1"/>
        </w:numPr>
        <w:spacing w:before="120" w:after="120" w:line="260" w:lineRule="atLeast"/>
        <w:rPr>
          <w:sz w:val="20"/>
          <w:lang w:val="bg-BG"/>
        </w:rPr>
      </w:pPr>
      <w:r w:rsidRPr="00572912">
        <w:rPr>
          <w:sz w:val="20"/>
          <w:lang w:val="bg-BG"/>
        </w:rPr>
        <w:t xml:space="preserve">Оценката </w:t>
      </w:r>
      <w:r w:rsidRPr="005D6747">
        <w:rPr>
          <w:sz w:val="20"/>
          <w:lang w:val="bg-BG"/>
        </w:rPr>
        <w:t>по</w:t>
      </w:r>
      <w:r w:rsidRPr="00572912">
        <w:rPr>
          <w:sz w:val="20"/>
          <w:lang w:val="bg-BG"/>
        </w:rPr>
        <w:t xml:space="preserve"> Фаза 3 на България се проведе през март 2011 г. Към </w:t>
      </w:r>
      <w:r w:rsidR="00460317">
        <w:rPr>
          <w:sz w:val="20"/>
          <w:lang w:val="bg-BG"/>
        </w:rPr>
        <w:t xml:space="preserve">момента на приемането на </w:t>
      </w:r>
      <w:r w:rsidRPr="00572912">
        <w:rPr>
          <w:sz w:val="20"/>
          <w:lang w:val="bg-BG"/>
        </w:rPr>
        <w:t>двугодиш</w:t>
      </w:r>
      <w:r w:rsidR="00460317">
        <w:rPr>
          <w:sz w:val="20"/>
          <w:lang w:val="bg-BG"/>
        </w:rPr>
        <w:t xml:space="preserve">ния писмен доклад за преглед на изпълнението на препоръките от фаза 3 </w:t>
      </w:r>
      <w:r w:rsidRPr="00572912">
        <w:rPr>
          <w:sz w:val="20"/>
          <w:lang w:val="bg-BG"/>
        </w:rPr>
        <w:t xml:space="preserve">през 2013 г. България напълно </w:t>
      </w:r>
      <w:r w:rsidR="00460317">
        <w:rPr>
          <w:sz w:val="20"/>
          <w:lang w:val="bg-BG"/>
        </w:rPr>
        <w:t>изпълни</w:t>
      </w:r>
      <w:r w:rsidR="00460317" w:rsidRPr="00C21D7C">
        <w:rPr>
          <w:sz w:val="20"/>
          <w:lang w:val="bg-BG"/>
        </w:rPr>
        <w:t xml:space="preserve"> </w:t>
      </w:r>
      <w:r w:rsidRPr="00572912">
        <w:rPr>
          <w:sz w:val="20"/>
          <w:lang w:val="bg-BG"/>
        </w:rPr>
        <w:t xml:space="preserve">8 препоръки, частично изпълни 8, а 12 не бяха изпълнени (Фигура 1 и Приложение 1) . Поради липсата на изпълнение Работната група поиска България да докладва писмено </w:t>
      </w:r>
      <w:r w:rsidR="00460317">
        <w:rPr>
          <w:sz w:val="20"/>
          <w:lang w:val="bg-BG"/>
        </w:rPr>
        <w:t>в рамките на</w:t>
      </w:r>
      <w:r w:rsidR="00460317" w:rsidRPr="00572912">
        <w:rPr>
          <w:sz w:val="20"/>
          <w:lang w:val="bg-BG"/>
        </w:rPr>
        <w:t xml:space="preserve"> </w:t>
      </w:r>
      <w:r w:rsidRPr="00572912">
        <w:rPr>
          <w:sz w:val="20"/>
          <w:lang w:val="bg-BG"/>
        </w:rPr>
        <w:t xml:space="preserve">една година по препоръки 1 (а), 2 (а), 2б, 2 (в), 3 (б) и 4 (а). През март 2014 г., по време на допълнителните последващи действия, България съобщи, че е представила два проекта на законодателство, за да отговори на неизпълнените препоръки </w:t>
      </w:r>
      <w:r w:rsidRPr="005D6747">
        <w:rPr>
          <w:sz w:val="20"/>
          <w:lang w:val="bg-BG"/>
        </w:rPr>
        <w:t>по</w:t>
      </w:r>
      <w:r w:rsidRPr="00572912">
        <w:rPr>
          <w:sz w:val="20"/>
          <w:lang w:val="bg-BG"/>
        </w:rPr>
        <w:t xml:space="preserve"> Фаза 3 относно </w:t>
      </w:r>
      <w:r>
        <w:rPr>
          <w:sz w:val="20"/>
          <w:lang w:val="bg-BG"/>
        </w:rPr>
        <w:t>състава на престъплението</w:t>
      </w:r>
      <w:r w:rsidRPr="005D6747">
        <w:rPr>
          <w:sz w:val="20"/>
          <w:lang w:val="bg-BG"/>
        </w:rPr>
        <w:t xml:space="preserve"> подкуп на </w:t>
      </w:r>
      <w:r w:rsidRPr="00572912">
        <w:rPr>
          <w:sz w:val="20"/>
          <w:lang w:val="bg-BG"/>
        </w:rPr>
        <w:t>чужд</w:t>
      </w:r>
      <w:r w:rsidRPr="005D6747">
        <w:rPr>
          <w:sz w:val="20"/>
          <w:lang w:val="bg-BG"/>
        </w:rPr>
        <w:t xml:space="preserve">и длъжностни лица и </w:t>
      </w:r>
      <w:r w:rsidRPr="00572912">
        <w:rPr>
          <w:sz w:val="20"/>
          <w:lang w:val="bg-BG"/>
        </w:rPr>
        <w:t xml:space="preserve">рамката за санкциониране на юридически лица. Работната група насърчи бързото приемане на </w:t>
      </w:r>
      <w:r w:rsidRPr="00572912">
        <w:rPr>
          <w:sz w:val="20"/>
          <w:lang w:val="bg-BG"/>
        </w:rPr>
        <w:lastRenderedPageBreak/>
        <w:t>проект</w:t>
      </w:r>
      <w:r w:rsidR="00460317">
        <w:rPr>
          <w:sz w:val="20"/>
          <w:lang w:val="bg-BG"/>
        </w:rPr>
        <w:t>озаконите</w:t>
      </w:r>
      <w:r w:rsidRPr="00572912">
        <w:rPr>
          <w:sz w:val="20"/>
          <w:lang w:val="bg-BG"/>
        </w:rPr>
        <w:t>, но същевременно се съгласи с анализа на тогавашните водещи проверители, че тяхното приемане няма да осигури пълно изпълнение на шестте препоръки, избрани за допълнителн</w:t>
      </w:r>
      <w:r w:rsidR="004352E8">
        <w:rPr>
          <w:sz w:val="20"/>
          <w:lang w:val="bg-BG"/>
        </w:rPr>
        <w:t>о</w:t>
      </w:r>
      <w:r w:rsidRPr="00572912">
        <w:rPr>
          <w:sz w:val="20"/>
          <w:lang w:val="bg-BG"/>
        </w:rPr>
        <w:t xml:space="preserve"> </w:t>
      </w:r>
      <w:r>
        <w:rPr>
          <w:sz w:val="20"/>
          <w:lang w:val="bg-BG"/>
        </w:rPr>
        <w:t>проследяване</w:t>
      </w:r>
      <w:r w:rsidRPr="00572912">
        <w:rPr>
          <w:sz w:val="20"/>
          <w:lang w:val="bg-BG"/>
        </w:rPr>
        <w:t>. Поради това т</w:t>
      </w:r>
      <w:r w:rsidRPr="005D6747">
        <w:rPr>
          <w:sz w:val="20"/>
          <w:lang w:val="bg-BG"/>
        </w:rPr>
        <w:t>я</w:t>
      </w:r>
      <w:r w:rsidRPr="00572912">
        <w:rPr>
          <w:sz w:val="20"/>
          <w:lang w:val="bg-BG"/>
        </w:rPr>
        <w:t xml:space="preserve"> заключ</w:t>
      </w:r>
      <w:r w:rsidR="001A0673">
        <w:rPr>
          <w:sz w:val="20"/>
          <w:lang w:val="bg-BG"/>
        </w:rPr>
        <w:t>и</w:t>
      </w:r>
      <w:r w:rsidRPr="00572912">
        <w:rPr>
          <w:sz w:val="20"/>
          <w:lang w:val="bg-BG"/>
        </w:rPr>
        <w:t>, че състоянието на изпълнение на препоръките от Фаза 3, избрани за допълнителн</w:t>
      </w:r>
      <w:r>
        <w:rPr>
          <w:sz w:val="20"/>
          <w:lang w:val="bg-BG"/>
        </w:rPr>
        <w:t>о преследяване</w:t>
      </w:r>
      <w:r w:rsidRPr="00572912">
        <w:rPr>
          <w:sz w:val="20"/>
          <w:lang w:val="bg-BG"/>
        </w:rPr>
        <w:t>, остава непроменено.</w:t>
      </w:r>
    </w:p>
    <w:p w14:paraId="0DFDA794" w14:textId="7019767C" w:rsidR="0084086D" w:rsidRPr="00572912" w:rsidRDefault="0084086D" w:rsidP="0084086D">
      <w:pPr>
        <w:widowControl/>
        <w:spacing w:before="120" w:after="120" w:line="260" w:lineRule="atLeast"/>
        <w:rPr>
          <w:b/>
          <w:bCs/>
          <w:color w:val="000000" w:themeColor="text1"/>
          <w:sz w:val="20"/>
          <w:lang w:val="bg-BG"/>
        </w:rPr>
      </w:pPr>
      <w:r w:rsidRPr="00572912">
        <w:rPr>
          <w:b/>
          <w:bCs/>
          <w:color w:val="000000" w:themeColor="text1"/>
          <w:sz w:val="20"/>
          <w:lang w:val="bg-BG"/>
        </w:rPr>
        <w:tab/>
      </w:r>
      <w:r w:rsidRPr="00572912">
        <w:rPr>
          <w:b/>
          <w:bCs/>
          <w:color w:val="000000" w:themeColor="text1"/>
          <w:sz w:val="20"/>
          <w:lang w:val="bg-BG"/>
        </w:rPr>
        <w:tab/>
      </w:r>
      <w:r w:rsidRPr="005D6747">
        <w:rPr>
          <w:b/>
          <w:bCs/>
          <w:color w:val="000000" w:themeColor="text1"/>
          <w:sz w:val="20"/>
          <w:lang w:val="bg-BG"/>
        </w:rPr>
        <w:t>Фигура</w:t>
      </w:r>
      <w:r w:rsidRPr="00572912">
        <w:rPr>
          <w:b/>
          <w:bCs/>
          <w:color w:val="000000" w:themeColor="text1"/>
          <w:sz w:val="20"/>
          <w:lang w:val="bg-BG"/>
        </w:rPr>
        <w:t xml:space="preserve"> </w:t>
      </w:r>
      <w:r w:rsidRPr="005D6747">
        <w:rPr>
          <w:b/>
          <w:bCs/>
          <w:color w:val="000000" w:themeColor="text1"/>
          <w:sz w:val="20"/>
        </w:rPr>
        <w:fldChar w:fldCharType="begin"/>
      </w:r>
      <w:r w:rsidRPr="00572912">
        <w:rPr>
          <w:b/>
          <w:bCs/>
          <w:color w:val="000000" w:themeColor="text1"/>
          <w:sz w:val="20"/>
          <w:lang w:val="bg-BG"/>
        </w:rPr>
        <w:instrText xml:space="preserve"> </w:instrText>
      </w:r>
      <w:r w:rsidRPr="005D6747">
        <w:rPr>
          <w:b/>
          <w:bCs/>
          <w:color w:val="000000" w:themeColor="text1"/>
          <w:sz w:val="20"/>
        </w:rPr>
        <w:instrText>SEQ</w:instrText>
      </w:r>
      <w:r w:rsidRPr="00572912">
        <w:rPr>
          <w:b/>
          <w:bCs/>
          <w:color w:val="000000" w:themeColor="text1"/>
          <w:sz w:val="20"/>
          <w:lang w:val="bg-BG"/>
        </w:rPr>
        <w:instrText xml:space="preserve"> </w:instrText>
      </w:r>
      <w:r w:rsidRPr="005D6747">
        <w:rPr>
          <w:b/>
          <w:bCs/>
          <w:color w:val="000000" w:themeColor="text1"/>
          <w:sz w:val="20"/>
        </w:rPr>
        <w:instrText>Figure</w:instrText>
      </w:r>
      <w:r w:rsidRPr="00572912">
        <w:rPr>
          <w:b/>
          <w:bCs/>
          <w:color w:val="000000" w:themeColor="text1"/>
          <w:sz w:val="20"/>
          <w:lang w:val="bg-BG"/>
        </w:rPr>
        <w:instrText xml:space="preserve"> \* </w:instrText>
      </w:r>
      <w:r w:rsidRPr="005D6747">
        <w:rPr>
          <w:b/>
          <w:bCs/>
          <w:color w:val="000000" w:themeColor="text1"/>
          <w:sz w:val="20"/>
        </w:rPr>
        <w:instrText>ARABIC</w:instrText>
      </w:r>
      <w:r w:rsidRPr="00572912">
        <w:rPr>
          <w:b/>
          <w:bCs/>
          <w:color w:val="000000" w:themeColor="text1"/>
          <w:sz w:val="20"/>
          <w:lang w:val="bg-BG"/>
        </w:rPr>
        <w:instrText xml:space="preserve"> </w:instrText>
      </w:r>
      <w:r w:rsidRPr="005D6747">
        <w:rPr>
          <w:b/>
          <w:bCs/>
          <w:color w:val="000000" w:themeColor="text1"/>
          <w:sz w:val="20"/>
        </w:rPr>
        <w:fldChar w:fldCharType="separate"/>
      </w:r>
      <w:r w:rsidR="00854ACE" w:rsidRPr="00572912">
        <w:rPr>
          <w:b/>
          <w:bCs/>
          <w:noProof/>
          <w:color w:val="000000" w:themeColor="text1"/>
          <w:sz w:val="20"/>
          <w:lang w:val="bg-BG"/>
        </w:rPr>
        <w:t>1</w:t>
      </w:r>
      <w:r w:rsidRPr="005D6747">
        <w:rPr>
          <w:color w:val="000000" w:themeColor="text1"/>
          <w:sz w:val="20"/>
        </w:rPr>
        <w:fldChar w:fldCharType="end"/>
      </w:r>
      <w:r w:rsidRPr="00572912">
        <w:rPr>
          <w:b/>
          <w:bCs/>
          <w:color w:val="000000" w:themeColor="text1"/>
          <w:sz w:val="20"/>
          <w:lang w:val="bg-BG"/>
        </w:rPr>
        <w:t xml:space="preserve">. </w:t>
      </w:r>
      <w:r w:rsidRPr="005D6747">
        <w:rPr>
          <w:b/>
          <w:bCs/>
          <w:color w:val="000000" w:themeColor="text1"/>
          <w:sz w:val="20"/>
          <w:lang w:val="bg-BG"/>
        </w:rPr>
        <w:t xml:space="preserve">Изпълнение </w:t>
      </w:r>
      <w:r w:rsidR="001A0673">
        <w:rPr>
          <w:b/>
          <w:bCs/>
          <w:color w:val="000000" w:themeColor="text1"/>
          <w:sz w:val="20"/>
          <w:lang w:val="bg-BG"/>
        </w:rPr>
        <w:t xml:space="preserve">на </w:t>
      </w:r>
      <w:r w:rsidRPr="00572912">
        <w:rPr>
          <w:b/>
          <w:bCs/>
          <w:color w:val="000000" w:themeColor="text1"/>
          <w:sz w:val="20"/>
          <w:lang w:val="bg-BG"/>
        </w:rPr>
        <w:t>препоръки</w:t>
      </w:r>
      <w:r w:rsidRPr="005D6747">
        <w:rPr>
          <w:b/>
          <w:bCs/>
          <w:color w:val="000000" w:themeColor="text1"/>
          <w:sz w:val="20"/>
          <w:lang w:val="bg-BG"/>
        </w:rPr>
        <w:t xml:space="preserve">те </w:t>
      </w:r>
      <w:r w:rsidRPr="00572912">
        <w:rPr>
          <w:b/>
          <w:bCs/>
          <w:color w:val="000000" w:themeColor="text1"/>
          <w:sz w:val="20"/>
          <w:lang w:val="bg-BG"/>
        </w:rPr>
        <w:t>по Фаза 3</w:t>
      </w:r>
      <w:r w:rsidR="001A0673" w:rsidRPr="001A0673">
        <w:rPr>
          <w:b/>
          <w:bCs/>
          <w:color w:val="000000" w:themeColor="text1"/>
          <w:sz w:val="20"/>
          <w:lang w:val="bg-BG"/>
        </w:rPr>
        <w:t xml:space="preserve"> </w:t>
      </w:r>
      <w:r w:rsidR="001A0673">
        <w:rPr>
          <w:b/>
          <w:bCs/>
          <w:color w:val="000000" w:themeColor="text1"/>
          <w:sz w:val="20"/>
          <w:lang w:val="bg-BG"/>
        </w:rPr>
        <w:t>от</w:t>
      </w:r>
      <w:r w:rsidR="001A0673" w:rsidRPr="005D6747">
        <w:rPr>
          <w:b/>
          <w:bCs/>
          <w:color w:val="000000" w:themeColor="text1"/>
          <w:sz w:val="20"/>
          <w:lang w:val="bg-BG"/>
        </w:rPr>
        <w:t xml:space="preserve"> </w:t>
      </w:r>
      <w:r w:rsidR="001A0673" w:rsidRPr="00EC43FB">
        <w:rPr>
          <w:b/>
          <w:bCs/>
          <w:color w:val="000000" w:themeColor="text1"/>
          <w:sz w:val="20"/>
          <w:lang w:val="bg-BG"/>
        </w:rPr>
        <w:t>България</w:t>
      </w:r>
    </w:p>
    <w:p w14:paraId="57128798" w14:textId="77777777" w:rsidR="0084086D" w:rsidRPr="005D6747" w:rsidRDefault="0084086D" w:rsidP="0084086D">
      <w:pPr>
        <w:widowControl/>
        <w:spacing w:before="120" w:after="120" w:line="260" w:lineRule="atLeast"/>
        <w:rPr>
          <w:color w:val="000000" w:themeColor="text1"/>
          <w:sz w:val="20"/>
        </w:rPr>
      </w:pPr>
      <w:r w:rsidRPr="005D6747">
        <w:rPr>
          <w:b/>
          <w:i/>
          <w:noProof/>
          <w:color w:val="000000" w:themeColor="text1"/>
          <w:sz w:val="20"/>
          <w:lang w:val="bg-BG" w:eastAsia="bg-BG"/>
        </w:rPr>
        <w:drawing>
          <wp:inline distT="0" distB="0" distL="0" distR="0" wp14:anchorId="64F63B17" wp14:editId="5545E12F">
            <wp:extent cx="5731510" cy="1285336"/>
            <wp:effectExtent l="0" t="0" r="254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E8C036" w14:textId="77777777" w:rsidR="0084086D" w:rsidRPr="005D6747" w:rsidRDefault="0084086D" w:rsidP="0084086D">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rPr>
        <w:t xml:space="preserve">Процес </w:t>
      </w:r>
      <w:r w:rsidRPr="005D6747">
        <w:rPr>
          <w:rFonts w:eastAsiaTheme="majorEastAsia" w:cstheme="majorBidi"/>
          <w:b/>
          <w:color w:val="4E81BD" w:themeColor="accent1"/>
          <w:sz w:val="24"/>
          <w:szCs w:val="26"/>
          <w:lang w:val="bg-BG"/>
        </w:rPr>
        <w:t xml:space="preserve">по </w:t>
      </w:r>
      <w:r>
        <w:rPr>
          <w:rFonts w:eastAsiaTheme="majorEastAsia" w:cstheme="majorBidi"/>
          <w:b/>
          <w:color w:val="4E81BD" w:themeColor="accent1"/>
          <w:sz w:val="24"/>
          <w:szCs w:val="26"/>
        </w:rPr>
        <w:t>Фаза</w:t>
      </w:r>
      <w:r w:rsidRPr="005D6747">
        <w:rPr>
          <w:rFonts w:eastAsiaTheme="majorEastAsia" w:cstheme="majorBidi"/>
          <w:b/>
          <w:color w:val="4E81BD" w:themeColor="accent1"/>
          <w:sz w:val="24"/>
          <w:szCs w:val="26"/>
        </w:rPr>
        <w:t xml:space="preserve"> 4 и „виртуалн</w:t>
      </w:r>
      <w:r>
        <w:rPr>
          <w:rFonts w:eastAsiaTheme="majorEastAsia" w:cstheme="majorBidi"/>
          <w:b/>
          <w:color w:val="4E81BD" w:themeColor="accent1"/>
          <w:sz w:val="24"/>
          <w:szCs w:val="26"/>
          <w:lang w:val="bg-BG"/>
        </w:rPr>
        <w:t>о</w:t>
      </w:r>
      <w:r w:rsidR="00AC1257">
        <w:rPr>
          <w:rFonts w:eastAsiaTheme="majorEastAsia" w:cstheme="majorBidi"/>
          <w:b/>
          <w:color w:val="4E81BD" w:themeColor="accent1"/>
          <w:sz w:val="24"/>
          <w:szCs w:val="26"/>
          <w:lang w:val="bg-BG"/>
        </w:rPr>
        <w:t xml:space="preserve"> </w:t>
      </w:r>
      <w:r>
        <w:rPr>
          <w:rFonts w:eastAsiaTheme="majorEastAsia" w:cstheme="majorBidi"/>
          <w:b/>
          <w:color w:val="4E81BD" w:themeColor="accent1"/>
          <w:sz w:val="24"/>
          <w:szCs w:val="26"/>
          <w:lang w:val="bg-BG"/>
        </w:rPr>
        <w:t>посещение</w:t>
      </w:r>
      <w:r w:rsidRPr="005D6747">
        <w:rPr>
          <w:rFonts w:eastAsiaTheme="majorEastAsia" w:cstheme="majorBidi"/>
          <w:b/>
          <w:color w:val="4E81BD" w:themeColor="accent1"/>
          <w:sz w:val="24"/>
          <w:szCs w:val="26"/>
        </w:rPr>
        <w:t>“</w:t>
      </w:r>
      <w:r w:rsidRPr="005D6747">
        <w:rPr>
          <w:rFonts w:eastAsiaTheme="majorEastAsia" w:cstheme="majorBidi"/>
          <w:b/>
          <w:color w:val="4E81BD" w:themeColor="accent1"/>
          <w:sz w:val="24"/>
          <w:szCs w:val="26"/>
          <w:lang w:val="bg-BG"/>
        </w:rPr>
        <w:t xml:space="preserve"> по изключение</w:t>
      </w:r>
    </w:p>
    <w:p w14:paraId="0822CA56" w14:textId="77777777" w:rsidR="0084086D" w:rsidRPr="005D6747" w:rsidRDefault="0084086D" w:rsidP="0084086D">
      <w:pPr>
        <w:widowControl/>
        <w:numPr>
          <w:ilvl w:val="0"/>
          <w:numId w:val="1"/>
        </w:numPr>
        <w:spacing w:before="120" w:after="120" w:line="260" w:lineRule="atLeast"/>
        <w:rPr>
          <w:sz w:val="20"/>
        </w:rPr>
      </w:pPr>
      <w:r>
        <w:rPr>
          <w:sz w:val="20"/>
        </w:rPr>
        <w:t>Фаза</w:t>
      </w:r>
      <w:r w:rsidRPr="005D6747">
        <w:rPr>
          <w:sz w:val="20"/>
        </w:rPr>
        <w:t xml:space="preserve"> 4 се фокусира върху три междусекторни теми</w:t>
      </w:r>
      <w:r w:rsidR="004352E8">
        <w:rPr>
          <w:sz w:val="20"/>
          <w:lang w:val="bg-BG"/>
        </w:rPr>
        <w:t xml:space="preserve"> </w:t>
      </w:r>
      <w:r w:rsidRPr="005D6747">
        <w:rPr>
          <w:sz w:val="20"/>
        </w:rPr>
        <w:t>-</w:t>
      </w:r>
      <w:r w:rsidR="004352E8">
        <w:rPr>
          <w:sz w:val="20"/>
          <w:lang w:val="bg-BG"/>
        </w:rPr>
        <w:t xml:space="preserve"> </w:t>
      </w:r>
      <w:r>
        <w:rPr>
          <w:sz w:val="20"/>
          <w:lang w:val="bg-BG"/>
        </w:rPr>
        <w:t>разкриване</w:t>
      </w:r>
      <w:r w:rsidRPr="005D6747">
        <w:rPr>
          <w:sz w:val="20"/>
        </w:rPr>
        <w:t xml:space="preserve">; </w:t>
      </w:r>
      <w:r>
        <w:rPr>
          <w:sz w:val="20"/>
          <w:lang w:val="bg-BG"/>
        </w:rPr>
        <w:t>разследване и наказателно преследване</w:t>
      </w:r>
      <w:r w:rsidRPr="005D6747">
        <w:rPr>
          <w:sz w:val="20"/>
        </w:rPr>
        <w:t xml:space="preserve"> на </w:t>
      </w:r>
      <w:r>
        <w:rPr>
          <w:sz w:val="20"/>
          <w:lang w:val="bg-BG"/>
        </w:rPr>
        <w:t>престъплението</w:t>
      </w:r>
      <w:r w:rsidRPr="005D6747">
        <w:rPr>
          <w:sz w:val="20"/>
        </w:rPr>
        <w:t xml:space="preserve"> подкуп</w:t>
      </w:r>
      <w:r w:rsidRPr="005D6747">
        <w:rPr>
          <w:sz w:val="20"/>
          <w:lang w:val="bg-BG"/>
        </w:rPr>
        <w:t xml:space="preserve"> на чужди длъжностни лица</w:t>
      </w:r>
      <w:r w:rsidRPr="005D6747">
        <w:rPr>
          <w:sz w:val="20"/>
        </w:rPr>
        <w:t xml:space="preserve"> на оценяваната страна; и корпоративна отговорност за </w:t>
      </w:r>
      <w:r>
        <w:rPr>
          <w:sz w:val="20"/>
          <w:lang w:val="bg-BG"/>
        </w:rPr>
        <w:t>престъплението</w:t>
      </w:r>
      <w:r w:rsidRPr="005D6747">
        <w:rPr>
          <w:sz w:val="20"/>
        </w:rPr>
        <w:t xml:space="preserve"> (отговорност на юридически лица). Освен това, той разглежда напредъка на страната по неизпълнените </w:t>
      </w:r>
      <w:r w:rsidR="004352E8" w:rsidRPr="005D6747">
        <w:rPr>
          <w:sz w:val="20"/>
        </w:rPr>
        <w:t xml:space="preserve">по-рано </w:t>
      </w:r>
      <w:r w:rsidRPr="005D6747">
        <w:rPr>
          <w:sz w:val="20"/>
        </w:rPr>
        <w:t xml:space="preserve">препоръки </w:t>
      </w:r>
      <w:r w:rsidRPr="005D6747">
        <w:rPr>
          <w:sz w:val="20"/>
          <w:lang w:val="bg-BG"/>
        </w:rPr>
        <w:t>по</w:t>
      </w:r>
      <w:r w:rsidRPr="005D6747">
        <w:rPr>
          <w:sz w:val="20"/>
        </w:rPr>
        <w:t xml:space="preserve"> </w:t>
      </w:r>
      <w:r>
        <w:rPr>
          <w:sz w:val="20"/>
        </w:rPr>
        <w:t>Фаза</w:t>
      </w:r>
      <w:r w:rsidRPr="005D6747">
        <w:rPr>
          <w:sz w:val="20"/>
        </w:rPr>
        <w:t xml:space="preserve"> 3, въпроси, повдигнати от промените в правната и институционалната рамка на страната за борба с подкуп</w:t>
      </w:r>
      <w:r w:rsidRPr="005D6747">
        <w:rPr>
          <w:sz w:val="20"/>
          <w:lang w:val="bg-BG"/>
        </w:rPr>
        <w:t>ването на чужди длъжностни лица</w:t>
      </w:r>
      <w:r w:rsidRPr="005D6747">
        <w:rPr>
          <w:sz w:val="20"/>
        </w:rPr>
        <w:t>, както и в</w:t>
      </w:r>
      <w:r w:rsidR="004352E8">
        <w:rPr>
          <w:sz w:val="20"/>
        </w:rPr>
        <w:t>сички нови въпроси, които попад</w:t>
      </w:r>
      <w:r w:rsidRPr="005D6747">
        <w:rPr>
          <w:sz w:val="20"/>
        </w:rPr>
        <w:t xml:space="preserve">ат на вниманието на </w:t>
      </w:r>
      <w:r w:rsidRPr="005D6747">
        <w:rPr>
          <w:sz w:val="20"/>
          <w:lang w:val="bg-BG"/>
        </w:rPr>
        <w:t>Р</w:t>
      </w:r>
      <w:r w:rsidRPr="005D6747">
        <w:rPr>
          <w:sz w:val="20"/>
        </w:rPr>
        <w:t xml:space="preserve">аботната група. </w:t>
      </w:r>
      <w:r>
        <w:rPr>
          <w:sz w:val="20"/>
        </w:rPr>
        <w:t>Фаза</w:t>
      </w:r>
      <w:r w:rsidRPr="005D6747">
        <w:rPr>
          <w:sz w:val="20"/>
        </w:rPr>
        <w:t xml:space="preserve"> 4 разглежда уникалната ситуация на всяка страна, което води до доклад и препоръки, които разглеждат специфичните предизвикателства и п</w:t>
      </w:r>
      <w:r w:rsidR="004352E8">
        <w:rPr>
          <w:sz w:val="20"/>
        </w:rPr>
        <w:t>остижения на всяка страна по по</w:t>
      </w:r>
      <w:r w:rsidRPr="005D6747">
        <w:rPr>
          <w:sz w:val="20"/>
        </w:rPr>
        <w:t xml:space="preserve">-целенасочен начин от предишните фази. Този резултат се постига до голяма степен чрез фокусиране преди всичко върху препоръките </w:t>
      </w:r>
      <w:r w:rsidRPr="005D6747">
        <w:rPr>
          <w:sz w:val="20"/>
          <w:lang w:val="bg-BG"/>
        </w:rPr>
        <w:t>по</w:t>
      </w:r>
      <w:r w:rsidRPr="005D6747">
        <w:rPr>
          <w:sz w:val="20"/>
        </w:rPr>
        <w:t xml:space="preserve"> </w:t>
      </w:r>
      <w:r>
        <w:rPr>
          <w:sz w:val="20"/>
        </w:rPr>
        <w:t>Фаза</w:t>
      </w:r>
      <w:r w:rsidRPr="005D6747">
        <w:rPr>
          <w:sz w:val="20"/>
        </w:rPr>
        <w:t xml:space="preserve"> 3, които не са изпълнени изцяло до края на този цикъл. Това означава, че въпроси, които не са били проблемни или са били решени до края на </w:t>
      </w:r>
      <w:r>
        <w:rPr>
          <w:sz w:val="20"/>
        </w:rPr>
        <w:t>Фаза</w:t>
      </w:r>
      <w:r w:rsidRPr="005D6747">
        <w:rPr>
          <w:sz w:val="20"/>
        </w:rPr>
        <w:t xml:space="preserve"> 3, може да не бъдат отразени в доклада </w:t>
      </w:r>
      <w:r w:rsidRPr="005D6747">
        <w:rPr>
          <w:sz w:val="20"/>
          <w:lang w:val="bg-BG"/>
        </w:rPr>
        <w:t>по</w:t>
      </w:r>
      <w:r w:rsidRPr="005D6747">
        <w:rPr>
          <w:sz w:val="20"/>
        </w:rPr>
        <w:t xml:space="preserve"> </w:t>
      </w:r>
      <w:r>
        <w:rPr>
          <w:sz w:val="20"/>
        </w:rPr>
        <w:t>Фаза</w:t>
      </w:r>
      <w:r w:rsidRPr="005D6747">
        <w:rPr>
          <w:sz w:val="20"/>
        </w:rPr>
        <w:t xml:space="preserve"> 4, докато изцяло нови проблеми, възникнали от този момент, могат да се появят в този доклад за първи път.</w:t>
      </w:r>
    </w:p>
    <w:p w14:paraId="39B8FC51" w14:textId="595B9320" w:rsidR="0084086D" w:rsidRPr="005D6747" w:rsidRDefault="0084086D" w:rsidP="0084086D">
      <w:pPr>
        <w:widowControl/>
        <w:numPr>
          <w:ilvl w:val="0"/>
          <w:numId w:val="1"/>
        </w:numPr>
        <w:spacing w:before="120" w:after="120" w:line="260" w:lineRule="atLeast"/>
        <w:rPr>
          <w:sz w:val="20"/>
        </w:rPr>
      </w:pPr>
      <w:r w:rsidRPr="005D6747">
        <w:rPr>
          <w:sz w:val="20"/>
        </w:rPr>
        <w:t xml:space="preserve">Екипът по </w:t>
      </w:r>
      <w:r>
        <w:rPr>
          <w:sz w:val="20"/>
        </w:rPr>
        <w:t>Фаза</w:t>
      </w:r>
      <w:r w:rsidRPr="005D6747">
        <w:rPr>
          <w:sz w:val="20"/>
        </w:rPr>
        <w:t xml:space="preserve"> 4 </w:t>
      </w:r>
      <w:r w:rsidRPr="005D6747">
        <w:rPr>
          <w:sz w:val="20"/>
          <w:lang w:val="bg-BG"/>
        </w:rPr>
        <w:t xml:space="preserve">на </w:t>
      </w:r>
      <w:r w:rsidRPr="005D6747">
        <w:rPr>
          <w:sz w:val="20"/>
        </w:rPr>
        <w:t>оценка на България беше съставен от водещи проверители от Чили и Гърция и членове на Отдела за борба с корупцията на ОИСР</w:t>
      </w:r>
      <w:r w:rsidRPr="005D6747">
        <w:rPr>
          <w:vertAlign w:val="superscript"/>
        </w:rPr>
        <w:footnoteReference w:id="1"/>
      </w:r>
      <w:r w:rsidRPr="005D6747">
        <w:rPr>
          <w:sz w:val="20"/>
        </w:rPr>
        <w:t xml:space="preserve">. Съгласно процедурите </w:t>
      </w:r>
      <w:r w:rsidRPr="005D6747">
        <w:rPr>
          <w:sz w:val="20"/>
          <w:lang w:val="bg-BG"/>
        </w:rPr>
        <w:t>по</w:t>
      </w:r>
      <w:r w:rsidRPr="005D6747">
        <w:rPr>
          <w:sz w:val="20"/>
        </w:rPr>
        <w:t xml:space="preserve"> </w:t>
      </w:r>
      <w:r>
        <w:rPr>
          <w:sz w:val="20"/>
        </w:rPr>
        <w:t>Фаза</w:t>
      </w:r>
      <w:r w:rsidRPr="005D6747">
        <w:rPr>
          <w:sz w:val="20"/>
        </w:rPr>
        <w:t xml:space="preserve"> 4</w:t>
      </w:r>
      <w:r w:rsidRPr="005D6747">
        <w:rPr>
          <w:vertAlign w:val="superscript"/>
        </w:rPr>
        <w:footnoteReference w:id="2"/>
      </w:r>
      <w:r w:rsidRPr="005D6747">
        <w:rPr>
          <w:sz w:val="20"/>
        </w:rPr>
        <w:t xml:space="preserve">, след като получи отговорите на България на Въпросника </w:t>
      </w:r>
      <w:r w:rsidRPr="005D6747">
        <w:rPr>
          <w:sz w:val="20"/>
          <w:lang w:val="bg-BG"/>
        </w:rPr>
        <w:t>по</w:t>
      </w:r>
      <w:r w:rsidRPr="005D6747">
        <w:rPr>
          <w:sz w:val="20"/>
        </w:rPr>
        <w:t xml:space="preserve"> </w:t>
      </w:r>
      <w:r>
        <w:rPr>
          <w:sz w:val="20"/>
        </w:rPr>
        <w:t>Фаза</w:t>
      </w:r>
      <w:r w:rsidRPr="005D6747">
        <w:rPr>
          <w:sz w:val="20"/>
        </w:rPr>
        <w:t xml:space="preserve"> 4, който включваше допълнителни специфични за страната въпроси, екипът за оценка </w:t>
      </w:r>
      <w:r w:rsidR="001A0673">
        <w:rPr>
          <w:sz w:val="20"/>
          <w:lang w:val="bg-BG"/>
        </w:rPr>
        <w:t>проведе</w:t>
      </w:r>
      <w:r w:rsidRPr="005D6747">
        <w:rPr>
          <w:sz w:val="20"/>
        </w:rPr>
        <w:t xml:space="preserve"> виртуалн</w:t>
      </w:r>
      <w:r>
        <w:rPr>
          <w:sz w:val="20"/>
          <w:lang w:val="bg-BG"/>
        </w:rPr>
        <w:t>о посещение</w:t>
      </w:r>
      <w:r w:rsidRPr="005D6747">
        <w:rPr>
          <w:sz w:val="20"/>
        </w:rPr>
        <w:t xml:space="preserve"> от 10 до 17 май 2021 г. чрез видеоконференция. Шестнадесет </w:t>
      </w:r>
      <w:r w:rsidR="001A0673">
        <w:rPr>
          <w:sz w:val="20"/>
          <w:lang w:val="bg-BG"/>
        </w:rPr>
        <w:t>срещи</w:t>
      </w:r>
      <w:r w:rsidRPr="005D6747">
        <w:rPr>
          <w:sz w:val="20"/>
        </w:rPr>
        <w:t xml:space="preserve"> бяха проведени, за да се получат различни перспективи. В допълнение към откриващите и закриващите сесии с българските власти, бяха проведени </w:t>
      </w:r>
      <w:r>
        <w:rPr>
          <w:sz w:val="20"/>
          <w:lang w:val="bg-BG"/>
        </w:rPr>
        <w:t>срещи</w:t>
      </w:r>
      <w:r w:rsidRPr="005D6747">
        <w:rPr>
          <w:sz w:val="20"/>
        </w:rPr>
        <w:t xml:space="preserve"> с основните български министерства и агенции, </w:t>
      </w:r>
      <w:r w:rsidRPr="005D6747">
        <w:rPr>
          <w:sz w:val="20"/>
        </w:rPr>
        <w:lastRenderedPageBreak/>
        <w:t xml:space="preserve">отговорни за прилагането на Конвенцията, включително Министерство на правосъдието (МП), Министерство на външните работи (МВнР), Върховната касационна прокуратура </w:t>
      </w:r>
      <w:r w:rsidRPr="005D6747">
        <w:rPr>
          <w:sz w:val="20"/>
          <w:lang w:val="bg-BG"/>
        </w:rPr>
        <w:t>(ВКП</w:t>
      </w:r>
      <w:r w:rsidRPr="005D6747">
        <w:rPr>
          <w:sz w:val="20"/>
        </w:rPr>
        <w:t xml:space="preserve">), Софийска градска прокуратура и Специализирана прокуратура, Комисия за </w:t>
      </w:r>
      <w:r w:rsidRPr="005D6747">
        <w:rPr>
          <w:sz w:val="20"/>
          <w:lang w:val="bg-BG"/>
        </w:rPr>
        <w:t>противодействе на</w:t>
      </w:r>
      <w:r w:rsidRPr="005D6747">
        <w:rPr>
          <w:sz w:val="20"/>
        </w:rPr>
        <w:t xml:space="preserve"> корупцията и </w:t>
      </w:r>
      <w:r w:rsidRPr="005D6747">
        <w:rPr>
          <w:sz w:val="20"/>
          <w:lang w:val="bg-BG"/>
        </w:rPr>
        <w:t>за отнемане на</w:t>
      </w:r>
      <w:r w:rsidRPr="005D6747">
        <w:rPr>
          <w:sz w:val="20"/>
        </w:rPr>
        <w:t xml:space="preserve"> незаконно придобито имущество (Комисия за </w:t>
      </w:r>
      <w:r>
        <w:rPr>
          <w:sz w:val="20"/>
          <w:lang w:val="bg-BG"/>
        </w:rPr>
        <w:t>борба с</w:t>
      </w:r>
      <w:r w:rsidRPr="005D6747">
        <w:rPr>
          <w:sz w:val="20"/>
        </w:rPr>
        <w:t xml:space="preserve"> корупцията), Министерство на вътрешните работи</w:t>
      </w:r>
      <w:r w:rsidR="00B7752B">
        <w:rPr>
          <w:sz w:val="20"/>
          <w:lang w:val="bg-BG"/>
        </w:rPr>
        <w:t xml:space="preserve"> (МВР)</w:t>
      </w:r>
      <w:r w:rsidRPr="005D6747">
        <w:rPr>
          <w:sz w:val="20"/>
        </w:rPr>
        <w:t xml:space="preserve">, Държавна агенция </w:t>
      </w:r>
      <w:r>
        <w:rPr>
          <w:sz w:val="20"/>
          <w:lang w:val="bg-BG"/>
        </w:rPr>
        <w:t>“Н</w:t>
      </w:r>
      <w:r w:rsidRPr="005D6747">
        <w:rPr>
          <w:sz w:val="20"/>
        </w:rPr>
        <w:t>ационална сигурност</w:t>
      </w:r>
      <w:r>
        <w:rPr>
          <w:sz w:val="20"/>
          <w:lang w:val="bg-BG"/>
        </w:rPr>
        <w:t>“</w:t>
      </w:r>
      <w:r w:rsidR="00B22D0E">
        <w:rPr>
          <w:sz w:val="20"/>
          <w:lang w:val="bg-BG"/>
        </w:rPr>
        <w:t xml:space="preserve"> (ДАНС)</w:t>
      </w:r>
      <w:r w:rsidRPr="005D6747">
        <w:rPr>
          <w:sz w:val="20"/>
        </w:rPr>
        <w:t>, Министерство на финансите и Министерство на икономиката, Апелативен</w:t>
      </w:r>
      <w:r w:rsidRPr="005D6747">
        <w:rPr>
          <w:sz w:val="20"/>
          <w:lang w:val="bg-BG"/>
        </w:rPr>
        <w:t xml:space="preserve"> съд</w:t>
      </w:r>
      <w:r>
        <w:rPr>
          <w:sz w:val="20"/>
          <w:lang w:val="bg-BG"/>
        </w:rPr>
        <w:t xml:space="preserve"> – Велико Търново</w:t>
      </w:r>
      <w:r w:rsidRPr="005D6747">
        <w:rPr>
          <w:sz w:val="20"/>
        </w:rPr>
        <w:t>,</w:t>
      </w:r>
      <w:r>
        <w:rPr>
          <w:sz w:val="20"/>
          <w:lang w:val="bg-BG"/>
        </w:rPr>
        <w:t xml:space="preserve"> Върховен</w:t>
      </w:r>
      <w:r w:rsidRPr="005D6747">
        <w:rPr>
          <w:sz w:val="20"/>
        </w:rPr>
        <w:t xml:space="preserve"> </w:t>
      </w:r>
      <w:r w:rsidRPr="005D6747">
        <w:rPr>
          <w:sz w:val="20"/>
          <w:lang w:val="bg-BG"/>
        </w:rPr>
        <w:t>К</w:t>
      </w:r>
      <w:r w:rsidRPr="005D6747">
        <w:rPr>
          <w:sz w:val="20"/>
        </w:rPr>
        <w:t xml:space="preserve">асационен </w:t>
      </w:r>
      <w:r>
        <w:rPr>
          <w:sz w:val="20"/>
          <w:lang w:val="bg-BG"/>
        </w:rPr>
        <w:t>С</w:t>
      </w:r>
      <w:r w:rsidRPr="005D6747">
        <w:rPr>
          <w:sz w:val="20"/>
        </w:rPr>
        <w:t>ъд</w:t>
      </w:r>
      <w:r w:rsidR="00986245">
        <w:rPr>
          <w:sz w:val="20"/>
          <w:lang w:val="bg-BG"/>
        </w:rPr>
        <w:t xml:space="preserve">, </w:t>
      </w:r>
      <w:r w:rsidRPr="005D6747">
        <w:rPr>
          <w:sz w:val="20"/>
        </w:rPr>
        <w:t xml:space="preserve"> </w:t>
      </w:r>
      <w:r>
        <w:rPr>
          <w:sz w:val="20"/>
          <w:lang w:val="bg-BG"/>
        </w:rPr>
        <w:t>о</w:t>
      </w:r>
      <w:r w:rsidRPr="005D6747">
        <w:rPr>
          <w:sz w:val="20"/>
        </w:rPr>
        <w:t>кръжни съдилища</w:t>
      </w:r>
      <w:r w:rsidR="00986245">
        <w:rPr>
          <w:sz w:val="20"/>
          <w:lang w:val="bg-BG"/>
        </w:rPr>
        <w:t xml:space="preserve"> и Дирекция „Финансово разузнаване“ (ДФР_ДАНС)</w:t>
      </w:r>
      <w:r w:rsidRPr="005D6747">
        <w:rPr>
          <w:sz w:val="20"/>
        </w:rPr>
        <w:t xml:space="preserve">. Бяха проведени </w:t>
      </w:r>
      <w:r w:rsidR="004352E8">
        <w:rPr>
          <w:sz w:val="20"/>
          <w:lang w:val="bg-BG"/>
        </w:rPr>
        <w:t>срещи</w:t>
      </w:r>
      <w:r w:rsidRPr="005D6747">
        <w:rPr>
          <w:sz w:val="20"/>
        </w:rPr>
        <w:t xml:space="preserve"> със следните държавни агенции</w:t>
      </w:r>
      <w:r>
        <w:rPr>
          <w:sz w:val="20"/>
          <w:lang w:val="bg-BG"/>
        </w:rPr>
        <w:t>, които поддържат</w:t>
      </w:r>
      <w:r w:rsidRPr="005D6747">
        <w:rPr>
          <w:sz w:val="20"/>
        </w:rPr>
        <w:t xml:space="preserve"> чести контакти с частния сектор: Националната агенция за приходите (НАП), Агенцията за експортн</w:t>
      </w:r>
      <w:r w:rsidRPr="005D6747">
        <w:rPr>
          <w:sz w:val="20"/>
          <w:lang w:val="bg-BG"/>
        </w:rPr>
        <w:t xml:space="preserve">о застраховане </w:t>
      </w:r>
      <w:r w:rsidRPr="005D6747">
        <w:rPr>
          <w:sz w:val="20"/>
        </w:rPr>
        <w:t xml:space="preserve">(БАЕЗ) и Агенцията за обществени поръчки (АОП). Бяха проведени и </w:t>
      </w:r>
      <w:r>
        <w:rPr>
          <w:sz w:val="20"/>
          <w:lang w:val="bg-BG"/>
        </w:rPr>
        <w:t>срещи</w:t>
      </w:r>
      <w:r w:rsidRPr="005D6747">
        <w:rPr>
          <w:sz w:val="20"/>
        </w:rPr>
        <w:t xml:space="preserve"> със следните заинтересовани страни извън българската администрация: гражданско общество, журналисти, академични среди, счетоводна и одиторска професия, </w:t>
      </w:r>
      <w:r>
        <w:rPr>
          <w:sz w:val="20"/>
          <w:lang w:val="bg-BG"/>
        </w:rPr>
        <w:t>юристи и служители, осъществащи контрол за съответствието</w:t>
      </w:r>
      <w:r w:rsidRPr="005D6747">
        <w:rPr>
          <w:sz w:val="20"/>
        </w:rPr>
        <w:t>и редица представители от други области на частния сектор</w:t>
      </w:r>
      <w:r w:rsidRPr="005D6747">
        <w:rPr>
          <w:vertAlign w:val="superscript"/>
        </w:rPr>
        <w:footnoteReference w:id="3"/>
      </w:r>
      <w:r w:rsidRPr="005D6747">
        <w:rPr>
          <w:sz w:val="20"/>
        </w:rPr>
        <w:t xml:space="preserve">. За съжаление, </w:t>
      </w:r>
      <w:r w:rsidR="0021465D" w:rsidRPr="005D6747">
        <w:rPr>
          <w:sz w:val="20"/>
        </w:rPr>
        <w:t>не можа да се проведе</w:t>
      </w:r>
      <w:r w:rsidR="0021465D">
        <w:rPr>
          <w:sz w:val="20"/>
          <w:lang w:val="bg-BG"/>
        </w:rPr>
        <w:t xml:space="preserve"> среща</w:t>
      </w:r>
      <w:r w:rsidRPr="005D6747">
        <w:rPr>
          <w:sz w:val="20"/>
        </w:rPr>
        <w:t xml:space="preserve"> с </w:t>
      </w:r>
      <w:r w:rsidR="0021465D">
        <w:rPr>
          <w:sz w:val="20"/>
          <w:lang w:val="bg-BG"/>
        </w:rPr>
        <w:t>представители на Народното събрание</w:t>
      </w:r>
      <w:r w:rsidRPr="005D6747">
        <w:rPr>
          <w:sz w:val="20"/>
        </w:rPr>
        <w:t xml:space="preserve"> </w:t>
      </w:r>
      <w:r w:rsidR="0021465D">
        <w:rPr>
          <w:sz w:val="20"/>
          <w:lang w:val="bg-BG"/>
        </w:rPr>
        <w:t>и на</w:t>
      </w:r>
      <w:r>
        <w:rPr>
          <w:sz w:val="20"/>
          <w:lang w:val="bg-BG"/>
        </w:rPr>
        <w:t xml:space="preserve"> Националния съвет за антикорупционни политики,</w:t>
      </w:r>
      <w:r w:rsidR="0021465D">
        <w:rPr>
          <w:sz w:val="20"/>
          <w:lang w:val="bg-BG"/>
        </w:rPr>
        <w:t xml:space="preserve"> тъй като </w:t>
      </w:r>
      <w:r>
        <w:rPr>
          <w:sz w:val="20"/>
          <w:lang w:val="bg-BG"/>
        </w:rPr>
        <w:t>по време на виртуалното посещение българският парламент беше разпуснат, с оглед на пред</w:t>
      </w:r>
      <w:r w:rsidR="0021465D">
        <w:rPr>
          <w:sz w:val="20"/>
          <w:lang w:val="bg-BG"/>
        </w:rPr>
        <w:t>стоящите парламентарни избори</w:t>
      </w:r>
      <w:r w:rsidRPr="005D6747">
        <w:rPr>
          <w:sz w:val="20"/>
        </w:rPr>
        <w:t xml:space="preserve">. </w:t>
      </w:r>
    </w:p>
    <w:p w14:paraId="08B47650" w14:textId="77777777" w:rsidR="0084086D" w:rsidRPr="005D6747" w:rsidRDefault="0084086D" w:rsidP="00EC6B54">
      <w:pPr>
        <w:pStyle w:val="Para"/>
      </w:pPr>
      <w:r w:rsidRPr="005D6747">
        <w:t xml:space="preserve">Всички </w:t>
      </w:r>
      <w:r>
        <w:rPr>
          <w:lang w:val="bg-BG"/>
        </w:rPr>
        <w:t>срещи</w:t>
      </w:r>
      <w:r w:rsidRPr="005D6747">
        <w:t xml:space="preserve"> бяха координирани от МП. Правителствените представители като цяло бяха отворени и </w:t>
      </w:r>
      <w:r>
        <w:rPr>
          <w:lang w:val="bg-BG"/>
        </w:rPr>
        <w:t>открити</w:t>
      </w:r>
      <w:r w:rsidRPr="005D6747">
        <w:rPr>
          <w:lang w:val="bg-BG"/>
        </w:rPr>
        <w:t xml:space="preserve"> относно</w:t>
      </w:r>
      <w:r w:rsidRPr="005D6747">
        <w:t xml:space="preserve"> предизвикателствата, пред които са изправени при прилагането на Конвенцията. </w:t>
      </w:r>
      <w:r w:rsidR="00EC6B54" w:rsidRPr="00EC6B54">
        <w:t>Водещите проверители изразяват задоволство от България за добре организираното виртуално посещение, но бяха разочаровани от относително ниското ниво на участие на представители на гражданското общество, медиите и малките и средни предприятия (МСП). Въпреки това екипът за оценка би искал да изрази своята благодарност към всички участници за техния принос към откритите и конструктивни дискусии. Екипът за оценка е благодарен на българските власти за сътрудничеството им по време на оценката, включително чрез своеврменно спазване на графика и предоставянето на допълнителна информация след виртуалното посещение.</w:t>
      </w:r>
    </w:p>
    <w:p w14:paraId="0E2B8819" w14:textId="77777777" w:rsidR="0084086D" w:rsidRPr="005D6747" w:rsidRDefault="0084086D" w:rsidP="0084086D">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rPr>
        <w:t>Рискът от подкуп</w:t>
      </w:r>
      <w:r w:rsidRPr="005D6747">
        <w:rPr>
          <w:rFonts w:eastAsiaTheme="majorEastAsia" w:cstheme="majorBidi"/>
          <w:b/>
          <w:color w:val="4E81BD" w:themeColor="accent1"/>
          <w:sz w:val="24"/>
          <w:szCs w:val="26"/>
          <w:lang w:val="bg-BG"/>
        </w:rPr>
        <w:t>вне на чуждо длъжностно лице</w:t>
      </w:r>
      <w:r w:rsidRPr="005D6747">
        <w:rPr>
          <w:rFonts w:eastAsiaTheme="majorEastAsia" w:cstheme="majorBidi"/>
          <w:b/>
          <w:color w:val="4E81BD" w:themeColor="accent1"/>
          <w:sz w:val="24"/>
          <w:szCs w:val="26"/>
        </w:rPr>
        <w:t xml:space="preserve"> за България в светлината на нейното икономическо положение и търговски профил</w:t>
      </w:r>
    </w:p>
    <w:p w14:paraId="3710E0ED" w14:textId="77777777" w:rsidR="0084086D" w:rsidRPr="00415538" w:rsidRDefault="0084086D" w:rsidP="0084086D">
      <w:pPr>
        <w:pStyle w:val="ListParagraph"/>
        <w:keepNext/>
        <w:keepLines/>
        <w:widowControl/>
        <w:numPr>
          <w:ilvl w:val="0"/>
          <w:numId w:val="31"/>
        </w:numPr>
        <w:spacing w:before="280" w:after="180" w:line="280" w:lineRule="exact"/>
        <w:jc w:val="left"/>
        <w:outlineLvl w:val="2"/>
        <w:rPr>
          <w:rFonts w:eastAsiaTheme="majorEastAsia" w:cstheme="majorBidi"/>
          <w:b/>
          <w:i/>
          <w:color w:val="000000" w:themeColor="text1"/>
          <w:szCs w:val="24"/>
        </w:rPr>
      </w:pPr>
      <w:r w:rsidRPr="00415538">
        <w:rPr>
          <w:rFonts w:eastAsiaTheme="majorEastAsia" w:cstheme="majorBidi"/>
          <w:b/>
          <w:i/>
          <w:color w:val="000000" w:themeColor="text1"/>
          <w:szCs w:val="24"/>
        </w:rPr>
        <w:t>Икономическа среда</w:t>
      </w:r>
    </w:p>
    <w:p w14:paraId="1D91C6A1" w14:textId="77777777" w:rsidR="0084086D" w:rsidRPr="005D6747" w:rsidRDefault="0084086D" w:rsidP="0084086D">
      <w:pPr>
        <w:widowControl/>
        <w:numPr>
          <w:ilvl w:val="0"/>
          <w:numId w:val="1"/>
        </w:numPr>
        <w:spacing w:before="120" w:after="120" w:line="260" w:lineRule="atLeast"/>
        <w:rPr>
          <w:sz w:val="20"/>
        </w:rPr>
      </w:pPr>
      <w:r w:rsidRPr="005D6747">
        <w:rPr>
          <w:sz w:val="20"/>
        </w:rPr>
        <w:t>България е сравнително малка икономика в контекста на Работната група, като я поставя като 38 -та по големина икономика по отношение на брутния вътрешен продукт (БВП) сред своите 44 членове</w:t>
      </w:r>
      <w:r w:rsidRPr="005D6747">
        <w:rPr>
          <w:vertAlign w:val="superscript"/>
        </w:rPr>
        <w:footnoteReference w:id="4"/>
      </w:r>
      <w:r w:rsidRPr="005D6747">
        <w:rPr>
          <w:sz w:val="20"/>
        </w:rPr>
        <w:t>. България е 74 -ата по големина икономика в света и 20 -та по големина икономика в Европейския съюз</w:t>
      </w:r>
      <w:r w:rsidRPr="005D6747">
        <w:rPr>
          <w:vertAlign w:val="superscript"/>
        </w:rPr>
        <w:footnoteReference w:id="5"/>
      </w:r>
      <w:r w:rsidRPr="005D6747">
        <w:rPr>
          <w:sz w:val="20"/>
        </w:rPr>
        <w:t xml:space="preserve">. През последните две десетилетия България постигна сериозни печалби чрез поредица от реформи, изключително успешната интеграция на българските производствени фирми в световните производствени вериги и доброто макроикономическо управление доведе до темпове на растеж над 3% от 2015 г. насам, бързо повишаване на реалните заплати и исторически ниска безработица. </w:t>
      </w:r>
    </w:p>
    <w:p w14:paraId="7C7DE2DB" w14:textId="77777777" w:rsidR="0084086D" w:rsidRPr="005D6747" w:rsidRDefault="0084086D" w:rsidP="0084086D">
      <w:pPr>
        <w:widowControl/>
        <w:numPr>
          <w:ilvl w:val="0"/>
          <w:numId w:val="1"/>
        </w:numPr>
        <w:spacing w:before="120" w:after="120" w:line="260" w:lineRule="atLeast"/>
        <w:rPr>
          <w:sz w:val="20"/>
        </w:rPr>
      </w:pPr>
      <w:r w:rsidRPr="005D6747">
        <w:rPr>
          <w:sz w:val="20"/>
        </w:rPr>
        <w:t>През периода 2000-2019 г. износът и вносът на България на стоки и услуги се увеличи от 78% на 124% от БВП</w:t>
      </w:r>
      <w:r w:rsidRPr="005D6747">
        <w:rPr>
          <w:vertAlign w:val="superscript"/>
        </w:rPr>
        <w:footnoteReference w:id="6"/>
      </w:r>
      <w:r w:rsidRPr="005D6747">
        <w:rPr>
          <w:sz w:val="20"/>
        </w:rPr>
        <w:t>. Това е силно отворена икономика, която зависи от износа</w:t>
      </w:r>
      <w:r w:rsidRPr="005D6747">
        <w:rPr>
          <w:vertAlign w:val="superscript"/>
        </w:rPr>
        <w:footnoteReference w:id="7"/>
      </w:r>
      <w:r w:rsidRPr="005D6747">
        <w:rPr>
          <w:sz w:val="20"/>
        </w:rPr>
        <w:t xml:space="preserve">. Голям дял от </w:t>
      </w:r>
      <w:r w:rsidRPr="005D6747">
        <w:rPr>
          <w:sz w:val="20"/>
        </w:rPr>
        <w:lastRenderedPageBreak/>
        <w:t>българския износ се отнася до хранителни продукти, селско стопанство, машини и транспортно оборудване, промишлени стоки и химически и сродни продукти</w:t>
      </w:r>
      <w:r w:rsidRPr="005D6747">
        <w:rPr>
          <w:vertAlign w:val="superscript"/>
        </w:rPr>
        <w:footnoteReference w:id="8"/>
      </w:r>
      <w:r w:rsidRPr="005D6747">
        <w:rPr>
          <w:sz w:val="20"/>
        </w:rPr>
        <w:t>. Що се отнася до износа на стоки, основните търговски партньори на България са държавите -членки на Европейския съюз (ЕС) (по -специално Германия, Италия и Румъния), и извън ЕС, Турция и Китай</w:t>
      </w:r>
      <w:r w:rsidRPr="005D6747">
        <w:rPr>
          <w:vertAlign w:val="superscript"/>
        </w:rPr>
        <w:footnoteReference w:id="9"/>
      </w:r>
      <w:r w:rsidRPr="005D6747">
        <w:rPr>
          <w:sz w:val="20"/>
        </w:rPr>
        <w:t>.</w:t>
      </w:r>
    </w:p>
    <w:p w14:paraId="0474D9A2" w14:textId="055759AF" w:rsidR="00EC6B54" w:rsidRPr="00572912" w:rsidRDefault="00EC6B54" w:rsidP="00A73122">
      <w:pPr>
        <w:pStyle w:val="Para"/>
        <w:rPr>
          <w:lang w:val="bg-BG"/>
        </w:rPr>
      </w:pPr>
      <w:r w:rsidRPr="00572912">
        <w:rPr>
          <w:lang w:val="bg-BG"/>
        </w:rPr>
        <w:t>Външните преки чуждестранни инвестиции на България (ПЧИ) са значително по -малки от входящите им потоци. През 2019 г. външните ПЧИ възлизат на 332 милиона щатски долара в сравнение с вътрешните чуждестранни инвестиции, възлизащи на 1,2 милиарда щатски</w:t>
      </w:r>
      <w:r>
        <w:rPr>
          <w:lang w:val="bg-BG"/>
        </w:rPr>
        <w:t xml:space="preserve"> </w:t>
      </w:r>
      <w:r w:rsidRPr="00572912">
        <w:rPr>
          <w:lang w:val="bg-BG"/>
        </w:rPr>
        <w:t>долара. Общият обем на преките чуждестранни инвестиции възлиза на 52 милиарда щатски долара в края на 2019 г.</w:t>
      </w:r>
      <w:r>
        <w:rPr>
          <w:rStyle w:val="FootnoteReference"/>
        </w:rPr>
        <w:footnoteReference w:id="10"/>
      </w:r>
      <w:r w:rsidRPr="00572912">
        <w:rPr>
          <w:lang w:val="bg-BG"/>
        </w:rPr>
        <w:t xml:space="preserve">  Основните инвеститори са държави-членки на ЕС (особено Холандия, Австрия, Германия) и Швейцария. Най-големите инвестиции са направени в недвижими имоти, производство и финансови и застрахователни дейности</w:t>
      </w:r>
      <w:r>
        <w:rPr>
          <w:rStyle w:val="FootnoteReference"/>
        </w:rPr>
        <w:footnoteReference w:id="11"/>
      </w:r>
      <w:r w:rsidRPr="00572912">
        <w:rPr>
          <w:lang w:val="bg-BG"/>
        </w:rPr>
        <w:t>. Голяма част от външните преки чуждестранни инвестиции идват от български компании, работещи в производството, следвани от компании от професионалния, научен и строителен сектор</w:t>
      </w:r>
      <w:r>
        <w:rPr>
          <w:rStyle w:val="FootnoteReference"/>
        </w:rPr>
        <w:footnoteReference w:id="12"/>
      </w:r>
      <w:r w:rsidRPr="00572912">
        <w:rPr>
          <w:lang w:val="bg-BG"/>
        </w:rPr>
        <w:t xml:space="preserve">. </w:t>
      </w:r>
      <w:r w:rsidR="00A73122">
        <w:rPr>
          <w:lang w:val="bg-BG"/>
        </w:rPr>
        <w:t>Според България, шестте държави,</w:t>
      </w:r>
      <w:r w:rsidR="00EE083A">
        <w:rPr>
          <w:lang w:val="bg-BG"/>
        </w:rPr>
        <w:t xml:space="preserve"> в</w:t>
      </w:r>
      <w:r w:rsidR="00A73122">
        <w:rPr>
          <w:lang w:val="bg-BG"/>
        </w:rPr>
        <w:t xml:space="preserve"> които България </w:t>
      </w:r>
      <w:r w:rsidR="00EE083A">
        <w:rPr>
          <w:lang w:val="bg-BG"/>
        </w:rPr>
        <w:t>е имала</w:t>
      </w:r>
      <w:r w:rsidR="00A73122">
        <w:rPr>
          <w:lang w:val="bg-BG"/>
        </w:rPr>
        <w:t xml:space="preserve"> най-много външни преки </w:t>
      </w:r>
      <w:r w:rsidR="00EE083A">
        <w:rPr>
          <w:lang w:val="bg-BG"/>
        </w:rPr>
        <w:t>чуждестранни инвестиции за 2020</w:t>
      </w:r>
      <w:r w:rsidR="001A0673">
        <w:rPr>
          <w:lang w:val="bg-BG"/>
        </w:rPr>
        <w:t xml:space="preserve"> г.</w:t>
      </w:r>
      <w:r w:rsidR="00A73122" w:rsidRPr="00572912">
        <w:rPr>
          <w:lang w:val="bg-BG"/>
        </w:rPr>
        <w:t xml:space="preserve">, </w:t>
      </w:r>
      <w:r w:rsidR="00EE083A">
        <w:rPr>
          <w:lang w:val="bg-BG"/>
        </w:rPr>
        <w:t>са били Люксембург, Обединените Арабски Емирства, Чешката република</w:t>
      </w:r>
      <w:r w:rsidR="00A73122" w:rsidRPr="00572912">
        <w:rPr>
          <w:lang w:val="bg-BG"/>
        </w:rPr>
        <w:t>,</w:t>
      </w:r>
      <w:r w:rsidR="00EE083A">
        <w:rPr>
          <w:lang w:val="bg-BG"/>
        </w:rPr>
        <w:t xml:space="preserve"> Република Молдова, Република Северна Македония и Лихтенщайн.</w:t>
      </w:r>
      <w:r w:rsidR="00A73122">
        <w:rPr>
          <w:vertAlign w:val="superscript"/>
        </w:rPr>
        <w:footnoteReference w:id="13"/>
      </w:r>
    </w:p>
    <w:p w14:paraId="11CDC8E3" w14:textId="77777777" w:rsidR="00EC6B54" w:rsidRPr="00572912" w:rsidRDefault="00EC6B54" w:rsidP="00EC6B54">
      <w:pPr>
        <w:widowControl/>
        <w:numPr>
          <w:ilvl w:val="0"/>
          <w:numId w:val="1"/>
        </w:numPr>
        <w:spacing w:before="120" w:after="120" w:line="260" w:lineRule="atLeast"/>
        <w:rPr>
          <w:sz w:val="20"/>
          <w:lang w:val="bg-BG"/>
        </w:rPr>
      </w:pPr>
      <w:r w:rsidRPr="00572912">
        <w:rPr>
          <w:sz w:val="20"/>
          <w:lang w:val="bg-BG"/>
        </w:rPr>
        <w:t xml:space="preserve">Микро, малките и средните предприятия </w:t>
      </w:r>
      <w:r>
        <w:rPr>
          <w:sz w:val="20"/>
          <w:lang w:val="bg-BG"/>
        </w:rPr>
        <w:t xml:space="preserve">извън финансовия сектор </w:t>
      </w:r>
      <w:r w:rsidRPr="00572912">
        <w:rPr>
          <w:sz w:val="20"/>
          <w:lang w:val="bg-BG"/>
        </w:rPr>
        <w:t>представляват 99,8% от всички компании, което се изразява в 343 129 от общо 343 752 компании, регистрирани в България</w:t>
      </w:r>
      <w:r w:rsidRPr="005D6747">
        <w:rPr>
          <w:vertAlign w:val="superscript"/>
        </w:rPr>
        <w:footnoteReference w:id="14"/>
      </w:r>
      <w:r w:rsidRPr="00572912">
        <w:rPr>
          <w:sz w:val="20"/>
          <w:lang w:val="bg-BG"/>
        </w:rPr>
        <w:t>. По -голямата част от МСП са активни в търговията на едро и дребно и производството</w:t>
      </w:r>
      <w:r w:rsidRPr="005D6747">
        <w:rPr>
          <w:vertAlign w:val="superscript"/>
        </w:rPr>
        <w:footnoteReference w:id="15"/>
      </w:r>
      <w:r w:rsidRPr="00572912">
        <w:rPr>
          <w:sz w:val="20"/>
          <w:lang w:val="bg-BG"/>
        </w:rPr>
        <w:t>.</w:t>
      </w:r>
    </w:p>
    <w:p w14:paraId="1EA06650" w14:textId="77777777" w:rsidR="0084086D" w:rsidRPr="00415538" w:rsidRDefault="0084086D" w:rsidP="0084086D">
      <w:pPr>
        <w:pStyle w:val="ListParagraph"/>
        <w:keepNext/>
        <w:keepLines/>
        <w:widowControl/>
        <w:numPr>
          <w:ilvl w:val="0"/>
          <w:numId w:val="31"/>
        </w:numPr>
        <w:spacing w:before="280" w:after="180" w:line="280" w:lineRule="exact"/>
        <w:jc w:val="left"/>
        <w:outlineLvl w:val="2"/>
        <w:rPr>
          <w:rFonts w:eastAsiaTheme="majorEastAsia" w:cstheme="majorBidi"/>
          <w:b/>
          <w:i/>
          <w:color w:val="000000" w:themeColor="text1"/>
          <w:szCs w:val="24"/>
        </w:rPr>
      </w:pPr>
      <w:r w:rsidRPr="00415538">
        <w:rPr>
          <w:rFonts w:eastAsiaTheme="majorEastAsia" w:cstheme="majorBidi"/>
          <w:b/>
          <w:i/>
          <w:color w:val="000000" w:themeColor="text1"/>
          <w:szCs w:val="24"/>
          <w:lang w:val="bg-BG"/>
        </w:rPr>
        <w:t>Държавни предприятия</w:t>
      </w:r>
    </w:p>
    <w:p w14:paraId="0A81C73C" w14:textId="77777777" w:rsidR="0084086D" w:rsidRPr="005D6747" w:rsidRDefault="0084086D" w:rsidP="0084086D">
      <w:pPr>
        <w:widowControl/>
        <w:numPr>
          <w:ilvl w:val="0"/>
          <w:numId w:val="1"/>
        </w:numPr>
        <w:spacing w:before="120" w:after="120" w:line="260" w:lineRule="atLeast"/>
        <w:rPr>
          <w:sz w:val="20"/>
        </w:rPr>
      </w:pPr>
      <w:r w:rsidRPr="005D6747">
        <w:rPr>
          <w:sz w:val="20"/>
        </w:rPr>
        <w:t>Въпреки мащабните приватизации през 90-те години, държавните предприятия (ДП) все още заемат централно място в българската икономика както по техния размер, така и по отношение на доминирането им в стратегически сектори като енергетиката и транспорта</w:t>
      </w:r>
      <w:r w:rsidRPr="005D6747">
        <w:rPr>
          <w:vertAlign w:val="superscript"/>
        </w:rPr>
        <w:footnoteReference w:id="16"/>
      </w:r>
      <w:r w:rsidRPr="005D6747">
        <w:rPr>
          <w:sz w:val="20"/>
        </w:rPr>
        <w:t>. Общият сектор на държавните предприятия (включително поднационалното ниво) се оценява на приблизително 12 милиарда щатски долара и в него работят над 186 000 души (което представлява 6</w:t>
      </w:r>
      <w:proofErr w:type="gramStart"/>
      <w:r w:rsidRPr="005D6747">
        <w:rPr>
          <w:sz w:val="20"/>
        </w:rPr>
        <w:t>,6</w:t>
      </w:r>
      <w:proofErr w:type="gramEnd"/>
      <w:r w:rsidRPr="005D6747">
        <w:rPr>
          <w:sz w:val="20"/>
        </w:rPr>
        <w:t xml:space="preserve">% от общата заетост). Приходите на държавните предприятия се равняват на 13% от БВП, но дори и този брой подценява тяхното икономическо въздействие, тъй като ключови сектори като енергетика, железопътен транспорт и водоснабдяване са доминирани именно от такива предприятия. Въпреки че на хартия държавните предприятия не са част от държавния бюджет, тяхното финансово състояние оказва сериозно влияние върху публичните финанси. Общият размер на субсидиите и капиталовите трансфери от държавния бюджет към публичните </w:t>
      </w:r>
      <w:r w:rsidRPr="005D6747">
        <w:rPr>
          <w:sz w:val="20"/>
        </w:rPr>
        <w:lastRenderedPageBreak/>
        <w:t>предприятия е 3</w:t>
      </w:r>
      <w:proofErr w:type="gramStart"/>
      <w:r w:rsidRPr="005D6747">
        <w:rPr>
          <w:sz w:val="20"/>
        </w:rPr>
        <w:t>,1</w:t>
      </w:r>
      <w:proofErr w:type="gramEnd"/>
      <w:r w:rsidRPr="005D6747">
        <w:rPr>
          <w:sz w:val="20"/>
        </w:rPr>
        <w:t>% от БВП и те остават относително стабилни около 3% от БВП през последните години</w:t>
      </w:r>
      <w:r w:rsidRPr="005D6747">
        <w:rPr>
          <w:vertAlign w:val="superscript"/>
        </w:rPr>
        <w:footnoteReference w:id="17"/>
      </w:r>
      <w:r w:rsidRPr="005D6747">
        <w:rPr>
          <w:sz w:val="20"/>
        </w:rPr>
        <w:t>.</w:t>
      </w:r>
    </w:p>
    <w:p w14:paraId="2FC4F6CE" w14:textId="77777777" w:rsidR="0084086D" w:rsidRPr="005D6747" w:rsidRDefault="0084086D" w:rsidP="0084086D">
      <w:pPr>
        <w:widowControl/>
        <w:numPr>
          <w:ilvl w:val="0"/>
          <w:numId w:val="1"/>
        </w:numPr>
        <w:spacing w:before="120" w:after="120" w:line="260" w:lineRule="atLeast"/>
        <w:rPr>
          <w:sz w:val="20"/>
        </w:rPr>
      </w:pPr>
      <w:r w:rsidRPr="005D6747">
        <w:rPr>
          <w:sz w:val="20"/>
        </w:rPr>
        <w:t>Последното икономическо проучване на ОИСР за България изрази опасения, че големият брой ДП в тези конкурентни сектори може да възпрепятства конкуренцията и да забави икономическото възстановяване, като препоръча България да разшири обхвата за приватизация</w:t>
      </w:r>
      <w:r w:rsidRPr="005D6747">
        <w:rPr>
          <w:vertAlign w:val="superscript"/>
        </w:rPr>
        <w:footnoteReference w:id="18"/>
      </w:r>
      <w:r w:rsidRPr="005D6747">
        <w:rPr>
          <w:sz w:val="20"/>
        </w:rPr>
        <w:t xml:space="preserve">. </w:t>
      </w:r>
    </w:p>
    <w:p w14:paraId="323D048B" w14:textId="77777777" w:rsidR="0084086D" w:rsidRPr="00415538" w:rsidRDefault="0084086D" w:rsidP="0084086D">
      <w:pPr>
        <w:pStyle w:val="ListParagraph"/>
        <w:keepNext/>
        <w:keepLines/>
        <w:widowControl/>
        <w:numPr>
          <w:ilvl w:val="0"/>
          <w:numId w:val="31"/>
        </w:numPr>
        <w:spacing w:before="280" w:after="180" w:line="280" w:lineRule="exact"/>
        <w:jc w:val="left"/>
        <w:outlineLvl w:val="2"/>
        <w:rPr>
          <w:rFonts w:eastAsiaTheme="majorEastAsia" w:cstheme="majorBidi"/>
          <w:b/>
          <w:i/>
          <w:color w:val="000000" w:themeColor="text1"/>
          <w:szCs w:val="24"/>
        </w:rPr>
      </w:pPr>
      <w:r w:rsidRPr="00415538">
        <w:rPr>
          <w:rFonts w:eastAsiaTheme="majorEastAsia" w:cstheme="majorBidi"/>
          <w:b/>
          <w:i/>
          <w:color w:val="000000" w:themeColor="text1"/>
          <w:szCs w:val="24"/>
        </w:rPr>
        <w:t>Икономическото въздействие на здравната криза</w:t>
      </w:r>
      <w:r w:rsidRPr="00415538">
        <w:rPr>
          <w:rFonts w:eastAsiaTheme="majorEastAsia" w:cstheme="majorBidi"/>
          <w:b/>
          <w:i/>
          <w:color w:val="000000" w:themeColor="text1"/>
          <w:szCs w:val="24"/>
          <w:lang w:val="bg-BG"/>
        </w:rPr>
        <w:t xml:space="preserve">, предизвикана от </w:t>
      </w:r>
      <w:r w:rsidRPr="00415538">
        <w:rPr>
          <w:rFonts w:eastAsiaTheme="majorEastAsia" w:cstheme="majorBidi"/>
          <w:b/>
          <w:i/>
          <w:color w:val="000000" w:themeColor="text1"/>
          <w:szCs w:val="24"/>
        </w:rPr>
        <w:t>COVID-19</w:t>
      </w:r>
    </w:p>
    <w:p w14:paraId="69E41BD0" w14:textId="77777777" w:rsidR="0084086D" w:rsidRPr="005D6747" w:rsidRDefault="0084086D" w:rsidP="0084086D">
      <w:pPr>
        <w:widowControl/>
        <w:numPr>
          <w:ilvl w:val="0"/>
          <w:numId w:val="1"/>
        </w:numPr>
        <w:spacing w:before="120" w:after="120" w:line="260" w:lineRule="atLeast"/>
        <w:rPr>
          <w:b/>
          <w:i/>
          <w:sz w:val="20"/>
        </w:rPr>
      </w:pPr>
      <w:r w:rsidRPr="005D6747">
        <w:rPr>
          <w:sz w:val="20"/>
        </w:rPr>
        <w:t>Предварителните данни предполагат значително икономическо въздействие от пандемията. Българската икономика се сви с 4,2%през 2020 г. Износът се сви с 11,3%, докато инвестициите спаднаха с 5,1%. Потреблението се е увеличило с 1</w:t>
      </w:r>
      <w:proofErr w:type="gramStart"/>
      <w:r w:rsidRPr="005D6747">
        <w:rPr>
          <w:sz w:val="20"/>
        </w:rPr>
        <w:t>,8</w:t>
      </w:r>
      <w:proofErr w:type="gramEnd"/>
      <w:r w:rsidRPr="005D6747">
        <w:rPr>
          <w:sz w:val="20"/>
        </w:rPr>
        <w:t xml:space="preserve">% на фона на увеличените държавни разходи и относително устойчивото потребление на домакинствата (+0,2%). </w:t>
      </w:r>
      <w:r w:rsidRPr="005D6747">
        <w:rPr>
          <w:sz w:val="20"/>
          <w:lang w:val="bg-BG"/>
        </w:rPr>
        <w:t xml:space="preserve">Слабото </w:t>
      </w:r>
      <w:r w:rsidRPr="005D6747">
        <w:rPr>
          <w:sz w:val="20"/>
        </w:rPr>
        <w:t>вътрешно и външно търсене се отразява в по-ниския внос (с 6,6%)</w:t>
      </w:r>
      <w:r w:rsidRPr="005D6747">
        <w:rPr>
          <w:vertAlign w:val="superscript"/>
        </w:rPr>
        <w:footnoteReference w:id="19"/>
      </w:r>
      <w:r w:rsidRPr="005D6747">
        <w:rPr>
          <w:sz w:val="20"/>
        </w:rPr>
        <w:t>.</w:t>
      </w:r>
    </w:p>
    <w:p w14:paraId="6F0BFA2A" w14:textId="77777777" w:rsidR="0084086D" w:rsidRPr="005D6747" w:rsidRDefault="0084086D" w:rsidP="001444C9">
      <w:pPr>
        <w:pStyle w:val="Para"/>
        <w:rPr>
          <w:b/>
          <w:i/>
        </w:rPr>
      </w:pPr>
      <w:r w:rsidRPr="005D6747">
        <w:t xml:space="preserve">Пътуванията, настаняването и хранителните услуги претърпяха голямо свиване. Производствената промишленост е до голяма степен експортно ориентирана и страда от първоначално високи обеми и по-ниски цени. Българските власти приеха няколко пакета стимули за подпомагане на икономическото възстановяване, като мерките варират </w:t>
      </w:r>
      <w:r w:rsidR="001444C9" w:rsidRPr="001444C9">
        <w:t xml:space="preserve">от отлагане и освобождаване от данъци до субсидии за заплати и до отлагане на плащания по банкови </w:t>
      </w:r>
      <w:proofErr w:type="gramStart"/>
      <w:r w:rsidR="001444C9" w:rsidRPr="001444C9">
        <w:t xml:space="preserve">заеми </w:t>
      </w:r>
      <w:proofErr w:type="gramEnd"/>
      <w:r w:rsidRPr="005D6747">
        <w:rPr>
          <w:vertAlign w:val="superscript"/>
        </w:rPr>
        <w:footnoteReference w:id="20"/>
      </w:r>
      <w:r w:rsidRPr="005D6747">
        <w:t>.</w:t>
      </w:r>
    </w:p>
    <w:p w14:paraId="398903E9" w14:textId="77777777" w:rsidR="0084086D" w:rsidRPr="00415538" w:rsidRDefault="0084086D" w:rsidP="0084086D">
      <w:pPr>
        <w:pStyle w:val="ListParagraph"/>
        <w:keepNext/>
        <w:keepLines/>
        <w:widowControl/>
        <w:numPr>
          <w:ilvl w:val="0"/>
          <w:numId w:val="31"/>
        </w:numPr>
        <w:spacing w:before="280" w:after="180" w:line="280" w:lineRule="exact"/>
        <w:jc w:val="left"/>
        <w:outlineLvl w:val="2"/>
        <w:rPr>
          <w:rFonts w:eastAsiaTheme="majorEastAsia" w:cstheme="majorBidi"/>
          <w:b/>
          <w:i/>
          <w:color w:val="000000" w:themeColor="text1"/>
          <w:szCs w:val="24"/>
        </w:rPr>
      </w:pPr>
      <w:r w:rsidRPr="00415538">
        <w:rPr>
          <w:rFonts w:eastAsiaTheme="majorEastAsia" w:cstheme="majorBidi"/>
          <w:b/>
          <w:i/>
          <w:color w:val="000000" w:themeColor="text1"/>
          <w:szCs w:val="24"/>
        </w:rPr>
        <w:t>И</w:t>
      </w:r>
      <w:r w:rsidR="001444C9">
        <w:rPr>
          <w:rFonts w:eastAsiaTheme="majorEastAsia" w:cstheme="majorBidi"/>
          <w:b/>
          <w:i/>
          <w:color w:val="000000" w:themeColor="text1"/>
          <w:szCs w:val="24"/>
        </w:rPr>
        <w:t>злагане</w:t>
      </w:r>
      <w:r w:rsidRPr="00415538">
        <w:rPr>
          <w:rFonts w:eastAsiaTheme="majorEastAsia" w:cstheme="majorBidi"/>
          <w:b/>
          <w:i/>
          <w:color w:val="000000" w:themeColor="text1"/>
          <w:szCs w:val="24"/>
        </w:rPr>
        <w:t xml:space="preserve"> на България на рискове от подкуп</w:t>
      </w:r>
      <w:r w:rsidR="001444C9">
        <w:rPr>
          <w:rFonts w:eastAsiaTheme="majorEastAsia" w:cstheme="majorBidi"/>
          <w:b/>
          <w:i/>
          <w:color w:val="000000" w:themeColor="text1"/>
          <w:szCs w:val="24"/>
          <w:lang w:val="bg-BG"/>
        </w:rPr>
        <w:t xml:space="preserve"> </w:t>
      </w:r>
      <w:r w:rsidRPr="00415538">
        <w:rPr>
          <w:rFonts w:eastAsiaTheme="majorEastAsia" w:cstheme="majorBidi"/>
          <w:b/>
          <w:i/>
          <w:color w:val="000000" w:themeColor="text1"/>
          <w:szCs w:val="24"/>
        </w:rPr>
        <w:t>на чужди длъжностни лица</w:t>
      </w:r>
    </w:p>
    <w:p w14:paraId="5867D5CA" w14:textId="39FDC876" w:rsidR="0084086D" w:rsidRPr="005D6747" w:rsidRDefault="0084086D" w:rsidP="0084086D">
      <w:pPr>
        <w:widowControl/>
        <w:numPr>
          <w:ilvl w:val="0"/>
          <w:numId w:val="1"/>
        </w:numPr>
        <w:spacing w:before="120" w:after="120" w:line="260" w:lineRule="atLeast"/>
        <w:rPr>
          <w:sz w:val="20"/>
        </w:rPr>
      </w:pPr>
      <w:r w:rsidRPr="005D6747">
        <w:rPr>
          <w:sz w:val="20"/>
        </w:rPr>
        <w:t xml:space="preserve">За </w:t>
      </w:r>
      <w:r>
        <w:rPr>
          <w:sz w:val="20"/>
          <w:lang w:val="bg-BG"/>
        </w:rPr>
        <w:t xml:space="preserve">2020 </w:t>
      </w:r>
      <w:r w:rsidRPr="005D6747">
        <w:rPr>
          <w:sz w:val="20"/>
        </w:rPr>
        <w:t xml:space="preserve">година, според </w:t>
      </w:r>
      <w:r>
        <w:rPr>
          <w:sz w:val="20"/>
          <w:lang w:val="bg-BG"/>
        </w:rPr>
        <w:t xml:space="preserve"> </w:t>
      </w:r>
      <w:r w:rsidR="001444C9" w:rsidRPr="005D6747">
        <w:rPr>
          <w:sz w:val="20"/>
        </w:rPr>
        <w:t>Индекса за възприятие на корупцията</w:t>
      </w:r>
      <w:r w:rsidR="001444C9">
        <w:rPr>
          <w:sz w:val="20"/>
          <w:lang w:val="bg-BG"/>
        </w:rPr>
        <w:t xml:space="preserve"> на </w:t>
      </w:r>
      <w:r>
        <w:rPr>
          <w:sz w:val="20"/>
          <w:lang w:val="bg-BG"/>
        </w:rPr>
        <w:t>„Прозрачност без граници“</w:t>
      </w:r>
      <w:r w:rsidRPr="005D6747">
        <w:rPr>
          <w:sz w:val="20"/>
        </w:rPr>
        <w:t xml:space="preserve">, България </w:t>
      </w:r>
      <w:r>
        <w:rPr>
          <w:sz w:val="20"/>
          <w:lang w:val="bg-BG"/>
        </w:rPr>
        <w:t>с</w:t>
      </w:r>
      <w:r w:rsidRPr="005D6747">
        <w:rPr>
          <w:sz w:val="20"/>
        </w:rPr>
        <w:t>е класира</w:t>
      </w:r>
      <w:r>
        <w:rPr>
          <w:sz w:val="20"/>
          <w:lang w:val="bg-BG"/>
        </w:rPr>
        <w:t xml:space="preserve"> на 69</w:t>
      </w:r>
      <w:r w:rsidR="001444C9">
        <w:rPr>
          <w:sz w:val="20"/>
          <w:lang w:val="bg-BG"/>
        </w:rPr>
        <w:t xml:space="preserve">-то място в света и </w:t>
      </w:r>
      <w:r w:rsidR="006E6B43">
        <w:rPr>
          <w:sz w:val="20"/>
          <w:lang w:val="bg-BG"/>
        </w:rPr>
        <w:t xml:space="preserve">на </w:t>
      </w:r>
      <w:r w:rsidR="001444C9">
        <w:rPr>
          <w:sz w:val="20"/>
          <w:lang w:val="bg-BG"/>
        </w:rPr>
        <w:t>28-мо в ЕС</w:t>
      </w:r>
      <w:r w:rsidR="00294852">
        <w:rPr>
          <w:sz w:val="20"/>
          <w:lang w:val="bg-BG"/>
        </w:rPr>
        <w:t>, заедно с две други държави</w:t>
      </w:r>
      <w:r w:rsidR="001444C9">
        <w:rPr>
          <w:sz w:val="20"/>
          <w:lang w:val="bg-BG"/>
        </w:rPr>
        <w:t>.</w:t>
      </w:r>
      <w:r w:rsidRPr="005D6747">
        <w:rPr>
          <w:sz w:val="20"/>
        </w:rPr>
        <w:t xml:space="preserve"> </w:t>
      </w:r>
      <w:r w:rsidR="001444C9">
        <w:rPr>
          <w:sz w:val="20"/>
          <w:lang w:val="bg-BG"/>
        </w:rPr>
        <w:t>След</w:t>
      </w:r>
      <w:r>
        <w:rPr>
          <w:sz w:val="20"/>
          <w:lang w:val="bg-BG"/>
        </w:rPr>
        <w:t xml:space="preserve"> фаза 3 България се е преместила с 3 места по-напред до 44-то през 2020г.</w:t>
      </w:r>
      <w:r w:rsidR="001444C9" w:rsidRPr="001444C9">
        <w:rPr>
          <w:rStyle w:val="FootnoteReference"/>
          <w:lang w:val="bg-BG"/>
        </w:rPr>
        <w:t xml:space="preserve"> </w:t>
      </w:r>
      <w:r w:rsidR="001444C9">
        <w:rPr>
          <w:rStyle w:val="FootnoteReference"/>
          <w:lang w:val="bg-BG"/>
        </w:rPr>
        <w:footnoteReference w:id="21"/>
      </w:r>
      <w:r>
        <w:rPr>
          <w:sz w:val="20"/>
          <w:lang w:val="bg-BG"/>
        </w:rPr>
        <w:t xml:space="preserve">, въпреки това „Прозрачност без граници“ </w:t>
      </w:r>
      <w:r w:rsidRPr="005D6747">
        <w:rPr>
          <w:sz w:val="20"/>
        </w:rPr>
        <w:t>отбеляза, че резултатите показват, че няма значителен напредък в борбата с корупцията в сравнение с положителните развития в други страни от ЕС</w:t>
      </w:r>
      <w:r w:rsidRPr="005D6747">
        <w:rPr>
          <w:vertAlign w:val="superscript"/>
        </w:rPr>
        <w:footnoteReference w:id="22"/>
      </w:r>
      <w:r w:rsidRPr="005D6747">
        <w:rPr>
          <w:sz w:val="20"/>
        </w:rPr>
        <w:t xml:space="preserve">. В допълнение, </w:t>
      </w:r>
      <w:r>
        <w:rPr>
          <w:sz w:val="20"/>
          <w:lang w:val="bg-BG"/>
        </w:rPr>
        <w:t>“Прозрачност без граници“</w:t>
      </w:r>
      <w:r w:rsidRPr="005D6747">
        <w:rPr>
          <w:sz w:val="20"/>
        </w:rPr>
        <w:t xml:space="preserve"> </w:t>
      </w:r>
      <w:r>
        <w:rPr>
          <w:sz w:val="20"/>
          <w:lang w:val="bg-BG"/>
        </w:rPr>
        <w:t>България</w:t>
      </w:r>
      <w:r w:rsidRPr="005D6747">
        <w:rPr>
          <w:sz w:val="20"/>
        </w:rPr>
        <w:t xml:space="preserve"> предостави допълнителна информация при </w:t>
      </w:r>
      <w:r>
        <w:rPr>
          <w:sz w:val="20"/>
          <w:lang w:val="bg-BG"/>
        </w:rPr>
        <w:t>видеоконферентната</w:t>
      </w:r>
      <w:r w:rsidRPr="005D6747">
        <w:rPr>
          <w:sz w:val="20"/>
        </w:rPr>
        <w:t xml:space="preserve"> среща, позовавайки се на неотдавнашния „Доклад за корупция при износ“ и докладите за напредъка на </w:t>
      </w:r>
      <w:r>
        <w:rPr>
          <w:sz w:val="20"/>
          <w:lang w:val="bg-BG"/>
        </w:rPr>
        <w:t>“Прозрачност без граници“</w:t>
      </w:r>
      <w:r w:rsidRPr="005D6747">
        <w:rPr>
          <w:sz w:val="20"/>
        </w:rPr>
        <w:t xml:space="preserve"> по ​​прилагането на Конвенцията на ОИСР, които подчертаха продължаващата липса на прилагане от България</w:t>
      </w:r>
      <w:r w:rsidRPr="005D6747">
        <w:rPr>
          <w:vertAlign w:val="superscript"/>
        </w:rPr>
        <w:footnoteReference w:id="23"/>
      </w:r>
      <w:r w:rsidRPr="005D6747">
        <w:rPr>
          <w:sz w:val="20"/>
        </w:rPr>
        <w:t>.</w:t>
      </w:r>
    </w:p>
    <w:p w14:paraId="26DDCCE0" w14:textId="292807F8" w:rsidR="0054297A" w:rsidRPr="00572912" w:rsidRDefault="0084086D" w:rsidP="0054297A">
      <w:pPr>
        <w:pStyle w:val="Para"/>
      </w:pPr>
      <w:r w:rsidRPr="005D6747">
        <w:t>Осемдесет процента от българските респонденти в последното проучване на Евробарометър за корупцията са на мнение, че корупцията е широко разпространена в тяхната страна (средно за ЕС: 71%)</w:t>
      </w:r>
      <w:r w:rsidRPr="005D6747">
        <w:rPr>
          <w:vertAlign w:val="superscript"/>
        </w:rPr>
        <w:footnoteReference w:id="24"/>
      </w:r>
      <w:r w:rsidRPr="005D6747">
        <w:t xml:space="preserve">, докато 85%от компаниите смятат корупцията за широко </w:t>
      </w:r>
      <w:r w:rsidRPr="005D6747">
        <w:lastRenderedPageBreak/>
        <w:t>разпространена (средно за ЕС 63%). По същия начин 51% от предприятията смятат корупцията за проблем, когато правят бизнес в страната. Двадесет и осем процента от анкетираните заявяват, че се чувстват лично засегнати от корупцията в ежедневието си (средно за ЕС 26%), докато 63%не смятат, че има достатъчно успешни наказателни преследвания, за да възпират хората от корупционни практики (средно за ЕС 36%) . И накрая, само 13% от компаниите отговориха, че хората и предприятията, уловени за подкупване на висш служител, са наказани по подходящ начин (средно за ЕС 31%)</w:t>
      </w:r>
      <w:r w:rsidRPr="005D6747">
        <w:rPr>
          <w:vertAlign w:val="superscript"/>
        </w:rPr>
        <w:footnoteReference w:id="25"/>
      </w:r>
      <w:r w:rsidRPr="005D6747">
        <w:t>.</w:t>
      </w:r>
      <w:r w:rsidR="0054297A" w:rsidRPr="0054297A">
        <w:t xml:space="preserve"> </w:t>
      </w:r>
      <w:r w:rsidR="0054297A">
        <w:rPr>
          <w:lang w:val="bg-BG"/>
        </w:rPr>
        <w:t xml:space="preserve">Както се </w:t>
      </w:r>
      <w:r w:rsidR="006E6B43">
        <w:rPr>
          <w:lang w:val="bg-BG"/>
        </w:rPr>
        <w:t>с</w:t>
      </w:r>
      <w:r w:rsidR="0054297A">
        <w:rPr>
          <w:lang w:val="bg-BG"/>
        </w:rPr>
        <w:t xml:space="preserve">поменава и по-горе, някои български компании, които имат дейност в чужбина, са в сектори, признати от Работната група като податливи на корупция (например, строителството) и сред шестте държави, в които България има най-много преки чуждестранни инвестиции, някои се възприемат като такива с високо ниво на корупция. </w:t>
      </w:r>
    </w:p>
    <w:p w14:paraId="5D06FD8B" w14:textId="7932EF14" w:rsidR="0084086D" w:rsidRPr="005D6747" w:rsidRDefault="00A40D03" w:rsidP="00FC5A9B">
      <w:pPr>
        <w:pStyle w:val="Para"/>
      </w:pPr>
      <w:r w:rsidRPr="005D6747">
        <w:t xml:space="preserve">По отношение на финансовите потоци и рисковете от изпиране на пари, финансовият сектор е имал малко случаи на пране на пари, а България се счита за страна с нисък риск (класирана на 138-то място с най-малък риск от изпиране на пари от 141 държави през 2020 г. </w:t>
      </w:r>
      <w:r w:rsidRPr="005D6747">
        <w:rPr>
          <w:lang w:val="bg-BG"/>
        </w:rPr>
        <w:t xml:space="preserve">според </w:t>
      </w:r>
      <w:r w:rsidRPr="005D6747">
        <w:t>Базел</w:t>
      </w:r>
      <w:r w:rsidRPr="005D6747">
        <w:rPr>
          <w:lang w:val="bg-BG"/>
        </w:rPr>
        <w:t xml:space="preserve">ският Индекс против </w:t>
      </w:r>
      <w:r>
        <w:rPr>
          <w:lang w:val="bg-BG"/>
        </w:rPr>
        <w:t>из</w:t>
      </w:r>
      <w:r w:rsidRPr="005D6747">
        <w:rPr>
          <w:lang w:val="bg-BG"/>
        </w:rPr>
        <w:t>п</w:t>
      </w:r>
      <w:r>
        <w:rPr>
          <w:lang w:val="bg-BG"/>
        </w:rPr>
        <w:t>и</w:t>
      </w:r>
      <w:r w:rsidRPr="005D6747">
        <w:rPr>
          <w:lang w:val="bg-BG"/>
        </w:rPr>
        <w:t>рането на пари</w:t>
      </w:r>
      <w:r w:rsidRPr="005D6747">
        <w:t xml:space="preserve">, отбелязвайки, че България все още не е оценена </w:t>
      </w:r>
      <w:r w:rsidRPr="005D6747">
        <w:rPr>
          <w:lang w:val="bg-BG"/>
        </w:rPr>
        <w:t>по</w:t>
      </w:r>
      <w:r w:rsidRPr="005D6747">
        <w:t xml:space="preserve"> четвъртия кръг на </w:t>
      </w:r>
      <w:r w:rsidRPr="005D6747">
        <w:rPr>
          <w:lang w:val="bg-BG"/>
        </w:rPr>
        <w:t>М</w:t>
      </w:r>
      <w:r w:rsidRPr="005D6747">
        <w:t xml:space="preserve">етодологията </w:t>
      </w:r>
      <w:r w:rsidRPr="005D6747">
        <w:rPr>
          <w:lang w:val="bg-BG"/>
        </w:rPr>
        <w:t>за оценка на</w:t>
      </w:r>
      <w:r w:rsidRPr="005D6747">
        <w:t xml:space="preserve"> FATF, </w:t>
      </w:r>
      <w:r>
        <w:rPr>
          <w:lang w:val="bg-BG"/>
        </w:rPr>
        <w:t xml:space="preserve">което </w:t>
      </w:r>
      <w:r w:rsidRPr="005D6747">
        <w:t xml:space="preserve">ограничава </w:t>
      </w:r>
      <w:r>
        <w:rPr>
          <w:lang w:val="bg-BG"/>
        </w:rPr>
        <w:t>извършването на съпоставки</w:t>
      </w:r>
      <w:r w:rsidRPr="005D6747">
        <w:t>)</w:t>
      </w:r>
      <w:r w:rsidR="0084086D" w:rsidRPr="005D6747">
        <w:rPr>
          <w:vertAlign w:val="superscript"/>
        </w:rPr>
        <w:footnoteReference w:id="26"/>
      </w:r>
      <w:r w:rsidR="0084086D" w:rsidRPr="005D6747">
        <w:t>.</w:t>
      </w:r>
      <w:r w:rsidR="00FC5A9B" w:rsidRPr="00FC5A9B">
        <w:t xml:space="preserve"> Н</w:t>
      </w:r>
      <w:r w:rsidR="00FC5A9B">
        <w:t>езависимо от това изпирането на</w:t>
      </w:r>
      <w:r w:rsidR="00FC5A9B">
        <w:rPr>
          <w:lang w:val="bg-BG"/>
        </w:rPr>
        <w:t xml:space="preserve"> облаги</w:t>
      </w:r>
      <w:r w:rsidR="00FC5A9B" w:rsidRPr="00FC5A9B">
        <w:t xml:space="preserve"> от корупция е един от основните рискове, идентифицирани в националната оценка на риска на България (виж по -долу в част Б.3 (г)).</w:t>
      </w:r>
    </w:p>
    <w:p w14:paraId="7039959C" w14:textId="77777777" w:rsidR="0084086D" w:rsidRPr="00415538" w:rsidRDefault="0084086D" w:rsidP="0084086D">
      <w:pPr>
        <w:pStyle w:val="ListParagraph"/>
        <w:keepNext/>
        <w:keepLines/>
        <w:widowControl/>
        <w:numPr>
          <w:ilvl w:val="0"/>
          <w:numId w:val="31"/>
        </w:numPr>
        <w:spacing w:before="280" w:after="180" w:line="280" w:lineRule="exact"/>
        <w:jc w:val="left"/>
        <w:outlineLvl w:val="2"/>
        <w:rPr>
          <w:rFonts w:eastAsiaTheme="majorEastAsia" w:cstheme="majorBidi"/>
          <w:b/>
          <w:i/>
          <w:color w:val="000000" w:themeColor="text1"/>
          <w:szCs w:val="24"/>
        </w:rPr>
      </w:pPr>
      <w:r w:rsidRPr="00415538">
        <w:rPr>
          <w:rFonts w:eastAsiaTheme="majorEastAsia" w:cstheme="majorBidi"/>
          <w:b/>
          <w:i/>
          <w:color w:val="000000" w:themeColor="text1"/>
          <w:szCs w:val="24"/>
        </w:rPr>
        <w:t xml:space="preserve">Твърдения и </w:t>
      </w:r>
      <w:r w:rsidRPr="00415538">
        <w:rPr>
          <w:rFonts w:eastAsiaTheme="majorEastAsia" w:cstheme="majorBidi"/>
          <w:b/>
          <w:i/>
          <w:color w:val="000000" w:themeColor="text1"/>
          <w:szCs w:val="24"/>
          <w:lang w:val="bg-BG"/>
        </w:rPr>
        <w:t>дела за</w:t>
      </w:r>
      <w:r w:rsidRPr="00415538">
        <w:rPr>
          <w:rFonts w:eastAsiaTheme="majorEastAsia" w:cstheme="majorBidi"/>
          <w:b/>
          <w:i/>
          <w:color w:val="000000" w:themeColor="text1"/>
          <w:szCs w:val="24"/>
        </w:rPr>
        <w:t xml:space="preserve"> подкуп</w:t>
      </w:r>
      <w:r w:rsidRPr="00415538">
        <w:rPr>
          <w:rFonts w:eastAsiaTheme="majorEastAsia" w:cstheme="majorBidi"/>
          <w:b/>
          <w:i/>
          <w:color w:val="000000" w:themeColor="text1"/>
          <w:szCs w:val="24"/>
          <w:lang w:val="bg-BG"/>
        </w:rPr>
        <w:t>ване на чужди длъжностни лица</w:t>
      </w:r>
      <w:r w:rsidRPr="00415538">
        <w:rPr>
          <w:rFonts w:eastAsiaTheme="majorEastAsia" w:cstheme="majorBidi"/>
          <w:b/>
          <w:i/>
          <w:color w:val="000000" w:themeColor="text1"/>
          <w:szCs w:val="24"/>
        </w:rPr>
        <w:t xml:space="preserve"> в България</w:t>
      </w:r>
    </w:p>
    <w:p w14:paraId="6C2D72E3" w14:textId="73ACECB1" w:rsidR="0084086D" w:rsidRPr="005D6747" w:rsidRDefault="00A40D03" w:rsidP="0084086D">
      <w:pPr>
        <w:widowControl/>
        <w:numPr>
          <w:ilvl w:val="0"/>
          <w:numId w:val="1"/>
        </w:numPr>
        <w:spacing w:before="120" w:after="120" w:line="260" w:lineRule="atLeast"/>
        <w:rPr>
          <w:sz w:val="20"/>
        </w:rPr>
      </w:pPr>
      <w:r>
        <w:rPr>
          <w:sz w:val="20"/>
          <w:lang w:val="bg-BG"/>
        </w:rPr>
        <w:t>По</w:t>
      </w:r>
      <w:r w:rsidRPr="005D6747">
        <w:rPr>
          <w:sz w:val="20"/>
        </w:rPr>
        <w:t xml:space="preserve"> </w:t>
      </w:r>
      <w:r>
        <w:rPr>
          <w:sz w:val="20"/>
        </w:rPr>
        <w:t>Фаза</w:t>
      </w:r>
      <w:r w:rsidRPr="005D6747">
        <w:rPr>
          <w:sz w:val="20"/>
        </w:rPr>
        <w:t xml:space="preserve"> 3 (вж. Резюме и параграф 5) </w:t>
      </w:r>
      <w:r w:rsidRPr="005D6747">
        <w:rPr>
          <w:sz w:val="20"/>
          <w:lang w:val="bg-BG"/>
        </w:rPr>
        <w:t>Р</w:t>
      </w:r>
      <w:r w:rsidRPr="005D6747">
        <w:rPr>
          <w:sz w:val="20"/>
        </w:rPr>
        <w:t xml:space="preserve">аботната група отбеляза, че България има една присъда за подкуп </w:t>
      </w:r>
      <w:r>
        <w:rPr>
          <w:sz w:val="20"/>
          <w:lang w:val="bg-BG"/>
        </w:rPr>
        <w:t>на чуждо длъжностно лице</w:t>
      </w:r>
      <w:r w:rsidRPr="005D6747">
        <w:rPr>
          <w:sz w:val="20"/>
        </w:rPr>
        <w:t xml:space="preserve"> и вт</w:t>
      </w:r>
      <w:r>
        <w:rPr>
          <w:sz w:val="20"/>
        </w:rPr>
        <w:t>ори разследван случай, който по</w:t>
      </w:r>
      <w:r w:rsidRPr="005D6747">
        <w:rPr>
          <w:sz w:val="20"/>
        </w:rPr>
        <w:t xml:space="preserve">-късно е прекратен, когато предполагаемият </w:t>
      </w:r>
      <w:r>
        <w:rPr>
          <w:sz w:val="20"/>
          <w:lang w:val="bg-BG"/>
        </w:rPr>
        <w:t xml:space="preserve">извършител </w:t>
      </w:r>
      <w:r w:rsidRPr="005D6747">
        <w:rPr>
          <w:sz w:val="20"/>
        </w:rPr>
        <w:t xml:space="preserve">е починал. По това време четири други разследвания </w:t>
      </w:r>
      <w:r>
        <w:rPr>
          <w:sz w:val="20"/>
          <w:lang w:val="bg-BG"/>
        </w:rPr>
        <w:t>са</w:t>
      </w:r>
      <w:r w:rsidRPr="005D6747">
        <w:rPr>
          <w:sz w:val="20"/>
        </w:rPr>
        <w:t xml:space="preserve"> прекратени на ранен етап. </w:t>
      </w:r>
      <w:r>
        <w:rPr>
          <w:sz w:val="20"/>
          <w:lang w:val="bg-BG"/>
        </w:rPr>
        <w:t>След</w:t>
      </w:r>
      <w:r w:rsidRPr="005D6747">
        <w:rPr>
          <w:sz w:val="20"/>
        </w:rPr>
        <w:t xml:space="preserve"> </w:t>
      </w:r>
      <w:r>
        <w:rPr>
          <w:sz w:val="20"/>
        </w:rPr>
        <w:t>Фаза</w:t>
      </w:r>
      <w:r w:rsidRPr="005D6747">
        <w:rPr>
          <w:sz w:val="20"/>
        </w:rPr>
        <w:t xml:space="preserve"> 3 България е започнала само едно разследване</w:t>
      </w:r>
      <w:r>
        <w:rPr>
          <w:sz w:val="20"/>
          <w:lang w:val="bg-BG"/>
        </w:rPr>
        <w:t xml:space="preserve"> за подкуп на чуждо длъжностно лице</w:t>
      </w:r>
      <w:r>
        <w:rPr>
          <w:sz w:val="20"/>
        </w:rPr>
        <w:t>, което е в ход</w:t>
      </w:r>
      <w:r w:rsidRPr="005D6747">
        <w:rPr>
          <w:sz w:val="20"/>
        </w:rPr>
        <w:t xml:space="preserve">. Екипът за оценка </w:t>
      </w:r>
      <w:r>
        <w:rPr>
          <w:sz w:val="20"/>
          <w:lang w:val="bg-BG"/>
        </w:rPr>
        <w:t>е наясно за</w:t>
      </w:r>
      <w:r w:rsidRPr="005D6747">
        <w:rPr>
          <w:sz w:val="20"/>
        </w:rPr>
        <w:t xml:space="preserve"> няколко </w:t>
      </w:r>
      <w:r>
        <w:rPr>
          <w:sz w:val="20"/>
          <w:lang w:val="bg-BG"/>
        </w:rPr>
        <w:t xml:space="preserve">твърдения за подкуп на чужди длъжностни лица, които са били </w:t>
      </w:r>
      <w:r w:rsidRPr="005D6747">
        <w:rPr>
          <w:sz w:val="20"/>
        </w:rPr>
        <w:t xml:space="preserve">публично докладвани, </w:t>
      </w:r>
      <w:r>
        <w:rPr>
          <w:sz w:val="20"/>
          <w:lang w:val="bg-BG"/>
        </w:rPr>
        <w:t>но</w:t>
      </w:r>
      <w:r w:rsidRPr="005D6747">
        <w:rPr>
          <w:sz w:val="20"/>
        </w:rPr>
        <w:t xml:space="preserve"> не са </w:t>
      </w:r>
      <w:r w:rsidR="00FC5A9B">
        <w:rPr>
          <w:sz w:val="20"/>
          <w:lang w:val="bg-BG"/>
        </w:rPr>
        <w:t xml:space="preserve">били правилно оценени и проактивно </w:t>
      </w:r>
      <w:r w:rsidRPr="005D6747">
        <w:rPr>
          <w:sz w:val="20"/>
        </w:rPr>
        <w:t xml:space="preserve">разследвани от българските </w:t>
      </w:r>
      <w:r w:rsidRPr="00A40D03">
        <w:rPr>
          <w:sz w:val="20"/>
        </w:rPr>
        <w:t>власти</w:t>
      </w:r>
      <w:r w:rsidR="006E6B43">
        <w:rPr>
          <w:sz w:val="20"/>
          <w:lang w:val="bg-BG"/>
        </w:rPr>
        <w:t xml:space="preserve">, за да </w:t>
      </w:r>
      <w:r w:rsidR="00D05BC9">
        <w:rPr>
          <w:sz w:val="20"/>
          <w:lang w:val="bg-BG"/>
        </w:rPr>
        <w:t>стартира досъдебно производство по тях</w:t>
      </w:r>
      <w:r w:rsidRPr="00A40D03">
        <w:rPr>
          <w:i/>
          <w:sz w:val="20"/>
        </w:rPr>
        <w:t>.</w:t>
      </w:r>
      <w:r w:rsidR="0084086D" w:rsidRPr="005D6747">
        <w:rPr>
          <w:sz w:val="20"/>
          <w:lang w:val="bg-BG"/>
        </w:rPr>
        <w:t xml:space="preserve"> </w:t>
      </w:r>
    </w:p>
    <w:p w14:paraId="269D59FD" w14:textId="7FC68AA9" w:rsidR="0084086D" w:rsidRPr="00AE4FED" w:rsidRDefault="00A40D03" w:rsidP="0084086D">
      <w:pPr>
        <w:widowControl/>
        <w:numPr>
          <w:ilvl w:val="0"/>
          <w:numId w:val="1"/>
        </w:numPr>
        <w:spacing w:before="120" w:after="120" w:line="260" w:lineRule="atLeast"/>
        <w:rPr>
          <w:szCs w:val="20"/>
        </w:rPr>
      </w:pPr>
      <w:r w:rsidRPr="005D6747">
        <w:rPr>
          <w:sz w:val="20"/>
          <w:szCs w:val="20"/>
        </w:rPr>
        <w:t>Информацията за</w:t>
      </w:r>
      <w:r w:rsidRPr="005D6747">
        <w:rPr>
          <w:sz w:val="20"/>
          <w:szCs w:val="20"/>
          <w:lang w:val="bg-BG"/>
        </w:rPr>
        <w:t xml:space="preserve"> дел</w:t>
      </w:r>
      <w:r>
        <w:rPr>
          <w:sz w:val="20"/>
          <w:szCs w:val="20"/>
          <w:lang w:val="bg-BG"/>
        </w:rPr>
        <w:t>а</w:t>
      </w:r>
      <w:r w:rsidRPr="005D6747">
        <w:rPr>
          <w:sz w:val="20"/>
          <w:szCs w:val="20"/>
          <w:lang w:val="bg-BG"/>
        </w:rPr>
        <w:t>т</w:t>
      </w:r>
      <w:r>
        <w:rPr>
          <w:sz w:val="20"/>
          <w:szCs w:val="20"/>
          <w:lang w:val="bg-BG"/>
        </w:rPr>
        <w:t>а</w:t>
      </w:r>
      <w:r w:rsidRPr="005D6747">
        <w:rPr>
          <w:sz w:val="20"/>
          <w:szCs w:val="20"/>
        </w:rPr>
        <w:t xml:space="preserve">, съдържаща се в този доклад, се основава на </w:t>
      </w:r>
      <w:r>
        <w:rPr>
          <w:sz w:val="20"/>
          <w:szCs w:val="20"/>
          <w:lang w:val="bg-BG"/>
        </w:rPr>
        <w:t>актуализираната</w:t>
      </w:r>
      <w:r w:rsidRPr="005D6747">
        <w:rPr>
          <w:sz w:val="20"/>
          <w:szCs w:val="20"/>
        </w:rPr>
        <w:t xml:space="preserve"> </w:t>
      </w:r>
      <w:r>
        <w:rPr>
          <w:sz w:val="20"/>
          <w:szCs w:val="20"/>
          <w:lang w:val="bg-BG"/>
        </w:rPr>
        <w:t xml:space="preserve">информация, </w:t>
      </w:r>
      <w:r w:rsidRPr="005D6747">
        <w:rPr>
          <w:sz w:val="20"/>
          <w:szCs w:val="20"/>
        </w:rPr>
        <w:t>предоставен</w:t>
      </w:r>
      <w:r>
        <w:rPr>
          <w:sz w:val="20"/>
          <w:szCs w:val="20"/>
          <w:lang w:val="bg-BG"/>
        </w:rPr>
        <w:t>а</w:t>
      </w:r>
      <w:r w:rsidRPr="005D6747">
        <w:rPr>
          <w:sz w:val="20"/>
          <w:szCs w:val="20"/>
        </w:rPr>
        <w:t xml:space="preserve"> </w:t>
      </w:r>
      <w:r>
        <w:rPr>
          <w:sz w:val="20"/>
          <w:szCs w:val="20"/>
          <w:lang w:val="bg-BG"/>
        </w:rPr>
        <w:t xml:space="preserve">от </w:t>
      </w:r>
      <w:r w:rsidRPr="005D6747">
        <w:rPr>
          <w:sz w:val="20"/>
          <w:szCs w:val="20"/>
        </w:rPr>
        <w:t>България</w:t>
      </w:r>
      <w:r>
        <w:rPr>
          <w:sz w:val="20"/>
          <w:szCs w:val="20"/>
          <w:lang w:val="bg-BG"/>
        </w:rPr>
        <w:t xml:space="preserve"> </w:t>
      </w:r>
      <w:r w:rsidRPr="005D6747">
        <w:rPr>
          <w:sz w:val="20"/>
          <w:szCs w:val="20"/>
        </w:rPr>
        <w:t>на екипа за оценка в</w:t>
      </w:r>
      <w:r>
        <w:rPr>
          <w:sz w:val="20"/>
          <w:szCs w:val="20"/>
          <w:lang w:val="bg-BG"/>
        </w:rPr>
        <w:t xml:space="preserve"> отговорите на</w:t>
      </w:r>
      <w:r w:rsidR="00D05BC9">
        <w:rPr>
          <w:sz w:val="20"/>
          <w:szCs w:val="20"/>
          <w:lang w:val="bg-BG"/>
        </w:rPr>
        <w:t xml:space="preserve"> </w:t>
      </w:r>
      <w:r w:rsidRPr="005D6747">
        <w:rPr>
          <w:sz w:val="20"/>
          <w:szCs w:val="20"/>
        </w:rPr>
        <w:t xml:space="preserve">въпросника </w:t>
      </w:r>
      <w:r w:rsidRPr="005D6747">
        <w:rPr>
          <w:sz w:val="20"/>
          <w:szCs w:val="20"/>
          <w:lang w:val="bg-BG"/>
        </w:rPr>
        <w:t>по</w:t>
      </w:r>
      <w:r w:rsidRPr="005D6747">
        <w:rPr>
          <w:sz w:val="20"/>
          <w:szCs w:val="20"/>
        </w:rPr>
        <w:t xml:space="preserve"> </w:t>
      </w:r>
      <w:r>
        <w:rPr>
          <w:sz w:val="20"/>
          <w:szCs w:val="20"/>
        </w:rPr>
        <w:t>Фаза</w:t>
      </w:r>
      <w:r w:rsidRPr="005D6747">
        <w:rPr>
          <w:sz w:val="20"/>
          <w:szCs w:val="20"/>
        </w:rPr>
        <w:t xml:space="preserve"> 4</w:t>
      </w:r>
      <w:r>
        <w:rPr>
          <w:sz w:val="20"/>
          <w:szCs w:val="20"/>
          <w:lang w:val="bg-BG"/>
        </w:rPr>
        <w:t xml:space="preserve">, както и </w:t>
      </w:r>
      <w:r w:rsidRPr="005D6747">
        <w:rPr>
          <w:sz w:val="20"/>
          <w:szCs w:val="20"/>
        </w:rPr>
        <w:t>по време и след виртуалн</w:t>
      </w:r>
      <w:r>
        <w:rPr>
          <w:sz w:val="20"/>
          <w:szCs w:val="20"/>
          <w:lang w:val="bg-BG"/>
        </w:rPr>
        <w:t>ото</w:t>
      </w:r>
      <w:r w:rsidRPr="005D6747">
        <w:rPr>
          <w:sz w:val="20"/>
          <w:szCs w:val="20"/>
        </w:rPr>
        <w:t xml:space="preserve"> </w:t>
      </w:r>
      <w:r>
        <w:rPr>
          <w:sz w:val="20"/>
          <w:szCs w:val="20"/>
          <w:lang w:val="bg-BG"/>
        </w:rPr>
        <w:t>посещение</w:t>
      </w:r>
      <w:r w:rsidR="0084086D" w:rsidRPr="005D6747">
        <w:rPr>
          <w:sz w:val="20"/>
          <w:szCs w:val="20"/>
          <w:vertAlign w:val="superscript"/>
        </w:rPr>
        <w:footnoteReference w:id="27"/>
      </w:r>
      <w:r w:rsidR="0084086D" w:rsidRPr="005D6747">
        <w:rPr>
          <w:sz w:val="20"/>
          <w:szCs w:val="20"/>
        </w:rPr>
        <w:t xml:space="preserve">. </w:t>
      </w:r>
    </w:p>
    <w:p w14:paraId="7D920B8F" w14:textId="77777777" w:rsidR="0084086D" w:rsidRPr="008C08CD" w:rsidRDefault="0084086D" w:rsidP="0084086D">
      <w:pPr>
        <w:pStyle w:val="ListParagraph"/>
        <w:widowControl/>
        <w:numPr>
          <w:ilvl w:val="0"/>
          <w:numId w:val="34"/>
        </w:numPr>
        <w:spacing w:before="120" w:after="120" w:line="260" w:lineRule="atLeast"/>
        <w:rPr>
          <w:i/>
          <w:lang w:val="bg-BG"/>
        </w:rPr>
      </w:pPr>
      <w:r w:rsidRPr="008C08CD">
        <w:rPr>
          <w:i/>
          <w:lang w:val="bg-BG"/>
        </w:rPr>
        <w:t>Нов случай</w:t>
      </w:r>
    </w:p>
    <w:p w14:paraId="66D2662E" w14:textId="77777777" w:rsidR="0084086D" w:rsidRPr="00CD1636" w:rsidRDefault="0084086D" w:rsidP="0084086D">
      <w:pPr>
        <w:widowControl/>
        <w:spacing w:before="120" w:after="120" w:line="260" w:lineRule="atLeast"/>
        <w:rPr>
          <w:sz w:val="20"/>
          <w:lang w:val="bg-BG"/>
        </w:rPr>
      </w:pPr>
      <w:r w:rsidRPr="008C08CD">
        <w:rPr>
          <w:sz w:val="20"/>
          <w:lang w:val="bg-BG"/>
        </w:rPr>
        <w:t xml:space="preserve">21. </w:t>
      </w:r>
      <w:r w:rsidR="00A40D03">
        <w:rPr>
          <w:sz w:val="20"/>
          <w:lang w:val="bg-BG"/>
        </w:rPr>
        <w:tab/>
      </w:r>
      <w:r w:rsidR="00A40D03">
        <w:rPr>
          <w:sz w:val="20"/>
          <w:szCs w:val="20"/>
          <w:lang w:val="bg-BG"/>
        </w:rPr>
        <w:t>В отговорите на въпросника по</w:t>
      </w:r>
      <w:r w:rsidR="00A40D03" w:rsidRPr="00221FC9">
        <w:rPr>
          <w:sz w:val="20"/>
          <w:szCs w:val="20"/>
          <w:lang w:val="bg-BG"/>
        </w:rPr>
        <w:t xml:space="preserve"> фаза 4 </w:t>
      </w:r>
      <w:r w:rsidR="00A40D03" w:rsidRPr="00667EEB">
        <w:rPr>
          <w:sz w:val="20"/>
          <w:szCs w:val="20"/>
          <w:lang w:val="bg-BG"/>
        </w:rPr>
        <w:t xml:space="preserve">България </w:t>
      </w:r>
      <w:r w:rsidR="00A40D03" w:rsidRPr="00221FC9">
        <w:rPr>
          <w:sz w:val="20"/>
          <w:szCs w:val="20"/>
          <w:lang w:val="bg-BG"/>
        </w:rPr>
        <w:t>предостави подробности за ново разследване (</w:t>
      </w:r>
      <w:r w:rsidR="00A40D03" w:rsidRPr="00C46A98">
        <w:rPr>
          <w:b/>
          <w:sz w:val="20"/>
          <w:szCs w:val="20"/>
          <w:lang w:val="bg-BG"/>
        </w:rPr>
        <w:t>случа</w:t>
      </w:r>
      <w:r w:rsidR="00A40D03">
        <w:rPr>
          <w:b/>
          <w:sz w:val="20"/>
          <w:szCs w:val="20"/>
          <w:lang w:val="bg-BG"/>
        </w:rPr>
        <w:t xml:space="preserve">я с </w:t>
      </w:r>
      <w:r w:rsidR="00A40D03" w:rsidRPr="00C46A98">
        <w:rPr>
          <w:b/>
          <w:sz w:val="20"/>
          <w:szCs w:val="20"/>
          <w:lang w:val="bg-BG"/>
        </w:rPr>
        <w:t>фондове на ЕС</w:t>
      </w:r>
      <w:r w:rsidR="00A40D03" w:rsidRPr="00221FC9">
        <w:rPr>
          <w:sz w:val="20"/>
          <w:szCs w:val="20"/>
          <w:lang w:val="bg-BG"/>
        </w:rPr>
        <w:t xml:space="preserve">). </w:t>
      </w:r>
      <w:r w:rsidR="00A40D03" w:rsidRPr="00C46A98">
        <w:rPr>
          <w:sz w:val="20"/>
          <w:szCs w:val="20"/>
          <w:lang w:val="bg-BG"/>
        </w:rPr>
        <w:t xml:space="preserve">Този случай е образуван след получаване на молба за взаимна правна помощ от друга страна по Конвенцията. Досъдебното производство </w:t>
      </w:r>
      <w:r w:rsidR="00A40D03">
        <w:rPr>
          <w:sz w:val="20"/>
          <w:szCs w:val="20"/>
          <w:lang w:val="bg-BG"/>
        </w:rPr>
        <w:t xml:space="preserve">е </w:t>
      </w:r>
      <w:r w:rsidR="00A40D03" w:rsidRPr="00C46A98">
        <w:rPr>
          <w:sz w:val="20"/>
          <w:szCs w:val="20"/>
          <w:lang w:val="bg-BG"/>
        </w:rPr>
        <w:t>започна</w:t>
      </w:r>
      <w:r w:rsidR="00A40D03">
        <w:rPr>
          <w:sz w:val="20"/>
          <w:szCs w:val="20"/>
          <w:lang w:val="bg-BG"/>
        </w:rPr>
        <w:t>ло</w:t>
      </w:r>
      <w:r w:rsidR="00A40D03" w:rsidRPr="00C46A98">
        <w:rPr>
          <w:sz w:val="20"/>
          <w:szCs w:val="20"/>
          <w:lang w:val="bg-BG"/>
        </w:rPr>
        <w:t xml:space="preserve"> през март 2017 г. от Специализираната прокуратура по обвинения за участие в организирана престъпна група, създадена за извършване на престъпления за активен подкуп на чужд</w:t>
      </w:r>
      <w:r w:rsidR="00A40D03">
        <w:rPr>
          <w:sz w:val="20"/>
          <w:szCs w:val="20"/>
          <w:lang w:val="bg-BG"/>
        </w:rPr>
        <w:t xml:space="preserve">о </w:t>
      </w:r>
      <w:r w:rsidR="00A40D03" w:rsidRPr="00C46A98">
        <w:rPr>
          <w:sz w:val="20"/>
          <w:szCs w:val="20"/>
          <w:lang w:val="bg-BG"/>
        </w:rPr>
        <w:t>длъжностно лице и други престъпления във връзка със злоупотреба с</w:t>
      </w:r>
      <w:r w:rsidR="00A40D03">
        <w:rPr>
          <w:sz w:val="20"/>
          <w:szCs w:val="20"/>
          <w:lang w:val="bg-BG"/>
        </w:rPr>
        <w:t xml:space="preserve">ъс средства, принадлежащи </w:t>
      </w:r>
      <w:r w:rsidR="00A40D03">
        <w:rPr>
          <w:sz w:val="20"/>
          <w:szCs w:val="20"/>
          <w:lang w:val="bg-BG"/>
        </w:rPr>
        <w:lastRenderedPageBreak/>
        <w:t>на ЕС</w:t>
      </w:r>
      <w:r w:rsidR="00A40D03" w:rsidRPr="00C46A98">
        <w:rPr>
          <w:sz w:val="20"/>
          <w:szCs w:val="20"/>
          <w:lang w:val="bg-BG"/>
        </w:rPr>
        <w:t>. Според твърденията организираната престъпна група е действала от началото на 2008 г. на територията на друга страна по Конвенцията и в България.</w:t>
      </w:r>
    </w:p>
    <w:p w14:paraId="30A6EF05" w14:textId="77777777" w:rsidR="0084086D" w:rsidRPr="008C08CD" w:rsidRDefault="0084086D" w:rsidP="008C08CD">
      <w:pPr>
        <w:widowControl/>
        <w:spacing w:before="120" w:after="120" w:line="260" w:lineRule="atLeast"/>
        <w:ind w:firstLine="720"/>
        <w:rPr>
          <w:i/>
        </w:rPr>
      </w:pPr>
      <w:r w:rsidRPr="008C08CD">
        <w:rPr>
          <w:i/>
        </w:rPr>
        <w:t xml:space="preserve">ii) </w:t>
      </w:r>
      <w:r w:rsidRPr="008C08CD">
        <w:rPr>
          <w:i/>
          <w:lang w:val="bg-BG"/>
        </w:rPr>
        <w:t>Неразследвани случаи</w:t>
      </w:r>
    </w:p>
    <w:p w14:paraId="0F2C5368" w14:textId="7EC25FDD" w:rsidR="0084086D" w:rsidRPr="00572912" w:rsidRDefault="00A40D03" w:rsidP="00572912">
      <w:pPr>
        <w:pStyle w:val="Para"/>
        <w:numPr>
          <w:ilvl w:val="0"/>
          <w:numId w:val="66"/>
        </w:numPr>
        <w:rPr>
          <w:lang w:val="bg-BG"/>
        </w:rPr>
      </w:pPr>
      <w:r w:rsidRPr="00D05BC9">
        <w:rPr>
          <w:lang w:val="bg-BG"/>
        </w:rPr>
        <w:t>Един от случайте (</w:t>
      </w:r>
      <w:r w:rsidRPr="00D05BC9">
        <w:rPr>
          <w:b/>
          <w:lang w:val="bg-BG"/>
        </w:rPr>
        <w:t>Случай А</w:t>
      </w:r>
      <w:r w:rsidRPr="00D05BC9">
        <w:rPr>
          <w:lang w:val="bg-BG"/>
        </w:rPr>
        <w:t xml:space="preserve">), за който се съобщава публично, но не е бил разследван от България, засяга български гражданин, </w:t>
      </w:r>
      <w:r w:rsidR="00D05BC9">
        <w:rPr>
          <w:lang w:val="bg-BG"/>
        </w:rPr>
        <w:t xml:space="preserve">който не живее в страната, </w:t>
      </w:r>
      <w:r w:rsidRPr="00D05BC9">
        <w:rPr>
          <w:lang w:val="bg-BG"/>
        </w:rPr>
        <w:t>за който се твърди, че е замесен в измами и подкупи във връзка с банкови заеми за държавни предприятия от държава, която не е страна по Конвенцията. Съобщава се, че българският гражданин се признава за виновен по свързани обвинения, повдигнати от друга страна по Конвенцията, но България не е предприела никакви предварителни разследвания и не е започнала досъдебно производство. България заявява, че няма задължение за компетентните власти да започнат второ (паралелно) производство, след като българският гражданин е раз</w:t>
      </w:r>
      <w:r w:rsidR="00D05BC9">
        <w:rPr>
          <w:lang w:val="bg-BG"/>
        </w:rPr>
        <w:t>с</w:t>
      </w:r>
      <w:r w:rsidRPr="00D05BC9">
        <w:rPr>
          <w:lang w:val="bg-BG"/>
        </w:rPr>
        <w:t>ледван и впоследствие се е признал за виновен в друга държава.</w:t>
      </w:r>
      <w:r w:rsidRPr="00E17B4C">
        <w:rPr>
          <w:lang w:val="bg-BG"/>
        </w:rPr>
        <w:t xml:space="preserve"> </w:t>
      </w:r>
      <w:r w:rsidRPr="001B5CD5">
        <w:rPr>
          <w:lang w:val="bg-BG"/>
        </w:rPr>
        <w:t>В допълнение, няма информация, която да предполага за извършено престъпление в България. България също потвърди, че не е п</w:t>
      </w:r>
      <w:r w:rsidRPr="00E64156">
        <w:rPr>
          <w:lang w:val="bg-BG"/>
        </w:rPr>
        <w:t>олучавала  искане за правна помощ както от държави, които не са страни по Конвенията, така и от страни по Конвенцията.</w:t>
      </w:r>
    </w:p>
    <w:p w14:paraId="32888649" w14:textId="77777777" w:rsidR="0084086D" w:rsidRPr="00AE4FED" w:rsidRDefault="00FD14C4" w:rsidP="0084086D">
      <w:pPr>
        <w:widowControl/>
        <w:numPr>
          <w:ilvl w:val="0"/>
          <w:numId w:val="1"/>
        </w:numPr>
        <w:spacing w:before="120" w:after="120" w:line="260" w:lineRule="atLeast"/>
        <w:rPr>
          <w:sz w:val="20"/>
          <w:lang w:val="bg-BG"/>
        </w:rPr>
      </w:pPr>
      <w:r w:rsidRPr="00FD14C4">
        <w:rPr>
          <w:sz w:val="20"/>
          <w:lang w:val="bg-BG"/>
        </w:rPr>
        <w:t>В друг случай (</w:t>
      </w:r>
      <w:r w:rsidRPr="00FD14C4">
        <w:rPr>
          <w:b/>
          <w:sz w:val="20"/>
          <w:lang w:val="bg-BG"/>
        </w:rPr>
        <w:t>Случай Б</w:t>
      </w:r>
      <w:r w:rsidRPr="00FD14C4">
        <w:rPr>
          <w:sz w:val="20"/>
          <w:lang w:val="bg-BG"/>
        </w:rPr>
        <w:t>), който не е бил</w:t>
      </w:r>
      <w:r>
        <w:rPr>
          <w:sz w:val="20"/>
          <w:lang w:val="bg-BG"/>
        </w:rPr>
        <w:t xml:space="preserve"> </w:t>
      </w:r>
      <w:r w:rsidRPr="00FD14C4">
        <w:rPr>
          <w:sz w:val="20"/>
          <w:lang w:val="bg-BG"/>
        </w:rPr>
        <w:t xml:space="preserve">разследван, се твърди, че подкупите са били насочени чрез български „фиктивни дружества“. Друга страна по Конвенцията разследва случая и е изпратила искане за взаимна правна помощ до България, което е изпълнено от Софийска градска прокуратура. България не е предприемала никакви предварителни проверки, нито е започнала досъдебно производство, тъй като заявява, че няма задължение за компетентните власти да започнат второ (паралелно) производство и няма доказателства за престъпление, извършено от български гражданин в България. </w:t>
      </w:r>
      <w:r w:rsidR="0084086D">
        <w:rPr>
          <w:sz w:val="20"/>
          <w:lang w:val="bg-BG"/>
        </w:rPr>
        <w:t xml:space="preserve"> </w:t>
      </w:r>
    </w:p>
    <w:p w14:paraId="3A947FA1" w14:textId="3BBAC2A8" w:rsidR="0084086D" w:rsidRDefault="00FD14C4" w:rsidP="0084086D">
      <w:pPr>
        <w:widowControl/>
        <w:numPr>
          <w:ilvl w:val="0"/>
          <w:numId w:val="1"/>
        </w:numPr>
        <w:spacing w:before="120" w:after="120" w:line="260" w:lineRule="atLeast"/>
        <w:rPr>
          <w:sz w:val="20"/>
          <w:lang w:val="bg-BG"/>
        </w:rPr>
      </w:pPr>
      <w:r w:rsidRPr="00FD14C4">
        <w:rPr>
          <w:sz w:val="20"/>
          <w:lang w:val="bg-BG"/>
        </w:rPr>
        <w:t xml:space="preserve">Има три случая, които съдържат твърдения за подкупване на български джъжностни лица (или </w:t>
      </w:r>
      <w:r w:rsidR="0013109F">
        <w:rPr>
          <w:sz w:val="20"/>
          <w:lang w:val="bg-BG"/>
        </w:rPr>
        <w:t>членове на техните семейства</w:t>
      </w:r>
      <w:r w:rsidRPr="00FD14C4">
        <w:rPr>
          <w:sz w:val="20"/>
          <w:lang w:val="bg-BG"/>
        </w:rPr>
        <w:t xml:space="preserve">). Въпреки това, в два от случаите, </w:t>
      </w:r>
      <w:r w:rsidR="0013109F">
        <w:rPr>
          <w:sz w:val="20"/>
          <w:lang w:val="bg-BG"/>
        </w:rPr>
        <w:t>б</w:t>
      </w:r>
      <w:r w:rsidRPr="00FD14C4">
        <w:rPr>
          <w:sz w:val="20"/>
          <w:lang w:val="bg-BG"/>
        </w:rPr>
        <w:t>ългарските власти не са предприели предварителни проверки, нито са започнали досъдебно производство по тях, тъй като според България няма достатъчно информация за стартиране на разследване.</w:t>
      </w:r>
      <w:r w:rsidR="0084086D">
        <w:rPr>
          <w:sz w:val="20"/>
          <w:lang w:val="bg-BG"/>
        </w:rPr>
        <w:t xml:space="preserve"> </w:t>
      </w:r>
    </w:p>
    <w:p w14:paraId="6DF1068C" w14:textId="77777777" w:rsidR="0084086D" w:rsidRPr="00E36711" w:rsidRDefault="00FD14C4" w:rsidP="008C08CD">
      <w:pPr>
        <w:pStyle w:val="Para"/>
        <w:numPr>
          <w:ilvl w:val="0"/>
          <w:numId w:val="54"/>
        </w:numPr>
        <w:rPr>
          <w:lang w:val="bg-BG"/>
        </w:rPr>
      </w:pPr>
      <w:r w:rsidRPr="000D6483">
        <w:rPr>
          <w:lang w:val="bg-BG"/>
        </w:rPr>
        <w:t>Третият случай (</w:t>
      </w:r>
      <w:r w:rsidRPr="00C46A98">
        <w:rPr>
          <w:b/>
          <w:lang w:val="bg-BG"/>
        </w:rPr>
        <w:t>случай В</w:t>
      </w:r>
      <w:r w:rsidRPr="000D6483">
        <w:rPr>
          <w:lang w:val="bg-BG"/>
        </w:rPr>
        <w:t xml:space="preserve">) е докладван в медиите и включва български гражданин, който получава пари, за да лобира </w:t>
      </w:r>
      <w:r>
        <w:rPr>
          <w:lang w:val="bg-BG"/>
        </w:rPr>
        <w:t xml:space="preserve">пред </w:t>
      </w:r>
      <w:r w:rsidRPr="000D6483">
        <w:rPr>
          <w:lang w:val="bg-BG"/>
        </w:rPr>
        <w:t xml:space="preserve">влиятелни европейци и да </w:t>
      </w:r>
      <w:r>
        <w:rPr>
          <w:lang w:val="bg-BG"/>
        </w:rPr>
        <w:t>превежда</w:t>
      </w:r>
      <w:r w:rsidRPr="000D6483">
        <w:rPr>
          <w:lang w:val="bg-BG"/>
        </w:rPr>
        <w:t xml:space="preserve"> пари в офшорни условия. България е предприела предварителни разследвания по този случай. </w:t>
      </w:r>
      <w:r>
        <w:rPr>
          <w:lang w:val="bg-BG"/>
        </w:rPr>
        <w:t xml:space="preserve">Главният </w:t>
      </w:r>
      <w:r w:rsidRPr="000D6483">
        <w:rPr>
          <w:lang w:val="bg-BG"/>
        </w:rPr>
        <w:t xml:space="preserve">прокурор </w:t>
      </w:r>
      <w:r>
        <w:rPr>
          <w:lang w:val="bg-BG"/>
        </w:rPr>
        <w:t xml:space="preserve">е </w:t>
      </w:r>
      <w:r w:rsidRPr="000D6483">
        <w:rPr>
          <w:lang w:val="bg-BG"/>
        </w:rPr>
        <w:t>предостави</w:t>
      </w:r>
      <w:r>
        <w:rPr>
          <w:lang w:val="bg-BG"/>
        </w:rPr>
        <w:t>л</w:t>
      </w:r>
      <w:r w:rsidRPr="000D6483">
        <w:rPr>
          <w:lang w:val="bg-BG"/>
        </w:rPr>
        <w:t xml:space="preserve"> на Софийската градска прокуратура медийни</w:t>
      </w:r>
      <w:r>
        <w:rPr>
          <w:lang w:val="bg-BG"/>
        </w:rPr>
        <w:t>те материали</w:t>
      </w:r>
      <w:r w:rsidRPr="000D6483">
        <w:rPr>
          <w:lang w:val="bg-BG"/>
        </w:rPr>
        <w:t xml:space="preserve"> и</w:t>
      </w:r>
      <w:r>
        <w:rPr>
          <w:lang w:val="bg-BG"/>
        </w:rPr>
        <w:t xml:space="preserve"> са</w:t>
      </w:r>
      <w:r w:rsidRPr="000D6483">
        <w:rPr>
          <w:lang w:val="bg-BG"/>
        </w:rPr>
        <w:t xml:space="preserve"> предприети предварителни разследвания. Н</w:t>
      </w:r>
      <w:r>
        <w:rPr>
          <w:lang w:val="bg-BG"/>
        </w:rPr>
        <w:t xml:space="preserve">е са установени </w:t>
      </w:r>
      <w:r w:rsidRPr="000D6483">
        <w:rPr>
          <w:lang w:val="bg-BG"/>
        </w:rPr>
        <w:t xml:space="preserve">обаче достатъчно </w:t>
      </w:r>
      <w:r>
        <w:rPr>
          <w:lang w:val="bg-BG"/>
        </w:rPr>
        <w:t xml:space="preserve">данни </w:t>
      </w:r>
      <w:r w:rsidRPr="000D6483">
        <w:rPr>
          <w:lang w:val="bg-BG"/>
        </w:rPr>
        <w:t xml:space="preserve">за започване на досъдебно производство. Националната агенция за приходите също </w:t>
      </w:r>
      <w:r>
        <w:rPr>
          <w:lang w:val="bg-BG"/>
        </w:rPr>
        <w:t>е извършила</w:t>
      </w:r>
      <w:r w:rsidRPr="000D6483">
        <w:rPr>
          <w:lang w:val="bg-BG"/>
        </w:rPr>
        <w:t xml:space="preserve"> одит по отношение на консултантските плащания по този въпрос, но не </w:t>
      </w:r>
      <w:r>
        <w:rPr>
          <w:lang w:val="bg-BG"/>
        </w:rPr>
        <w:t xml:space="preserve">е </w:t>
      </w:r>
      <w:r w:rsidRPr="000D6483">
        <w:rPr>
          <w:lang w:val="bg-BG"/>
        </w:rPr>
        <w:t>установи</w:t>
      </w:r>
      <w:r>
        <w:rPr>
          <w:lang w:val="bg-BG"/>
        </w:rPr>
        <w:t>ла</w:t>
      </w:r>
      <w:r w:rsidRPr="000D6483">
        <w:rPr>
          <w:lang w:val="bg-BG"/>
        </w:rPr>
        <w:t xml:space="preserve"> нередности и не </w:t>
      </w:r>
      <w:r>
        <w:rPr>
          <w:lang w:val="bg-BG"/>
        </w:rPr>
        <w:t>са били</w:t>
      </w:r>
      <w:r w:rsidRPr="000D6483">
        <w:rPr>
          <w:lang w:val="bg-BG"/>
        </w:rPr>
        <w:t xml:space="preserve"> начислени допълнителни данъчни задължения.</w:t>
      </w:r>
    </w:p>
    <w:p w14:paraId="52951880" w14:textId="77777777" w:rsidR="00FD14C4" w:rsidRPr="00FD14C4" w:rsidRDefault="00FD14C4" w:rsidP="00FD14C4">
      <w:pPr>
        <w:pStyle w:val="Para"/>
        <w:rPr>
          <w:lang w:val="bg-BG"/>
        </w:rPr>
      </w:pPr>
      <w:r w:rsidRPr="00FD14C4">
        <w:rPr>
          <w:lang w:val="bg-BG"/>
        </w:rPr>
        <w:t>Налице са два случая, в които българските власти са арестували граждани на страни по Конвенцията, издирвани от Интерпол във връзка с искания за екстрадиция, свързани с твърдения за подкупване на чужди длъжностни лица. И в двата случая екстрадицията е поискана от държави, които не са страни по Конвенцията, и е била отхвърлена</w:t>
      </w:r>
      <w:r w:rsidR="00556505">
        <w:rPr>
          <w:lang w:val="bg-BG"/>
        </w:rPr>
        <w:t xml:space="preserve"> от България. В единия случай</w:t>
      </w:r>
      <w:r w:rsidRPr="00FD14C4">
        <w:rPr>
          <w:lang w:val="bg-BG"/>
        </w:rPr>
        <w:t xml:space="preserve"> съдът е отказал да разреши екстрадицията поради изтичането на давностните срокове в молещата държава. В другия случай (молещата държава не е предоставила необходимата документация навреме и лицето е освободено от ареста. По-късно, след получаване на документацията, българските власти са опитали да задържат повторно лицето, но то е било напуснало страната.</w:t>
      </w:r>
    </w:p>
    <w:p w14:paraId="3CD9D937" w14:textId="77777777" w:rsidR="0084086D" w:rsidRPr="00AE4FED" w:rsidRDefault="0084086D" w:rsidP="00FD14C4">
      <w:pPr>
        <w:widowControl/>
        <w:spacing w:before="120" w:after="120" w:line="260" w:lineRule="atLeast"/>
        <w:rPr>
          <w:sz w:val="20"/>
          <w:lang w:val="bg-BG"/>
        </w:rPr>
      </w:pPr>
    </w:p>
    <w:p w14:paraId="0C6EF058" w14:textId="77777777" w:rsidR="0084086D" w:rsidRPr="005D6747" w:rsidRDefault="0084086D" w:rsidP="0084086D">
      <w:pPr>
        <w:widowControl/>
        <w:spacing w:before="120" w:after="120" w:line="260" w:lineRule="atLeast"/>
        <w:rPr>
          <w:b/>
          <w:i/>
          <w:color w:val="4E81BD" w:themeColor="accent1"/>
          <w:sz w:val="20"/>
          <w:lang w:val="bg-BG"/>
        </w:rPr>
      </w:pPr>
      <w:r w:rsidRPr="005D6747">
        <w:rPr>
          <w:b/>
          <w:i/>
          <w:color w:val="4E81BD" w:themeColor="accent1"/>
          <w:sz w:val="20"/>
          <w:lang w:val="bg-BG"/>
        </w:rPr>
        <w:t>Коментар</w:t>
      </w:r>
    </w:p>
    <w:p w14:paraId="17071FE3" w14:textId="564504A6" w:rsidR="00556505" w:rsidRPr="00C46A98" w:rsidRDefault="00556505" w:rsidP="00556505">
      <w:pPr>
        <w:widowControl/>
        <w:spacing w:before="120" w:after="120" w:line="260" w:lineRule="atLeast"/>
        <w:rPr>
          <w:b/>
          <w:i/>
          <w:color w:val="000000" w:themeColor="text1"/>
          <w:sz w:val="20"/>
          <w:lang w:val="bg-BG"/>
        </w:rPr>
      </w:pPr>
      <w:r w:rsidRPr="00C46A98">
        <w:rPr>
          <w:b/>
          <w:i/>
          <w:color w:val="000000" w:themeColor="text1"/>
          <w:sz w:val="20"/>
          <w:lang w:val="bg-BG"/>
        </w:rPr>
        <w:t xml:space="preserve">Водещите проверители са сериозно обезпокоени от продължаващата липса на разкриване, разследване и </w:t>
      </w:r>
      <w:r>
        <w:rPr>
          <w:b/>
          <w:i/>
          <w:color w:val="000000" w:themeColor="text1"/>
          <w:sz w:val="20"/>
          <w:lang w:val="bg-BG"/>
        </w:rPr>
        <w:t xml:space="preserve">наказателно </w:t>
      </w:r>
      <w:r w:rsidRPr="00C46A98">
        <w:rPr>
          <w:b/>
          <w:i/>
          <w:color w:val="000000" w:themeColor="text1"/>
          <w:sz w:val="20"/>
          <w:lang w:val="bg-BG"/>
        </w:rPr>
        <w:t>преследване на случаи на подкуп</w:t>
      </w:r>
      <w:r w:rsidRPr="005D6747">
        <w:rPr>
          <w:b/>
          <w:i/>
          <w:color w:val="000000" w:themeColor="text1"/>
          <w:sz w:val="20"/>
          <w:lang w:val="bg-BG"/>
        </w:rPr>
        <w:t xml:space="preserve">ване на чужди </w:t>
      </w:r>
      <w:r w:rsidRPr="005D6747">
        <w:rPr>
          <w:b/>
          <w:i/>
          <w:color w:val="000000" w:themeColor="text1"/>
          <w:sz w:val="20"/>
          <w:lang w:val="bg-BG"/>
        </w:rPr>
        <w:lastRenderedPageBreak/>
        <w:t>длъжностни лица</w:t>
      </w:r>
      <w:r w:rsidRPr="00C46A98">
        <w:rPr>
          <w:b/>
          <w:i/>
          <w:color w:val="000000" w:themeColor="text1"/>
          <w:sz w:val="20"/>
          <w:lang w:val="bg-BG"/>
        </w:rPr>
        <w:t xml:space="preserve"> в България, особено когато твърденията се съобщават публично или се съобщават на българските власти от </w:t>
      </w:r>
      <w:r>
        <w:rPr>
          <w:b/>
          <w:i/>
          <w:color w:val="000000" w:themeColor="text1"/>
          <w:sz w:val="20"/>
          <w:lang w:val="bg-BG"/>
        </w:rPr>
        <w:t>Р</w:t>
      </w:r>
      <w:r w:rsidRPr="00C46A98">
        <w:rPr>
          <w:b/>
          <w:i/>
          <w:color w:val="000000" w:themeColor="text1"/>
          <w:sz w:val="20"/>
          <w:lang w:val="bg-BG"/>
        </w:rPr>
        <w:t>аботната група. Водещите проверители препоръчват на България</w:t>
      </w:r>
      <w:r w:rsidR="005D305C">
        <w:rPr>
          <w:b/>
          <w:i/>
          <w:color w:val="000000" w:themeColor="text1"/>
          <w:sz w:val="20"/>
          <w:lang w:val="bg-BG"/>
        </w:rPr>
        <w:t xml:space="preserve"> да повиши използването на проактивни стъпки към съб</w:t>
      </w:r>
      <w:r w:rsidR="0013109F">
        <w:rPr>
          <w:b/>
          <w:i/>
          <w:color w:val="000000" w:themeColor="text1"/>
          <w:sz w:val="20"/>
          <w:lang w:val="bg-BG"/>
        </w:rPr>
        <w:t>и</w:t>
      </w:r>
      <w:r w:rsidR="005D305C">
        <w:rPr>
          <w:b/>
          <w:i/>
          <w:color w:val="000000" w:themeColor="text1"/>
          <w:sz w:val="20"/>
          <w:lang w:val="bg-BG"/>
        </w:rPr>
        <w:t>рането на информация от различни ресурси, за да увеличи разкриването. Водещите оценители също препоръчват България да г</w:t>
      </w:r>
      <w:r w:rsidRPr="00C46A98">
        <w:rPr>
          <w:b/>
          <w:i/>
          <w:color w:val="000000" w:themeColor="text1"/>
          <w:sz w:val="20"/>
          <w:lang w:val="bg-BG"/>
        </w:rPr>
        <w:t>арантира, че всички твърдения за подкупване на чужди длъжностни лица с</w:t>
      </w:r>
      <w:r>
        <w:rPr>
          <w:b/>
          <w:i/>
          <w:color w:val="000000" w:themeColor="text1"/>
          <w:sz w:val="20"/>
          <w:lang w:val="bg-BG"/>
        </w:rPr>
        <w:t>е оценяват</w:t>
      </w:r>
      <w:r w:rsidRPr="00C46A98">
        <w:rPr>
          <w:b/>
          <w:i/>
          <w:color w:val="000000" w:themeColor="text1"/>
          <w:sz w:val="20"/>
          <w:lang w:val="bg-BG"/>
        </w:rPr>
        <w:t xml:space="preserve"> надлежно от компетентните органи и, когато е целесъобразно, </w:t>
      </w:r>
      <w:r>
        <w:rPr>
          <w:b/>
          <w:i/>
          <w:color w:val="000000" w:themeColor="text1"/>
          <w:sz w:val="20"/>
          <w:lang w:val="bg-BG"/>
        </w:rPr>
        <w:t>се образува</w:t>
      </w:r>
      <w:r w:rsidRPr="00C46A98">
        <w:rPr>
          <w:b/>
          <w:i/>
          <w:color w:val="000000" w:themeColor="text1"/>
          <w:sz w:val="20"/>
          <w:lang w:val="bg-BG"/>
        </w:rPr>
        <w:t xml:space="preserve"> досъдебно производство.</w:t>
      </w:r>
    </w:p>
    <w:p w14:paraId="075EF89F" w14:textId="77777777" w:rsidR="0084086D" w:rsidRPr="00AE4FED" w:rsidRDefault="00556505" w:rsidP="00556505">
      <w:pPr>
        <w:widowControl/>
        <w:spacing w:after="200" w:line="276" w:lineRule="auto"/>
        <w:rPr>
          <w:b/>
          <w:i/>
          <w:color w:val="000000" w:themeColor="text1"/>
          <w:sz w:val="20"/>
          <w:lang w:val="bg-BG"/>
        </w:rPr>
      </w:pPr>
      <w:r w:rsidRPr="00C46A98">
        <w:rPr>
          <w:b/>
          <w:i/>
          <w:color w:val="000000" w:themeColor="text1"/>
          <w:sz w:val="20"/>
          <w:lang w:val="bg-BG"/>
        </w:rPr>
        <w:t xml:space="preserve">Докато водещите проверители признават приоритетите на България по отношение на организираната престъпност и измамите с фондове на ЕС, България трябва да спазва задълженията си по Конвенцията </w:t>
      </w:r>
      <w:r>
        <w:rPr>
          <w:b/>
          <w:i/>
          <w:color w:val="000000" w:themeColor="text1"/>
          <w:sz w:val="20"/>
          <w:lang w:val="bg-BG"/>
        </w:rPr>
        <w:t>да противодейства на</w:t>
      </w:r>
      <w:r w:rsidRPr="00C46A98">
        <w:rPr>
          <w:b/>
          <w:i/>
          <w:color w:val="000000" w:themeColor="text1"/>
          <w:sz w:val="20"/>
          <w:lang w:val="bg-BG"/>
        </w:rPr>
        <w:t xml:space="preserve"> подкуп</w:t>
      </w:r>
      <w:r w:rsidRPr="005D6747">
        <w:rPr>
          <w:b/>
          <w:i/>
          <w:color w:val="000000" w:themeColor="text1"/>
          <w:sz w:val="20"/>
          <w:lang w:val="bg-BG"/>
        </w:rPr>
        <w:t>ването</w:t>
      </w:r>
      <w:r w:rsidRPr="00C46A98">
        <w:rPr>
          <w:b/>
          <w:i/>
          <w:color w:val="000000" w:themeColor="text1"/>
          <w:sz w:val="20"/>
          <w:lang w:val="bg-BG"/>
        </w:rPr>
        <w:t xml:space="preserve"> </w:t>
      </w:r>
      <w:r w:rsidRPr="005D6747">
        <w:rPr>
          <w:b/>
          <w:i/>
          <w:color w:val="000000" w:themeColor="text1"/>
          <w:sz w:val="20"/>
          <w:lang w:val="bg-BG"/>
        </w:rPr>
        <w:t>на чужди длъжностн</w:t>
      </w:r>
      <w:r>
        <w:rPr>
          <w:b/>
          <w:i/>
          <w:color w:val="000000" w:themeColor="text1"/>
          <w:sz w:val="20"/>
          <w:lang w:val="bg-BG"/>
        </w:rPr>
        <w:t>и</w:t>
      </w:r>
      <w:r w:rsidRPr="005D6747">
        <w:rPr>
          <w:b/>
          <w:i/>
          <w:color w:val="000000" w:themeColor="text1"/>
          <w:sz w:val="20"/>
          <w:lang w:val="bg-BG"/>
        </w:rPr>
        <w:t xml:space="preserve"> лица</w:t>
      </w:r>
      <w:r w:rsidRPr="00C46A98">
        <w:rPr>
          <w:b/>
          <w:i/>
          <w:color w:val="000000" w:themeColor="text1"/>
          <w:sz w:val="20"/>
          <w:lang w:val="bg-BG"/>
        </w:rPr>
        <w:t xml:space="preserve"> и водещите проверители препоръчват на България спешно да предприеме необходимите стъпки за повишаване на осведомеността относно рисковете за </w:t>
      </w:r>
      <w:r w:rsidRPr="005D6747">
        <w:rPr>
          <w:b/>
          <w:i/>
          <w:color w:val="000000" w:themeColor="text1"/>
          <w:sz w:val="20"/>
          <w:lang w:val="bg-BG"/>
        </w:rPr>
        <w:t xml:space="preserve">подкупване на </w:t>
      </w:r>
      <w:r w:rsidRPr="00C46A98">
        <w:rPr>
          <w:b/>
          <w:i/>
          <w:color w:val="000000" w:themeColor="text1"/>
          <w:sz w:val="20"/>
          <w:lang w:val="bg-BG"/>
        </w:rPr>
        <w:t>чужд</w:t>
      </w:r>
      <w:r>
        <w:rPr>
          <w:b/>
          <w:i/>
          <w:color w:val="000000" w:themeColor="text1"/>
          <w:sz w:val="20"/>
          <w:lang w:val="bg-BG"/>
        </w:rPr>
        <w:t>и</w:t>
      </w:r>
      <w:r w:rsidRPr="005D6747">
        <w:rPr>
          <w:b/>
          <w:i/>
          <w:color w:val="000000" w:themeColor="text1"/>
          <w:sz w:val="20"/>
          <w:lang w:val="bg-BG"/>
        </w:rPr>
        <w:t xml:space="preserve"> длъжностни лица</w:t>
      </w:r>
      <w:r w:rsidRPr="00C46A98">
        <w:rPr>
          <w:b/>
          <w:i/>
          <w:color w:val="000000" w:themeColor="text1"/>
          <w:sz w:val="20"/>
          <w:lang w:val="bg-BG"/>
        </w:rPr>
        <w:t>.</w:t>
      </w:r>
      <w:r w:rsidR="0084086D" w:rsidRPr="00AE4FED">
        <w:rPr>
          <w:b/>
          <w:i/>
          <w:lang w:val="bg-BG"/>
        </w:rPr>
        <w:br w:type="page"/>
      </w:r>
    </w:p>
    <w:p w14:paraId="6174A53B" w14:textId="77777777" w:rsidR="0084086D" w:rsidRPr="005D6747" w:rsidRDefault="0084086D" w:rsidP="001016E7">
      <w:pPr>
        <w:keepNext/>
        <w:keepLines/>
        <w:pageBreakBefore/>
        <w:framePr w:w="8397" w:h="2851" w:hRule="exact" w:wrap="notBeside" w:vAnchor="text" w:hAnchor="page" w:x="1505" w:y="-437"/>
        <w:widowControl/>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jc w:val="left"/>
        <w:outlineLvl w:val="0"/>
        <w:rPr>
          <w:rFonts w:asciiTheme="majorHAnsi" w:eastAsiaTheme="majorEastAsia" w:hAnsiTheme="majorHAnsi" w:cstheme="majorBidi"/>
          <w:b/>
          <w:color w:val="4E81BD" w:themeColor="accent5"/>
          <w:sz w:val="56"/>
          <w:szCs w:val="32"/>
          <w:lang w:val="bg-BG"/>
        </w:rPr>
      </w:pPr>
      <w:r w:rsidRPr="005D6747">
        <w:rPr>
          <w:rFonts w:asciiTheme="majorHAnsi" w:eastAsiaTheme="majorEastAsia" w:hAnsiTheme="majorHAnsi" w:cstheme="majorBidi"/>
          <w:b/>
          <w:color w:val="4E81BD" w:themeColor="accent5"/>
          <w:sz w:val="56"/>
          <w:szCs w:val="32"/>
        </w:rPr>
        <w:lastRenderedPageBreak/>
        <w:t>A</w:t>
      </w:r>
      <w:r w:rsidRPr="00AE4FED">
        <w:rPr>
          <w:rFonts w:asciiTheme="majorHAnsi" w:eastAsiaTheme="majorEastAsia" w:hAnsiTheme="majorHAnsi" w:cstheme="majorBidi"/>
          <w:b/>
          <w:color w:val="4E81BD" w:themeColor="accent5"/>
          <w:sz w:val="56"/>
          <w:szCs w:val="32"/>
          <w:lang w:val="bg-BG"/>
        </w:rPr>
        <w:t xml:space="preserve">. </w:t>
      </w:r>
      <w:r>
        <w:rPr>
          <w:rFonts w:asciiTheme="majorHAnsi" w:eastAsiaTheme="majorEastAsia" w:hAnsiTheme="majorHAnsi" w:cstheme="majorBidi"/>
          <w:b/>
          <w:color w:val="4E81BD" w:themeColor="accent5"/>
          <w:sz w:val="56"/>
          <w:szCs w:val="32"/>
          <w:lang w:val="bg-BG"/>
        </w:rPr>
        <w:t>Разкриване</w:t>
      </w:r>
      <w:r w:rsidRPr="005D6747">
        <w:rPr>
          <w:rFonts w:asciiTheme="majorHAnsi" w:eastAsiaTheme="majorEastAsia" w:hAnsiTheme="majorHAnsi" w:cstheme="majorBidi"/>
          <w:b/>
          <w:color w:val="4E81BD" w:themeColor="accent5"/>
          <w:sz w:val="56"/>
          <w:szCs w:val="32"/>
          <w:lang w:val="bg-BG"/>
        </w:rPr>
        <w:t xml:space="preserve"> на подкуп на чуждо длъжностно лице</w:t>
      </w:r>
    </w:p>
    <w:p w14:paraId="52F3AE7C" w14:textId="77777777" w:rsidR="00556505" w:rsidRPr="008C2199" w:rsidRDefault="00556505" w:rsidP="00556505">
      <w:pPr>
        <w:widowControl/>
        <w:numPr>
          <w:ilvl w:val="0"/>
          <w:numId w:val="1"/>
        </w:numPr>
        <w:spacing w:before="120" w:after="120" w:line="260" w:lineRule="atLeast"/>
        <w:rPr>
          <w:sz w:val="20"/>
          <w:lang w:val="bg-BG"/>
        </w:rPr>
      </w:pPr>
      <w:r w:rsidRPr="00220EA9">
        <w:rPr>
          <w:sz w:val="20"/>
          <w:lang w:val="bg-BG"/>
        </w:rPr>
        <w:t xml:space="preserve">От Фаза 3 има само </w:t>
      </w:r>
      <w:r>
        <w:rPr>
          <w:sz w:val="20"/>
          <w:lang w:val="bg-BG"/>
        </w:rPr>
        <w:t>едно</w:t>
      </w:r>
      <w:r w:rsidRPr="00220EA9">
        <w:rPr>
          <w:sz w:val="20"/>
          <w:lang w:val="bg-BG"/>
        </w:rPr>
        <w:t xml:space="preserve"> </w:t>
      </w:r>
      <w:r w:rsidRPr="005D6747">
        <w:rPr>
          <w:sz w:val="20"/>
          <w:lang w:val="bg-BG"/>
        </w:rPr>
        <w:t>твърдени</w:t>
      </w:r>
      <w:r>
        <w:rPr>
          <w:sz w:val="20"/>
          <w:lang w:val="bg-BG"/>
        </w:rPr>
        <w:t>е</w:t>
      </w:r>
      <w:r w:rsidRPr="00220EA9">
        <w:rPr>
          <w:sz w:val="20"/>
          <w:lang w:val="bg-BG"/>
        </w:rPr>
        <w:t xml:space="preserve"> за подкуп</w:t>
      </w:r>
      <w:r w:rsidRPr="005D6747">
        <w:rPr>
          <w:sz w:val="20"/>
          <w:lang w:val="bg-BG"/>
        </w:rPr>
        <w:t>ване на чуждо длъжностно лице</w:t>
      </w:r>
      <w:r>
        <w:rPr>
          <w:sz w:val="20"/>
          <w:lang w:val="bg-BG"/>
        </w:rPr>
        <w:t>, разкрито</w:t>
      </w:r>
      <w:r w:rsidRPr="00220EA9">
        <w:rPr>
          <w:sz w:val="20"/>
          <w:lang w:val="bg-BG"/>
        </w:rPr>
        <w:t xml:space="preserve"> от българските власти</w:t>
      </w:r>
      <w:r>
        <w:rPr>
          <w:sz w:val="20"/>
          <w:lang w:val="bg-BG"/>
        </w:rPr>
        <w:t xml:space="preserve"> чрез искане за международна правна помощ от друга страна по Конвенцията (</w:t>
      </w:r>
      <w:r w:rsidRPr="00D62E3F">
        <w:rPr>
          <w:b/>
          <w:sz w:val="20"/>
          <w:szCs w:val="20"/>
          <w:lang w:val="bg-BG"/>
        </w:rPr>
        <w:t>случа</w:t>
      </w:r>
      <w:r>
        <w:rPr>
          <w:b/>
          <w:sz w:val="20"/>
          <w:szCs w:val="20"/>
          <w:lang w:val="bg-BG"/>
        </w:rPr>
        <w:t xml:space="preserve">я с </w:t>
      </w:r>
      <w:r w:rsidRPr="00D62E3F">
        <w:rPr>
          <w:b/>
          <w:sz w:val="20"/>
          <w:szCs w:val="20"/>
          <w:lang w:val="bg-BG"/>
        </w:rPr>
        <w:t>фондове на ЕС</w:t>
      </w:r>
      <w:r>
        <w:rPr>
          <w:b/>
          <w:sz w:val="20"/>
          <w:szCs w:val="20"/>
          <w:lang w:val="bg-BG"/>
        </w:rPr>
        <w:t>)</w:t>
      </w:r>
      <w:r>
        <w:rPr>
          <w:sz w:val="20"/>
          <w:lang w:val="bg-BG"/>
        </w:rPr>
        <w:t>.</w:t>
      </w:r>
      <w:r w:rsidRPr="000D50A2">
        <w:rPr>
          <w:sz w:val="20"/>
          <w:lang w:val="bg-BG"/>
        </w:rPr>
        <w:t xml:space="preserve"> В светлината на толкова малко случаи разкриването на т</w:t>
      </w:r>
      <w:r>
        <w:rPr>
          <w:sz w:val="20"/>
          <w:lang w:val="bg-BG"/>
        </w:rPr>
        <w:t>в</w:t>
      </w:r>
      <w:r w:rsidRPr="000D50A2">
        <w:rPr>
          <w:sz w:val="20"/>
          <w:lang w:val="bg-BG"/>
        </w:rPr>
        <w:t>ърдения за подкупване на чуждо длъжностно лице в България сериозно липсва и българските власти трябва да увеличат усилията си в това отношение</w:t>
      </w:r>
      <w:r>
        <w:rPr>
          <w:sz w:val="20"/>
          <w:lang w:val="bg-BG"/>
        </w:rPr>
        <w:t>,</w:t>
      </w:r>
      <w:r w:rsidRPr="000D50A2">
        <w:rPr>
          <w:sz w:val="20"/>
          <w:lang w:val="bg-BG"/>
        </w:rPr>
        <w:t xml:space="preserve"> </w:t>
      </w:r>
      <w:r>
        <w:rPr>
          <w:sz w:val="20"/>
          <w:lang w:val="bg-BG"/>
        </w:rPr>
        <w:t xml:space="preserve">като използва </w:t>
      </w:r>
      <w:r w:rsidRPr="000D50A2">
        <w:rPr>
          <w:sz w:val="20"/>
          <w:lang w:val="bg-BG"/>
        </w:rPr>
        <w:t>всички източници за разкриване.</w:t>
      </w:r>
    </w:p>
    <w:p w14:paraId="6979B405" w14:textId="77777777" w:rsidR="00556505" w:rsidRPr="00220EA9" w:rsidRDefault="00556505" w:rsidP="00556505">
      <w:pPr>
        <w:widowControl/>
        <w:numPr>
          <w:ilvl w:val="0"/>
          <w:numId w:val="1"/>
        </w:numPr>
        <w:spacing w:before="120" w:after="120" w:line="260" w:lineRule="atLeast"/>
        <w:rPr>
          <w:sz w:val="20"/>
          <w:lang w:val="bg-BG"/>
        </w:rPr>
      </w:pPr>
      <w:r w:rsidRPr="00220EA9">
        <w:rPr>
          <w:sz w:val="20"/>
          <w:lang w:val="bg-BG"/>
        </w:rPr>
        <w:t>Във Фаза 3</w:t>
      </w:r>
      <w:r>
        <w:rPr>
          <w:sz w:val="20"/>
          <w:lang w:val="bg-BG"/>
        </w:rPr>
        <w:t xml:space="preserve"> (параграф 113)</w:t>
      </w:r>
      <w:r w:rsidRPr="00220EA9">
        <w:rPr>
          <w:sz w:val="20"/>
          <w:lang w:val="bg-BG"/>
        </w:rPr>
        <w:t xml:space="preserve"> </w:t>
      </w:r>
      <w:r w:rsidRPr="005D6747">
        <w:rPr>
          <w:sz w:val="20"/>
          <w:lang w:val="bg-BG"/>
        </w:rPr>
        <w:t>Р</w:t>
      </w:r>
      <w:r w:rsidRPr="00220EA9">
        <w:rPr>
          <w:sz w:val="20"/>
          <w:lang w:val="bg-BG"/>
        </w:rPr>
        <w:t xml:space="preserve">аботната група отбеляза липсата на осведоменост относно рисковете от подкупване на чужди длъжностни лица сред </w:t>
      </w:r>
      <w:r w:rsidRPr="005D6747">
        <w:rPr>
          <w:sz w:val="20"/>
          <w:lang w:val="bg-BG"/>
        </w:rPr>
        <w:t>длъжностните лица</w:t>
      </w:r>
      <w:r w:rsidRPr="00220EA9">
        <w:rPr>
          <w:sz w:val="20"/>
          <w:lang w:val="bg-BG"/>
        </w:rPr>
        <w:t xml:space="preserve"> и в частния сектор и че </w:t>
      </w:r>
      <w:r>
        <w:rPr>
          <w:sz w:val="20"/>
          <w:lang w:val="bg-BG"/>
        </w:rPr>
        <w:t>не се приоритизира достатъчно</w:t>
      </w:r>
      <w:r w:rsidRPr="00220EA9">
        <w:rPr>
          <w:sz w:val="20"/>
          <w:lang w:val="bg-BG"/>
        </w:rPr>
        <w:t xml:space="preserve"> предотвратяването и разкриването на </w:t>
      </w:r>
      <w:r w:rsidRPr="005D6747">
        <w:rPr>
          <w:sz w:val="20"/>
          <w:lang w:val="bg-BG"/>
        </w:rPr>
        <w:t>случаи на подкуп на чужди длъжностни лица</w:t>
      </w:r>
      <w:r w:rsidRPr="00220EA9">
        <w:rPr>
          <w:sz w:val="20"/>
          <w:lang w:val="bg-BG"/>
        </w:rPr>
        <w:t xml:space="preserve">. Изглежда, че това не се е променило от Фаза 3, въпреки че Работната група признава, че усилията на България са </w:t>
      </w:r>
      <w:r>
        <w:rPr>
          <w:sz w:val="20"/>
          <w:lang w:val="bg-BG"/>
        </w:rPr>
        <w:t xml:space="preserve">били </w:t>
      </w:r>
      <w:r w:rsidRPr="00220EA9">
        <w:rPr>
          <w:sz w:val="20"/>
          <w:lang w:val="bg-BG"/>
        </w:rPr>
        <w:t>насочени към борба с</w:t>
      </w:r>
      <w:r w:rsidRPr="005D6747">
        <w:rPr>
          <w:sz w:val="20"/>
          <w:lang w:val="bg-BG"/>
        </w:rPr>
        <w:t xml:space="preserve"> вътрешната </w:t>
      </w:r>
      <w:r w:rsidRPr="00220EA9">
        <w:rPr>
          <w:sz w:val="20"/>
          <w:lang w:val="bg-BG"/>
        </w:rPr>
        <w:t>корупция и организираната престъпност.</w:t>
      </w:r>
    </w:p>
    <w:p w14:paraId="7CFC1002" w14:textId="77777777" w:rsidR="0084086D" w:rsidRPr="00220EA9" w:rsidRDefault="0084086D" w:rsidP="0084086D">
      <w:pPr>
        <w:keepNext/>
        <w:widowControl/>
        <w:numPr>
          <w:ilvl w:val="1"/>
          <w:numId w:val="8"/>
        </w:numPr>
        <w:spacing w:before="440" w:after="240" w:line="320" w:lineRule="exact"/>
        <w:jc w:val="left"/>
        <w:outlineLvl w:val="1"/>
        <w:rPr>
          <w:rFonts w:eastAsiaTheme="majorEastAsia" w:cstheme="majorBidi"/>
          <w:b/>
          <w:color w:val="4E81BD" w:themeColor="accent1"/>
          <w:sz w:val="24"/>
          <w:szCs w:val="26"/>
          <w:lang w:val="bg-BG"/>
        </w:rPr>
      </w:pPr>
      <w:r w:rsidRPr="00220EA9">
        <w:rPr>
          <w:rFonts w:eastAsiaTheme="majorEastAsia" w:cstheme="majorBidi"/>
          <w:b/>
          <w:color w:val="4E81BD" w:themeColor="accent1"/>
          <w:sz w:val="24"/>
          <w:szCs w:val="26"/>
          <w:lang w:val="bg-BG"/>
        </w:rPr>
        <w:t xml:space="preserve">Капацитетът на България да </w:t>
      </w:r>
      <w:r w:rsidR="00556505">
        <w:rPr>
          <w:rFonts w:eastAsiaTheme="majorEastAsia" w:cstheme="majorBidi"/>
          <w:b/>
          <w:color w:val="4E81BD" w:themeColor="accent1"/>
          <w:sz w:val="24"/>
          <w:szCs w:val="26"/>
          <w:lang w:val="bg-BG"/>
        </w:rPr>
        <w:t>разкрива</w:t>
      </w:r>
      <w:r w:rsidRPr="00220EA9">
        <w:rPr>
          <w:rFonts w:eastAsiaTheme="majorEastAsia" w:cstheme="majorBidi"/>
          <w:b/>
          <w:color w:val="4E81BD" w:themeColor="accent1"/>
          <w:sz w:val="24"/>
          <w:szCs w:val="26"/>
          <w:lang w:val="bg-BG"/>
        </w:rPr>
        <w:t xml:space="preserve"> подкуп</w:t>
      </w:r>
      <w:r w:rsidR="00556505">
        <w:rPr>
          <w:rFonts w:eastAsiaTheme="majorEastAsia" w:cstheme="majorBidi"/>
          <w:b/>
          <w:color w:val="4E81BD" w:themeColor="accent1"/>
          <w:sz w:val="24"/>
          <w:szCs w:val="26"/>
          <w:lang w:val="bg-BG"/>
        </w:rPr>
        <w:t>и</w:t>
      </w:r>
      <w:r w:rsidRPr="00220EA9">
        <w:rPr>
          <w:rFonts w:eastAsiaTheme="majorEastAsia" w:cstheme="majorBidi"/>
          <w:b/>
          <w:color w:val="4E81BD" w:themeColor="accent1"/>
          <w:sz w:val="24"/>
          <w:szCs w:val="26"/>
          <w:lang w:val="bg-BG"/>
        </w:rPr>
        <w:t xml:space="preserve"> на чужди</w:t>
      </w:r>
      <w:r w:rsidRPr="005D6747">
        <w:rPr>
          <w:rFonts w:eastAsiaTheme="majorEastAsia" w:cstheme="majorBidi"/>
          <w:b/>
          <w:color w:val="4E81BD" w:themeColor="accent1"/>
          <w:sz w:val="24"/>
          <w:szCs w:val="26"/>
          <w:lang w:val="bg-BG"/>
        </w:rPr>
        <w:t xml:space="preserve"> длъжностни лица</w:t>
      </w:r>
      <w:r w:rsidRPr="00220EA9">
        <w:rPr>
          <w:rFonts w:eastAsiaTheme="majorEastAsia" w:cstheme="majorBidi"/>
          <w:b/>
          <w:color w:val="4E81BD" w:themeColor="accent1"/>
          <w:sz w:val="24"/>
          <w:szCs w:val="26"/>
          <w:lang w:val="bg-BG"/>
        </w:rPr>
        <w:t xml:space="preserve"> чрез своята рамка за борба с </w:t>
      </w:r>
      <w:r w:rsidR="00556505">
        <w:rPr>
          <w:rFonts w:eastAsiaTheme="majorEastAsia" w:cstheme="majorBidi"/>
          <w:b/>
          <w:color w:val="4E81BD" w:themeColor="accent1"/>
          <w:sz w:val="24"/>
          <w:szCs w:val="26"/>
          <w:lang w:val="bg-BG"/>
        </w:rPr>
        <w:t>из</w:t>
      </w:r>
      <w:r w:rsidRPr="005D6747">
        <w:rPr>
          <w:rFonts w:eastAsiaTheme="majorEastAsia" w:cstheme="majorBidi"/>
          <w:b/>
          <w:color w:val="4E81BD" w:themeColor="accent1"/>
          <w:sz w:val="24"/>
          <w:szCs w:val="26"/>
          <w:lang w:val="bg-BG"/>
        </w:rPr>
        <w:t>п</w:t>
      </w:r>
      <w:r w:rsidR="00556505">
        <w:rPr>
          <w:rFonts w:eastAsiaTheme="majorEastAsia" w:cstheme="majorBidi"/>
          <w:b/>
          <w:color w:val="4E81BD" w:themeColor="accent1"/>
          <w:sz w:val="24"/>
          <w:szCs w:val="26"/>
          <w:lang w:val="bg-BG"/>
        </w:rPr>
        <w:t>и</w:t>
      </w:r>
      <w:r w:rsidRPr="005D6747">
        <w:rPr>
          <w:rFonts w:eastAsiaTheme="majorEastAsia" w:cstheme="majorBidi"/>
          <w:b/>
          <w:color w:val="4E81BD" w:themeColor="accent1"/>
          <w:sz w:val="24"/>
          <w:szCs w:val="26"/>
          <w:lang w:val="bg-BG"/>
        </w:rPr>
        <w:t xml:space="preserve">рането на </w:t>
      </w:r>
      <w:r w:rsidRPr="00220EA9">
        <w:rPr>
          <w:rFonts w:eastAsiaTheme="majorEastAsia" w:cstheme="majorBidi"/>
          <w:b/>
          <w:color w:val="4E81BD" w:themeColor="accent1"/>
          <w:sz w:val="24"/>
          <w:szCs w:val="26"/>
          <w:lang w:val="bg-BG"/>
        </w:rPr>
        <w:t>пари (</w:t>
      </w:r>
      <w:r w:rsidRPr="005D6747">
        <w:rPr>
          <w:rFonts w:eastAsiaTheme="majorEastAsia" w:cstheme="majorBidi"/>
          <w:b/>
          <w:color w:val="4E81BD" w:themeColor="accent1"/>
          <w:sz w:val="24"/>
          <w:szCs w:val="26"/>
        </w:rPr>
        <w:t>AML</w:t>
      </w:r>
      <w:r w:rsidRPr="00220EA9">
        <w:rPr>
          <w:rFonts w:eastAsiaTheme="majorEastAsia" w:cstheme="majorBidi"/>
          <w:b/>
          <w:color w:val="4E81BD" w:themeColor="accent1"/>
          <w:sz w:val="24"/>
          <w:szCs w:val="26"/>
          <w:lang w:val="bg-BG"/>
        </w:rPr>
        <w:t>)</w:t>
      </w:r>
    </w:p>
    <w:p w14:paraId="6CFF2804" w14:textId="77777777" w:rsidR="00556505" w:rsidRPr="00220EA9" w:rsidRDefault="00556505" w:rsidP="00556505">
      <w:pPr>
        <w:widowControl/>
        <w:numPr>
          <w:ilvl w:val="0"/>
          <w:numId w:val="1"/>
        </w:numPr>
        <w:spacing w:before="120" w:after="120" w:line="260" w:lineRule="atLeast"/>
        <w:rPr>
          <w:sz w:val="20"/>
          <w:lang w:val="bg-BG"/>
        </w:rPr>
      </w:pPr>
      <w:r w:rsidRPr="00220EA9">
        <w:rPr>
          <w:sz w:val="20"/>
          <w:lang w:val="bg-BG"/>
        </w:rPr>
        <w:t xml:space="preserve">Във Фаза 3 няма препоръки или последващи въпроси във връзка с изпирането на пари или </w:t>
      </w:r>
      <w:r>
        <w:rPr>
          <w:sz w:val="20"/>
          <w:lang w:val="bg-BG"/>
        </w:rPr>
        <w:t>З</w:t>
      </w:r>
      <w:r w:rsidRPr="00220EA9">
        <w:rPr>
          <w:sz w:val="20"/>
          <w:lang w:val="bg-BG"/>
        </w:rPr>
        <w:t>веното за финансово разузнаване</w:t>
      </w:r>
      <w:r>
        <w:rPr>
          <w:sz w:val="20"/>
          <w:lang w:val="bg-BG"/>
        </w:rPr>
        <w:t xml:space="preserve"> (ЗФР)</w:t>
      </w:r>
      <w:r w:rsidRPr="00220EA9">
        <w:rPr>
          <w:sz w:val="20"/>
          <w:lang w:val="bg-BG"/>
        </w:rPr>
        <w:t xml:space="preserve">, но ефективна рамка за </w:t>
      </w:r>
      <w:r>
        <w:rPr>
          <w:sz w:val="20"/>
          <w:lang w:val="bg-BG"/>
        </w:rPr>
        <w:t xml:space="preserve">борба с </w:t>
      </w:r>
      <w:r w:rsidRPr="00220EA9">
        <w:rPr>
          <w:sz w:val="20"/>
          <w:lang w:val="bg-BG"/>
        </w:rPr>
        <w:t>изпиране</w:t>
      </w:r>
      <w:r>
        <w:rPr>
          <w:sz w:val="20"/>
          <w:lang w:val="bg-BG"/>
        </w:rPr>
        <w:t>то</w:t>
      </w:r>
      <w:r w:rsidRPr="00220EA9">
        <w:rPr>
          <w:sz w:val="20"/>
          <w:lang w:val="bg-BG"/>
        </w:rPr>
        <w:t xml:space="preserve"> на пари може да помогне за разкриване на случаи на подкуп</w:t>
      </w:r>
      <w:r w:rsidRPr="005D6747">
        <w:rPr>
          <w:sz w:val="20"/>
          <w:lang w:val="bg-BG"/>
        </w:rPr>
        <w:t xml:space="preserve"> на чужди длъжностнии лица</w:t>
      </w:r>
      <w:r w:rsidRPr="00220EA9">
        <w:rPr>
          <w:sz w:val="20"/>
          <w:lang w:val="bg-BG"/>
        </w:rPr>
        <w:t xml:space="preserve">. </w:t>
      </w:r>
      <w:r>
        <w:rPr>
          <w:sz w:val="20"/>
          <w:lang w:val="bg-BG"/>
        </w:rPr>
        <w:t>Престъплението</w:t>
      </w:r>
      <w:r w:rsidRPr="00220EA9">
        <w:rPr>
          <w:sz w:val="20"/>
          <w:lang w:val="bg-BG"/>
        </w:rPr>
        <w:t xml:space="preserve">  изпиране на пари и други въпроси са обсъдени </w:t>
      </w:r>
      <w:r w:rsidRPr="005D6747">
        <w:rPr>
          <w:sz w:val="20"/>
          <w:lang w:val="bg-BG"/>
        </w:rPr>
        <w:t>на по-късен етап</w:t>
      </w:r>
      <w:r w:rsidRPr="00220EA9">
        <w:rPr>
          <w:sz w:val="20"/>
          <w:lang w:val="bg-BG"/>
        </w:rPr>
        <w:t xml:space="preserve"> в този доклад (вж. част </w:t>
      </w:r>
      <w:r w:rsidRPr="005D6747">
        <w:rPr>
          <w:sz w:val="20"/>
        </w:rPr>
        <w:t>B</w:t>
      </w:r>
      <w:r>
        <w:rPr>
          <w:sz w:val="20"/>
          <w:lang w:val="bg-BG"/>
        </w:rPr>
        <w:t>.3 (с)</w:t>
      </w:r>
      <w:r w:rsidRPr="00220EA9">
        <w:rPr>
          <w:sz w:val="20"/>
          <w:lang w:val="bg-BG"/>
        </w:rPr>
        <w:t xml:space="preserve"> по -долу).</w:t>
      </w:r>
    </w:p>
    <w:p w14:paraId="13AF1512" w14:textId="77777777" w:rsidR="00556505" w:rsidRPr="00556505" w:rsidRDefault="00556505" w:rsidP="00556505">
      <w:pPr>
        <w:pStyle w:val="Para"/>
        <w:rPr>
          <w:lang w:val="bg-BG"/>
        </w:rPr>
      </w:pPr>
      <w:r w:rsidRPr="00556505">
        <w:rPr>
          <w:lang w:val="bg-BG"/>
        </w:rPr>
        <w:t xml:space="preserve">Както бе отбелязано във Фаза 3, всяко престъпление по Наказателния кодекс (НК), включително подкупа на чужди длъжностни лица, се квалифицира като предикатно престъпление за целите на изпирането на пари. След Фаза 3 България прие нов закон - Закона за мерките срещу изпирането на пари (ЗМИП). ЗМИП предвижда широк набор от мерки за превенция на използването на финансовата система за целите на изпирането на пари (член 1 от ЗМИП), например, </w:t>
      </w:r>
      <w:r>
        <w:rPr>
          <w:lang w:val="bg-BG"/>
        </w:rPr>
        <w:t>комплексна</w:t>
      </w:r>
      <w:r w:rsidRPr="00556505">
        <w:rPr>
          <w:lang w:val="bg-BG"/>
        </w:rPr>
        <w:t xml:space="preserve"> проверка на клиентите, оценка на рисковете от изпиране на пари, разкриване на съмнителни сделки и обмен на информация както в страната, така и в международен план. </w:t>
      </w:r>
    </w:p>
    <w:p w14:paraId="3EC81181" w14:textId="77777777" w:rsidR="00556505" w:rsidRDefault="00556505" w:rsidP="00556505">
      <w:pPr>
        <w:pStyle w:val="Para"/>
        <w:rPr>
          <w:lang w:val="bg-BG"/>
        </w:rPr>
      </w:pPr>
      <w:r w:rsidRPr="00556505">
        <w:rPr>
          <w:lang w:val="bg-BG"/>
        </w:rPr>
        <w:t xml:space="preserve">ЗМИП определя много широк кръг субекти (известни като „задължени лица“), които са длъжни да докладват съмнителни сделки на българското звено за финансово разузнаване (ЗФР) (дирекция "Финансово разузнаване" на Държавна агенция "Национална сигурност") (член 4 от ЗМИП). Първоначално е имало близо 40 категории задължени лица и те включват доставчици на платежни услуги, финансови институции, обменни бюра, застрахователи, регистрирани одитори, счетоводители, адвокати (при някои обстоятелства), агенти на недвижими имоти и търговци на произведения на изкуството. Категориите включват и държавни агенции, например НАП и митническите органи. По време на виртуалното посещение обаче беше потвърдено, че тези последни категории задължени лица са заличени поради различни причини, включително в светлината на новата Национална оценка на риска и чрез изменения в ЗМИП, тъй като те нямат </w:t>
      </w:r>
      <w:r w:rsidRPr="00556505">
        <w:rPr>
          <w:lang w:val="bg-BG"/>
        </w:rPr>
        <w:lastRenderedPageBreak/>
        <w:t>„клиенти“, за които да се отнасят повечето мерки, включително „</w:t>
      </w:r>
      <w:r>
        <w:rPr>
          <w:lang w:val="bg-BG"/>
        </w:rPr>
        <w:t>комплексната</w:t>
      </w:r>
      <w:r w:rsidRPr="00556505">
        <w:rPr>
          <w:lang w:val="bg-BG"/>
        </w:rPr>
        <w:t xml:space="preserve"> проверка на клиентите“. Тези субекти обаче все още са задължени да съобщават за съмнителни сделки.</w:t>
      </w:r>
    </w:p>
    <w:p w14:paraId="1C546406" w14:textId="77777777" w:rsidR="00556505" w:rsidRPr="00220EA9" w:rsidRDefault="00556505" w:rsidP="00556505">
      <w:pPr>
        <w:widowControl/>
        <w:numPr>
          <w:ilvl w:val="0"/>
          <w:numId w:val="1"/>
        </w:numPr>
        <w:spacing w:before="120" w:after="120" w:line="260" w:lineRule="atLeast"/>
        <w:rPr>
          <w:sz w:val="20"/>
          <w:lang w:val="bg-BG"/>
        </w:rPr>
      </w:pPr>
      <w:r w:rsidRPr="00220EA9">
        <w:rPr>
          <w:sz w:val="20"/>
          <w:lang w:val="bg-BG"/>
        </w:rPr>
        <w:t xml:space="preserve">Задължените лица по </w:t>
      </w:r>
      <w:r w:rsidRPr="005D6747">
        <w:rPr>
          <w:sz w:val="20"/>
          <w:lang w:val="bg-BG"/>
        </w:rPr>
        <w:t>ЗМИП</w:t>
      </w:r>
      <w:r w:rsidRPr="00220EA9">
        <w:rPr>
          <w:sz w:val="20"/>
          <w:lang w:val="bg-BG"/>
        </w:rPr>
        <w:t xml:space="preserve"> имат задължение да прилагат мерките, предвидени в член 3 (напр. </w:t>
      </w:r>
      <w:r>
        <w:rPr>
          <w:sz w:val="20"/>
          <w:lang w:val="bg-BG"/>
        </w:rPr>
        <w:t>надлежна проверка на клиентите</w:t>
      </w:r>
      <w:r w:rsidRPr="00220EA9">
        <w:rPr>
          <w:sz w:val="20"/>
          <w:lang w:val="bg-BG"/>
        </w:rPr>
        <w:t xml:space="preserve"> и доклади за </w:t>
      </w:r>
      <w:r w:rsidRPr="005D6747">
        <w:rPr>
          <w:sz w:val="20"/>
          <w:lang w:val="bg-BG"/>
        </w:rPr>
        <w:t>съмнителни сделки</w:t>
      </w:r>
      <w:r w:rsidRPr="00220EA9">
        <w:rPr>
          <w:sz w:val="20"/>
          <w:lang w:val="bg-BG"/>
        </w:rPr>
        <w:t xml:space="preserve"> (ДСС)) и, съгласно член 72, са длъжни да уведомяват незабавно ДФР-</w:t>
      </w:r>
      <w:r w:rsidRPr="005D6747">
        <w:rPr>
          <w:sz w:val="20"/>
          <w:lang w:val="bg-BG"/>
        </w:rPr>
        <w:t>ДАНС</w:t>
      </w:r>
      <w:r w:rsidRPr="00220EA9">
        <w:rPr>
          <w:sz w:val="20"/>
          <w:lang w:val="bg-BG"/>
        </w:rPr>
        <w:t xml:space="preserve"> когато има съмнение за </w:t>
      </w:r>
      <w:r>
        <w:rPr>
          <w:sz w:val="20"/>
          <w:lang w:val="bg-BG"/>
        </w:rPr>
        <w:t>изпиране</w:t>
      </w:r>
      <w:r w:rsidRPr="00220EA9">
        <w:rPr>
          <w:sz w:val="20"/>
          <w:lang w:val="bg-BG"/>
        </w:rPr>
        <w:t xml:space="preserve"> на </w:t>
      </w:r>
      <w:r w:rsidRPr="005D6747">
        <w:rPr>
          <w:sz w:val="20"/>
          <w:lang w:val="bg-BG"/>
        </w:rPr>
        <w:t xml:space="preserve">пари </w:t>
      </w:r>
      <w:r w:rsidRPr="00220EA9">
        <w:rPr>
          <w:sz w:val="20"/>
          <w:lang w:val="bg-BG"/>
        </w:rPr>
        <w:t xml:space="preserve">и/или </w:t>
      </w:r>
      <w:r>
        <w:rPr>
          <w:sz w:val="20"/>
          <w:lang w:val="bg-BG"/>
        </w:rPr>
        <w:t>за наличие на средства с престъпен произход</w:t>
      </w:r>
      <w:r w:rsidRPr="00220EA9">
        <w:rPr>
          <w:sz w:val="20"/>
          <w:lang w:val="bg-BG"/>
        </w:rPr>
        <w:t xml:space="preserve">. </w:t>
      </w:r>
      <w:r w:rsidRPr="005D6747">
        <w:rPr>
          <w:sz w:val="20"/>
          <w:lang w:val="bg-BG"/>
        </w:rPr>
        <w:t>ДФР</w:t>
      </w:r>
      <w:r w:rsidRPr="00220EA9">
        <w:rPr>
          <w:sz w:val="20"/>
          <w:lang w:val="bg-BG"/>
        </w:rPr>
        <w:t>-</w:t>
      </w:r>
      <w:r w:rsidRPr="005D6747">
        <w:rPr>
          <w:sz w:val="20"/>
          <w:lang w:val="bg-BG"/>
        </w:rPr>
        <w:t>ДАНС</w:t>
      </w:r>
      <w:r w:rsidRPr="00220EA9">
        <w:rPr>
          <w:sz w:val="20"/>
          <w:lang w:val="bg-BG"/>
        </w:rPr>
        <w:t xml:space="preserve"> е издал полезни насоки за докладване на въпроси по член 72 </w:t>
      </w:r>
      <w:r w:rsidRPr="005D6747">
        <w:rPr>
          <w:sz w:val="20"/>
          <w:lang w:val="bg-BG"/>
        </w:rPr>
        <w:t>от ЗМИП.</w:t>
      </w:r>
      <w:r w:rsidRPr="00220EA9">
        <w:rPr>
          <w:sz w:val="20"/>
          <w:lang w:val="bg-BG"/>
        </w:rPr>
        <w:t xml:space="preserve"> </w:t>
      </w:r>
    </w:p>
    <w:p w14:paraId="6C8DEBB4" w14:textId="77777777" w:rsidR="00556505" w:rsidRPr="00220EA9" w:rsidRDefault="00556505" w:rsidP="00556505">
      <w:pPr>
        <w:widowControl/>
        <w:numPr>
          <w:ilvl w:val="0"/>
          <w:numId w:val="1"/>
        </w:numPr>
        <w:spacing w:before="120" w:after="120" w:line="260" w:lineRule="atLeast"/>
        <w:rPr>
          <w:sz w:val="20"/>
          <w:lang w:val="bg-BG"/>
        </w:rPr>
      </w:pPr>
      <w:r w:rsidRPr="00220EA9">
        <w:rPr>
          <w:sz w:val="20"/>
          <w:lang w:val="bg-BG"/>
        </w:rPr>
        <w:t xml:space="preserve">От 2017 г. броят на </w:t>
      </w:r>
      <w:r>
        <w:rPr>
          <w:sz w:val="20"/>
          <w:lang w:val="bg-BG"/>
        </w:rPr>
        <w:t>ДСС</w:t>
      </w:r>
      <w:r w:rsidRPr="00220EA9">
        <w:rPr>
          <w:sz w:val="20"/>
          <w:lang w:val="bg-BG"/>
        </w:rPr>
        <w:t xml:space="preserve">, подадени в </w:t>
      </w:r>
      <w:r w:rsidRPr="005D6747">
        <w:rPr>
          <w:sz w:val="20"/>
          <w:lang w:val="bg-BG"/>
        </w:rPr>
        <w:t>ДФР-ДАНС</w:t>
      </w:r>
      <w:r w:rsidRPr="00220EA9">
        <w:rPr>
          <w:sz w:val="20"/>
          <w:lang w:val="bg-BG"/>
        </w:rPr>
        <w:t xml:space="preserve">, се е увеличил с над 60%, от 3 065 през 2017 г. до 4 944 през 2020 г. България обаче не е в състояние да предостави точна статистика за доклади за съмнителни </w:t>
      </w:r>
      <w:r w:rsidRPr="005D6747">
        <w:rPr>
          <w:sz w:val="20"/>
          <w:lang w:val="bg-BG"/>
        </w:rPr>
        <w:t>сделки</w:t>
      </w:r>
      <w:r w:rsidRPr="00220EA9">
        <w:rPr>
          <w:sz w:val="20"/>
          <w:lang w:val="bg-BG"/>
        </w:rPr>
        <w:t xml:space="preserve"> за </w:t>
      </w:r>
      <w:r w:rsidRPr="005D6747">
        <w:rPr>
          <w:sz w:val="20"/>
          <w:lang w:val="bg-BG"/>
        </w:rPr>
        <w:t>подку</w:t>
      </w:r>
      <w:r>
        <w:rPr>
          <w:sz w:val="20"/>
          <w:lang w:val="bg-BG"/>
        </w:rPr>
        <w:t>п</w:t>
      </w:r>
      <w:r w:rsidRPr="005D6747">
        <w:rPr>
          <w:sz w:val="20"/>
          <w:lang w:val="bg-BG"/>
        </w:rPr>
        <w:t xml:space="preserve"> на чужди длъжностни лица, тъй като</w:t>
      </w:r>
      <w:r w:rsidRPr="00220EA9">
        <w:rPr>
          <w:sz w:val="20"/>
          <w:lang w:val="bg-BG"/>
        </w:rPr>
        <w:t xml:space="preserve"> софтуера, който се изпо</w:t>
      </w:r>
      <w:r>
        <w:rPr>
          <w:sz w:val="20"/>
          <w:lang w:val="bg-BG"/>
        </w:rPr>
        <w:t>лзв</w:t>
      </w:r>
      <w:r w:rsidRPr="00220EA9">
        <w:rPr>
          <w:sz w:val="20"/>
          <w:lang w:val="bg-BG"/>
        </w:rPr>
        <w:t>а от ДФР-ДАНС не позволява търсене</w:t>
      </w:r>
      <w:r w:rsidRPr="005D6747">
        <w:rPr>
          <w:sz w:val="20"/>
          <w:lang w:val="bg-BG"/>
        </w:rPr>
        <w:t>,</w:t>
      </w:r>
      <w:r w:rsidRPr="00220EA9">
        <w:rPr>
          <w:sz w:val="20"/>
          <w:lang w:val="bg-BG"/>
        </w:rPr>
        <w:t xml:space="preserve"> поради липса на функционалност. Вместо това България заявява, че преглед на получените съобщения за </w:t>
      </w:r>
      <w:r w:rsidRPr="005D6747">
        <w:rPr>
          <w:sz w:val="20"/>
          <w:lang w:val="bg-BG"/>
        </w:rPr>
        <w:t>съмнителни сделки</w:t>
      </w:r>
      <w:r w:rsidRPr="00220EA9">
        <w:rPr>
          <w:sz w:val="20"/>
          <w:lang w:val="bg-BG"/>
        </w:rPr>
        <w:t xml:space="preserve"> показва, че има случаи, потенциално свързани с корупционни практики, включително подкуп във връзка с обществени поръчки.</w:t>
      </w:r>
    </w:p>
    <w:p w14:paraId="1B985B11" w14:textId="77777777" w:rsidR="00556505" w:rsidRPr="00220EA9" w:rsidRDefault="00556505" w:rsidP="00556505">
      <w:pPr>
        <w:pStyle w:val="Para"/>
        <w:rPr>
          <w:lang w:val="bg-BG"/>
        </w:rPr>
      </w:pPr>
      <w:r w:rsidRPr="00220EA9">
        <w:rPr>
          <w:lang w:val="bg-BG"/>
        </w:rPr>
        <w:t>По време на виртуалн</w:t>
      </w:r>
      <w:r>
        <w:rPr>
          <w:lang w:val="bg-BG"/>
        </w:rPr>
        <w:t xml:space="preserve">ото посещение </w:t>
      </w:r>
      <w:r w:rsidRPr="00220EA9">
        <w:rPr>
          <w:lang w:val="bg-BG"/>
        </w:rPr>
        <w:t xml:space="preserve">задължените лица заявиха, че понастоящем подават ДСС ръчно по имейл и няма автоматизирана система за </w:t>
      </w:r>
      <w:r>
        <w:rPr>
          <w:lang w:val="bg-BG"/>
        </w:rPr>
        <w:t>докладване</w:t>
      </w:r>
      <w:r w:rsidRPr="00220EA9">
        <w:rPr>
          <w:lang w:val="bg-BG"/>
        </w:rPr>
        <w:t xml:space="preserve">, въпреки че ДФР-ДАНС заяви при </w:t>
      </w:r>
      <w:r w:rsidR="00CD1C55">
        <w:rPr>
          <w:lang w:val="bg-BG"/>
        </w:rPr>
        <w:t>виртуалното посещение</w:t>
      </w:r>
      <w:r w:rsidRPr="00220EA9">
        <w:rPr>
          <w:lang w:val="bg-BG"/>
        </w:rPr>
        <w:t>, че иска да внедр</w:t>
      </w:r>
      <w:r>
        <w:rPr>
          <w:lang w:val="bg-BG"/>
        </w:rPr>
        <w:t>и</w:t>
      </w:r>
      <w:r w:rsidRPr="00220EA9">
        <w:rPr>
          <w:lang w:val="bg-BG"/>
        </w:rPr>
        <w:t xml:space="preserve"> софтуерното решение  </w:t>
      </w:r>
      <w:r w:rsidRPr="005D6747">
        <w:t>goAML</w:t>
      </w:r>
      <w:r w:rsidRPr="00EA5B39">
        <w:rPr>
          <w:lang w:val="bg-BG"/>
        </w:rPr>
        <w:t xml:space="preserve"> </w:t>
      </w:r>
      <w:r>
        <w:rPr>
          <w:lang w:val="bg-BG"/>
        </w:rPr>
        <w:t xml:space="preserve">на </w:t>
      </w:r>
      <w:r w:rsidRPr="00E80078">
        <w:rPr>
          <w:lang w:val="bg-BG"/>
        </w:rPr>
        <w:t>Службата на ООН по наркотиците и престъпността (СНПООН)</w:t>
      </w:r>
      <w:r>
        <w:rPr>
          <w:lang w:val="bg-BG"/>
        </w:rPr>
        <w:t xml:space="preserve"> </w:t>
      </w:r>
      <w:r w:rsidRPr="005D6747">
        <w:rPr>
          <w:vertAlign w:val="superscript"/>
        </w:rPr>
        <w:footnoteReference w:id="28"/>
      </w:r>
      <w:r w:rsidRPr="00220EA9">
        <w:rPr>
          <w:lang w:val="bg-BG"/>
        </w:rPr>
        <w:t>, за да улесн</w:t>
      </w:r>
      <w:r>
        <w:rPr>
          <w:lang w:val="bg-BG"/>
        </w:rPr>
        <w:t>и</w:t>
      </w:r>
      <w:r w:rsidRPr="00220EA9">
        <w:rPr>
          <w:lang w:val="bg-BG"/>
        </w:rPr>
        <w:t xml:space="preserve"> докладването от задължените лица. След като бъде внедрен и </w:t>
      </w:r>
      <w:r>
        <w:rPr>
          <w:lang w:val="bg-BG"/>
        </w:rPr>
        <w:t xml:space="preserve">започне да </w:t>
      </w:r>
      <w:r w:rsidRPr="00220EA9">
        <w:rPr>
          <w:lang w:val="bg-BG"/>
        </w:rPr>
        <w:t xml:space="preserve">функционира, софтуерът ще замени сегашния режим за подаване на </w:t>
      </w:r>
      <w:r>
        <w:rPr>
          <w:lang w:val="bg-BG"/>
        </w:rPr>
        <w:t>ДСС</w:t>
      </w:r>
      <w:r w:rsidRPr="00220EA9">
        <w:rPr>
          <w:lang w:val="bg-BG"/>
        </w:rPr>
        <w:t>.</w:t>
      </w:r>
    </w:p>
    <w:p w14:paraId="3EEA6CA0" w14:textId="77777777" w:rsidR="00556505" w:rsidRPr="00220EA9" w:rsidRDefault="00556505" w:rsidP="00556505">
      <w:pPr>
        <w:pStyle w:val="Para"/>
        <w:rPr>
          <w:lang w:val="bg-BG"/>
        </w:rPr>
      </w:pPr>
      <w:r w:rsidRPr="00220EA9">
        <w:rPr>
          <w:lang w:val="bg-BG"/>
        </w:rPr>
        <w:t xml:space="preserve">Освен това задължените лица са длъжни да уведомят компетентните органи съгласно Наказателно-процесуалния кодекс (НПК). Следователно, в случай че подозират или </w:t>
      </w:r>
      <w:r w:rsidRPr="005D6747">
        <w:rPr>
          <w:lang w:val="bg-BG"/>
        </w:rPr>
        <w:t>узнаят</w:t>
      </w:r>
      <w:r w:rsidRPr="00220EA9">
        <w:rPr>
          <w:lang w:val="bg-BG"/>
        </w:rPr>
        <w:t xml:space="preserve"> </w:t>
      </w:r>
      <w:r w:rsidRPr="005D6747">
        <w:rPr>
          <w:lang w:val="bg-BG"/>
        </w:rPr>
        <w:t xml:space="preserve">за </w:t>
      </w:r>
      <w:r>
        <w:rPr>
          <w:lang w:val="bg-BG"/>
        </w:rPr>
        <w:t>наличие на средства</w:t>
      </w:r>
      <w:r w:rsidRPr="00220EA9">
        <w:rPr>
          <w:lang w:val="bg-BG"/>
        </w:rPr>
        <w:t xml:space="preserve">, получени чрез подкуп, те трябва да уведомят ДФР-ДАНС и правоприлагащите органи. Други мерки, наложени на задължени лица съгласно ЗМИП, включват </w:t>
      </w:r>
      <w:r w:rsidRPr="005D6747">
        <w:rPr>
          <w:lang w:val="bg-BG"/>
        </w:rPr>
        <w:t xml:space="preserve">разширена </w:t>
      </w:r>
      <w:r>
        <w:rPr>
          <w:lang w:val="bg-BG"/>
        </w:rPr>
        <w:t xml:space="preserve">комплексна </w:t>
      </w:r>
      <w:r w:rsidRPr="00220EA9">
        <w:rPr>
          <w:lang w:val="bg-BG"/>
        </w:rPr>
        <w:t>проверка на клиентите (</w:t>
      </w:r>
      <w:r>
        <w:rPr>
          <w:lang w:val="bg-BG"/>
        </w:rPr>
        <w:t>РКП</w:t>
      </w:r>
      <w:r w:rsidRPr="00220EA9">
        <w:rPr>
          <w:lang w:val="bg-BG"/>
        </w:rPr>
        <w:t xml:space="preserve">) </w:t>
      </w:r>
      <w:r>
        <w:rPr>
          <w:lang w:val="bg-BG"/>
        </w:rPr>
        <w:t>по отношение на</w:t>
      </w:r>
      <w:r w:rsidRPr="005D6747">
        <w:rPr>
          <w:lang w:val="bg-BG"/>
        </w:rPr>
        <w:t xml:space="preserve"> </w:t>
      </w:r>
      <w:r w:rsidRPr="00E80078">
        <w:rPr>
          <w:lang w:val="bg-BG"/>
        </w:rPr>
        <w:t>видни политически личности</w:t>
      </w:r>
      <w:r w:rsidRPr="00E80078" w:rsidDel="00E80078">
        <w:rPr>
          <w:lang w:val="bg-BG"/>
        </w:rPr>
        <w:t xml:space="preserve"> </w:t>
      </w:r>
      <w:r>
        <w:rPr>
          <w:lang w:val="bg-BG"/>
        </w:rPr>
        <w:t xml:space="preserve"> (ВПЛ), които </w:t>
      </w:r>
      <w:r w:rsidRPr="00220EA9">
        <w:rPr>
          <w:lang w:val="bg-BG"/>
        </w:rPr>
        <w:t xml:space="preserve">се прилагат и за </w:t>
      </w:r>
      <w:r w:rsidRPr="005D6747">
        <w:rPr>
          <w:lang w:val="bg-BG"/>
        </w:rPr>
        <w:t xml:space="preserve">действителните </w:t>
      </w:r>
      <w:r w:rsidRPr="00220EA9">
        <w:rPr>
          <w:lang w:val="bg-BG"/>
        </w:rPr>
        <w:t xml:space="preserve">собственици на </w:t>
      </w:r>
      <w:r w:rsidRPr="005D6747">
        <w:rPr>
          <w:lang w:val="bg-BG"/>
        </w:rPr>
        <w:t xml:space="preserve">клиенти - </w:t>
      </w:r>
      <w:r w:rsidRPr="00220EA9">
        <w:rPr>
          <w:lang w:val="bg-BG"/>
        </w:rPr>
        <w:t xml:space="preserve">юридически лица или друго </w:t>
      </w:r>
      <w:r w:rsidRPr="005D6747">
        <w:rPr>
          <w:lang w:val="bg-BG"/>
        </w:rPr>
        <w:t>правно обраувание</w:t>
      </w:r>
      <w:r w:rsidRPr="00220EA9">
        <w:rPr>
          <w:lang w:val="bg-BG"/>
        </w:rPr>
        <w:t xml:space="preserve"> (член 41 </w:t>
      </w:r>
      <w:r w:rsidRPr="005D6747">
        <w:rPr>
          <w:lang w:val="bg-BG"/>
        </w:rPr>
        <w:t xml:space="preserve">от </w:t>
      </w:r>
      <w:r w:rsidRPr="00220EA9">
        <w:rPr>
          <w:lang w:val="bg-BG"/>
        </w:rPr>
        <w:t>ЗМИП).</w:t>
      </w:r>
    </w:p>
    <w:p w14:paraId="4255FA9C" w14:textId="77777777" w:rsidR="00556505" w:rsidRPr="00220EA9" w:rsidRDefault="00556505" w:rsidP="00556505">
      <w:pPr>
        <w:widowControl/>
        <w:numPr>
          <w:ilvl w:val="0"/>
          <w:numId w:val="1"/>
        </w:numPr>
        <w:spacing w:before="120" w:after="120" w:line="260" w:lineRule="atLeast"/>
        <w:rPr>
          <w:sz w:val="20"/>
          <w:lang w:val="bg-BG"/>
        </w:rPr>
      </w:pPr>
      <w:r w:rsidRPr="00220EA9">
        <w:rPr>
          <w:sz w:val="20"/>
          <w:lang w:val="bg-BG"/>
        </w:rPr>
        <w:t>ЗМИП предвижда усъвършенствана и текуща</w:t>
      </w:r>
      <w:r>
        <w:rPr>
          <w:sz w:val="20"/>
          <w:lang w:val="bg-BG"/>
        </w:rPr>
        <w:t xml:space="preserve"> комплексна проверка на клиентите</w:t>
      </w:r>
      <w:r w:rsidRPr="00220EA9">
        <w:rPr>
          <w:sz w:val="20"/>
          <w:lang w:val="bg-BG"/>
        </w:rPr>
        <w:t xml:space="preserve"> за </w:t>
      </w:r>
      <w:r>
        <w:rPr>
          <w:sz w:val="20"/>
          <w:lang w:val="bg-BG"/>
        </w:rPr>
        <w:t>ВПЛ</w:t>
      </w:r>
      <w:r w:rsidRPr="00220EA9">
        <w:rPr>
          <w:sz w:val="20"/>
          <w:lang w:val="bg-BG"/>
        </w:rPr>
        <w:t xml:space="preserve"> в България, други държави и международни организации (член 36 (1) и 40 ЗМИП). </w:t>
      </w:r>
      <w:r>
        <w:rPr>
          <w:sz w:val="20"/>
          <w:lang w:val="bg-BG"/>
        </w:rPr>
        <w:t>ВПЛ</w:t>
      </w:r>
      <w:r w:rsidRPr="00220EA9">
        <w:rPr>
          <w:sz w:val="20"/>
          <w:lang w:val="bg-BG"/>
        </w:rPr>
        <w:t xml:space="preserve"> включват държавни глави, правителствени министри и членове на парламента, заедно с членове на административните, управителните или надзорните органи на държавните предприятия и изцяло държавни търговски </w:t>
      </w:r>
      <w:r>
        <w:rPr>
          <w:sz w:val="20"/>
          <w:lang w:val="bg-BG"/>
        </w:rPr>
        <w:t>компании</w:t>
      </w:r>
      <w:r w:rsidRPr="00220EA9">
        <w:rPr>
          <w:sz w:val="20"/>
          <w:lang w:val="bg-BG"/>
        </w:rPr>
        <w:t xml:space="preserve"> (член 36, параграф 2 от ЗМИП). За да се сключат делови </w:t>
      </w:r>
      <w:r w:rsidRPr="005D6747">
        <w:rPr>
          <w:sz w:val="20"/>
          <w:lang w:val="bg-BG"/>
        </w:rPr>
        <w:t>взаимо</w:t>
      </w:r>
      <w:r w:rsidRPr="00220EA9">
        <w:rPr>
          <w:sz w:val="20"/>
          <w:lang w:val="bg-BG"/>
        </w:rPr>
        <w:t xml:space="preserve">отношения с </w:t>
      </w:r>
      <w:r>
        <w:rPr>
          <w:sz w:val="20"/>
          <w:lang w:val="bg-BG"/>
        </w:rPr>
        <w:t xml:space="preserve">ВПЛ </w:t>
      </w:r>
      <w:r w:rsidRPr="00220EA9">
        <w:rPr>
          <w:sz w:val="20"/>
          <w:lang w:val="bg-BG"/>
        </w:rPr>
        <w:t>е необходимо одобрение от висш мениджър в задължен</w:t>
      </w:r>
      <w:r w:rsidRPr="005D6747">
        <w:rPr>
          <w:sz w:val="20"/>
          <w:lang w:val="bg-BG"/>
        </w:rPr>
        <w:t>о лице</w:t>
      </w:r>
      <w:r w:rsidRPr="00220EA9">
        <w:rPr>
          <w:sz w:val="20"/>
          <w:lang w:val="bg-BG"/>
        </w:rPr>
        <w:t xml:space="preserve">. Задължените лица също трябва да проверят източника на средства, участващи в </w:t>
      </w:r>
      <w:r w:rsidRPr="005D6747">
        <w:rPr>
          <w:sz w:val="20"/>
          <w:lang w:val="bg-BG"/>
        </w:rPr>
        <w:t>деловите взаимоотношения</w:t>
      </w:r>
      <w:r w:rsidRPr="00220EA9">
        <w:rPr>
          <w:sz w:val="20"/>
          <w:lang w:val="bg-BG"/>
        </w:rPr>
        <w:t xml:space="preserve">, и източника на активи на </w:t>
      </w:r>
      <w:r>
        <w:rPr>
          <w:sz w:val="20"/>
          <w:lang w:val="bg-BG"/>
        </w:rPr>
        <w:t>ВПЛ</w:t>
      </w:r>
      <w:r w:rsidRPr="00220EA9">
        <w:rPr>
          <w:sz w:val="20"/>
          <w:lang w:val="bg-BG"/>
        </w:rPr>
        <w:t xml:space="preserve"> (член 39 ЗМИП).</w:t>
      </w:r>
    </w:p>
    <w:p w14:paraId="777C0D42" w14:textId="77777777" w:rsidR="0084086D" w:rsidRPr="005D6747" w:rsidRDefault="00556505" w:rsidP="00556505">
      <w:pPr>
        <w:widowControl/>
        <w:numPr>
          <w:ilvl w:val="0"/>
          <w:numId w:val="1"/>
        </w:numPr>
        <w:spacing w:before="120" w:after="120" w:line="260" w:lineRule="atLeast"/>
        <w:rPr>
          <w:sz w:val="20"/>
        </w:rPr>
      </w:pPr>
      <w:r w:rsidRPr="00220EA9">
        <w:rPr>
          <w:sz w:val="20"/>
          <w:lang w:val="bg-BG"/>
        </w:rPr>
        <w:t xml:space="preserve">Съгласно член 59 </w:t>
      </w:r>
      <w:r w:rsidRPr="005D6747">
        <w:rPr>
          <w:sz w:val="20"/>
          <w:lang w:val="bg-BG"/>
        </w:rPr>
        <w:t>от ЗМИП</w:t>
      </w:r>
      <w:r w:rsidRPr="00220EA9">
        <w:rPr>
          <w:sz w:val="20"/>
          <w:lang w:val="bg-BG"/>
        </w:rPr>
        <w:t xml:space="preserve"> всяко физическо лице, което е </w:t>
      </w:r>
      <w:r w:rsidRPr="005D6747">
        <w:rPr>
          <w:sz w:val="20"/>
          <w:lang w:val="bg-BG"/>
        </w:rPr>
        <w:t>действителен</w:t>
      </w:r>
      <w:r w:rsidRPr="00220EA9">
        <w:rPr>
          <w:sz w:val="20"/>
          <w:lang w:val="bg-BG"/>
        </w:rPr>
        <w:t xml:space="preserve"> собственик на клиент - юридическо лице или друго </w:t>
      </w:r>
      <w:r w:rsidRPr="005D6747">
        <w:rPr>
          <w:sz w:val="20"/>
          <w:lang w:val="bg-BG"/>
        </w:rPr>
        <w:t>правно образувание</w:t>
      </w:r>
      <w:r w:rsidRPr="00220EA9">
        <w:rPr>
          <w:sz w:val="20"/>
          <w:lang w:val="bg-BG"/>
        </w:rPr>
        <w:t>, трябва да бъде идентифицирано</w:t>
      </w:r>
      <w:r>
        <w:rPr>
          <w:sz w:val="20"/>
          <w:lang w:val="bg-BG"/>
        </w:rPr>
        <w:t>, като за целта следва</w:t>
      </w:r>
      <w:r w:rsidRPr="00220EA9">
        <w:rPr>
          <w:sz w:val="20"/>
          <w:lang w:val="bg-BG"/>
        </w:rPr>
        <w:t xml:space="preserve"> да бъдат представени различни документи. </w:t>
      </w:r>
      <w:r w:rsidRPr="005D6747">
        <w:rPr>
          <w:rFonts w:ascii="Verdana" w:hAnsi="Verdana"/>
          <w:color w:val="000000"/>
          <w:sz w:val="18"/>
          <w:szCs w:val="18"/>
          <w:shd w:val="clear" w:color="auto" w:fill="FEFEFE"/>
        </w:rPr>
        <w:t> Учредените на територията на Република България юридически лица и други правни образувани</w:t>
      </w:r>
      <w:r w:rsidRPr="005D6747">
        <w:rPr>
          <w:sz w:val="20"/>
        </w:rPr>
        <w:t xml:space="preserve">я са длъжни да </w:t>
      </w:r>
      <w:r w:rsidRPr="005D6747">
        <w:rPr>
          <w:sz w:val="20"/>
          <w:lang w:val="bg-BG"/>
        </w:rPr>
        <w:t>разполагат с</w:t>
      </w:r>
      <w:r w:rsidRPr="005D6747">
        <w:rPr>
          <w:sz w:val="20"/>
        </w:rPr>
        <w:t xml:space="preserve"> точна и актуална информация относно физическите лица, които са </w:t>
      </w:r>
      <w:r w:rsidRPr="005D6747">
        <w:rPr>
          <w:sz w:val="20"/>
          <w:lang w:val="bg-BG"/>
        </w:rPr>
        <w:t>техни действителн</w:t>
      </w:r>
      <w:r>
        <w:rPr>
          <w:sz w:val="20"/>
          <w:lang w:val="bg-BG"/>
        </w:rPr>
        <w:t>и</w:t>
      </w:r>
      <w:r w:rsidRPr="005D6747">
        <w:rPr>
          <w:sz w:val="20"/>
          <w:lang w:val="bg-BG"/>
        </w:rPr>
        <w:t xml:space="preserve"> собственици</w:t>
      </w:r>
      <w:r w:rsidRPr="005D6747">
        <w:rPr>
          <w:sz w:val="20"/>
        </w:rPr>
        <w:t xml:space="preserve"> (член 61 </w:t>
      </w:r>
      <w:r w:rsidRPr="005D6747">
        <w:rPr>
          <w:sz w:val="20"/>
          <w:lang w:val="bg-BG"/>
        </w:rPr>
        <w:t xml:space="preserve">от </w:t>
      </w:r>
      <w:r w:rsidRPr="005D6747">
        <w:rPr>
          <w:sz w:val="20"/>
        </w:rPr>
        <w:t>ЗМИП). Освен това тази информация трябва да бъде вписана в търговския регистър, регистъра на юридическите лица с нестопанска цел и регистър БУЛСТАТ</w:t>
      </w:r>
      <w:r w:rsidR="0084086D" w:rsidRPr="005D6747">
        <w:rPr>
          <w:vertAlign w:val="superscript"/>
        </w:rPr>
        <w:footnoteReference w:id="29"/>
      </w:r>
      <w:r w:rsidR="0084086D" w:rsidRPr="005D6747">
        <w:rPr>
          <w:sz w:val="20"/>
        </w:rPr>
        <w:t>.</w:t>
      </w:r>
    </w:p>
    <w:p w14:paraId="6D158DF7" w14:textId="77777777" w:rsidR="00556505" w:rsidRPr="005D6747" w:rsidRDefault="00556505" w:rsidP="00556505">
      <w:pPr>
        <w:widowControl/>
        <w:numPr>
          <w:ilvl w:val="0"/>
          <w:numId w:val="1"/>
        </w:numPr>
        <w:spacing w:before="120" w:after="120" w:line="260" w:lineRule="atLeast"/>
        <w:rPr>
          <w:sz w:val="20"/>
        </w:rPr>
      </w:pPr>
      <w:r w:rsidRPr="005D6747">
        <w:rPr>
          <w:sz w:val="20"/>
          <w:lang w:val="bg-BG"/>
        </w:rPr>
        <w:lastRenderedPageBreak/>
        <w:t xml:space="preserve">При </w:t>
      </w:r>
      <w:r w:rsidRPr="005D6747">
        <w:rPr>
          <w:sz w:val="20"/>
        </w:rPr>
        <w:t>виртуалн</w:t>
      </w:r>
      <w:r>
        <w:rPr>
          <w:sz w:val="20"/>
          <w:lang w:val="bg-BG"/>
        </w:rPr>
        <w:t xml:space="preserve">ото посещение </w:t>
      </w:r>
      <w:r w:rsidRPr="005D6747">
        <w:rPr>
          <w:sz w:val="20"/>
        </w:rPr>
        <w:t>панелистите коментираха ефективността на ДФР-ДАНС, въпреки че представител на нефинансова институция коментира, че макар ДФР-ДАНС да са бил</w:t>
      </w:r>
      <w:r w:rsidRPr="005D6747">
        <w:rPr>
          <w:sz w:val="20"/>
          <w:lang w:val="bg-BG"/>
        </w:rPr>
        <w:t>и</w:t>
      </w:r>
      <w:r w:rsidRPr="005D6747">
        <w:rPr>
          <w:sz w:val="20"/>
        </w:rPr>
        <w:t xml:space="preserve"> ефективни при достигането до финансовия сектор, те са били по-малко </w:t>
      </w:r>
      <w:r>
        <w:rPr>
          <w:sz w:val="20"/>
          <w:lang w:val="bg-BG"/>
        </w:rPr>
        <w:t xml:space="preserve">ефективни </w:t>
      </w:r>
      <w:r w:rsidRPr="005D6747">
        <w:rPr>
          <w:sz w:val="20"/>
        </w:rPr>
        <w:t>спрямо задължените лица в нефинансов</w:t>
      </w:r>
      <w:r w:rsidRPr="005D6747">
        <w:rPr>
          <w:sz w:val="20"/>
          <w:lang w:val="bg-BG"/>
        </w:rPr>
        <w:t>ия</w:t>
      </w:r>
      <w:r w:rsidRPr="005D6747">
        <w:rPr>
          <w:sz w:val="20"/>
        </w:rPr>
        <w:t xml:space="preserve"> сектор. Тъй като нефинансовият сектор включва адвокати, счетоводители и агенти </w:t>
      </w:r>
      <w:r>
        <w:rPr>
          <w:sz w:val="20"/>
          <w:lang w:val="bg-BG"/>
        </w:rPr>
        <w:t xml:space="preserve">на </w:t>
      </w:r>
      <w:r w:rsidRPr="005D6747">
        <w:rPr>
          <w:sz w:val="20"/>
        </w:rPr>
        <w:t xml:space="preserve">недвижими имоти, това е </w:t>
      </w:r>
      <w:r w:rsidRPr="005D6747">
        <w:rPr>
          <w:sz w:val="20"/>
          <w:lang w:val="bg-BG"/>
        </w:rPr>
        <w:t>недоглеждане</w:t>
      </w:r>
      <w:r w:rsidRPr="005D6747">
        <w:rPr>
          <w:sz w:val="20"/>
        </w:rPr>
        <w:t xml:space="preserve">. В допълнение, ДФР-ДАНС спомена при </w:t>
      </w:r>
      <w:r w:rsidR="00CD1C55">
        <w:rPr>
          <w:sz w:val="20"/>
        </w:rPr>
        <w:t>виртуалното посещение</w:t>
      </w:r>
      <w:r w:rsidRPr="005D6747">
        <w:rPr>
          <w:sz w:val="20"/>
        </w:rPr>
        <w:t xml:space="preserve">, че се среща ежегодно със задължени лица, за да обсъжда въпроси, включително качеството на подадените </w:t>
      </w:r>
      <w:r>
        <w:rPr>
          <w:sz w:val="20"/>
        </w:rPr>
        <w:t>ДСС</w:t>
      </w:r>
      <w:r w:rsidRPr="005D6747">
        <w:rPr>
          <w:sz w:val="20"/>
        </w:rPr>
        <w:t xml:space="preserve">. Панелисти от финансови институции също коментираха при </w:t>
      </w:r>
      <w:r w:rsidR="00CD1C55">
        <w:rPr>
          <w:sz w:val="20"/>
        </w:rPr>
        <w:t>виртуалното посещение</w:t>
      </w:r>
      <w:r w:rsidRPr="005D6747">
        <w:rPr>
          <w:sz w:val="20"/>
        </w:rPr>
        <w:t>, че персоналът на ДФР-ДАНС обикновено е на разположение, за да обсъжда въпроси по телефона, когато е необходимо.</w:t>
      </w:r>
    </w:p>
    <w:p w14:paraId="6EF439A2" w14:textId="3FEB5791" w:rsidR="00556505" w:rsidRPr="005D6747" w:rsidRDefault="00556505" w:rsidP="00556505">
      <w:pPr>
        <w:widowControl/>
        <w:numPr>
          <w:ilvl w:val="0"/>
          <w:numId w:val="1"/>
        </w:numPr>
        <w:spacing w:before="120" w:after="120" w:line="260" w:lineRule="atLeast"/>
        <w:rPr>
          <w:sz w:val="20"/>
        </w:rPr>
      </w:pPr>
      <w:r w:rsidRPr="005D6747">
        <w:rPr>
          <w:sz w:val="20"/>
        </w:rPr>
        <w:t>Към днешна дата ДФР-ДАНС не са открил</w:t>
      </w:r>
      <w:r w:rsidRPr="005D6747">
        <w:rPr>
          <w:sz w:val="20"/>
          <w:lang w:val="bg-BG"/>
        </w:rPr>
        <w:t>и</w:t>
      </w:r>
      <w:r w:rsidRPr="005D6747">
        <w:rPr>
          <w:sz w:val="20"/>
        </w:rPr>
        <w:t xml:space="preserve"> случаи на подкуп</w:t>
      </w:r>
      <w:r w:rsidRPr="005D6747">
        <w:rPr>
          <w:sz w:val="20"/>
          <w:lang w:val="bg-BG"/>
        </w:rPr>
        <w:t>ване на чужди длъжностни лица</w:t>
      </w:r>
      <w:r w:rsidRPr="005D6747">
        <w:rPr>
          <w:sz w:val="20"/>
        </w:rPr>
        <w:t xml:space="preserve">. Както беше посочено при </w:t>
      </w:r>
      <w:r w:rsidR="00CD1C55">
        <w:rPr>
          <w:sz w:val="20"/>
        </w:rPr>
        <w:t>виртуалното посещение</w:t>
      </w:r>
      <w:r w:rsidRPr="005D6747">
        <w:rPr>
          <w:sz w:val="20"/>
        </w:rPr>
        <w:t>, ДФР-ДАНС е ЗФР в административен стил и не е тяхна функция винаги да идентифицират какво действително нарушение на НК е настъпило, преди да докладват въпроса на компетентните органи. ДФР-ДАНС също така посочи, че може да бъде трудно за задължен</w:t>
      </w:r>
      <w:r>
        <w:rPr>
          <w:sz w:val="20"/>
          <w:lang w:val="bg-BG"/>
        </w:rPr>
        <w:t>ото лице</w:t>
      </w:r>
      <w:r w:rsidRPr="005D6747">
        <w:rPr>
          <w:sz w:val="20"/>
        </w:rPr>
        <w:t xml:space="preserve"> да установи конкретното нарушение на Наказателния кодекс в </w:t>
      </w:r>
      <w:r>
        <w:rPr>
          <w:sz w:val="20"/>
          <w:lang w:val="bg-BG"/>
        </w:rPr>
        <w:t>ДСС</w:t>
      </w:r>
      <w:r w:rsidRPr="005D6747">
        <w:rPr>
          <w:sz w:val="20"/>
        </w:rPr>
        <w:t xml:space="preserve">. ДФР-ДАНС е издал насоки към задължените лица относно </w:t>
      </w:r>
      <w:r>
        <w:rPr>
          <w:sz w:val="20"/>
          <w:lang w:val="bg-BG"/>
        </w:rPr>
        <w:t>изготвянето</w:t>
      </w:r>
      <w:r w:rsidRPr="005D6747">
        <w:rPr>
          <w:sz w:val="20"/>
        </w:rPr>
        <w:t xml:space="preserve"> на </w:t>
      </w:r>
      <w:r>
        <w:rPr>
          <w:sz w:val="20"/>
        </w:rPr>
        <w:t>ДСС</w:t>
      </w:r>
      <w:r w:rsidRPr="005D6747">
        <w:rPr>
          <w:sz w:val="20"/>
        </w:rPr>
        <w:t xml:space="preserve">, което </w:t>
      </w:r>
      <w:r>
        <w:rPr>
          <w:sz w:val="20"/>
          <w:lang w:val="bg-BG"/>
        </w:rPr>
        <w:t>се приветства</w:t>
      </w:r>
      <w:r w:rsidRPr="005D6747">
        <w:rPr>
          <w:sz w:val="20"/>
        </w:rPr>
        <w:t xml:space="preserve">. По време на </w:t>
      </w:r>
      <w:r w:rsidR="00CD1C55">
        <w:rPr>
          <w:sz w:val="20"/>
        </w:rPr>
        <w:t>виртуалното посещение</w:t>
      </w:r>
      <w:r w:rsidRPr="005D6747">
        <w:rPr>
          <w:sz w:val="20"/>
        </w:rPr>
        <w:t xml:space="preserve"> ДФР-ДАНС коментира, че не </w:t>
      </w:r>
      <w:r w:rsidR="0013109F">
        <w:rPr>
          <w:sz w:val="20"/>
          <w:lang w:val="bg-BG"/>
        </w:rPr>
        <w:t>винаги</w:t>
      </w:r>
      <w:r w:rsidR="0013109F" w:rsidRPr="005D6747">
        <w:rPr>
          <w:sz w:val="20"/>
        </w:rPr>
        <w:t xml:space="preserve"> </w:t>
      </w:r>
      <w:r w:rsidRPr="005D6747">
        <w:rPr>
          <w:sz w:val="20"/>
        </w:rPr>
        <w:t>получава обратна връзка от компетентните органи относно разпространението на техния анализ.</w:t>
      </w:r>
    </w:p>
    <w:p w14:paraId="2A53F443" w14:textId="77777777" w:rsidR="0084086D" w:rsidRPr="005D6747" w:rsidRDefault="00556505" w:rsidP="00556505">
      <w:pPr>
        <w:widowControl/>
        <w:numPr>
          <w:ilvl w:val="0"/>
          <w:numId w:val="1"/>
        </w:numPr>
        <w:spacing w:before="120" w:after="120" w:line="260" w:lineRule="atLeast"/>
        <w:rPr>
          <w:sz w:val="20"/>
        </w:rPr>
      </w:pPr>
      <w:r w:rsidRPr="005D6747">
        <w:rPr>
          <w:sz w:val="20"/>
        </w:rPr>
        <w:t xml:space="preserve">Тъй като ЗМИП е приет с това, което изглежда като задълбочени отчетни задължения, широко определение на задължените лица и </w:t>
      </w:r>
      <w:r w:rsidRPr="005D6747">
        <w:rPr>
          <w:sz w:val="20"/>
          <w:lang w:val="bg-BG"/>
        </w:rPr>
        <w:t xml:space="preserve">разширена </w:t>
      </w:r>
      <w:r>
        <w:rPr>
          <w:sz w:val="20"/>
          <w:lang w:val="bg-BG"/>
        </w:rPr>
        <w:t>комплексна проверка</w:t>
      </w:r>
      <w:r w:rsidRPr="005D6747">
        <w:rPr>
          <w:sz w:val="20"/>
        </w:rPr>
        <w:t xml:space="preserve"> </w:t>
      </w:r>
      <w:r w:rsidRPr="005D6747">
        <w:rPr>
          <w:sz w:val="20"/>
          <w:lang w:val="bg-BG"/>
        </w:rPr>
        <w:t>на клиентите (</w:t>
      </w:r>
      <w:r>
        <w:rPr>
          <w:sz w:val="20"/>
          <w:lang w:val="bg-BG"/>
        </w:rPr>
        <w:t>РКП</w:t>
      </w:r>
      <w:r w:rsidRPr="005D6747">
        <w:rPr>
          <w:sz w:val="20"/>
          <w:lang w:val="bg-BG"/>
        </w:rPr>
        <w:t>)</w:t>
      </w:r>
      <w:r w:rsidRPr="005D6747">
        <w:rPr>
          <w:sz w:val="20"/>
        </w:rPr>
        <w:t xml:space="preserve"> за </w:t>
      </w:r>
      <w:r>
        <w:rPr>
          <w:sz w:val="20"/>
          <w:lang w:val="bg-BG"/>
        </w:rPr>
        <w:t>Видни политически личност (ВПЛ)</w:t>
      </w:r>
      <w:r w:rsidRPr="005D6747">
        <w:rPr>
          <w:sz w:val="20"/>
          <w:lang w:val="en-US"/>
        </w:rPr>
        <w:t xml:space="preserve"> </w:t>
      </w:r>
      <w:r w:rsidRPr="005D6747">
        <w:rPr>
          <w:sz w:val="20"/>
        </w:rPr>
        <w:t>и</w:t>
      </w:r>
      <w:r w:rsidRPr="005D6747">
        <w:rPr>
          <w:sz w:val="20"/>
          <w:lang w:val="bg-BG"/>
        </w:rPr>
        <w:t xml:space="preserve"> дейсвителните собственици на клиентите</w:t>
      </w:r>
      <w:r w:rsidRPr="005D6747">
        <w:rPr>
          <w:vertAlign w:val="superscript"/>
          <w:lang w:val="bg-BG"/>
        </w:rPr>
        <w:footnoteReference w:id="30"/>
      </w:r>
      <w:r w:rsidRPr="005D6747">
        <w:rPr>
          <w:sz w:val="20"/>
        </w:rPr>
        <w:t>, Работната група е загрижена, че досега не са открити твърдения за подкуп</w:t>
      </w:r>
      <w:r w:rsidRPr="005D6747">
        <w:rPr>
          <w:sz w:val="20"/>
          <w:lang w:val="bg-BG"/>
        </w:rPr>
        <w:t>ване на чужди длъжностни лица</w:t>
      </w:r>
      <w:r w:rsidRPr="005D6747">
        <w:rPr>
          <w:sz w:val="20"/>
        </w:rPr>
        <w:t xml:space="preserve"> чрез рамка</w:t>
      </w:r>
      <w:r w:rsidRPr="005D6747">
        <w:rPr>
          <w:sz w:val="20"/>
          <w:lang w:val="bg-BG"/>
        </w:rPr>
        <w:t xml:space="preserve">та на България за борба с </w:t>
      </w:r>
      <w:r>
        <w:rPr>
          <w:sz w:val="20"/>
          <w:lang w:val="bg-BG"/>
        </w:rPr>
        <w:t>изпирането</w:t>
      </w:r>
      <w:r w:rsidRPr="005D6747">
        <w:rPr>
          <w:sz w:val="20"/>
          <w:lang w:val="bg-BG"/>
        </w:rPr>
        <w:t xml:space="preserve"> на пари</w:t>
      </w:r>
      <w:r w:rsidRPr="005D6747">
        <w:rPr>
          <w:sz w:val="20"/>
        </w:rPr>
        <w:t>.</w:t>
      </w:r>
    </w:p>
    <w:p w14:paraId="71CE8448" w14:textId="77777777" w:rsidR="0084086D" w:rsidRPr="005D6747" w:rsidRDefault="0084086D" w:rsidP="0084086D">
      <w:pPr>
        <w:widowControl/>
        <w:spacing w:before="120" w:after="120" w:line="260" w:lineRule="atLeast"/>
        <w:rPr>
          <w:sz w:val="20"/>
        </w:rPr>
      </w:pPr>
    </w:p>
    <w:p w14:paraId="1AB5A51C" w14:textId="77777777" w:rsidR="0084086D" w:rsidRPr="005D6747" w:rsidRDefault="0084086D" w:rsidP="0084086D">
      <w:pPr>
        <w:widowControl/>
        <w:spacing w:before="120" w:after="120" w:line="260" w:lineRule="atLeast"/>
        <w:rPr>
          <w:b/>
          <w:i/>
          <w:color w:val="4E81BD" w:themeColor="accent1"/>
          <w:sz w:val="20"/>
        </w:rPr>
      </w:pPr>
      <w:r w:rsidRPr="005D6747">
        <w:rPr>
          <w:b/>
          <w:i/>
          <w:color w:val="4E81BD" w:themeColor="accent1"/>
          <w:sz w:val="20"/>
        </w:rPr>
        <w:t>Коментар</w:t>
      </w:r>
    </w:p>
    <w:p w14:paraId="458BECD4" w14:textId="77777777" w:rsidR="003948AA" w:rsidRPr="005D6747" w:rsidRDefault="003948AA" w:rsidP="003948AA">
      <w:pPr>
        <w:widowControl/>
        <w:spacing w:before="120" w:after="120" w:line="260" w:lineRule="atLeast"/>
        <w:rPr>
          <w:b/>
          <w:i/>
          <w:sz w:val="20"/>
        </w:rPr>
      </w:pPr>
      <w:proofErr w:type="gramStart"/>
      <w:r w:rsidRPr="005D6747">
        <w:rPr>
          <w:b/>
          <w:i/>
          <w:sz w:val="20"/>
        </w:rPr>
        <w:t xml:space="preserve">Водещите проверители са загрижени, че България все още не е </w:t>
      </w:r>
      <w:r>
        <w:rPr>
          <w:b/>
          <w:i/>
          <w:sz w:val="20"/>
          <w:lang w:val="bg-BG"/>
        </w:rPr>
        <w:t xml:space="preserve">разкрила </w:t>
      </w:r>
      <w:r w:rsidRPr="005D6747">
        <w:rPr>
          <w:b/>
          <w:i/>
          <w:sz w:val="20"/>
        </w:rPr>
        <w:t>случай на подкуп</w:t>
      </w:r>
      <w:r w:rsidRPr="005D6747">
        <w:rPr>
          <w:b/>
          <w:i/>
          <w:sz w:val="20"/>
          <w:lang w:val="bg-BG"/>
        </w:rPr>
        <w:t xml:space="preserve"> на чужди длъжностни лица</w:t>
      </w:r>
      <w:r w:rsidRPr="005D6747">
        <w:rPr>
          <w:b/>
          <w:i/>
          <w:sz w:val="20"/>
        </w:rPr>
        <w:t xml:space="preserve"> чрез рамката за борба с </w:t>
      </w:r>
      <w:r>
        <w:rPr>
          <w:b/>
          <w:i/>
          <w:sz w:val="20"/>
          <w:lang w:val="bg-BG"/>
        </w:rPr>
        <w:t>из</w:t>
      </w:r>
      <w:r w:rsidRPr="005D6747">
        <w:rPr>
          <w:b/>
          <w:i/>
          <w:sz w:val="20"/>
          <w:lang w:val="bg-BG"/>
        </w:rPr>
        <w:t>п</w:t>
      </w:r>
      <w:r w:rsidRPr="005D6747">
        <w:rPr>
          <w:b/>
          <w:i/>
          <w:sz w:val="20"/>
        </w:rPr>
        <w:t>рането на пари, която включва новия ЗМИП.</w:t>
      </w:r>
      <w:proofErr w:type="gramEnd"/>
      <w:r w:rsidRPr="005D6747">
        <w:rPr>
          <w:b/>
          <w:i/>
          <w:sz w:val="20"/>
        </w:rPr>
        <w:t xml:space="preserve"> </w:t>
      </w:r>
      <w:proofErr w:type="gramStart"/>
      <w:r w:rsidRPr="005D6747">
        <w:rPr>
          <w:b/>
          <w:i/>
          <w:sz w:val="20"/>
        </w:rPr>
        <w:t>Освен това изглежда, че ДФР-ДАНС не са получил</w:t>
      </w:r>
      <w:r w:rsidRPr="005D6747">
        <w:rPr>
          <w:b/>
          <w:i/>
          <w:sz w:val="20"/>
          <w:lang w:val="bg-BG"/>
        </w:rPr>
        <w:t>и</w:t>
      </w:r>
      <w:r w:rsidRPr="005D6747">
        <w:rPr>
          <w:b/>
          <w:i/>
          <w:sz w:val="20"/>
        </w:rPr>
        <w:t xml:space="preserve"> никакви </w:t>
      </w:r>
      <w:r>
        <w:rPr>
          <w:b/>
          <w:i/>
          <w:sz w:val="20"/>
          <w:lang w:val="bg-BG"/>
        </w:rPr>
        <w:t>ДСС</w:t>
      </w:r>
      <w:r w:rsidRPr="005D6747">
        <w:rPr>
          <w:b/>
          <w:i/>
          <w:sz w:val="20"/>
        </w:rPr>
        <w:t>, които конкретно идентифицират подкуп</w:t>
      </w:r>
      <w:r w:rsidRPr="005D6747">
        <w:rPr>
          <w:b/>
          <w:i/>
          <w:sz w:val="20"/>
          <w:lang w:val="bg-BG"/>
        </w:rPr>
        <w:t>ването на чужди длъжностни лица</w:t>
      </w:r>
      <w:r w:rsidRPr="005D6747">
        <w:rPr>
          <w:b/>
          <w:i/>
          <w:sz w:val="20"/>
        </w:rPr>
        <w:t xml:space="preserve"> като предикатно </w:t>
      </w:r>
      <w:r>
        <w:rPr>
          <w:b/>
          <w:i/>
          <w:sz w:val="20"/>
          <w:lang w:val="bg-BG"/>
        </w:rPr>
        <w:t>престъпление</w:t>
      </w:r>
      <w:r w:rsidRPr="005D6747">
        <w:rPr>
          <w:b/>
          <w:i/>
          <w:sz w:val="20"/>
        </w:rPr>
        <w:t>.</w:t>
      </w:r>
      <w:proofErr w:type="gramEnd"/>
      <w:r w:rsidRPr="005D6747">
        <w:rPr>
          <w:b/>
          <w:i/>
          <w:sz w:val="20"/>
        </w:rPr>
        <w:t xml:space="preserve"> Освен това, въпреки че водещите </w:t>
      </w:r>
      <w:r w:rsidRPr="005D6747">
        <w:rPr>
          <w:b/>
          <w:i/>
          <w:sz w:val="20"/>
          <w:lang w:val="bg-BG"/>
        </w:rPr>
        <w:t>ескперти</w:t>
      </w:r>
      <w:r w:rsidRPr="005D6747">
        <w:rPr>
          <w:b/>
          <w:i/>
          <w:sz w:val="20"/>
        </w:rPr>
        <w:t xml:space="preserve"> признават и приветстват добрите работни отношения между ДФР-ДАНС и задължените лица във финансовия сектор, те са загрижени, че ДФР-ДАНС не са повишил</w:t>
      </w:r>
      <w:r w:rsidRPr="005D6747">
        <w:rPr>
          <w:b/>
          <w:i/>
          <w:sz w:val="20"/>
          <w:lang w:val="bg-BG"/>
        </w:rPr>
        <w:t>и</w:t>
      </w:r>
      <w:r w:rsidRPr="005D6747">
        <w:rPr>
          <w:b/>
          <w:i/>
          <w:sz w:val="20"/>
        </w:rPr>
        <w:t xml:space="preserve"> осведомеността </w:t>
      </w:r>
      <w:r>
        <w:rPr>
          <w:b/>
          <w:i/>
          <w:sz w:val="20"/>
          <w:lang w:val="bg-BG"/>
        </w:rPr>
        <w:t>относно</w:t>
      </w:r>
      <w:r w:rsidRPr="005D6747">
        <w:rPr>
          <w:b/>
          <w:i/>
          <w:sz w:val="20"/>
        </w:rPr>
        <w:t xml:space="preserve"> подкуп</w:t>
      </w:r>
      <w:r>
        <w:rPr>
          <w:b/>
          <w:i/>
          <w:sz w:val="20"/>
          <w:lang w:val="bg-BG"/>
        </w:rPr>
        <w:t>а</w:t>
      </w:r>
      <w:r w:rsidRPr="005D6747">
        <w:rPr>
          <w:b/>
          <w:i/>
          <w:sz w:val="20"/>
        </w:rPr>
        <w:t xml:space="preserve"> на чужди длъжностни лица</w:t>
      </w:r>
      <w:r w:rsidRPr="005D6747" w:rsidDel="0095161B">
        <w:rPr>
          <w:b/>
          <w:i/>
          <w:sz w:val="20"/>
        </w:rPr>
        <w:t xml:space="preserve"> </w:t>
      </w:r>
      <w:r w:rsidRPr="005D6747">
        <w:rPr>
          <w:b/>
          <w:i/>
          <w:sz w:val="20"/>
        </w:rPr>
        <w:t>с</w:t>
      </w:r>
      <w:r>
        <w:rPr>
          <w:b/>
          <w:i/>
          <w:sz w:val="20"/>
          <w:lang w:val="bg-BG"/>
        </w:rPr>
        <w:t>ред</w:t>
      </w:r>
      <w:r w:rsidRPr="005D6747">
        <w:rPr>
          <w:b/>
          <w:i/>
          <w:sz w:val="20"/>
        </w:rPr>
        <w:t xml:space="preserve"> значително важни задължени лица, включително счетоводители, адвокати и агенти </w:t>
      </w:r>
      <w:r>
        <w:rPr>
          <w:b/>
          <w:i/>
          <w:sz w:val="20"/>
          <w:lang w:val="bg-BG"/>
        </w:rPr>
        <w:t>на</w:t>
      </w:r>
      <w:r w:rsidRPr="005D6747">
        <w:rPr>
          <w:b/>
          <w:i/>
          <w:sz w:val="20"/>
        </w:rPr>
        <w:t xml:space="preserve"> недвижими имоти. </w:t>
      </w:r>
    </w:p>
    <w:p w14:paraId="240949B3" w14:textId="73227AC1" w:rsidR="0084086D" w:rsidRDefault="003948AA" w:rsidP="0084086D">
      <w:pPr>
        <w:widowControl/>
        <w:spacing w:before="120" w:after="120" w:line="260" w:lineRule="atLeast"/>
        <w:rPr>
          <w:b/>
          <w:i/>
          <w:sz w:val="20"/>
        </w:rPr>
      </w:pPr>
      <w:r w:rsidRPr="005D6747">
        <w:rPr>
          <w:b/>
          <w:i/>
          <w:sz w:val="20"/>
        </w:rPr>
        <w:t>Следователно водещите</w:t>
      </w:r>
      <w:r w:rsidRPr="005D6747">
        <w:rPr>
          <w:b/>
          <w:i/>
          <w:sz w:val="20"/>
          <w:lang w:val="bg-BG"/>
        </w:rPr>
        <w:t xml:space="preserve"> проверители</w:t>
      </w:r>
      <w:r w:rsidRPr="005D6747">
        <w:rPr>
          <w:b/>
          <w:i/>
          <w:sz w:val="20"/>
        </w:rPr>
        <w:t xml:space="preserve"> препоръчват на България (а) спешно да повиши осведомеността с</w:t>
      </w:r>
      <w:r w:rsidR="00CA4FEB">
        <w:rPr>
          <w:b/>
          <w:i/>
          <w:sz w:val="20"/>
          <w:lang w:val="bg-BG"/>
        </w:rPr>
        <w:t>ред</w:t>
      </w:r>
      <w:r w:rsidRPr="005D6747">
        <w:rPr>
          <w:b/>
          <w:i/>
          <w:sz w:val="20"/>
        </w:rPr>
        <w:t xml:space="preserve"> нефинансовите институции относно рисковете от подкупване на чужди длъжностни лица; б) </w:t>
      </w:r>
      <w:r w:rsidRPr="005D6747">
        <w:rPr>
          <w:b/>
          <w:i/>
          <w:sz w:val="20"/>
          <w:lang w:val="bg-BG"/>
        </w:rPr>
        <w:t xml:space="preserve">да </w:t>
      </w:r>
      <w:r w:rsidRPr="005D6747">
        <w:rPr>
          <w:b/>
          <w:i/>
          <w:sz w:val="20"/>
        </w:rPr>
        <w:t xml:space="preserve">предоставя конкретни насоки и типологии по </w:t>
      </w:r>
      <w:r w:rsidRPr="005D6747">
        <w:rPr>
          <w:b/>
          <w:i/>
          <w:sz w:val="20"/>
          <w:lang w:val="bg-BG"/>
        </w:rPr>
        <w:t>случаи за</w:t>
      </w:r>
      <w:r w:rsidRPr="005D6747">
        <w:rPr>
          <w:b/>
          <w:i/>
          <w:sz w:val="20"/>
        </w:rPr>
        <w:t xml:space="preserve"> подкуп</w:t>
      </w:r>
      <w:r w:rsidRPr="005D6747">
        <w:rPr>
          <w:b/>
          <w:i/>
          <w:sz w:val="20"/>
          <w:lang w:val="bg-BG"/>
        </w:rPr>
        <w:t>ване на чужди длъжностни лица</w:t>
      </w:r>
      <w:r w:rsidRPr="005D6747">
        <w:rPr>
          <w:b/>
          <w:i/>
          <w:sz w:val="20"/>
        </w:rPr>
        <w:t xml:space="preserve"> за всички задължени лица; в) </w:t>
      </w:r>
      <w:r w:rsidRPr="005D6747">
        <w:rPr>
          <w:b/>
          <w:i/>
          <w:sz w:val="20"/>
          <w:lang w:val="bg-BG"/>
        </w:rPr>
        <w:t xml:space="preserve">да </w:t>
      </w:r>
      <w:r w:rsidRPr="005D6747">
        <w:rPr>
          <w:b/>
          <w:i/>
          <w:sz w:val="20"/>
        </w:rPr>
        <w:t xml:space="preserve">поддържа </w:t>
      </w:r>
      <w:r>
        <w:rPr>
          <w:b/>
          <w:i/>
          <w:sz w:val="20"/>
          <w:lang w:val="bg-BG"/>
        </w:rPr>
        <w:t xml:space="preserve">подробни </w:t>
      </w:r>
      <w:r w:rsidRPr="005D6747">
        <w:rPr>
          <w:b/>
          <w:i/>
          <w:sz w:val="20"/>
        </w:rPr>
        <w:t xml:space="preserve">статистически данни за получените </w:t>
      </w:r>
      <w:r>
        <w:rPr>
          <w:b/>
          <w:i/>
          <w:sz w:val="20"/>
        </w:rPr>
        <w:t>ДСС</w:t>
      </w:r>
      <w:r w:rsidRPr="005D6747">
        <w:rPr>
          <w:b/>
          <w:i/>
          <w:sz w:val="20"/>
        </w:rPr>
        <w:t>, за да позволи на ДФР-ДАНС да анализира задължените лица, които докладват случаи, както и предикатно</w:t>
      </w:r>
      <w:r>
        <w:rPr>
          <w:b/>
          <w:i/>
          <w:sz w:val="20"/>
          <w:lang w:val="bg-BG"/>
        </w:rPr>
        <w:t>то престъпление</w:t>
      </w:r>
      <w:r w:rsidRPr="005D6747">
        <w:rPr>
          <w:b/>
          <w:i/>
          <w:sz w:val="20"/>
        </w:rPr>
        <w:t xml:space="preserve">; г) внедряване на goAML (или подобен) софтуер за улесняване на докладването на </w:t>
      </w:r>
      <w:r>
        <w:rPr>
          <w:b/>
          <w:i/>
          <w:sz w:val="20"/>
        </w:rPr>
        <w:t>ДСС</w:t>
      </w:r>
      <w:r w:rsidRPr="005D6747">
        <w:rPr>
          <w:b/>
          <w:i/>
          <w:sz w:val="20"/>
        </w:rPr>
        <w:t xml:space="preserve"> от задължени</w:t>
      </w:r>
      <w:r>
        <w:rPr>
          <w:b/>
          <w:i/>
          <w:sz w:val="20"/>
          <w:lang w:val="bg-BG"/>
        </w:rPr>
        <w:t>те</w:t>
      </w:r>
      <w:r w:rsidRPr="005D6747">
        <w:rPr>
          <w:b/>
          <w:i/>
          <w:sz w:val="20"/>
        </w:rPr>
        <w:t xml:space="preserve"> лица; и д) </w:t>
      </w:r>
      <w:r w:rsidRPr="005D6747">
        <w:rPr>
          <w:b/>
          <w:i/>
          <w:sz w:val="20"/>
          <w:lang w:val="bg-BG"/>
        </w:rPr>
        <w:t xml:space="preserve">да </w:t>
      </w:r>
      <w:r w:rsidRPr="005D6747">
        <w:rPr>
          <w:b/>
          <w:i/>
          <w:sz w:val="20"/>
        </w:rPr>
        <w:t xml:space="preserve">гарантира, че компетентните </w:t>
      </w:r>
      <w:r w:rsidRPr="005D6747">
        <w:rPr>
          <w:b/>
          <w:i/>
          <w:sz w:val="20"/>
        </w:rPr>
        <w:lastRenderedPageBreak/>
        <w:t>органи на прокуратурата, които получават аналитични доклади от ДФР-ДАНС, и като част от подобрено междуведомствено сътрудничество, осигуряват</w:t>
      </w:r>
      <w:r>
        <w:rPr>
          <w:b/>
          <w:i/>
          <w:sz w:val="20"/>
          <w:lang w:val="bg-BG"/>
        </w:rPr>
        <w:t xml:space="preserve"> по-</w:t>
      </w:r>
      <w:r w:rsidRPr="005D6747">
        <w:rPr>
          <w:b/>
          <w:i/>
          <w:sz w:val="20"/>
        </w:rPr>
        <w:t xml:space="preserve"> редовна</w:t>
      </w:r>
      <w:r>
        <w:rPr>
          <w:b/>
          <w:i/>
          <w:sz w:val="20"/>
          <w:lang w:val="bg-BG"/>
        </w:rPr>
        <w:t xml:space="preserve"> и</w:t>
      </w:r>
      <w:r w:rsidR="00CA4FEB">
        <w:rPr>
          <w:b/>
          <w:i/>
          <w:sz w:val="20"/>
          <w:lang w:val="bg-BG"/>
        </w:rPr>
        <w:t xml:space="preserve"> </w:t>
      </w:r>
      <w:r w:rsidR="00562D2E">
        <w:rPr>
          <w:b/>
          <w:i/>
          <w:sz w:val="20"/>
          <w:lang w:val="bg-BG"/>
        </w:rPr>
        <w:t xml:space="preserve"> </w:t>
      </w:r>
      <w:r>
        <w:rPr>
          <w:b/>
          <w:i/>
          <w:sz w:val="20"/>
          <w:lang w:val="bg-BG"/>
        </w:rPr>
        <w:t>по-подробна</w:t>
      </w:r>
      <w:r w:rsidRPr="005D6747">
        <w:rPr>
          <w:b/>
          <w:i/>
          <w:sz w:val="20"/>
        </w:rPr>
        <w:t xml:space="preserve"> обратна връзка за </w:t>
      </w:r>
      <w:r w:rsidR="00562D2E">
        <w:rPr>
          <w:b/>
          <w:i/>
          <w:sz w:val="20"/>
          <w:lang w:val="bg-BG"/>
        </w:rPr>
        <w:t xml:space="preserve">последващите действия по </w:t>
      </w:r>
      <w:r>
        <w:rPr>
          <w:b/>
          <w:i/>
          <w:sz w:val="20"/>
        </w:rPr>
        <w:t>получените доклади.</w:t>
      </w:r>
    </w:p>
    <w:p w14:paraId="1AD170AC" w14:textId="6FA6FFC9" w:rsidR="00BE6433" w:rsidRDefault="00BE6433" w:rsidP="0084086D">
      <w:pPr>
        <w:widowControl/>
        <w:spacing w:before="120" w:after="120" w:line="260" w:lineRule="atLeast"/>
        <w:rPr>
          <w:b/>
          <w:i/>
          <w:sz w:val="20"/>
        </w:rPr>
      </w:pPr>
    </w:p>
    <w:p w14:paraId="37FDC498" w14:textId="57F5DBB5" w:rsidR="00BE6433" w:rsidRPr="00D919F3" w:rsidRDefault="00BE6433" w:rsidP="00572912">
      <w:pPr>
        <w:pStyle w:val="Heading2"/>
        <w:keepLines/>
        <w:numPr>
          <w:ilvl w:val="1"/>
          <w:numId w:val="8"/>
        </w:numPr>
        <w:tabs>
          <w:tab w:val="left" w:pos="731"/>
        </w:tabs>
        <w:spacing w:after="189" w:line="240" w:lineRule="exact"/>
        <w:rPr>
          <w:lang w:val="bg-BG"/>
        </w:rPr>
      </w:pPr>
      <w:bookmarkStart w:id="17" w:name="bookmark20"/>
      <w:r w:rsidRPr="00D919F3">
        <w:t xml:space="preserve">Разкриване от МВР и ДАНС </w:t>
      </w:r>
      <w:bookmarkEnd w:id="17"/>
    </w:p>
    <w:p w14:paraId="74AFAB4A" w14:textId="25F2A9A9" w:rsidR="00BE6433" w:rsidRPr="00767245" w:rsidRDefault="00570D63" w:rsidP="00572912">
      <w:pPr>
        <w:pStyle w:val="Para"/>
        <w:rPr>
          <w:b/>
          <w:i/>
          <w:lang w:val="bg-BG"/>
        </w:rPr>
      </w:pPr>
      <w:r w:rsidRPr="00572912">
        <w:rPr>
          <w:lang w:val="bg-BG"/>
        </w:rPr>
        <w:t>След виртуалното</w:t>
      </w:r>
      <w:r>
        <w:rPr>
          <w:lang w:val="bg-BG"/>
        </w:rPr>
        <w:t xml:space="preserve"> работно</w:t>
      </w:r>
      <w:r w:rsidRPr="00767245">
        <w:rPr>
          <w:lang w:val="bg-BG"/>
        </w:rPr>
        <w:t xml:space="preserve"> посещение България отбеляза, че МВР отговаря за разкриването на престъпления в България, заедно с ДАНС. Съгласно чл. 8 и 9 от Закона на Министерството на вътрешните работи, МВР предприема оперативна и </w:t>
      </w:r>
      <w:r w:rsidR="00767245">
        <w:rPr>
          <w:lang w:val="bg-BG"/>
        </w:rPr>
        <w:t>издирвателна дейност</w:t>
      </w:r>
      <w:r w:rsidRPr="00767245">
        <w:rPr>
          <w:lang w:val="bg-BG"/>
        </w:rPr>
        <w:t xml:space="preserve"> чрез явни и </w:t>
      </w:r>
      <w:r w:rsidR="00767245">
        <w:rPr>
          <w:lang w:val="bg-BG"/>
        </w:rPr>
        <w:t>тайни</w:t>
      </w:r>
      <w:r w:rsidRPr="00767245">
        <w:rPr>
          <w:lang w:val="bg-BG"/>
        </w:rPr>
        <w:t xml:space="preserve"> действия за противодействие на престъпността и заплахите за националната сигурност и за поддържане на обществения ред. България не можа да предостави примери, в които МВР е </w:t>
      </w:r>
      <w:r>
        <w:rPr>
          <w:lang w:val="bg-BG"/>
        </w:rPr>
        <w:t xml:space="preserve">разкрило случаи на </w:t>
      </w:r>
      <w:r w:rsidRPr="00F0096D">
        <w:rPr>
          <w:lang w:val="bg-BG"/>
        </w:rPr>
        <w:t>подкуп</w:t>
      </w:r>
      <w:r>
        <w:rPr>
          <w:lang w:val="bg-BG"/>
        </w:rPr>
        <w:t xml:space="preserve"> на чуждо длъжностно лице</w:t>
      </w:r>
      <w:r w:rsidRPr="00767245">
        <w:rPr>
          <w:lang w:val="bg-BG"/>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35D12D9" w14:textId="77777777" w:rsidR="005D6747" w:rsidRPr="00572912" w:rsidRDefault="00BE02CA"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lang w:val="bg-BG"/>
        </w:rPr>
      </w:pPr>
      <w:r>
        <w:rPr>
          <w:rFonts w:eastAsiaTheme="majorEastAsia" w:cstheme="majorBidi"/>
          <w:b/>
          <w:color w:val="4E81BD" w:themeColor="accent1"/>
          <w:sz w:val="24"/>
          <w:szCs w:val="26"/>
          <w:lang w:val="bg-BG"/>
        </w:rPr>
        <w:t>Разкриване</w:t>
      </w:r>
      <w:r w:rsidRPr="00572912">
        <w:rPr>
          <w:rFonts w:eastAsiaTheme="majorEastAsia" w:cstheme="majorBidi"/>
          <w:b/>
          <w:color w:val="4E81BD" w:themeColor="accent1"/>
          <w:sz w:val="24"/>
          <w:szCs w:val="26"/>
          <w:lang w:val="bg-BG"/>
        </w:rPr>
        <w:t xml:space="preserve"> </w:t>
      </w:r>
      <w:r w:rsidR="005D6747" w:rsidRPr="00572912">
        <w:rPr>
          <w:rFonts w:eastAsiaTheme="majorEastAsia" w:cstheme="majorBidi"/>
          <w:b/>
          <w:color w:val="4E81BD" w:themeColor="accent1"/>
          <w:sz w:val="24"/>
          <w:szCs w:val="26"/>
          <w:lang w:val="bg-BG"/>
        </w:rPr>
        <w:t xml:space="preserve">и докладване от </w:t>
      </w:r>
      <w:r w:rsidR="005D6747" w:rsidRPr="005D6747">
        <w:rPr>
          <w:rFonts w:eastAsiaTheme="majorEastAsia" w:cstheme="majorBidi"/>
          <w:b/>
          <w:color w:val="4E81BD" w:themeColor="accent1"/>
          <w:sz w:val="24"/>
          <w:szCs w:val="26"/>
          <w:lang w:val="bg-BG"/>
        </w:rPr>
        <w:t>длъжностни лица</w:t>
      </w:r>
      <w:r w:rsidR="005D6747" w:rsidRPr="00572912">
        <w:rPr>
          <w:rFonts w:eastAsiaTheme="majorEastAsia" w:cstheme="majorBidi"/>
          <w:b/>
          <w:color w:val="4E81BD" w:themeColor="accent1"/>
          <w:sz w:val="24"/>
          <w:szCs w:val="26"/>
          <w:lang w:val="bg-BG"/>
        </w:rPr>
        <w:t>, включително служители от М</w:t>
      </w:r>
      <w:r w:rsidR="005D6747" w:rsidRPr="005D6747">
        <w:rPr>
          <w:rFonts w:eastAsiaTheme="majorEastAsia" w:cstheme="majorBidi"/>
          <w:b/>
          <w:color w:val="4E81BD" w:themeColor="accent1"/>
          <w:sz w:val="24"/>
          <w:szCs w:val="26"/>
          <w:lang w:val="bg-BG"/>
        </w:rPr>
        <w:t>ВнР</w:t>
      </w:r>
    </w:p>
    <w:p w14:paraId="74A8D8DC" w14:textId="0629A7C8" w:rsidR="005D6747" w:rsidRPr="00572912" w:rsidRDefault="005D6747" w:rsidP="005D6747">
      <w:pPr>
        <w:widowControl/>
        <w:numPr>
          <w:ilvl w:val="0"/>
          <w:numId w:val="1"/>
        </w:numPr>
        <w:spacing w:before="120" w:after="120" w:line="260" w:lineRule="atLeast"/>
        <w:rPr>
          <w:sz w:val="20"/>
          <w:lang w:val="bg-BG"/>
        </w:rPr>
      </w:pPr>
      <w:r w:rsidRPr="005D6747">
        <w:rPr>
          <w:sz w:val="20"/>
          <w:lang w:val="bg-BG"/>
        </w:rPr>
        <w:t>Длъжностните лица</w:t>
      </w:r>
      <w:r w:rsidRPr="00572912">
        <w:rPr>
          <w:sz w:val="20"/>
          <w:lang w:val="bg-BG"/>
        </w:rPr>
        <w:t xml:space="preserve"> в България са длъжни да докладват административни слабости, пропуски и нарушения, които според тях са предпоставки за корупция, измами и нередности (член 7, параграф 3 от Кодекса за поведение на служителите в държавната администрация). Както бе отбелязано във </w:t>
      </w:r>
      <w:r w:rsidR="00673F1F">
        <w:rPr>
          <w:sz w:val="20"/>
          <w:lang w:val="bg-BG"/>
        </w:rPr>
        <w:t>Фаза</w:t>
      </w:r>
      <w:r w:rsidRPr="00572912">
        <w:rPr>
          <w:sz w:val="20"/>
          <w:lang w:val="bg-BG"/>
        </w:rPr>
        <w:t xml:space="preserve"> 3, това задължение</w:t>
      </w:r>
      <w:r w:rsidR="009921EB">
        <w:rPr>
          <w:sz w:val="20"/>
          <w:lang w:val="bg-BG"/>
        </w:rPr>
        <w:t xml:space="preserve"> преди всичко</w:t>
      </w:r>
      <w:r w:rsidRPr="00572912">
        <w:rPr>
          <w:sz w:val="20"/>
          <w:lang w:val="bg-BG"/>
        </w:rPr>
        <w:t xml:space="preserve"> се отнася до корупцията на български държавни служители</w:t>
      </w:r>
      <w:r w:rsidR="00D6522D" w:rsidRPr="00572912">
        <w:rPr>
          <w:sz w:val="20"/>
          <w:lang w:val="bg-BG"/>
        </w:rPr>
        <w:t xml:space="preserve">, </w:t>
      </w:r>
      <w:r w:rsidR="00A94267">
        <w:rPr>
          <w:sz w:val="20"/>
        </w:rPr>
        <w:t>a</w:t>
      </w:r>
      <w:r w:rsidR="00A94267" w:rsidRPr="00572912">
        <w:rPr>
          <w:sz w:val="20"/>
          <w:lang w:val="bg-BG"/>
        </w:rPr>
        <w:t xml:space="preserve"> </w:t>
      </w:r>
      <w:r w:rsidR="002726BC">
        <w:rPr>
          <w:sz w:val="20"/>
          <w:lang w:val="bg-BG"/>
        </w:rPr>
        <w:t>не до</w:t>
      </w:r>
      <w:r w:rsidRPr="005D6747">
        <w:rPr>
          <w:sz w:val="20"/>
          <w:lang w:val="bg-BG"/>
        </w:rPr>
        <w:t xml:space="preserve"> подкупа на </w:t>
      </w:r>
      <w:r w:rsidR="00653F30">
        <w:rPr>
          <w:sz w:val="20"/>
          <w:lang w:val="bg-BG"/>
        </w:rPr>
        <w:t>чужди</w:t>
      </w:r>
      <w:r w:rsidR="00653F30" w:rsidRPr="005D6747">
        <w:rPr>
          <w:sz w:val="20"/>
          <w:lang w:val="bg-BG"/>
        </w:rPr>
        <w:t xml:space="preserve"> </w:t>
      </w:r>
      <w:r w:rsidRPr="005D6747">
        <w:rPr>
          <w:sz w:val="20"/>
          <w:lang w:val="bg-BG"/>
        </w:rPr>
        <w:t>длъжностни лица</w:t>
      </w:r>
      <w:r w:rsidRPr="00572912">
        <w:rPr>
          <w:sz w:val="20"/>
          <w:lang w:val="bg-BG"/>
        </w:rPr>
        <w:t xml:space="preserve">. Освен това </w:t>
      </w:r>
      <w:r w:rsidRPr="005D6747">
        <w:rPr>
          <w:sz w:val="20"/>
          <w:lang w:val="bg-BG"/>
        </w:rPr>
        <w:t>длъжностните лица</w:t>
      </w:r>
      <w:r w:rsidRPr="00572912">
        <w:rPr>
          <w:sz w:val="20"/>
          <w:lang w:val="bg-BG"/>
        </w:rPr>
        <w:t xml:space="preserve"> </w:t>
      </w:r>
      <w:r w:rsidRPr="005D6747">
        <w:rPr>
          <w:sz w:val="20"/>
          <w:lang w:val="bg-BG"/>
        </w:rPr>
        <w:t>са обществено задължени</w:t>
      </w:r>
      <w:r w:rsidRPr="00572912">
        <w:rPr>
          <w:sz w:val="20"/>
          <w:lang w:val="bg-BG"/>
        </w:rPr>
        <w:t xml:space="preserve"> да </w:t>
      </w:r>
      <w:r w:rsidRPr="005D6747">
        <w:rPr>
          <w:sz w:val="20"/>
          <w:lang w:val="bg-BG"/>
        </w:rPr>
        <w:t xml:space="preserve">уведомяват </w:t>
      </w:r>
      <w:r w:rsidRPr="00572912">
        <w:rPr>
          <w:sz w:val="20"/>
          <w:lang w:val="bg-BG"/>
        </w:rPr>
        <w:t xml:space="preserve">за </w:t>
      </w:r>
      <w:r w:rsidR="00653F30" w:rsidRPr="005D6747">
        <w:rPr>
          <w:sz w:val="20"/>
          <w:lang w:val="bg-BG"/>
        </w:rPr>
        <w:t>извършен</w:t>
      </w:r>
      <w:r w:rsidR="00653F30">
        <w:rPr>
          <w:sz w:val="20"/>
          <w:lang w:val="bg-BG"/>
        </w:rPr>
        <w:t xml:space="preserve">и престъпления </w:t>
      </w:r>
      <w:r w:rsidRPr="005D6747">
        <w:rPr>
          <w:sz w:val="20"/>
          <w:lang w:val="bg-BG"/>
        </w:rPr>
        <w:t>от общ характер</w:t>
      </w:r>
      <w:r w:rsidRPr="00572912">
        <w:rPr>
          <w:sz w:val="20"/>
          <w:lang w:val="bg-BG"/>
        </w:rPr>
        <w:t>, включително подкуп</w:t>
      </w:r>
      <w:r w:rsidRPr="005D6747">
        <w:rPr>
          <w:sz w:val="20"/>
          <w:lang w:val="bg-BG"/>
        </w:rPr>
        <w:t xml:space="preserve">ване на </w:t>
      </w:r>
      <w:r w:rsidRPr="00572912">
        <w:rPr>
          <w:sz w:val="20"/>
          <w:lang w:val="bg-BG"/>
        </w:rPr>
        <w:t xml:space="preserve">чужди длъжностни лица съгласно член 205, параграф 1 от </w:t>
      </w:r>
      <w:r w:rsidRPr="005D6747">
        <w:rPr>
          <w:sz w:val="20"/>
          <w:lang w:val="bg-BG"/>
        </w:rPr>
        <w:t>Н</w:t>
      </w:r>
      <w:r w:rsidRPr="00572912">
        <w:rPr>
          <w:sz w:val="20"/>
          <w:lang w:val="bg-BG"/>
        </w:rPr>
        <w:t xml:space="preserve">ПК, задължение, което се прилага за всички граждани в България. </w:t>
      </w:r>
      <w:r w:rsidRPr="005D6747">
        <w:rPr>
          <w:sz w:val="20"/>
          <w:lang w:val="bg-BG"/>
        </w:rPr>
        <w:t>Длъжностните лица</w:t>
      </w:r>
      <w:r w:rsidRPr="00572912">
        <w:rPr>
          <w:sz w:val="20"/>
          <w:lang w:val="bg-BG"/>
        </w:rPr>
        <w:t xml:space="preserve"> имат допълнителното задължение да предприемат всички необходими мерки</w:t>
      </w:r>
      <w:r w:rsidRPr="005D6747">
        <w:rPr>
          <w:sz w:val="20"/>
          <w:lang w:val="bg-BG"/>
        </w:rPr>
        <w:t xml:space="preserve"> за запазване на</w:t>
      </w:r>
      <w:r w:rsidRPr="00572912">
        <w:rPr>
          <w:sz w:val="20"/>
          <w:lang w:val="bg-BG"/>
        </w:rPr>
        <w:t xml:space="preserve"> „</w:t>
      </w:r>
      <w:r w:rsidRPr="005D6747">
        <w:rPr>
          <w:sz w:val="20"/>
          <w:lang w:val="bg-BG"/>
        </w:rPr>
        <w:t xml:space="preserve">общата </w:t>
      </w:r>
      <w:r w:rsidRPr="00572912">
        <w:rPr>
          <w:sz w:val="20"/>
          <w:lang w:val="bg-BG"/>
        </w:rPr>
        <w:t>об</w:t>
      </w:r>
      <w:r w:rsidRPr="005D6747">
        <w:rPr>
          <w:sz w:val="20"/>
          <w:lang w:val="bg-BG"/>
        </w:rPr>
        <w:t xml:space="preserve">становка </w:t>
      </w:r>
      <w:r w:rsidRPr="00572912">
        <w:rPr>
          <w:sz w:val="20"/>
          <w:lang w:val="bg-BG"/>
        </w:rPr>
        <w:t xml:space="preserve">и данните“ за </w:t>
      </w:r>
      <w:r w:rsidR="00653F30">
        <w:rPr>
          <w:sz w:val="20"/>
          <w:lang w:val="bg-BG"/>
        </w:rPr>
        <w:t>престъплението</w:t>
      </w:r>
      <w:r w:rsidR="00653F30" w:rsidRPr="00572912">
        <w:rPr>
          <w:sz w:val="20"/>
          <w:lang w:val="bg-BG"/>
        </w:rPr>
        <w:t xml:space="preserve"> </w:t>
      </w:r>
      <w:r w:rsidRPr="00572912">
        <w:rPr>
          <w:sz w:val="20"/>
          <w:lang w:val="bg-BG"/>
        </w:rPr>
        <w:t xml:space="preserve">(член 205, параграф 2 от </w:t>
      </w:r>
      <w:r w:rsidRPr="005D6747">
        <w:rPr>
          <w:sz w:val="20"/>
          <w:lang w:val="bg-BG"/>
        </w:rPr>
        <w:t>Н</w:t>
      </w:r>
      <w:r w:rsidRPr="00572912">
        <w:rPr>
          <w:sz w:val="20"/>
          <w:lang w:val="bg-BG"/>
        </w:rPr>
        <w:t xml:space="preserve">ПК). </w:t>
      </w:r>
      <w:r w:rsidR="00E63462">
        <w:rPr>
          <w:sz w:val="20"/>
          <w:lang w:val="bg-BG"/>
        </w:rPr>
        <w:t>НПК</w:t>
      </w:r>
      <w:r w:rsidR="00E63462" w:rsidRPr="00572912">
        <w:rPr>
          <w:sz w:val="20"/>
          <w:lang w:val="bg-BG"/>
        </w:rPr>
        <w:t xml:space="preserve"> </w:t>
      </w:r>
      <w:r w:rsidRPr="00572912">
        <w:rPr>
          <w:sz w:val="20"/>
          <w:lang w:val="bg-BG"/>
        </w:rPr>
        <w:t xml:space="preserve">не </w:t>
      </w:r>
      <w:r w:rsidR="00653F30">
        <w:rPr>
          <w:sz w:val="20"/>
          <w:lang w:val="bg-BG"/>
        </w:rPr>
        <w:t>предвижда</w:t>
      </w:r>
      <w:r w:rsidR="00653F30" w:rsidRPr="00572912">
        <w:rPr>
          <w:sz w:val="20"/>
          <w:lang w:val="bg-BG"/>
        </w:rPr>
        <w:t xml:space="preserve"> </w:t>
      </w:r>
      <w:r w:rsidRPr="00572912">
        <w:rPr>
          <w:sz w:val="20"/>
          <w:lang w:val="bg-BG"/>
        </w:rPr>
        <w:t xml:space="preserve">наказания за тези, които не докладват, забавят или възпрепятстват доклад. Към </w:t>
      </w:r>
      <w:r w:rsidR="00673F1F" w:rsidRPr="00572912">
        <w:rPr>
          <w:sz w:val="20"/>
          <w:lang w:val="bg-BG"/>
        </w:rPr>
        <w:t>Фаза</w:t>
      </w:r>
      <w:r w:rsidRPr="00572912">
        <w:rPr>
          <w:sz w:val="20"/>
          <w:lang w:val="bg-BG"/>
        </w:rPr>
        <w:t xml:space="preserve"> 4 няма случаи на подкуп</w:t>
      </w:r>
      <w:r w:rsidRPr="005D6747">
        <w:rPr>
          <w:sz w:val="20"/>
          <w:lang w:val="bg-BG"/>
        </w:rPr>
        <w:t xml:space="preserve">ване на </w:t>
      </w:r>
      <w:r w:rsidR="00653F30">
        <w:rPr>
          <w:sz w:val="20"/>
          <w:lang w:val="bg-BG"/>
        </w:rPr>
        <w:t>чужди</w:t>
      </w:r>
      <w:r w:rsidR="00653F30" w:rsidRPr="005D6747">
        <w:rPr>
          <w:sz w:val="20"/>
          <w:lang w:val="bg-BG"/>
        </w:rPr>
        <w:t xml:space="preserve"> </w:t>
      </w:r>
      <w:r w:rsidRPr="005D6747">
        <w:rPr>
          <w:sz w:val="20"/>
          <w:lang w:val="bg-BG"/>
        </w:rPr>
        <w:t>длъжностни лица</w:t>
      </w:r>
      <w:r w:rsidR="003948AA">
        <w:rPr>
          <w:sz w:val="20"/>
          <w:lang w:val="bg-BG"/>
        </w:rPr>
        <w:t>, разкрити</w:t>
      </w:r>
      <w:r w:rsidRPr="00572912">
        <w:rPr>
          <w:sz w:val="20"/>
          <w:lang w:val="bg-BG"/>
        </w:rPr>
        <w:t xml:space="preserve"> от български държавни служители.</w:t>
      </w:r>
    </w:p>
    <w:p w14:paraId="0C945B73" w14:textId="77777777" w:rsidR="005D6747" w:rsidRPr="00572912" w:rsidRDefault="005D6747" w:rsidP="005D6747">
      <w:pPr>
        <w:widowControl/>
        <w:numPr>
          <w:ilvl w:val="0"/>
          <w:numId w:val="1"/>
        </w:numPr>
        <w:spacing w:before="120" w:after="120" w:line="260" w:lineRule="atLeast"/>
        <w:rPr>
          <w:b/>
          <w:i/>
          <w:sz w:val="20"/>
          <w:lang w:val="bg-BG"/>
        </w:rPr>
      </w:pPr>
      <w:r w:rsidRPr="00572912">
        <w:rPr>
          <w:sz w:val="20"/>
          <w:lang w:val="bg-BG"/>
        </w:rPr>
        <w:t xml:space="preserve">Работната група призна, че дипломатически мисии </w:t>
      </w:r>
      <w:r w:rsidR="00653F30">
        <w:rPr>
          <w:sz w:val="20"/>
          <w:lang w:val="bg-BG"/>
        </w:rPr>
        <w:t xml:space="preserve">в чужбина </w:t>
      </w:r>
      <w:r w:rsidRPr="00572912">
        <w:rPr>
          <w:sz w:val="20"/>
          <w:lang w:val="bg-BG"/>
        </w:rPr>
        <w:t xml:space="preserve">имат стратегическа роля при разкриването и докладването на подкупване на </w:t>
      </w:r>
      <w:r w:rsidR="00653F30" w:rsidRPr="00572912">
        <w:rPr>
          <w:sz w:val="20"/>
          <w:lang w:val="bg-BG"/>
        </w:rPr>
        <w:t>чужд</w:t>
      </w:r>
      <w:r w:rsidR="00653F30">
        <w:rPr>
          <w:sz w:val="20"/>
          <w:lang w:val="bg-BG"/>
        </w:rPr>
        <w:t>и</w:t>
      </w:r>
      <w:r w:rsidR="00653F30" w:rsidRPr="00572912">
        <w:rPr>
          <w:sz w:val="20"/>
          <w:lang w:val="bg-BG"/>
        </w:rPr>
        <w:t xml:space="preserve"> </w:t>
      </w:r>
      <w:r w:rsidRPr="00572912">
        <w:rPr>
          <w:sz w:val="20"/>
          <w:lang w:val="bg-BG"/>
        </w:rPr>
        <w:t>длъжно</w:t>
      </w:r>
      <w:r w:rsidR="00653F30">
        <w:rPr>
          <w:sz w:val="20"/>
          <w:lang w:val="bg-BG"/>
        </w:rPr>
        <w:t>с</w:t>
      </w:r>
      <w:r w:rsidRPr="00572912">
        <w:rPr>
          <w:sz w:val="20"/>
          <w:lang w:val="bg-BG"/>
        </w:rPr>
        <w:t xml:space="preserve">тни лица. Длъжностните лица, командировани в чужбина, са в добра позиция да идентифицират и докладват </w:t>
      </w:r>
      <w:r w:rsidRPr="005D6747">
        <w:rPr>
          <w:sz w:val="20"/>
          <w:lang w:val="bg-BG"/>
        </w:rPr>
        <w:t>подкупване на чужди длъжностни лица</w:t>
      </w:r>
      <w:r w:rsidRPr="00572912">
        <w:rPr>
          <w:sz w:val="20"/>
          <w:lang w:val="bg-BG"/>
        </w:rPr>
        <w:t xml:space="preserve">, по-специално поради тяхното познаване на възможностите за бизнес в приемащите страни и запознатостта им с местната среда, включително местните медии. Във </w:t>
      </w:r>
      <w:r w:rsidR="00673F1F">
        <w:rPr>
          <w:sz w:val="20"/>
          <w:lang w:val="bg-BG"/>
        </w:rPr>
        <w:t>Фаза</w:t>
      </w:r>
      <w:r w:rsidRPr="00572912">
        <w:rPr>
          <w:sz w:val="20"/>
          <w:lang w:val="bg-BG"/>
        </w:rPr>
        <w:t xml:space="preserve"> 3 работната група установи, че служители на МВнР не са получавали доклади за подбуждане или активен подкуп от български граждани в чужбина и не са били запознати с канали</w:t>
      </w:r>
      <w:r w:rsidR="003948AA">
        <w:rPr>
          <w:sz w:val="20"/>
          <w:lang w:val="bg-BG"/>
        </w:rPr>
        <w:t>те</w:t>
      </w:r>
      <w:r w:rsidRPr="00572912">
        <w:rPr>
          <w:sz w:val="20"/>
          <w:lang w:val="bg-BG"/>
        </w:rPr>
        <w:t xml:space="preserve"> за докладване, </w:t>
      </w:r>
      <w:r w:rsidR="003948AA">
        <w:rPr>
          <w:sz w:val="20"/>
          <w:lang w:val="bg-BG"/>
        </w:rPr>
        <w:t xml:space="preserve">чрез </w:t>
      </w:r>
      <w:r w:rsidRPr="00572912">
        <w:rPr>
          <w:sz w:val="20"/>
          <w:lang w:val="bg-BG"/>
        </w:rPr>
        <w:t xml:space="preserve">които да получават такива доклади. Работната група също така отбеляза със загриженост общата липса на проактивни мерки за повишаване на осведомеността сред </w:t>
      </w:r>
      <w:r w:rsidRPr="005D6747">
        <w:rPr>
          <w:sz w:val="20"/>
          <w:lang w:val="bg-BG"/>
        </w:rPr>
        <w:t>длъжностните лица</w:t>
      </w:r>
      <w:r w:rsidRPr="00572912">
        <w:rPr>
          <w:sz w:val="20"/>
          <w:lang w:val="bg-BG"/>
        </w:rPr>
        <w:t xml:space="preserve">, включително служители на МВнР, които биха могли да играят роля в разкриването и докладването на подкупване на чужди длъжностни лица. Затова групата препоръча на България да повиши </w:t>
      </w:r>
      <w:r w:rsidRPr="005D6747">
        <w:rPr>
          <w:sz w:val="20"/>
          <w:lang w:val="bg-BG"/>
        </w:rPr>
        <w:t>своята</w:t>
      </w:r>
      <w:r w:rsidRPr="00572912">
        <w:rPr>
          <w:sz w:val="20"/>
          <w:lang w:val="bg-BG"/>
        </w:rPr>
        <w:t xml:space="preserve"> осведоменост и това беше счетено за напълно изпълнено при двугодишното писмено проследяване. България съобщава, че през 2016-2021 г. Дипломатическият институт </w:t>
      </w:r>
      <w:r w:rsidRPr="005D6747">
        <w:rPr>
          <w:sz w:val="20"/>
          <w:lang w:val="bg-BG"/>
        </w:rPr>
        <w:t>към</w:t>
      </w:r>
      <w:r w:rsidRPr="00572912">
        <w:rPr>
          <w:sz w:val="20"/>
          <w:lang w:val="bg-BG"/>
        </w:rPr>
        <w:t xml:space="preserve"> МВнР е осигурил обучение на 463 нови служители на МВнР по антикорупционни мерки, включително българската правна рамка за борба с корупцията, практически случаи, доклади за корупция и проверки. Обученията обаче не обхващат конкретно </w:t>
      </w:r>
      <w:r w:rsidRPr="005D6747">
        <w:rPr>
          <w:sz w:val="20"/>
          <w:lang w:val="bg-BG"/>
        </w:rPr>
        <w:t>подкупване на чужди длъжностни лица</w:t>
      </w:r>
      <w:r w:rsidRPr="00572912">
        <w:rPr>
          <w:sz w:val="20"/>
          <w:lang w:val="bg-BG"/>
        </w:rPr>
        <w:t xml:space="preserve"> и не засягат ролята, която чуждестранните дипломатически мисии могат да играят при разкриването и докладването на </w:t>
      </w:r>
      <w:r w:rsidRPr="005D6747">
        <w:rPr>
          <w:sz w:val="20"/>
          <w:lang w:val="bg-BG"/>
        </w:rPr>
        <w:t>подкупване на чужди длъжностни лица</w:t>
      </w:r>
      <w:r w:rsidRPr="00572912">
        <w:rPr>
          <w:sz w:val="20"/>
          <w:lang w:val="bg-BG"/>
        </w:rPr>
        <w:t xml:space="preserve">. </w:t>
      </w:r>
      <w:r w:rsidR="00E63462">
        <w:rPr>
          <w:sz w:val="20"/>
          <w:lang w:val="bg-BG"/>
        </w:rPr>
        <w:t xml:space="preserve">След виртуалното посещение </w:t>
      </w:r>
      <w:r w:rsidRPr="00767245">
        <w:rPr>
          <w:sz w:val="20"/>
          <w:lang w:val="bg-BG"/>
        </w:rPr>
        <w:t>България съобщи, че</w:t>
      </w:r>
      <w:r w:rsidR="00E63462">
        <w:rPr>
          <w:sz w:val="20"/>
          <w:lang w:val="bg-BG"/>
        </w:rPr>
        <w:t xml:space="preserve"> през юни 2021 г.</w:t>
      </w:r>
      <w:r w:rsidRPr="00767245">
        <w:rPr>
          <w:sz w:val="20"/>
          <w:lang w:val="bg-BG"/>
        </w:rPr>
        <w:t xml:space="preserve"> М</w:t>
      </w:r>
      <w:r w:rsidRPr="005D6747">
        <w:rPr>
          <w:sz w:val="20"/>
          <w:lang w:val="bg-BG"/>
        </w:rPr>
        <w:t>ВнР</w:t>
      </w:r>
      <w:r w:rsidRPr="00767245">
        <w:rPr>
          <w:sz w:val="20"/>
          <w:lang w:val="bg-BG"/>
        </w:rPr>
        <w:t xml:space="preserve"> е </w:t>
      </w:r>
      <w:r w:rsidRPr="00767245">
        <w:rPr>
          <w:sz w:val="20"/>
          <w:lang w:val="bg-BG"/>
        </w:rPr>
        <w:lastRenderedPageBreak/>
        <w:t>разпространил</w:t>
      </w:r>
      <w:r w:rsidRPr="005D6747">
        <w:rPr>
          <w:sz w:val="20"/>
          <w:lang w:val="bg-BG"/>
        </w:rPr>
        <w:t>о</w:t>
      </w:r>
      <w:r w:rsidRPr="00572912">
        <w:rPr>
          <w:sz w:val="20"/>
          <w:lang w:val="bg-BG"/>
        </w:rPr>
        <w:t xml:space="preserve"> сред чуждестранните дипломатически мисии брошура за повишаване на осведомеността за борба с </w:t>
      </w:r>
      <w:r w:rsidRPr="005D6747">
        <w:rPr>
          <w:sz w:val="20"/>
          <w:lang w:val="bg-BG"/>
        </w:rPr>
        <w:t>подкупването на чужди длъжностни лица</w:t>
      </w:r>
      <w:r w:rsidRPr="00572912">
        <w:rPr>
          <w:sz w:val="20"/>
          <w:lang w:val="bg-BG"/>
        </w:rPr>
        <w:t>, подготвена от О</w:t>
      </w:r>
      <w:r w:rsidR="003948AA" w:rsidRPr="00572912">
        <w:rPr>
          <w:sz w:val="20"/>
          <w:lang w:val="bg-BG"/>
        </w:rPr>
        <w:t>ИСР и преведена на български</w:t>
      </w:r>
      <w:r w:rsidRPr="00572912">
        <w:rPr>
          <w:sz w:val="20"/>
          <w:lang w:val="bg-BG"/>
        </w:rPr>
        <w:t xml:space="preserve">. </w:t>
      </w:r>
    </w:p>
    <w:p w14:paraId="3284F111" w14:textId="77777777" w:rsidR="005D6747" w:rsidRPr="00767245" w:rsidRDefault="006875C7" w:rsidP="005D6747">
      <w:pPr>
        <w:widowControl/>
        <w:numPr>
          <w:ilvl w:val="0"/>
          <w:numId w:val="1"/>
        </w:numPr>
        <w:spacing w:before="120" w:after="120" w:line="260" w:lineRule="atLeast"/>
        <w:rPr>
          <w:sz w:val="20"/>
          <w:lang w:val="bg-BG"/>
        </w:rPr>
      </w:pPr>
      <w:r>
        <w:rPr>
          <w:sz w:val="20"/>
          <w:lang w:val="bg-BG"/>
        </w:rPr>
        <w:t>Сигнали</w:t>
      </w:r>
      <w:r w:rsidRPr="00767245">
        <w:rPr>
          <w:sz w:val="20"/>
          <w:lang w:val="bg-BG"/>
        </w:rPr>
        <w:t xml:space="preserve"> </w:t>
      </w:r>
      <w:r w:rsidR="005D6747" w:rsidRPr="00767245">
        <w:rPr>
          <w:sz w:val="20"/>
          <w:lang w:val="bg-BG"/>
        </w:rPr>
        <w:t xml:space="preserve">за корупция и подкупи </w:t>
      </w:r>
      <w:r w:rsidR="00653F30">
        <w:rPr>
          <w:sz w:val="20"/>
          <w:lang w:val="bg-BG"/>
        </w:rPr>
        <w:t>на чужди длъжностни лица</w:t>
      </w:r>
      <w:r w:rsidR="005D6747" w:rsidRPr="00767245">
        <w:rPr>
          <w:sz w:val="20"/>
          <w:lang w:val="bg-BG"/>
        </w:rPr>
        <w:t xml:space="preserve"> могат да бъдат докладвани чрез специалната уеб страница за борба с корупцията на М</w:t>
      </w:r>
      <w:r w:rsidR="005D6747" w:rsidRPr="005D6747">
        <w:rPr>
          <w:sz w:val="20"/>
          <w:lang w:val="bg-BG"/>
        </w:rPr>
        <w:t>ВнР</w:t>
      </w:r>
      <w:r w:rsidR="005D6747" w:rsidRPr="00767245">
        <w:rPr>
          <w:sz w:val="20"/>
          <w:lang w:val="bg-BG"/>
        </w:rPr>
        <w:t xml:space="preserve"> и чрез </w:t>
      </w:r>
      <w:r w:rsidR="005D6747" w:rsidRPr="005D6747">
        <w:rPr>
          <w:sz w:val="20"/>
          <w:lang w:val="bg-BG"/>
        </w:rPr>
        <w:t>кутии за мнения и предложения (</w:t>
      </w:r>
      <w:r w:rsidR="005D6747" w:rsidRPr="005D6747">
        <w:rPr>
          <w:sz w:val="20"/>
          <w:lang w:val="en-US"/>
        </w:rPr>
        <w:t>drop</w:t>
      </w:r>
      <w:r w:rsidR="005D6747" w:rsidRPr="00767245">
        <w:rPr>
          <w:sz w:val="20"/>
          <w:lang w:val="bg-BG"/>
        </w:rPr>
        <w:t xml:space="preserve"> </w:t>
      </w:r>
      <w:r w:rsidR="005D6747" w:rsidRPr="005D6747">
        <w:rPr>
          <w:sz w:val="20"/>
          <w:lang w:val="en-US"/>
        </w:rPr>
        <w:t>boxes</w:t>
      </w:r>
      <w:r w:rsidR="005D6747" w:rsidRPr="00767245">
        <w:rPr>
          <w:sz w:val="20"/>
          <w:lang w:val="bg-BG"/>
        </w:rPr>
        <w:t>) в посолствата в чужб</w:t>
      </w:r>
      <w:r w:rsidR="00C30475" w:rsidRPr="00767245">
        <w:rPr>
          <w:sz w:val="20"/>
          <w:lang w:val="bg-BG"/>
        </w:rPr>
        <w:t>ина до Инспектората на МВнР</w:t>
      </w:r>
      <w:r w:rsidR="005D6747" w:rsidRPr="00767245">
        <w:rPr>
          <w:sz w:val="20"/>
          <w:lang w:val="bg-BG"/>
        </w:rPr>
        <w:t xml:space="preserve">. Инспекторатът на МВнР няма правомощия за разследване, но препраща всички </w:t>
      </w:r>
      <w:r w:rsidR="000C644C">
        <w:rPr>
          <w:sz w:val="20"/>
          <w:lang w:val="bg-BG"/>
        </w:rPr>
        <w:t>сигнали</w:t>
      </w:r>
      <w:r w:rsidR="000C644C" w:rsidRPr="00767245">
        <w:rPr>
          <w:sz w:val="20"/>
          <w:lang w:val="bg-BG"/>
        </w:rPr>
        <w:t xml:space="preserve"> </w:t>
      </w:r>
      <w:r w:rsidR="005D6747" w:rsidRPr="00767245">
        <w:rPr>
          <w:sz w:val="20"/>
          <w:lang w:val="bg-BG"/>
        </w:rPr>
        <w:t>до комп</w:t>
      </w:r>
      <w:r w:rsidR="003948AA" w:rsidRPr="00767245">
        <w:rPr>
          <w:sz w:val="20"/>
          <w:lang w:val="bg-BG"/>
        </w:rPr>
        <w:t>етентните правоприлагащи органи</w:t>
      </w:r>
      <w:r w:rsidR="005D6747" w:rsidRPr="00767245">
        <w:rPr>
          <w:sz w:val="20"/>
          <w:lang w:val="bg-BG"/>
        </w:rPr>
        <w:t xml:space="preserve">. Към днешна дата България не е получавала </w:t>
      </w:r>
      <w:r w:rsidR="000C644C">
        <w:rPr>
          <w:sz w:val="20"/>
          <w:lang w:val="bg-BG"/>
        </w:rPr>
        <w:t xml:space="preserve"> сигнали</w:t>
      </w:r>
      <w:r w:rsidR="005D6747" w:rsidRPr="00767245">
        <w:rPr>
          <w:sz w:val="20"/>
          <w:lang w:val="bg-BG"/>
        </w:rPr>
        <w:t xml:space="preserve"> за корупция или подкуп</w:t>
      </w:r>
      <w:r w:rsidR="005D6747" w:rsidRPr="005D6747">
        <w:rPr>
          <w:sz w:val="20"/>
          <w:lang w:val="bg-BG"/>
        </w:rPr>
        <w:t>ване на</w:t>
      </w:r>
      <w:r w:rsidR="005D6747" w:rsidRPr="00767245">
        <w:rPr>
          <w:sz w:val="20"/>
          <w:lang w:val="bg-BG"/>
        </w:rPr>
        <w:t xml:space="preserve"> </w:t>
      </w:r>
      <w:r w:rsidR="005D6747" w:rsidRPr="005D6747">
        <w:rPr>
          <w:sz w:val="20"/>
          <w:lang w:val="bg-BG"/>
        </w:rPr>
        <w:t>чужди длъжностни лица</w:t>
      </w:r>
      <w:r w:rsidR="005D6747" w:rsidRPr="00767245">
        <w:rPr>
          <w:sz w:val="20"/>
          <w:lang w:val="bg-BG"/>
        </w:rPr>
        <w:t xml:space="preserve"> чрез каналите за </w:t>
      </w:r>
      <w:r w:rsidR="00FB0A87">
        <w:rPr>
          <w:sz w:val="20"/>
          <w:lang w:val="bg-BG"/>
        </w:rPr>
        <w:t>подаване на сигнали</w:t>
      </w:r>
      <w:r w:rsidR="00FB0A87" w:rsidRPr="00767245">
        <w:rPr>
          <w:sz w:val="20"/>
          <w:lang w:val="bg-BG"/>
        </w:rPr>
        <w:t xml:space="preserve"> </w:t>
      </w:r>
      <w:r w:rsidR="005D6747" w:rsidRPr="00767245">
        <w:rPr>
          <w:sz w:val="20"/>
          <w:lang w:val="bg-BG"/>
        </w:rPr>
        <w:t>на МВнР.</w:t>
      </w:r>
    </w:p>
    <w:p w14:paraId="3120EC0C" w14:textId="77777777" w:rsidR="005D6747" w:rsidRPr="00767245" w:rsidRDefault="005D6747" w:rsidP="005D6747">
      <w:pPr>
        <w:widowControl/>
        <w:spacing w:before="120" w:after="120" w:line="260" w:lineRule="atLeast"/>
        <w:rPr>
          <w:b/>
          <w:i/>
          <w:color w:val="4E81BD" w:themeColor="accent1"/>
          <w:sz w:val="20"/>
          <w:lang w:val="bg-BG"/>
        </w:rPr>
      </w:pPr>
      <w:r w:rsidRPr="00767245">
        <w:rPr>
          <w:b/>
          <w:i/>
          <w:color w:val="4E81BD" w:themeColor="accent1"/>
          <w:sz w:val="20"/>
          <w:lang w:val="bg-BG"/>
        </w:rPr>
        <w:t>Коментар</w:t>
      </w:r>
    </w:p>
    <w:p w14:paraId="570C5E27" w14:textId="4C8E2E70" w:rsidR="005D6747" w:rsidRPr="00572912" w:rsidRDefault="005D6747" w:rsidP="005D6747">
      <w:pPr>
        <w:widowControl/>
        <w:spacing w:before="120" w:after="120" w:line="260" w:lineRule="atLeast"/>
        <w:rPr>
          <w:b/>
          <w:i/>
          <w:color w:val="000000" w:themeColor="text1"/>
          <w:sz w:val="20"/>
          <w:lang w:val="bg-BG"/>
        </w:rPr>
      </w:pPr>
      <w:r w:rsidRPr="00767245">
        <w:rPr>
          <w:b/>
          <w:i/>
          <w:color w:val="000000" w:themeColor="text1"/>
          <w:sz w:val="20"/>
          <w:lang w:val="bg-BG"/>
        </w:rPr>
        <w:t>Водещите</w:t>
      </w:r>
      <w:r w:rsidRPr="005D6747">
        <w:rPr>
          <w:b/>
          <w:i/>
          <w:color w:val="000000" w:themeColor="text1"/>
          <w:sz w:val="20"/>
          <w:lang w:val="bg-BG"/>
        </w:rPr>
        <w:t xml:space="preserve"> проверители</w:t>
      </w:r>
      <w:r w:rsidRPr="00572912">
        <w:rPr>
          <w:b/>
          <w:i/>
          <w:color w:val="000000" w:themeColor="text1"/>
          <w:sz w:val="20"/>
          <w:lang w:val="bg-BG"/>
        </w:rPr>
        <w:t xml:space="preserve"> смятат, че повишаването на осведомеността е непрекъснато задължение и въпреки че признават, че е извършена известна работа в това отношение, те препоръчват България да продължи да повишава осведомеността и да осигурява редовно обучение на </w:t>
      </w:r>
      <w:r w:rsidRPr="005D6747">
        <w:rPr>
          <w:b/>
          <w:i/>
          <w:color w:val="000000" w:themeColor="text1"/>
          <w:sz w:val="20"/>
          <w:lang w:val="bg-BG"/>
        </w:rPr>
        <w:t>длъжностните лица</w:t>
      </w:r>
      <w:r w:rsidRPr="00572912">
        <w:rPr>
          <w:b/>
          <w:i/>
          <w:color w:val="000000" w:themeColor="text1"/>
          <w:sz w:val="20"/>
          <w:lang w:val="bg-BG"/>
        </w:rPr>
        <w:t xml:space="preserve">, които биха могли да играят роля при </w:t>
      </w:r>
      <w:r w:rsidR="00FB0A87">
        <w:rPr>
          <w:b/>
          <w:i/>
          <w:color w:val="000000" w:themeColor="text1"/>
          <w:sz w:val="20"/>
          <w:lang w:val="bg-BG"/>
        </w:rPr>
        <w:t>разкриването</w:t>
      </w:r>
      <w:r w:rsidR="00FB0A87" w:rsidRPr="00572912">
        <w:rPr>
          <w:b/>
          <w:i/>
          <w:color w:val="000000" w:themeColor="text1"/>
          <w:sz w:val="20"/>
          <w:lang w:val="bg-BG"/>
        </w:rPr>
        <w:t xml:space="preserve"> </w:t>
      </w:r>
      <w:r w:rsidRPr="00572912">
        <w:rPr>
          <w:b/>
          <w:i/>
          <w:color w:val="000000" w:themeColor="text1"/>
          <w:sz w:val="20"/>
          <w:lang w:val="bg-BG"/>
        </w:rPr>
        <w:t xml:space="preserve">и докладването </w:t>
      </w:r>
      <w:r w:rsidRPr="005D6747">
        <w:rPr>
          <w:b/>
          <w:i/>
          <w:color w:val="000000" w:themeColor="text1"/>
          <w:sz w:val="20"/>
          <w:lang w:val="bg-BG"/>
        </w:rPr>
        <w:t>на подкуп на чужди длъжностни лица</w:t>
      </w:r>
      <w:r w:rsidRPr="00572912">
        <w:rPr>
          <w:b/>
          <w:i/>
          <w:color w:val="000000" w:themeColor="text1"/>
          <w:sz w:val="20"/>
          <w:lang w:val="bg-BG"/>
        </w:rPr>
        <w:t xml:space="preserve">, включително служители на МВнР, относно </w:t>
      </w:r>
      <w:r w:rsidR="00FB0A87">
        <w:rPr>
          <w:b/>
          <w:i/>
          <w:color w:val="000000" w:themeColor="text1"/>
          <w:sz w:val="20"/>
          <w:lang w:val="bg-BG"/>
        </w:rPr>
        <w:t>престъплението</w:t>
      </w:r>
      <w:r w:rsidR="00FB0A87" w:rsidRPr="00572912">
        <w:rPr>
          <w:b/>
          <w:i/>
          <w:color w:val="000000" w:themeColor="text1"/>
          <w:sz w:val="20"/>
          <w:lang w:val="bg-BG"/>
        </w:rPr>
        <w:t xml:space="preserve"> </w:t>
      </w:r>
      <w:r w:rsidRPr="00572912">
        <w:rPr>
          <w:b/>
          <w:i/>
          <w:color w:val="000000" w:themeColor="text1"/>
          <w:sz w:val="20"/>
          <w:lang w:val="bg-BG"/>
        </w:rPr>
        <w:t xml:space="preserve">и задълженията за докладване. Водещите </w:t>
      </w:r>
      <w:r w:rsidRPr="005D6747">
        <w:rPr>
          <w:b/>
          <w:i/>
          <w:color w:val="000000" w:themeColor="text1"/>
          <w:sz w:val="20"/>
          <w:lang w:val="bg-BG"/>
        </w:rPr>
        <w:t>проверители</w:t>
      </w:r>
      <w:r w:rsidRPr="00572912">
        <w:rPr>
          <w:b/>
          <w:i/>
          <w:color w:val="000000" w:themeColor="text1"/>
          <w:sz w:val="20"/>
          <w:lang w:val="bg-BG"/>
        </w:rPr>
        <w:t xml:space="preserve"> препоръчват допълнително България да </w:t>
      </w:r>
      <w:r w:rsidR="000C644C">
        <w:rPr>
          <w:b/>
          <w:i/>
          <w:color w:val="000000" w:themeColor="text1"/>
          <w:sz w:val="20"/>
          <w:lang w:val="bg-BG"/>
        </w:rPr>
        <w:t xml:space="preserve">включи специфични модули за </w:t>
      </w:r>
      <w:r w:rsidRPr="00767245">
        <w:rPr>
          <w:b/>
          <w:i/>
          <w:color w:val="000000" w:themeColor="text1"/>
          <w:sz w:val="20"/>
          <w:lang w:val="bg-BG"/>
        </w:rPr>
        <w:t xml:space="preserve">подкупите на чужди длъжностни </w:t>
      </w:r>
      <w:r w:rsidR="00085256" w:rsidRPr="00767245">
        <w:rPr>
          <w:b/>
          <w:i/>
          <w:color w:val="000000" w:themeColor="text1"/>
          <w:sz w:val="20"/>
          <w:lang w:val="bg-BG"/>
        </w:rPr>
        <w:t xml:space="preserve">лица </w:t>
      </w:r>
      <w:r w:rsidR="00085256">
        <w:rPr>
          <w:b/>
          <w:i/>
          <w:color w:val="000000" w:themeColor="text1"/>
          <w:sz w:val="20"/>
          <w:lang w:val="bg-BG"/>
        </w:rPr>
        <w:t>в</w:t>
      </w:r>
      <w:r w:rsidRPr="00572912">
        <w:rPr>
          <w:b/>
          <w:i/>
          <w:color w:val="000000" w:themeColor="text1"/>
          <w:sz w:val="20"/>
          <w:lang w:val="bg-BG"/>
        </w:rPr>
        <w:t xml:space="preserve"> </w:t>
      </w:r>
      <w:r w:rsidR="000C644C">
        <w:rPr>
          <w:b/>
          <w:i/>
          <w:color w:val="000000" w:themeColor="text1"/>
          <w:sz w:val="20"/>
          <w:lang w:val="bg-BG"/>
        </w:rPr>
        <w:t xml:space="preserve"> обучителните програми</w:t>
      </w:r>
      <w:r w:rsidR="000C644C" w:rsidRPr="00572912">
        <w:rPr>
          <w:b/>
          <w:i/>
          <w:color w:val="000000" w:themeColor="text1"/>
          <w:sz w:val="20"/>
          <w:lang w:val="bg-BG"/>
        </w:rPr>
        <w:t xml:space="preserve"> </w:t>
      </w:r>
      <w:r w:rsidRPr="00572912">
        <w:rPr>
          <w:b/>
          <w:i/>
          <w:color w:val="000000" w:themeColor="text1"/>
          <w:sz w:val="20"/>
          <w:lang w:val="bg-BG"/>
        </w:rPr>
        <w:t xml:space="preserve">на Дипломатическия институт към МВнР, </w:t>
      </w:r>
      <w:r w:rsidR="00FB0A87" w:rsidRPr="00572912">
        <w:rPr>
          <w:b/>
          <w:i/>
          <w:color w:val="000000" w:themeColor="text1"/>
          <w:sz w:val="20"/>
          <w:lang w:val="bg-BG"/>
        </w:rPr>
        <w:t>ко</w:t>
      </w:r>
      <w:r w:rsidR="00FB0A87">
        <w:rPr>
          <w:b/>
          <w:i/>
          <w:color w:val="000000" w:themeColor="text1"/>
          <w:sz w:val="20"/>
          <w:lang w:val="bg-BG"/>
        </w:rPr>
        <w:t>и</w:t>
      </w:r>
      <w:r w:rsidR="00FB0A87" w:rsidRPr="00572912">
        <w:rPr>
          <w:b/>
          <w:i/>
          <w:color w:val="000000" w:themeColor="text1"/>
          <w:sz w:val="20"/>
          <w:lang w:val="bg-BG"/>
        </w:rPr>
        <w:t xml:space="preserve">то </w:t>
      </w:r>
      <w:r w:rsidRPr="00572912">
        <w:rPr>
          <w:b/>
          <w:i/>
          <w:color w:val="000000" w:themeColor="text1"/>
          <w:sz w:val="20"/>
          <w:lang w:val="bg-BG"/>
        </w:rPr>
        <w:t>се предоставя</w:t>
      </w:r>
      <w:r w:rsidR="00FB0A87">
        <w:rPr>
          <w:b/>
          <w:i/>
          <w:color w:val="000000" w:themeColor="text1"/>
          <w:sz w:val="20"/>
          <w:lang w:val="bg-BG"/>
        </w:rPr>
        <w:t>т</w:t>
      </w:r>
      <w:r w:rsidRPr="00572912">
        <w:rPr>
          <w:b/>
          <w:i/>
          <w:color w:val="000000" w:themeColor="text1"/>
          <w:sz w:val="20"/>
          <w:lang w:val="bg-BG"/>
        </w:rPr>
        <w:t xml:space="preserve"> на новите служители на МВнР относно антикорупционните мерки.</w:t>
      </w:r>
    </w:p>
    <w:p w14:paraId="1084D730" w14:textId="0705A2C6" w:rsidR="005D6747" w:rsidRPr="00572912"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lang w:val="bg-BG"/>
        </w:rPr>
      </w:pPr>
      <w:bookmarkStart w:id="18" w:name="_Toc51769911"/>
      <w:bookmarkStart w:id="19" w:name="_Toc56084011"/>
      <w:r w:rsidRPr="00572912">
        <w:rPr>
          <w:rFonts w:eastAsiaTheme="majorEastAsia" w:cstheme="majorBidi"/>
          <w:b/>
          <w:color w:val="4E81BD" w:themeColor="accent1"/>
          <w:sz w:val="24"/>
          <w:szCs w:val="26"/>
          <w:lang w:val="bg-BG"/>
        </w:rPr>
        <w:t xml:space="preserve"> </w:t>
      </w:r>
      <w:bookmarkEnd w:id="18"/>
      <w:bookmarkEnd w:id="19"/>
      <w:r w:rsidR="00FB682F">
        <w:rPr>
          <w:rFonts w:eastAsiaTheme="majorEastAsia" w:cstheme="majorBidi"/>
          <w:b/>
          <w:color w:val="4E81BD" w:themeColor="accent1"/>
          <w:sz w:val="24"/>
          <w:szCs w:val="26"/>
          <w:lang w:val="bg-BG"/>
        </w:rPr>
        <w:t xml:space="preserve">Сигнали </w:t>
      </w:r>
      <w:r w:rsidRPr="005D6747">
        <w:rPr>
          <w:rFonts w:eastAsiaTheme="majorEastAsia" w:cstheme="majorBidi"/>
          <w:b/>
          <w:color w:val="4E81BD" w:themeColor="accent1"/>
          <w:sz w:val="24"/>
          <w:szCs w:val="26"/>
          <w:lang w:val="bg-BG"/>
        </w:rPr>
        <w:t xml:space="preserve">за нарушения </w:t>
      </w:r>
      <w:r w:rsidRPr="00572912">
        <w:rPr>
          <w:rFonts w:eastAsiaTheme="majorEastAsia" w:cstheme="majorBidi"/>
          <w:b/>
          <w:color w:val="4E81BD" w:themeColor="accent1"/>
          <w:sz w:val="24"/>
          <w:szCs w:val="26"/>
          <w:lang w:val="bg-BG"/>
        </w:rPr>
        <w:t>и адекватност на</w:t>
      </w:r>
      <w:r w:rsidR="001F7101">
        <w:rPr>
          <w:rFonts w:eastAsiaTheme="majorEastAsia" w:cstheme="majorBidi"/>
          <w:b/>
          <w:color w:val="4E81BD" w:themeColor="accent1"/>
          <w:sz w:val="24"/>
          <w:szCs w:val="26"/>
          <w:lang w:val="bg-BG"/>
        </w:rPr>
        <w:t xml:space="preserve"> системата </w:t>
      </w:r>
      <w:r w:rsidR="001F7101" w:rsidRPr="00572912">
        <w:rPr>
          <w:rFonts w:eastAsiaTheme="majorEastAsia" w:cstheme="majorBidi"/>
          <w:b/>
          <w:color w:val="4E81BD" w:themeColor="accent1"/>
          <w:sz w:val="24"/>
          <w:szCs w:val="26"/>
          <w:lang w:val="bg-BG"/>
        </w:rPr>
        <w:t>в България</w:t>
      </w:r>
      <w:r w:rsidR="001F7101">
        <w:rPr>
          <w:rFonts w:eastAsiaTheme="majorEastAsia" w:cstheme="majorBidi"/>
          <w:b/>
          <w:color w:val="4E81BD" w:themeColor="accent1"/>
          <w:sz w:val="24"/>
          <w:szCs w:val="26"/>
          <w:lang w:val="bg-BG"/>
        </w:rPr>
        <w:t xml:space="preserve"> за защита</w:t>
      </w:r>
      <w:r w:rsidRPr="00572912">
        <w:rPr>
          <w:rFonts w:eastAsiaTheme="majorEastAsia" w:cstheme="majorBidi"/>
          <w:b/>
          <w:color w:val="4E81BD" w:themeColor="accent1"/>
          <w:sz w:val="24"/>
          <w:szCs w:val="26"/>
          <w:lang w:val="bg-BG"/>
        </w:rPr>
        <w:t xml:space="preserve"> на </w:t>
      </w:r>
      <w:r w:rsidRPr="005D6747">
        <w:rPr>
          <w:rFonts w:eastAsiaTheme="majorEastAsia" w:cstheme="majorBidi"/>
          <w:b/>
          <w:color w:val="4E81BD" w:themeColor="accent1"/>
          <w:sz w:val="24"/>
          <w:szCs w:val="26"/>
          <w:lang w:val="bg-BG"/>
        </w:rPr>
        <w:t>лица</w:t>
      </w:r>
      <w:r w:rsidR="00FB0A87">
        <w:rPr>
          <w:rFonts w:eastAsiaTheme="majorEastAsia" w:cstheme="majorBidi"/>
          <w:b/>
          <w:color w:val="4E81BD" w:themeColor="accent1"/>
          <w:sz w:val="24"/>
          <w:szCs w:val="26"/>
          <w:lang w:val="bg-BG"/>
        </w:rPr>
        <w:t xml:space="preserve">та, </w:t>
      </w:r>
      <w:r w:rsidR="001F7101">
        <w:rPr>
          <w:rFonts w:eastAsiaTheme="majorEastAsia" w:cstheme="majorBidi"/>
          <w:b/>
          <w:color w:val="4E81BD" w:themeColor="accent1"/>
          <w:sz w:val="24"/>
          <w:szCs w:val="26"/>
          <w:lang w:val="bg-BG"/>
        </w:rPr>
        <w:t>които</w:t>
      </w:r>
      <w:r w:rsidR="00FB0A87">
        <w:rPr>
          <w:rFonts w:eastAsiaTheme="majorEastAsia" w:cstheme="majorBidi"/>
          <w:b/>
          <w:color w:val="4E81BD" w:themeColor="accent1"/>
          <w:sz w:val="24"/>
          <w:szCs w:val="26"/>
          <w:lang w:val="bg-BG"/>
        </w:rPr>
        <w:t xml:space="preserve"> подават</w:t>
      </w:r>
      <w:r w:rsidR="001F7101">
        <w:rPr>
          <w:rFonts w:eastAsiaTheme="majorEastAsia" w:cstheme="majorBidi"/>
          <w:b/>
          <w:color w:val="4E81BD" w:themeColor="accent1"/>
          <w:sz w:val="24"/>
          <w:szCs w:val="26"/>
          <w:lang w:val="bg-BG"/>
        </w:rPr>
        <w:t xml:space="preserve"> сигнали</w:t>
      </w:r>
    </w:p>
    <w:p w14:paraId="533FF7D2" w14:textId="5C41A58F" w:rsidR="003C317B" w:rsidRPr="00572912" w:rsidRDefault="005D6747" w:rsidP="00C30475">
      <w:pPr>
        <w:widowControl/>
        <w:numPr>
          <w:ilvl w:val="0"/>
          <w:numId w:val="1"/>
        </w:numPr>
        <w:spacing w:before="120" w:after="120" w:line="260" w:lineRule="atLeast"/>
        <w:rPr>
          <w:sz w:val="20"/>
          <w:lang w:val="bg-BG"/>
        </w:rPr>
      </w:pPr>
      <w:r w:rsidRPr="00572912">
        <w:rPr>
          <w:sz w:val="20"/>
          <w:lang w:val="bg-BG"/>
        </w:rPr>
        <w:t xml:space="preserve">Към днешна дата в България не е </w:t>
      </w:r>
      <w:r w:rsidR="000C644C">
        <w:rPr>
          <w:sz w:val="20"/>
          <w:lang w:val="bg-BG"/>
        </w:rPr>
        <w:t>разкрит</w:t>
      </w:r>
      <w:r w:rsidR="000C644C" w:rsidRPr="00572912">
        <w:rPr>
          <w:sz w:val="20"/>
          <w:lang w:val="bg-BG"/>
        </w:rPr>
        <w:t xml:space="preserve"> </w:t>
      </w:r>
      <w:r w:rsidRPr="00572912">
        <w:rPr>
          <w:sz w:val="20"/>
          <w:lang w:val="bg-BG"/>
        </w:rPr>
        <w:t>случай на подкуп</w:t>
      </w:r>
      <w:r w:rsidRPr="005D6747">
        <w:rPr>
          <w:sz w:val="20"/>
          <w:lang w:val="bg-BG"/>
        </w:rPr>
        <w:t xml:space="preserve">ване на </w:t>
      </w:r>
      <w:r w:rsidRPr="00572912">
        <w:rPr>
          <w:sz w:val="20"/>
          <w:lang w:val="bg-BG"/>
        </w:rPr>
        <w:t>чужди длъжностни лица</w:t>
      </w:r>
      <w:r w:rsidRPr="005D6747">
        <w:rPr>
          <w:sz w:val="20"/>
          <w:lang w:val="bg-BG"/>
        </w:rPr>
        <w:t xml:space="preserve"> </w:t>
      </w:r>
      <w:r w:rsidRPr="00572912">
        <w:rPr>
          <w:sz w:val="20"/>
          <w:lang w:val="bg-BG"/>
        </w:rPr>
        <w:t xml:space="preserve">чрез сигнали за </w:t>
      </w:r>
      <w:r w:rsidRPr="005D6747">
        <w:rPr>
          <w:sz w:val="20"/>
          <w:lang w:val="bg-BG"/>
        </w:rPr>
        <w:t>нарушения</w:t>
      </w:r>
      <w:r w:rsidRPr="00572912">
        <w:rPr>
          <w:sz w:val="20"/>
          <w:lang w:val="bg-BG"/>
        </w:rPr>
        <w:t xml:space="preserve">. Защитата на подаващите сигнали също остава ограничена. Във </w:t>
      </w:r>
      <w:r w:rsidR="00673F1F">
        <w:rPr>
          <w:sz w:val="20"/>
          <w:lang w:val="bg-BG"/>
        </w:rPr>
        <w:t>Фаза</w:t>
      </w:r>
      <w:r w:rsidRPr="00572912">
        <w:rPr>
          <w:sz w:val="20"/>
          <w:lang w:val="bg-BG"/>
        </w:rPr>
        <w:t xml:space="preserve"> 4 България продължава да разчита на минималната защита, налична съгласно редица секторни закони (напр. Кодекс на труда, Закон за държавните служители, Закон за защита на конкуренцията и </w:t>
      </w:r>
      <w:r w:rsidR="008F26B4">
        <w:rPr>
          <w:sz w:val="20"/>
          <w:lang w:val="bg-BG"/>
        </w:rPr>
        <w:t>ЗМИП</w:t>
      </w:r>
      <w:r w:rsidRPr="00572912">
        <w:rPr>
          <w:sz w:val="20"/>
          <w:lang w:val="bg-BG"/>
        </w:rPr>
        <w:t xml:space="preserve">). Най-новото допълнение е Законът за </w:t>
      </w:r>
      <w:r w:rsidRPr="005D6747">
        <w:rPr>
          <w:sz w:val="20"/>
          <w:lang w:val="bg-BG"/>
        </w:rPr>
        <w:t>противодействие на</w:t>
      </w:r>
      <w:r w:rsidRPr="00572912">
        <w:rPr>
          <w:sz w:val="20"/>
          <w:lang w:val="bg-BG"/>
        </w:rPr>
        <w:t xml:space="preserve"> корупцията и за отнемане на незаконно придобито имущество (</w:t>
      </w:r>
      <w:r w:rsidRPr="005D6747">
        <w:rPr>
          <w:sz w:val="20"/>
          <w:lang w:val="bg-BG"/>
        </w:rPr>
        <w:t>ЗПКОНПИ</w:t>
      </w:r>
      <w:r w:rsidRPr="00572912">
        <w:rPr>
          <w:sz w:val="20"/>
          <w:lang w:val="bg-BG"/>
        </w:rPr>
        <w:t xml:space="preserve">) </w:t>
      </w:r>
      <w:r w:rsidR="00FB682F" w:rsidRPr="00572912">
        <w:rPr>
          <w:sz w:val="20"/>
          <w:lang w:val="bg-BG"/>
        </w:rPr>
        <w:t>от 2018 г.</w:t>
      </w:r>
      <w:r w:rsidR="00FB682F">
        <w:rPr>
          <w:sz w:val="20"/>
          <w:lang w:val="bg-BG"/>
        </w:rPr>
        <w:t>,</w:t>
      </w:r>
      <w:r w:rsidR="00FB682F" w:rsidRPr="00572912">
        <w:rPr>
          <w:sz w:val="20"/>
          <w:lang w:val="bg-BG"/>
        </w:rPr>
        <w:t xml:space="preserve"> </w:t>
      </w:r>
      <w:r w:rsidR="008F26B4">
        <w:rPr>
          <w:sz w:val="20"/>
          <w:lang w:val="bg-BG"/>
        </w:rPr>
        <w:t>чиято глава 6 „Сигнали</w:t>
      </w:r>
      <w:r w:rsidR="00FB0A87">
        <w:rPr>
          <w:sz w:val="20"/>
          <w:lang w:val="bg-BG"/>
        </w:rPr>
        <w:t>“</w:t>
      </w:r>
      <w:r w:rsidR="008F26B4" w:rsidRPr="00572912">
        <w:rPr>
          <w:sz w:val="20"/>
          <w:lang w:val="bg-BG"/>
        </w:rPr>
        <w:t xml:space="preserve"> </w:t>
      </w:r>
      <w:r w:rsidR="00FB0A87">
        <w:rPr>
          <w:sz w:val="20"/>
          <w:lang w:val="bg-BG"/>
        </w:rPr>
        <w:t xml:space="preserve"> </w:t>
      </w:r>
      <w:r w:rsidRPr="00572912">
        <w:rPr>
          <w:sz w:val="20"/>
          <w:lang w:val="bg-BG"/>
        </w:rPr>
        <w:t xml:space="preserve">се прилага за </w:t>
      </w:r>
      <w:r w:rsidR="00FB682F">
        <w:rPr>
          <w:sz w:val="20"/>
          <w:lang w:val="bg-BG"/>
        </w:rPr>
        <w:t>сигнали</w:t>
      </w:r>
      <w:r w:rsidR="008F26B4">
        <w:rPr>
          <w:sz w:val="20"/>
          <w:lang w:val="bg-BG"/>
        </w:rPr>
        <w:t xml:space="preserve"> </w:t>
      </w:r>
      <w:r w:rsidRPr="00572912">
        <w:rPr>
          <w:sz w:val="20"/>
          <w:lang w:val="bg-BG"/>
        </w:rPr>
        <w:t xml:space="preserve">за </w:t>
      </w:r>
      <w:r w:rsidRPr="005D6747">
        <w:rPr>
          <w:sz w:val="20"/>
          <w:lang w:val="bg-BG"/>
        </w:rPr>
        <w:t>подкупване на български джъжностни лица</w:t>
      </w:r>
      <w:r w:rsidRPr="00572912">
        <w:rPr>
          <w:sz w:val="20"/>
          <w:lang w:val="bg-BG"/>
        </w:rPr>
        <w:t>, но не</w:t>
      </w:r>
      <w:r w:rsidR="00FB682F">
        <w:rPr>
          <w:sz w:val="20"/>
          <w:lang w:val="bg-BG"/>
        </w:rPr>
        <w:t xml:space="preserve"> и за</w:t>
      </w:r>
      <w:r w:rsidRPr="00572912">
        <w:rPr>
          <w:sz w:val="20"/>
          <w:lang w:val="bg-BG"/>
        </w:rPr>
        <w:t xml:space="preserve"> </w:t>
      </w:r>
      <w:r w:rsidRPr="005D6747">
        <w:rPr>
          <w:sz w:val="20"/>
          <w:lang w:val="bg-BG"/>
        </w:rPr>
        <w:t xml:space="preserve">подкупване на </w:t>
      </w:r>
      <w:r w:rsidRPr="00572912">
        <w:rPr>
          <w:sz w:val="20"/>
          <w:lang w:val="bg-BG"/>
        </w:rPr>
        <w:t xml:space="preserve">чужди длъжностни лица. Както бе отбелязано във </w:t>
      </w:r>
      <w:r w:rsidR="00673F1F" w:rsidRPr="00572912">
        <w:rPr>
          <w:sz w:val="20"/>
          <w:lang w:val="bg-BG"/>
        </w:rPr>
        <w:t>Фаза</w:t>
      </w:r>
      <w:r w:rsidRPr="00572912">
        <w:rPr>
          <w:sz w:val="20"/>
          <w:lang w:val="bg-BG"/>
        </w:rPr>
        <w:t xml:space="preserve"> 3, </w:t>
      </w:r>
      <w:r w:rsidR="00FB682F">
        <w:rPr>
          <w:sz w:val="20"/>
          <w:lang w:val="bg-BG"/>
        </w:rPr>
        <w:t xml:space="preserve">нито </w:t>
      </w:r>
      <w:r w:rsidR="00FB0A87" w:rsidRPr="00572912">
        <w:rPr>
          <w:sz w:val="20"/>
          <w:lang w:val="bg-BG"/>
        </w:rPr>
        <w:t>българск</w:t>
      </w:r>
      <w:r w:rsidR="00FB0A87">
        <w:rPr>
          <w:sz w:val="20"/>
          <w:lang w:val="bg-BG"/>
        </w:rPr>
        <w:t>и</w:t>
      </w:r>
      <w:r w:rsidR="00FB0A87" w:rsidRPr="00572912">
        <w:rPr>
          <w:sz w:val="20"/>
          <w:lang w:val="bg-BG"/>
        </w:rPr>
        <w:t xml:space="preserve"> </w:t>
      </w:r>
      <w:r w:rsidR="00FB0A87">
        <w:rPr>
          <w:sz w:val="20"/>
          <w:lang w:val="bg-BG"/>
        </w:rPr>
        <w:t>един от действащите българси закони</w:t>
      </w:r>
      <w:r w:rsidR="00FB0A87" w:rsidRPr="00572912">
        <w:rPr>
          <w:sz w:val="20"/>
          <w:lang w:val="bg-BG"/>
        </w:rPr>
        <w:t xml:space="preserve"> </w:t>
      </w:r>
      <w:r w:rsidRPr="00572912">
        <w:rPr>
          <w:sz w:val="20"/>
          <w:lang w:val="bg-BG"/>
        </w:rPr>
        <w:t xml:space="preserve">не отговаря на стандартите на Препоръката от 2009 г. за защита от дискриминационни или дисциплинарни действия </w:t>
      </w:r>
      <w:r w:rsidRPr="005D6747">
        <w:rPr>
          <w:sz w:val="20"/>
          <w:lang w:val="bg-BG"/>
        </w:rPr>
        <w:t xml:space="preserve">на </w:t>
      </w:r>
      <w:r w:rsidRPr="00572912">
        <w:rPr>
          <w:sz w:val="20"/>
          <w:lang w:val="bg-BG"/>
        </w:rPr>
        <w:t xml:space="preserve">служители в публичния и частния сектор, които съобщават за съмнения за </w:t>
      </w:r>
      <w:r w:rsidRPr="005D6747">
        <w:rPr>
          <w:sz w:val="20"/>
          <w:lang w:val="bg-BG"/>
        </w:rPr>
        <w:t>подкупване на чужди длъжностни лица</w:t>
      </w:r>
      <w:r w:rsidRPr="00572912">
        <w:rPr>
          <w:sz w:val="20"/>
          <w:lang w:val="bg-BG"/>
        </w:rPr>
        <w:t>.</w:t>
      </w:r>
    </w:p>
    <w:p w14:paraId="581313A5" w14:textId="51B7D356" w:rsidR="00C30475" w:rsidRDefault="005D6747" w:rsidP="008F26B4">
      <w:pPr>
        <w:widowControl/>
        <w:numPr>
          <w:ilvl w:val="0"/>
          <w:numId w:val="1"/>
        </w:numPr>
        <w:spacing w:before="120" w:after="120" w:line="260" w:lineRule="atLeast"/>
        <w:rPr>
          <w:sz w:val="20"/>
          <w:lang w:val="bg-BG"/>
        </w:rPr>
      </w:pPr>
      <w:r w:rsidRPr="00572912">
        <w:rPr>
          <w:sz w:val="20"/>
          <w:lang w:val="bg-BG"/>
        </w:rPr>
        <w:t>България има срок до 17 декември 2021 г. да транспонира изискванията на Директивата на ЕС относно защита</w:t>
      </w:r>
      <w:r w:rsidRPr="008F26B4">
        <w:rPr>
          <w:sz w:val="20"/>
          <w:lang w:val="bg-BG"/>
        </w:rPr>
        <w:t>та на лицата, които подават</w:t>
      </w:r>
      <w:r w:rsidRPr="00B96838">
        <w:rPr>
          <w:sz w:val="20"/>
          <w:lang w:val="bg-BG"/>
        </w:rPr>
        <w:t xml:space="preserve"> </w:t>
      </w:r>
      <w:r w:rsidRPr="008F26B4">
        <w:rPr>
          <w:sz w:val="20"/>
          <w:lang w:val="bg-BG"/>
        </w:rPr>
        <w:t>сигнали за нарушения</w:t>
      </w:r>
      <w:r w:rsidRPr="00B96838">
        <w:rPr>
          <w:sz w:val="20"/>
          <w:lang w:val="bg-BG"/>
        </w:rPr>
        <w:t xml:space="preserve">. МП координира усилията </w:t>
      </w:r>
      <w:r w:rsidR="00FB0A87" w:rsidRPr="00B96838">
        <w:rPr>
          <w:sz w:val="20"/>
          <w:lang w:val="bg-BG"/>
        </w:rPr>
        <w:t xml:space="preserve">на страната </w:t>
      </w:r>
      <w:r w:rsidRPr="00B96838">
        <w:rPr>
          <w:sz w:val="20"/>
          <w:lang w:val="bg-BG"/>
        </w:rPr>
        <w:t xml:space="preserve">за транспониране </w:t>
      </w:r>
      <w:r w:rsidR="00FB0A87">
        <w:rPr>
          <w:sz w:val="20"/>
          <w:lang w:val="bg-BG"/>
        </w:rPr>
        <w:t xml:space="preserve">на </w:t>
      </w:r>
      <w:r w:rsidR="00BD6E7E">
        <w:rPr>
          <w:sz w:val="20"/>
          <w:lang w:val="bg-BG"/>
        </w:rPr>
        <w:t>Д</w:t>
      </w:r>
      <w:r w:rsidR="00FB0A87">
        <w:rPr>
          <w:sz w:val="20"/>
          <w:lang w:val="bg-BG"/>
        </w:rPr>
        <w:t>ирективата</w:t>
      </w:r>
      <w:r w:rsidR="00C30475">
        <w:rPr>
          <w:sz w:val="20"/>
          <w:lang w:val="bg-BG"/>
        </w:rPr>
        <w:t xml:space="preserve"> </w:t>
      </w:r>
      <w:r w:rsidRPr="00572912">
        <w:rPr>
          <w:sz w:val="20"/>
          <w:lang w:val="bg-BG"/>
        </w:rPr>
        <w:t xml:space="preserve">и през 2020 г. създаде </w:t>
      </w:r>
      <w:r w:rsidR="00C30475">
        <w:rPr>
          <w:sz w:val="20"/>
          <w:lang w:val="bg-BG"/>
        </w:rPr>
        <w:t>междуведомствена</w:t>
      </w:r>
      <w:r w:rsidRPr="00572912">
        <w:rPr>
          <w:sz w:val="20"/>
          <w:lang w:val="bg-BG"/>
        </w:rPr>
        <w:t xml:space="preserve"> работна група, която да анализира съществуващото българско законодателство в тази област</w:t>
      </w:r>
      <w:r w:rsidR="008F26B4">
        <w:rPr>
          <w:sz w:val="20"/>
          <w:lang w:val="bg-BG"/>
        </w:rPr>
        <w:t>. Според България, тази работна група е завършила анализа и е изпълнила мандата си</w:t>
      </w:r>
      <w:r w:rsidR="00C30475">
        <w:rPr>
          <w:sz w:val="20"/>
          <w:lang w:val="bg-BG"/>
        </w:rPr>
        <w:t>.</w:t>
      </w:r>
      <w:r w:rsidR="008F26B4">
        <w:rPr>
          <w:sz w:val="20"/>
          <w:lang w:val="bg-BG"/>
        </w:rPr>
        <w:t xml:space="preserve"> Като се има предвид, че ново специа</w:t>
      </w:r>
      <w:r w:rsidR="00C30475">
        <w:rPr>
          <w:sz w:val="20"/>
          <w:lang w:val="bg-BG"/>
        </w:rPr>
        <w:t>лно закондателство в тази облас</w:t>
      </w:r>
      <w:r w:rsidR="008F26B4">
        <w:rPr>
          <w:sz w:val="20"/>
          <w:lang w:val="bg-BG"/>
        </w:rPr>
        <w:t xml:space="preserve">т ще </w:t>
      </w:r>
      <w:r w:rsidR="00C30475">
        <w:rPr>
          <w:sz w:val="20"/>
          <w:lang w:val="bg-BG"/>
        </w:rPr>
        <w:t>бъде по-подходящо за транспони</w:t>
      </w:r>
      <w:r w:rsidR="008F26B4">
        <w:rPr>
          <w:sz w:val="20"/>
          <w:lang w:val="bg-BG"/>
        </w:rPr>
        <w:t xml:space="preserve">ране на Директивата, </w:t>
      </w:r>
      <w:r w:rsidR="003D2D1F">
        <w:rPr>
          <w:sz w:val="20"/>
          <w:lang w:val="bg-BG"/>
        </w:rPr>
        <w:t>през юни 2021 г.</w:t>
      </w:r>
      <w:r w:rsidR="00C30475">
        <w:rPr>
          <w:sz w:val="20"/>
          <w:lang w:val="bg-BG"/>
        </w:rPr>
        <w:t xml:space="preserve"> </w:t>
      </w:r>
      <w:r w:rsidR="008F26B4">
        <w:rPr>
          <w:sz w:val="20"/>
          <w:lang w:val="bg-BG"/>
        </w:rPr>
        <w:t xml:space="preserve">България </w:t>
      </w:r>
      <w:r w:rsidR="00FB0A87">
        <w:rPr>
          <w:sz w:val="20"/>
          <w:lang w:val="bg-BG"/>
        </w:rPr>
        <w:t xml:space="preserve">създаде </w:t>
      </w:r>
      <w:r w:rsidR="008F26B4">
        <w:rPr>
          <w:sz w:val="20"/>
          <w:lang w:val="bg-BG"/>
        </w:rPr>
        <w:t>нова работна група с цел да подг</w:t>
      </w:r>
      <w:r w:rsidR="00FB0A87">
        <w:rPr>
          <w:sz w:val="20"/>
          <w:lang w:val="bg-BG"/>
        </w:rPr>
        <w:t>о</w:t>
      </w:r>
      <w:r w:rsidR="008F26B4">
        <w:rPr>
          <w:sz w:val="20"/>
          <w:lang w:val="bg-BG"/>
        </w:rPr>
        <w:t>тви необходимите за</w:t>
      </w:r>
      <w:r w:rsidR="00C30475">
        <w:rPr>
          <w:sz w:val="20"/>
          <w:lang w:val="bg-BG"/>
        </w:rPr>
        <w:t>к</w:t>
      </w:r>
      <w:r w:rsidR="008F26B4">
        <w:rPr>
          <w:sz w:val="20"/>
          <w:lang w:val="bg-BG"/>
        </w:rPr>
        <w:t xml:space="preserve">онодателни предложения за </w:t>
      </w:r>
      <w:r w:rsidR="00767245">
        <w:rPr>
          <w:sz w:val="20"/>
          <w:lang w:val="bg-BG"/>
        </w:rPr>
        <w:t xml:space="preserve">Министерския съвет и </w:t>
      </w:r>
      <w:r w:rsidR="008F26B4">
        <w:rPr>
          <w:sz w:val="20"/>
          <w:lang w:val="bg-BG"/>
        </w:rPr>
        <w:t xml:space="preserve">Парламента. </w:t>
      </w:r>
    </w:p>
    <w:p w14:paraId="6EE59168" w14:textId="77777777" w:rsidR="005D6747" w:rsidRPr="008C08CD" w:rsidRDefault="005D6747" w:rsidP="008F26B4">
      <w:pPr>
        <w:widowControl/>
        <w:numPr>
          <w:ilvl w:val="0"/>
          <w:numId w:val="1"/>
        </w:numPr>
        <w:spacing w:before="120" w:after="120" w:line="260" w:lineRule="atLeast"/>
        <w:rPr>
          <w:sz w:val="20"/>
          <w:lang w:val="bg-BG"/>
        </w:rPr>
      </w:pPr>
      <w:r w:rsidRPr="008C08CD">
        <w:rPr>
          <w:sz w:val="20"/>
          <w:lang w:val="bg-BG"/>
        </w:rPr>
        <w:t xml:space="preserve">Междувременно и при липса на всеобхватни мерки за защита на </w:t>
      </w:r>
      <w:r w:rsidRPr="008F26B4">
        <w:rPr>
          <w:sz w:val="20"/>
          <w:lang w:val="bg-BG"/>
        </w:rPr>
        <w:t>лицата, които подават</w:t>
      </w:r>
      <w:r w:rsidRPr="008C08CD">
        <w:rPr>
          <w:sz w:val="20"/>
          <w:lang w:val="bg-BG"/>
        </w:rPr>
        <w:t xml:space="preserve"> сигнали, представителите на гражданското общество </w:t>
      </w:r>
      <w:r w:rsidR="00B33472">
        <w:rPr>
          <w:sz w:val="20"/>
          <w:lang w:val="bg-BG"/>
        </w:rPr>
        <w:t>по време на вируталното посещение</w:t>
      </w:r>
      <w:r w:rsidRPr="008F26B4">
        <w:rPr>
          <w:sz w:val="20"/>
          <w:lang w:val="bg-BG"/>
        </w:rPr>
        <w:t xml:space="preserve"> </w:t>
      </w:r>
      <w:r w:rsidRPr="008C08CD">
        <w:rPr>
          <w:sz w:val="20"/>
          <w:lang w:val="bg-BG"/>
        </w:rPr>
        <w:t xml:space="preserve">предположиха, че има ниско ниво на доверие в правната рамка </w:t>
      </w:r>
      <w:r w:rsidR="003D2D1F">
        <w:rPr>
          <w:sz w:val="20"/>
          <w:lang w:val="bg-BG"/>
        </w:rPr>
        <w:t xml:space="preserve">относно </w:t>
      </w:r>
      <w:r w:rsidRPr="00B33472">
        <w:rPr>
          <w:sz w:val="20"/>
          <w:lang w:val="bg-BG"/>
        </w:rPr>
        <w:t>лицата</w:t>
      </w:r>
      <w:r w:rsidR="003D2D1F">
        <w:rPr>
          <w:sz w:val="20"/>
          <w:lang w:val="bg-BG"/>
        </w:rPr>
        <w:t>,</w:t>
      </w:r>
      <w:r w:rsidRPr="00B33472">
        <w:rPr>
          <w:sz w:val="20"/>
          <w:lang w:val="bg-BG"/>
        </w:rPr>
        <w:t xml:space="preserve"> </w:t>
      </w:r>
      <w:r w:rsidRPr="008C08CD">
        <w:rPr>
          <w:sz w:val="20"/>
          <w:lang w:val="bg-BG"/>
        </w:rPr>
        <w:t>подаващи сигнали и нейното прилагане. Малкото български компании, участвали във виртуалното</w:t>
      </w:r>
      <w:r w:rsidR="00B33472">
        <w:rPr>
          <w:sz w:val="20"/>
          <w:lang w:val="bg-BG"/>
        </w:rPr>
        <w:t xml:space="preserve"> </w:t>
      </w:r>
      <w:r w:rsidRPr="008C08CD">
        <w:rPr>
          <w:sz w:val="20"/>
          <w:lang w:val="bg-BG"/>
        </w:rPr>
        <w:lastRenderedPageBreak/>
        <w:t>посещение, заявиха, че каналите за подаване на сигнал</w:t>
      </w:r>
      <w:r w:rsidR="00C30475">
        <w:rPr>
          <w:sz w:val="20"/>
          <w:lang w:val="bg-BG"/>
        </w:rPr>
        <w:t>и</w:t>
      </w:r>
      <w:r w:rsidRPr="008C08CD">
        <w:rPr>
          <w:sz w:val="20"/>
          <w:lang w:val="bg-BG"/>
        </w:rPr>
        <w:t xml:space="preserve"> за корупция съществуват предимно в по-големи компании, но дори и в тези случаи наличната защита е ограничена.</w:t>
      </w:r>
    </w:p>
    <w:p w14:paraId="78083545" w14:textId="77777777" w:rsidR="005D6747" w:rsidRPr="008C08CD" w:rsidRDefault="005D6747" w:rsidP="005D6747">
      <w:pPr>
        <w:widowControl/>
        <w:spacing w:before="120" w:after="120" w:line="260" w:lineRule="atLeast"/>
        <w:rPr>
          <w:b/>
          <w:i/>
          <w:color w:val="0070C0"/>
          <w:sz w:val="20"/>
          <w:lang w:val="bg-BG"/>
        </w:rPr>
      </w:pPr>
      <w:r w:rsidRPr="008C08CD">
        <w:rPr>
          <w:b/>
          <w:i/>
          <w:color w:val="0070C0"/>
          <w:sz w:val="20"/>
          <w:lang w:val="bg-BG"/>
        </w:rPr>
        <w:t>Коментар</w:t>
      </w:r>
    </w:p>
    <w:p w14:paraId="6DF086E2" w14:textId="1E7971DD" w:rsidR="005D6747" w:rsidRPr="008C08CD" w:rsidRDefault="005D6747" w:rsidP="005D6747">
      <w:pPr>
        <w:widowControl/>
        <w:spacing w:before="120" w:after="120" w:line="260" w:lineRule="atLeast"/>
        <w:rPr>
          <w:b/>
          <w:i/>
          <w:color w:val="000000" w:themeColor="text1"/>
          <w:sz w:val="20"/>
          <w:lang w:val="bg-BG"/>
        </w:rPr>
      </w:pPr>
      <w:r w:rsidRPr="008C08CD">
        <w:rPr>
          <w:b/>
          <w:i/>
          <w:color w:val="000000" w:themeColor="text1"/>
          <w:sz w:val="20"/>
          <w:lang w:val="bg-BG"/>
        </w:rPr>
        <w:t xml:space="preserve">Водещите </w:t>
      </w:r>
      <w:r w:rsidRPr="005D6747">
        <w:rPr>
          <w:b/>
          <w:i/>
          <w:color w:val="000000" w:themeColor="text1"/>
          <w:sz w:val="20"/>
          <w:lang w:val="bg-BG"/>
        </w:rPr>
        <w:t>проверители</w:t>
      </w:r>
      <w:r w:rsidRPr="008C08CD">
        <w:rPr>
          <w:b/>
          <w:i/>
          <w:color w:val="000000" w:themeColor="text1"/>
          <w:sz w:val="20"/>
          <w:lang w:val="bg-BG"/>
        </w:rPr>
        <w:t xml:space="preserve"> съжаляват, че България все още не е приела законодателство, което да отговаря на</w:t>
      </w:r>
      <w:r w:rsidR="002F7E9F">
        <w:rPr>
          <w:b/>
          <w:i/>
          <w:color w:val="000000" w:themeColor="text1"/>
          <w:sz w:val="20"/>
          <w:lang w:val="bg-BG"/>
        </w:rPr>
        <w:t>пълно на</w:t>
      </w:r>
      <w:r w:rsidRPr="008C08CD">
        <w:rPr>
          <w:b/>
          <w:i/>
          <w:color w:val="000000" w:themeColor="text1"/>
          <w:sz w:val="20"/>
          <w:lang w:val="bg-BG"/>
        </w:rPr>
        <w:t xml:space="preserve"> стандартите на Препоръката от 2009 г. по отношение на защитата на </w:t>
      </w:r>
      <w:r w:rsidRPr="005D6747">
        <w:rPr>
          <w:b/>
          <w:i/>
          <w:color w:val="000000" w:themeColor="text1"/>
          <w:sz w:val="20"/>
          <w:lang w:val="bg-BG"/>
        </w:rPr>
        <w:t xml:space="preserve">лицата, които </w:t>
      </w:r>
      <w:r w:rsidRPr="008C08CD">
        <w:rPr>
          <w:b/>
          <w:i/>
          <w:color w:val="000000" w:themeColor="text1"/>
          <w:sz w:val="20"/>
          <w:lang w:val="bg-BG"/>
        </w:rPr>
        <w:t xml:space="preserve">подават сигнали. С оглед на транспонирането на изискванията на Директивата на ЕС за защита на лица, подаващи сигнали за </w:t>
      </w:r>
      <w:r w:rsidRPr="005D6747">
        <w:rPr>
          <w:b/>
          <w:i/>
          <w:color w:val="000000" w:themeColor="text1"/>
          <w:sz w:val="20"/>
          <w:lang w:val="bg-BG"/>
        </w:rPr>
        <w:t>нарушения</w:t>
      </w:r>
      <w:r w:rsidRPr="008C08CD">
        <w:rPr>
          <w:b/>
          <w:i/>
          <w:color w:val="000000" w:themeColor="text1"/>
          <w:sz w:val="20"/>
          <w:lang w:val="bg-BG"/>
        </w:rPr>
        <w:t xml:space="preserve"> в България, те считат, че препоръка </w:t>
      </w:r>
      <w:r w:rsidR="00B33472">
        <w:rPr>
          <w:b/>
          <w:i/>
          <w:color w:val="000000" w:themeColor="text1"/>
          <w:sz w:val="20"/>
          <w:lang w:val="bg-BG"/>
        </w:rPr>
        <w:t>9</w:t>
      </w:r>
      <w:r w:rsidRPr="008C08CD">
        <w:rPr>
          <w:b/>
          <w:i/>
          <w:color w:val="000000" w:themeColor="text1"/>
          <w:sz w:val="20"/>
          <w:lang w:val="bg-BG"/>
        </w:rPr>
        <w:t xml:space="preserve"> от </w:t>
      </w:r>
      <w:r w:rsidR="00673F1F" w:rsidRPr="008C08CD">
        <w:rPr>
          <w:b/>
          <w:i/>
          <w:color w:val="000000" w:themeColor="text1"/>
          <w:sz w:val="20"/>
          <w:lang w:val="bg-BG"/>
        </w:rPr>
        <w:t>Фаза</w:t>
      </w:r>
      <w:r w:rsidRPr="008C08CD">
        <w:rPr>
          <w:b/>
          <w:i/>
          <w:color w:val="000000" w:themeColor="text1"/>
          <w:sz w:val="20"/>
          <w:lang w:val="bg-BG"/>
        </w:rPr>
        <w:t xml:space="preserve"> 3 е остаряла. Следователно водещите </w:t>
      </w:r>
      <w:r w:rsidRPr="005D6747">
        <w:rPr>
          <w:b/>
          <w:i/>
          <w:color w:val="000000" w:themeColor="text1"/>
          <w:sz w:val="20"/>
          <w:lang w:val="bg-BG"/>
        </w:rPr>
        <w:t>проверители</w:t>
      </w:r>
      <w:r w:rsidRPr="008C08CD">
        <w:rPr>
          <w:b/>
          <w:i/>
          <w:color w:val="000000" w:themeColor="text1"/>
          <w:sz w:val="20"/>
          <w:lang w:val="bg-BG"/>
        </w:rPr>
        <w:t xml:space="preserve"> препоръчват на България, в контекста на предстоящите реформи, да приеме законодателство, което осигурява ясна и всеобхватна защита от </w:t>
      </w:r>
      <w:r w:rsidR="008A2FD1">
        <w:rPr>
          <w:b/>
          <w:i/>
          <w:color w:val="000000" w:themeColor="text1"/>
          <w:sz w:val="20"/>
          <w:lang w:val="bg-BG"/>
        </w:rPr>
        <w:t xml:space="preserve">ответни мерки </w:t>
      </w:r>
      <w:r w:rsidR="00B33472">
        <w:rPr>
          <w:b/>
          <w:i/>
          <w:color w:val="000000" w:themeColor="text1"/>
          <w:sz w:val="20"/>
          <w:lang w:val="bg-BG"/>
        </w:rPr>
        <w:t xml:space="preserve">за </w:t>
      </w:r>
      <w:r w:rsidRPr="008C08CD">
        <w:rPr>
          <w:b/>
          <w:i/>
          <w:color w:val="000000" w:themeColor="text1"/>
          <w:sz w:val="20"/>
          <w:lang w:val="bg-BG"/>
        </w:rPr>
        <w:t xml:space="preserve">лица, </w:t>
      </w:r>
      <w:r w:rsidRPr="005D6747">
        <w:rPr>
          <w:b/>
          <w:i/>
          <w:color w:val="000000" w:themeColor="text1"/>
          <w:sz w:val="20"/>
          <w:lang w:val="bg-BG"/>
        </w:rPr>
        <w:t>подаващи</w:t>
      </w:r>
      <w:r w:rsidRPr="008C08CD">
        <w:rPr>
          <w:b/>
          <w:i/>
          <w:color w:val="000000" w:themeColor="text1"/>
          <w:sz w:val="20"/>
          <w:lang w:val="bg-BG"/>
        </w:rPr>
        <w:t xml:space="preserve"> сигнали за н</w:t>
      </w:r>
      <w:r w:rsidRPr="005D6747">
        <w:rPr>
          <w:b/>
          <w:i/>
          <w:color w:val="000000" w:themeColor="text1"/>
          <w:sz w:val="20"/>
          <w:lang w:val="bg-BG"/>
        </w:rPr>
        <w:t>арушения</w:t>
      </w:r>
      <w:r w:rsidRPr="008C08CD">
        <w:rPr>
          <w:b/>
          <w:i/>
          <w:color w:val="000000" w:themeColor="text1"/>
          <w:sz w:val="20"/>
          <w:lang w:val="bg-BG"/>
        </w:rPr>
        <w:t xml:space="preserve"> в публичния и частния сектор, които съобщават за подозрения за </w:t>
      </w:r>
      <w:r w:rsidRPr="005D6747">
        <w:rPr>
          <w:b/>
          <w:i/>
          <w:color w:val="000000" w:themeColor="text1"/>
          <w:sz w:val="20"/>
          <w:lang w:val="bg-BG"/>
        </w:rPr>
        <w:t xml:space="preserve">подкупване на </w:t>
      </w:r>
      <w:r w:rsidR="003D2D1F">
        <w:rPr>
          <w:b/>
          <w:i/>
          <w:color w:val="000000" w:themeColor="text1"/>
          <w:sz w:val="20"/>
          <w:lang w:val="bg-BG"/>
        </w:rPr>
        <w:t xml:space="preserve">чужди </w:t>
      </w:r>
      <w:r w:rsidRPr="005D6747">
        <w:rPr>
          <w:b/>
          <w:i/>
          <w:color w:val="000000" w:themeColor="text1"/>
          <w:sz w:val="20"/>
          <w:lang w:val="bg-BG"/>
        </w:rPr>
        <w:t>длъжностни лица</w:t>
      </w:r>
      <w:r w:rsidRPr="008C08CD">
        <w:rPr>
          <w:b/>
          <w:i/>
          <w:color w:val="000000" w:themeColor="text1"/>
          <w:sz w:val="20"/>
          <w:lang w:val="bg-BG"/>
        </w:rPr>
        <w:t xml:space="preserve">. </w:t>
      </w:r>
    </w:p>
    <w:p w14:paraId="3F737ED1" w14:textId="77777777" w:rsidR="005D6747" w:rsidRPr="005D6747"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rPr>
        <w:t>Медии и разследващи журналисти</w:t>
      </w:r>
    </w:p>
    <w:p w14:paraId="4CD4F55C" w14:textId="77777777" w:rsidR="003D2D1F" w:rsidRDefault="005D6747" w:rsidP="00111AE1">
      <w:pPr>
        <w:widowControl/>
        <w:numPr>
          <w:ilvl w:val="0"/>
          <w:numId w:val="1"/>
        </w:numPr>
        <w:spacing w:before="120" w:after="120" w:line="260" w:lineRule="atLeast"/>
        <w:rPr>
          <w:sz w:val="20"/>
          <w:lang w:val="bg-BG"/>
        </w:rPr>
      </w:pPr>
      <w:r w:rsidRPr="00111AE1">
        <w:rPr>
          <w:noProof/>
          <w:sz w:val="20"/>
          <w:lang w:val="bg-BG"/>
        </w:rPr>
        <w:t>Работната група призна медийното докладване като основен източник за разкриване на случаи на подкупване на чужди длъжностни лица</w:t>
      </w:r>
      <w:r w:rsidRPr="008C08CD">
        <w:rPr>
          <w:noProof/>
          <w:sz w:val="20"/>
          <w:lang w:val="bg-BG"/>
        </w:rPr>
        <w:t>, както и като важен инструмент за повишаване на обществената осведоменост относно корупцията</w:t>
      </w:r>
      <w:r w:rsidRPr="005D6747">
        <w:rPr>
          <w:noProof/>
          <w:vertAlign w:val="superscript"/>
        </w:rPr>
        <w:footnoteReference w:id="31"/>
      </w:r>
      <w:r w:rsidRPr="008C08CD">
        <w:rPr>
          <w:noProof/>
          <w:sz w:val="20"/>
          <w:lang w:val="bg-BG"/>
        </w:rPr>
        <w:t>.</w:t>
      </w:r>
    </w:p>
    <w:p w14:paraId="20D5B7AB" w14:textId="14335D1E" w:rsidR="003C317B" w:rsidRPr="00367B42" w:rsidRDefault="003D2D1F" w:rsidP="008C08CD">
      <w:pPr>
        <w:pStyle w:val="Para"/>
        <w:rPr>
          <w:lang w:val="bg-BG"/>
        </w:rPr>
      </w:pPr>
      <w:r>
        <w:rPr>
          <w:lang w:val="bg-BG"/>
        </w:rPr>
        <w:t>България отбелязва, че Заповед на главния прокурор от 2015 г. (изменена през 2019 г.), одобрява Правилата</w:t>
      </w:r>
      <w:r w:rsidR="002666F5">
        <w:rPr>
          <w:lang w:val="bg-BG"/>
        </w:rPr>
        <w:t xml:space="preserve"> за</w:t>
      </w:r>
      <w:r>
        <w:rPr>
          <w:lang w:val="bg-BG"/>
        </w:rPr>
        <w:t xml:space="preserve"> медийна комуникация на Прокурата. Тази заповед включва </w:t>
      </w:r>
      <w:r w:rsidR="0038316B">
        <w:rPr>
          <w:lang w:val="bg-BG"/>
        </w:rPr>
        <w:t xml:space="preserve">извършването </w:t>
      </w:r>
      <w:r>
        <w:rPr>
          <w:lang w:val="bg-BG"/>
        </w:rPr>
        <w:t>на ежедневен преглед на информацията от медиите, отбосима к</w:t>
      </w:r>
      <w:r w:rsidR="00810198">
        <w:rPr>
          <w:lang w:val="bg-BG"/>
        </w:rPr>
        <w:t>ъм работата на съответната пр</w:t>
      </w:r>
      <w:r>
        <w:rPr>
          <w:lang w:val="bg-BG"/>
        </w:rPr>
        <w:t xml:space="preserve">окуратура и своевременното уведомяване на административните ръководители и наблюдаващите прокурори. </w:t>
      </w:r>
      <w:r w:rsidRPr="006D0634">
        <w:rPr>
          <w:lang w:val="bg-BG"/>
        </w:rPr>
        <w:t xml:space="preserve">В България, съгласно член 207 от </w:t>
      </w:r>
      <w:r w:rsidRPr="003C317B">
        <w:rPr>
          <w:lang w:val="bg-BG"/>
        </w:rPr>
        <w:t>Н</w:t>
      </w:r>
      <w:r w:rsidRPr="006D0634">
        <w:rPr>
          <w:lang w:val="bg-BG"/>
        </w:rPr>
        <w:t>ПК, отчитането на средствата за масова информация се счита за „закон</w:t>
      </w:r>
      <w:r w:rsidR="00810198">
        <w:rPr>
          <w:lang w:val="bg-BG"/>
        </w:rPr>
        <w:t>ен</w:t>
      </w:r>
      <w:r w:rsidRPr="006D0634">
        <w:rPr>
          <w:lang w:val="bg-BG"/>
        </w:rPr>
        <w:t xml:space="preserve"> повод“, едно от изискванията за образуване на досъдебно производство. Към днешна дата медиите са източник на поне едно обвинение за подкуп</w:t>
      </w:r>
      <w:r w:rsidRPr="003C317B">
        <w:rPr>
          <w:lang w:val="bg-BG"/>
        </w:rPr>
        <w:t>ване</w:t>
      </w:r>
      <w:r>
        <w:rPr>
          <w:lang w:val="bg-BG"/>
        </w:rPr>
        <w:t xml:space="preserve"> относно </w:t>
      </w:r>
      <w:r w:rsidR="00810198">
        <w:rPr>
          <w:lang w:val="bg-BG"/>
        </w:rPr>
        <w:t xml:space="preserve">получаването на </w:t>
      </w:r>
      <w:r>
        <w:rPr>
          <w:lang w:val="bg-BG"/>
        </w:rPr>
        <w:t>плащания</w:t>
      </w:r>
      <w:r w:rsidRPr="006D0634">
        <w:rPr>
          <w:lang w:val="bg-BG"/>
        </w:rPr>
        <w:t xml:space="preserve"> от български гражданин </w:t>
      </w:r>
      <w:r>
        <w:rPr>
          <w:lang w:val="bg-BG"/>
        </w:rPr>
        <w:t>(</w:t>
      </w:r>
      <w:r w:rsidR="00C30475">
        <w:rPr>
          <w:b/>
          <w:lang w:val="bg-BG"/>
        </w:rPr>
        <w:t>Случай В</w:t>
      </w:r>
      <w:r w:rsidRPr="00C30475">
        <w:rPr>
          <w:lang w:val="bg-BG"/>
        </w:rPr>
        <w:t>)</w:t>
      </w:r>
      <w:r>
        <w:rPr>
          <w:lang w:val="bg-BG"/>
        </w:rPr>
        <w:t xml:space="preserve"> .</w:t>
      </w:r>
      <w:r w:rsidRPr="006D0634">
        <w:rPr>
          <w:lang w:val="bg-BG"/>
        </w:rPr>
        <w:t xml:space="preserve">Въпросът беше широко отразен в медиите и след тези доклади България съобщи, че </w:t>
      </w:r>
      <w:r w:rsidRPr="003C317B">
        <w:rPr>
          <w:lang w:val="bg-BG"/>
        </w:rPr>
        <w:t>Г</w:t>
      </w:r>
      <w:r w:rsidRPr="006D0634">
        <w:rPr>
          <w:lang w:val="bg-BG"/>
        </w:rPr>
        <w:t xml:space="preserve">лавният прокурор </w:t>
      </w:r>
      <w:r>
        <w:rPr>
          <w:lang w:val="bg-BG"/>
        </w:rPr>
        <w:t>е</w:t>
      </w:r>
      <w:r w:rsidRPr="006D0634">
        <w:rPr>
          <w:lang w:val="bg-BG"/>
        </w:rPr>
        <w:t xml:space="preserve"> </w:t>
      </w:r>
      <w:r>
        <w:rPr>
          <w:lang w:val="bg-BG"/>
        </w:rPr>
        <w:t xml:space="preserve">препратил материалите от медиите на </w:t>
      </w:r>
      <w:r w:rsidRPr="006D0634">
        <w:rPr>
          <w:lang w:val="bg-BG"/>
        </w:rPr>
        <w:t xml:space="preserve">Софийска градска прокуратура. По време на проверката, включително </w:t>
      </w:r>
      <w:r w:rsidR="0057730A">
        <w:rPr>
          <w:lang w:val="bg-BG"/>
        </w:rPr>
        <w:t xml:space="preserve">извършен </w:t>
      </w:r>
      <w:r w:rsidRPr="006D0634">
        <w:rPr>
          <w:lang w:val="bg-BG"/>
        </w:rPr>
        <w:t>одит от НАП, не са събрани достатъчно доказателства за нарушение, поради което през 2018 г. е постановено решение да не се образува досъдебно производство. Установено е, че средствата са получени от посоченото лице въз основа на договор за консултация, по силата на който са предоставени консултантски услуги.</w:t>
      </w:r>
    </w:p>
    <w:p w14:paraId="41F3EE84" w14:textId="40125589" w:rsidR="005D6747" w:rsidRPr="008C08CD" w:rsidRDefault="005D6747" w:rsidP="005D6747">
      <w:pPr>
        <w:widowControl/>
        <w:numPr>
          <w:ilvl w:val="0"/>
          <w:numId w:val="1"/>
        </w:numPr>
        <w:spacing w:before="120" w:after="120" w:line="260" w:lineRule="atLeast"/>
        <w:rPr>
          <w:sz w:val="20"/>
          <w:lang w:val="bg-BG"/>
        </w:rPr>
      </w:pPr>
      <w:r w:rsidRPr="008C08CD">
        <w:rPr>
          <w:noProof/>
          <w:sz w:val="20"/>
          <w:lang w:val="bg-BG"/>
        </w:rPr>
        <w:t xml:space="preserve">Въпреки това, няколко други съобщения за </w:t>
      </w:r>
      <w:r w:rsidRPr="005D6747">
        <w:rPr>
          <w:noProof/>
          <w:sz w:val="20"/>
          <w:lang w:val="bg-BG"/>
        </w:rPr>
        <w:t>твърдения</w:t>
      </w:r>
      <w:r w:rsidRPr="008C08CD">
        <w:rPr>
          <w:noProof/>
          <w:sz w:val="20"/>
          <w:lang w:val="bg-BG"/>
        </w:rPr>
        <w:t xml:space="preserve"> за подкуп</w:t>
      </w:r>
      <w:r w:rsidRPr="005D6747">
        <w:rPr>
          <w:noProof/>
          <w:sz w:val="20"/>
          <w:lang w:val="bg-BG"/>
        </w:rPr>
        <w:t xml:space="preserve">ване на чужди длъжностни лица </w:t>
      </w:r>
      <w:r w:rsidRPr="008C08CD">
        <w:rPr>
          <w:noProof/>
          <w:sz w:val="20"/>
          <w:lang w:val="bg-BG"/>
        </w:rPr>
        <w:t xml:space="preserve">в медиите не са разследвани от българските власти, </w:t>
      </w:r>
      <w:r w:rsidR="005738FC">
        <w:rPr>
          <w:noProof/>
          <w:sz w:val="20"/>
          <w:lang w:val="bg-BG"/>
        </w:rPr>
        <w:t>основно,</w:t>
      </w:r>
      <w:r w:rsidR="005738FC" w:rsidRPr="008C08CD">
        <w:rPr>
          <w:noProof/>
          <w:sz w:val="20"/>
          <w:lang w:val="bg-BG"/>
        </w:rPr>
        <w:t xml:space="preserve"> </w:t>
      </w:r>
      <w:r w:rsidR="005738FC">
        <w:rPr>
          <w:noProof/>
          <w:sz w:val="20"/>
          <w:lang w:val="bg-BG"/>
        </w:rPr>
        <w:t xml:space="preserve">изглежда, </w:t>
      </w:r>
      <w:r w:rsidRPr="008C08CD">
        <w:rPr>
          <w:noProof/>
          <w:sz w:val="20"/>
          <w:lang w:val="bg-BG"/>
        </w:rPr>
        <w:t>поради липсата на достатъчно информация,</w:t>
      </w:r>
      <w:r w:rsidR="005738FC">
        <w:rPr>
          <w:noProof/>
          <w:sz w:val="20"/>
          <w:lang w:val="bg-BG"/>
        </w:rPr>
        <w:t xml:space="preserve"> която се</w:t>
      </w:r>
      <w:r w:rsidRPr="008C08CD">
        <w:rPr>
          <w:noProof/>
          <w:sz w:val="20"/>
          <w:lang w:val="bg-BG"/>
        </w:rPr>
        <w:t xml:space="preserve"> изисква съгласно член 211 </w:t>
      </w:r>
      <w:r w:rsidRPr="005D6747">
        <w:rPr>
          <w:noProof/>
          <w:sz w:val="20"/>
          <w:lang w:val="bg-BG"/>
        </w:rPr>
        <w:t>от Н</w:t>
      </w:r>
      <w:r w:rsidRPr="008C08CD">
        <w:rPr>
          <w:noProof/>
          <w:sz w:val="20"/>
          <w:lang w:val="bg-BG"/>
        </w:rPr>
        <w:t>ПК (обсъдено по -долу).</w:t>
      </w:r>
      <w:r w:rsidR="002666F5">
        <w:rPr>
          <w:noProof/>
          <w:sz w:val="20"/>
          <w:lang w:val="bg-BG"/>
        </w:rPr>
        <w:t xml:space="preserve"> </w:t>
      </w:r>
      <w:r w:rsidRPr="008C08CD">
        <w:rPr>
          <w:noProof/>
          <w:sz w:val="20"/>
          <w:lang w:val="bg-BG"/>
        </w:rPr>
        <w:t xml:space="preserve">Водещите проверители обаче отбелязват, че българските власти биха могли да бъдат по-активни, когато се съобщава за твърдение в медиите и да предприемат </w:t>
      </w:r>
      <w:r w:rsidR="005738FC">
        <w:rPr>
          <w:noProof/>
          <w:sz w:val="20"/>
          <w:lang w:val="bg-BG"/>
        </w:rPr>
        <w:t xml:space="preserve">свободни </w:t>
      </w:r>
      <w:r w:rsidRPr="008C08CD">
        <w:rPr>
          <w:noProof/>
          <w:sz w:val="20"/>
          <w:lang w:val="bg-BG"/>
        </w:rPr>
        <w:t>проучвания или предварителни проверки, за да видят дали трябва да започне досъдебно производство.</w:t>
      </w:r>
      <w:r w:rsidRPr="005D6747">
        <w:rPr>
          <w:noProof/>
          <w:sz w:val="20"/>
          <w:lang w:val="bg-BG"/>
        </w:rPr>
        <w:t xml:space="preserve"> </w:t>
      </w:r>
    </w:p>
    <w:p w14:paraId="46121E29" w14:textId="28282A88" w:rsidR="005D6747" w:rsidRPr="008C08CD" w:rsidRDefault="005D6747" w:rsidP="005D6747">
      <w:pPr>
        <w:widowControl/>
        <w:numPr>
          <w:ilvl w:val="0"/>
          <w:numId w:val="1"/>
        </w:numPr>
        <w:spacing w:before="120" w:after="120" w:line="260" w:lineRule="atLeast"/>
        <w:rPr>
          <w:sz w:val="20"/>
          <w:lang w:val="bg-BG"/>
        </w:rPr>
      </w:pPr>
      <w:r w:rsidRPr="008C08CD">
        <w:rPr>
          <w:sz w:val="20"/>
          <w:lang w:val="bg-BG"/>
        </w:rPr>
        <w:t>По време на виртуалн</w:t>
      </w:r>
      <w:r w:rsidR="005738FC">
        <w:rPr>
          <w:sz w:val="20"/>
          <w:lang w:val="bg-BG"/>
        </w:rPr>
        <w:t>ото</w:t>
      </w:r>
      <w:r w:rsidR="00457F66">
        <w:rPr>
          <w:sz w:val="20"/>
          <w:lang w:val="bg-BG"/>
        </w:rPr>
        <w:t xml:space="preserve"> посещение </w:t>
      </w:r>
      <w:r w:rsidRPr="008C08CD">
        <w:rPr>
          <w:sz w:val="20"/>
          <w:lang w:val="bg-BG"/>
        </w:rPr>
        <w:t xml:space="preserve">само трима представители участваха в </w:t>
      </w:r>
      <w:r w:rsidR="0057730A">
        <w:rPr>
          <w:sz w:val="20"/>
          <w:lang w:val="bg-BG"/>
        </w:rPr>
        <w:t>срещата</w:t>
      </w:r>
      <w:r w:rsidR="002666F5">
        <w:rPr>
          <w:sz w:val="20"/>
          <w:lang w:val="bg-BG"/>
        </w:rPr>
        <w:t>, предназначена</w:t>
      </w:r>
      <w:r w:rsidRPr="008C08CD">
        <w:rPr>
          <w:sz w:val="20"/>
          <w:lang w:val="bg-BG"/>
        </w:rPr>
        <w:t xml:space="preserve"> за гражданско</w:t>
      </w:r>
      <w:r w:rsidR="002666F5">
        <w:rPr>
          <w:sz w:val="20"/>
          <w:lang w:val="bg-BG"/>
        </w:rPr>
        <w:t>то</w:t>
      </w:r>
      <w:r w:rsidRPr="008C08CD">
        <w:rPr>
          <w:sz w:val="20"/>
          <w:lang w:val="bg-BG"/>
        </w:rPr>
        <w:t xml:space="preserve"> общество и журналисти</w:t>
      </w:r>
      <w:r w:rsidR="002666F5">
        <w:rPr>
          <w:sz w:val="20"/>
          <w:lang w:val="bg-BG"/>
        </w:rPr>
        <w:t>те</w:t>
      </w:r>
      <w:r w:rsidRPr="008C08CD">
        <w:rPr>
          <w:sz w:val="20"/>
          <w:lang w:val="bg-BG"/>
        </w:rPr>
        <w:t xml:space="preserve">. Относително ниската посещаемост </w:t>
      </w:r>
      <w:r w:rsidR="0057730A">
        <w:rPr>
          <w:sz w:val="20"/>
          <w:lang w:val="bg-BG"/>
        </w:rPr>
        <w:t>беше</w:t>
      </w:r>
      <w:r w:rsidR="0057730A" w:rsidRPr="008C08CD">
        <w:rPr>
          <w:sz w:val="20"/>
          <w:lang w:val="bg-BG"/>
        </w:rPr>
        <w:t xml:space="preserve"> обясн</w:t>
      </w:r>
      <w:r w:rsidR="0057730A">
        <w:rPr>
          <w:sz w:val="20"/>
          <w:lang w:val="bg-BG"/>
        </w:rPr>
        <w:t>ена</w:t>
      </w:r>
      <w:r w:rsidR="0057730A" w:rsidRPr="008C08CD">
        <w:rPr>
          <w:sz w:val="20"/>
          <w:lang w:val="bg-BG"/>
        </w:rPr>
        <w:t xml:space="preserve"> </w:t>
      </w:r>
      <w:r w:rsidRPr="008C08CD">
        <w:rPr>
          <w:sz w:val="20"/>
          <w:lang w:val="bg-BG"/>
        </w:rPr>
        <w:t xml:space="preserve">с политическата обстановка в деня на заседанието, тъй като българският парламент </w:t>
      </w:r>
      <w:r w:rsidR="002666F5">
        <w:rPr>
          <w:sz w:val="20"/>
          <w:lang w:val="bg-BG"/>
        </w:rPr>
        <w:t>е бил</w:t>
      </w:r>
      <w:r w:rsidRPr="008C08CD">
        <w:rPr>
          <w:sz w:val="20"/>
          <w:lang w:val="bg-BG"/>
        </w:rPr>
        <w:t xml:space="preserve"> разпуснат, но също така</w:t>
      </w:r>
      <w:r w:rsidR="0057730A">
        <w:rPr>
          <w:sz w:val="20"/>
          <w:lang w:val="bg-BG"/>
        </w:rPr>
        <w:t>, което буди притеснение, с</w:t>
      </w:r>
      <w:r w:rsidRPr="008C08CD">
        <w:rPr>
          <w:sz w:val="20"/>
          <w:lang w:val="bg-BG"/>
        </w:rPr>
        <w:t xml:space="preserve"> липсата на осведоменост </w:t>
      </w:r>
      <w:r w:rsidR="0057730A">
        <w:rPr>
          <w:sz w:val="20"/>
          <w:lang w:val="bg-BG"/>
        </w:rPr>
        <w:t xml:space="preserve">относно </w:t>
      </w:r>
      <w:r w:rsidRPr="005D6747">
        <w:rPr>
          <w:sz w:val="20"/>
          <w:lang w:val="bg-BG"/>
        </w:rPr>
        <w:t>подкупване</w:t>
      </w:r>
      <w:r w:rsidR="0057730A">
        <w:rPr>
          <w:sz w:val="20"/>
          <w:lang w:val="bg-BG"/>
        </w:rPr>
        <w:t>то</w:t>
      </w:r>
      <w:r w:rsidRPr="005D6747">
        <w:rPr>
          <w:sz w:val="20"/>
          <w:lang w:val="bg-BG"/>
        </w:rPr>
        <w:t xml:space="preserve"> на </w:t>
      </w:r>
      <w:r w:rsidRPr="008C08CD">
        <w:rPr>
          <w:sz w:val="20"/>
          <w:lang w:val="bg-BG"/>
        </w:rPr>
        <w:t>чужди длъжностни лица в България. Участниците в дискусията посочиха, че в България историите за корупция „бързо угасват“, тъй като „публичните власти не реагират на медийни въпроси и искания“. Участниците в</w:t>
      </w:r>
      <w:r w:rsidR="0057730A">
        <w:rPr>
          <w:sz w:val="20"/>
          <w:lang w:val="bg-BG"/>
        </w:rPr>
        <w:t xml:space="preserve"> срещата </w:t>
      </w:r>
      <w:r w:rsidRPr="008C08CD">
        <w:rPr>
          <w:sz w:val="20"/>
          <w:lang w:val="bg-BG"/>
        </w:rPr>
        <w:t xml:space="preserve">също съобщиха за трудности при </w:t>
      </w:r>
      <w:r w:rsidR="0057730A">
        <w:rPr>
          <w:sz w:val="20"/>
          <w:lang w:val="bg-BG"/>
        </w:rPr>
        <w:lastRenderedPageBreak/>
        <w:t xml:space="preserve">получаването на </w:t>
      </w:r>
      <w:r w:rsidRPr="008C08CD">
        <w:rPr>
          <w:sz w:val="20"/>
          <w:lang w:val="bg-BG"/>
        </w:rPr>
        <w:t xml:space="preserve">достъп до обществена информация поради нежеланието на публичните власти и лошото сътрудничество с тях. </w:t>
      </w:r>
    </w:p>
    <w:p w14:paraId="401BED6D" w14:textId="77777777" w:rsidR="005D6747" w:rsidRPr="00237FB9" w:rsidRDefault="005738FC" w:rsidP="005D6747">
      <w:pPr>
        <w:widowControl/>
        <w:numPr>
          <w:ilvl w:val="0"/>
          <w:numId w:val="1"/>
        </w:numPr>
        <w:spacing w:before="120" w:after="120" w:line="260" w:lineRule="atLeast"/>
        <w:rPr>
          <w:sz w:val="20"/>
          <w:lang w:val="bg-BG"/>
        </w:rPr>
      </w:pPr>
      <w:r>
        <w:rPr>
          <w:noProof/>
          <w:sz w:val="20"/>
          <w:lang w:val="bg-BG"/>
        </w:rPr>
        <w:t xml:space="preserve">Според „Репортери без граници“ </w:t>
      </w:r>
      <w:r w:rsidR="005D6747" w:rsidRPr="00237FB9">
        <w:rPr>
          <w:noProof/>
          <w:sz w:val="20"/>
          <w:lang w:val="bg-BG"/>
        </w:rPr>
        <w:t>България има най-ниските стандарти за свобода на п</w:t>
      </w:r>
      <w:r w:rsidR="005D6747" w:rsidRPr="005D6747">
        <w:rPr>
          <w:noProof/>
          <w:sz w:val="20"/>
          <w:lang w:val="bg-BG"/>
        </w:rPr>
        <w:t>ресата</w:t>
      </w:r>
      <w:r w:rsidR="005D6747" w:rsidRPr="00237FB9">
        <w:rPr>
          <w:noProof/>
          <w:sz w:val="20"/>
          <w:lang w:val="bg-BG"/>
        </w:rPr>
        <w:t xml:space="preserve"> в Европа и през 2020 г., за трета поредна година, е класирана на 111 -то място в световен мащаб (от 180 държави) по отношение на свободата на пресата</w:t>
      </w:r>
      <w:r w:rsidR="0057730A">
        <w:rPr>
          <w:rStyle w:val="FootnoteReference"/>
          <w:noProof/>
          <w:lang w:val="bg-BG"/>
        </w:rPr>
        <w:footnoteReference w:id="32"/>
      </w:r>
      <w:r w:rsidR="005D6747" w:rsidRPr="00237FB9">
        <w:rPr>
          <w:noProof/>
          <w:sz w:val="20"/>
          <w:lang w:val="bg-BG"/>
        </w:rPr>
        <w:t xml:space="preserve">. През 2013 г., по време на </w:t>
      </w:r>
      <w:r w:rsidR="0057730A" w:rsidRPr="00237FB9">
        <w:rPr>
          <w:noProof/>
          <w:sz w:val="20"/>
          <w:lang w:val="bg-BG"/>
        </w:rPr>
        <w:t>двугодиш</w:t>
      </w:r>
      <w:r w:rsidR="0057730A">
        <w:rPr>
          <w:noProof/>
          <w:sz w:val="20"/>
          <w:lang w:val="bg-BG"/>
        </w:rPr>
        <w:t xml:space="preserve">ия писмен доклад за </w:t>
      </w:r>
      <w:r w:rsidR="00D77A94">
        <w:rPr>
          <w:noProof/>
          <w:sz w:val="20"/>
          <w:lang w:val="bg-BG"/>
        </w:rPr>
        <w:t xml:space="preserve">прегледа на </w:t>
      </w:r>
      <w:r w:rsidR="0057730A">
        <w:rPr>
          <w:noProof/>
          <w:sz w:val="20"/>
          <w:lang w:val="bg-BG"/>
        </w:rPr>
        <w:t xml:space="preserve">изпълнението на препоръките </w:t>
      </w:r>
      <w:r w:rsidR="00485404">
        <w:rPr>
          <w:noProof/>
          <w:sz w:val="20"/>
          <w:lang w:val="bg-BG"/>
        </w:rPr>
        <w:t>по</w:t>
      </w:r>
      <w:r w:rsidR="0057730A">
        <w:rPr>
          <w:noProof/>
          <w:sz w:val="20"/>
          <w:lang w:val="bg-BG"/>
        </w:rPr>
        <w:t xml:space="preserve"> фаза 3</w:t>
      </w:r>
      <w:r w:rsidR="005D6747" w:rsidRPr="00237FB9">
        <w:rPr>
          <w:noProof/>
          <w:sz w:val="20"/>
          <w:lang w:val="bg-BG"/>
        </w:rPr>
        <w:t>, България беше класирана на 83-о място в световен мащаб.</w:t>
      </w:r>
    </w:p>
    <w:p w14:paraId="0A7042F8" w14:textId="77777777" w:rsidR="005D6747" w:rsidRPr="00237FB9" w:rsidRDefault="005D6747" w:rsidP="005D6747">
      <w:pPr>
        <w:widowControl/>
        <w:numPr>
          <w:ilvl w:val="0"/>
          <w:numId w:val="1"/>
        </w:numPr>
        <w:spacing w:before="120" w:after="120" w:line="260" w:lineRule="atLeast"/>
        <w:rPr>
          <w:b/>
          <w:i/>
          <w:color w:val="4E81BD" w:themeColor="accent1"/>
          <w:sz w:val="20"/>
          <w:lang w:val="bg-BG"/>
        </w:rPr>
      </w:pPr>
      <w:r w:rsidRPr="00237FB9">
        <w:rPr>
          <w:sz w:val="20"/>
          <w:lang w:val="bg-BG"/>
        </w:rPr>
        <w:t xml:space="preserve">Често се съобщава за нападения срещу независими и разследващи журналисти, разкриващи случаи на корупция. В същото време съдебният тормоз на независими медии продължава да се засилва. По-специално, през май 2020 г. „Репортери без граници“ споменаха процеса </w:t>
      </w:r>
      <w:r w:rsidR="00C30475">
        <w:rPr>
          <w:sz w:val="20"/>
          <w:lang w:val="bg-BG"/>
        </w:rPr>
        <w:t xml:space="preserve">срещу </w:t>
      </w:r>
      <w:r w:rsidRPr="00237FB9">
        <w:rPr>
          <w:sz w:val="20"/>
          <w:lang w:val="bg-BG"/>
        </w:rPr>
        <w:t>издател по обвинения в приватизационни измами. Според „Репортери без граници“ този процес изглежда е пример за „увеличаване на политическия натиск върху голяма независима медийна група</w:t>
      </w:r>
      <w:r w:rsidR="00D77A94">
        <w:rPr>
          <w:sz w:val="20"/>
          <w:lang w:val="bg-BG"/>
        </w:rPr>
        <w:t>“</w:t>
      </w:r>
      <w:r w:rsidRPr="00237FB9">
        <w:rPr>
          <w:sz w:val="20"/>
          <w:lang w:val="bg-BG"/>
        </w:rPr>
        <w:t xml:space="preserve"> от „политически контролирани агенции“ </w:t>
      </w:r>
      <w:r w:rsidR="00D77A94">
        <w:rPr>
          <w:sz w:val="20"/>
          <w:lang w:val="bg-BG"/>
        </w:rPr>
        <w:t>„</w:t>
      </w:r>
      <w:r w:rsidRPr="00237FB9">
        <w:rPr>
          <w:sz w:val="20"/>
          <w:lang w:val="bg-BG"/>
        </w:rPr>
        <w:t>в отговор на журналистически разследвания, разкрили суровите истини на случаите на корупция</w:t>
      </w:r>
      <w:r w:rsidR="00D77A94">
        <w:rPr>
          <w:sz w:val="20"/>
          <w:lang w:val="bg-BG"/>
        </w:rPr>
        <w:t>“</w:t>
      </w:r>
      <w:r w:rsidRPr="00237FB9">
        <w:rPr>
          <w:sz w:val="20"/>
          <w:lang w:val="bg-BG"/>
        </w:rPr>
        <w:t xml:space="preserve">. </w:t>
      </w:r>
      <w:r w:rsidR="00D77A94">
        <w:rPr>
          <w:sz w:val="20"/>
          <w:lang w:val="bg-BG"/>
        </w:rPr>
        <w:t>Участниците</w:t>
      </w:r>
      <w:r w:rsidR="00D77A94" w:rsidRPr="005D6747">
        <w:rPr>
          <w:sz w:val="20"/>
          <w:lang w:val="bg-BG"/>
        </w:rPr>
        <w:t xml:space="preserve"> </w:t>
      </w:r>
      <w:r w:rsidR="00D77A94">
        <w:rPr>
          <w:sz w:val="20"/>
          <w:lang w:val="bg-BG"/>
        </w:rPr>
        <w:t>във</w:t>
      </w:r>
      <w:r w:rsidR="00D77A94" w:rsidRPr="005D6747">
        <w:rPr>
          <w:sz w:val="20"/>
          <w:lang w:val="bg-BG"/>
        </w:rPr>
        <w:t xml:space="preserve"> </w:t>
      </w:r>
      <w:r w:rsidR="00CD1C55">
        <w:rPr>
          <w:sz w:val="20"/>
          <w:lang w:val="bg-BG"/>
        </w:rPr>
        <w:t>виртуалното посещение</w:t>
      </w:r>
      <w:r w:rsidRPr="00237FB9">
        <w:rPr>
          <w:sz w:val="20"/>
          <w:lang w:val="bg-BG"/>
        </w:rPr>
        <w:t xml:space="preserve"> потвърдиха тези опасения, като споменаха нападения срещу журналисти, докладващи за корупция, включително „</w:t>
      </w:r>
      <w:r w:rsidR="006E61D0">
        <w:rPr>
          <w:sz w:val="20"/>
          <w:lang w:val="bg-BG"/>
        </w:rPr>
        <w:t>ответни</w:t>
      </w:r>
      <w:r w:rsidR="00EE324B">
        <w:rPr>
          <w:sz w:val="20"/>
          <w:lang w:val="bg-BG"/>
        </w:rPr>
        <w:t xml:space="preserve"> </w:t>
      </w:r>
      <w:r w:rsidRPr="00237FB9">
        <w:rPr>
          <w:sz w:val="20"/>
          <w:lang w:val="bg-BG"/>
        </w:rPr>
        <w:t>разследван</w:t>
      </w:r>
      <w:r w:rsidRPr="005D6747">
        <w:rPr>
          <w:sz w:val="20"/>
          <w:lang w:val="bg-BG"/>
        </w:rPr>
        <w:t>ия</w:t>
      </w:r>
      <w:r w:rsidR="00EE324B">
        <w:rPr>
          <w:sz w:val="20"/>
          <w:lang w:val="bg-BG"/>
        </w:rPr>
        <w:t>“</w:t>
      </w:r>
      <w:r w:rsidRPr="005D6747">
        <w:rPr>
          <w:sz w:val="20"/>
          <w:lang w:val="bg-BG"/>
        </w:rPr>
        <w:t xml:space="preserve"> </w:t>
      </w:r>
      <w:r w:rsidRPr="00237FB9">
        <w:rPr>
          <w:sz w:val="20"/>
          <w:lang w:val="bg-BG"/>
        </w:rPr>
        <w:t xml:space="preserve"> и други методи на натиск.</w:t>
      </w:r>
    </w:p>
    <w:p w14:paraId="0FC5EBCE" w14:textId="77777777" w:rsidR="005D6747" w:rsidRPr="00237FB9" w:rsidRDefault="005D6747" w:rsidP="005D6747">
      <w:pPr>
        <w:widowControl/>
        <w:spacing w:before="120" w:after="120" w:line="260" w:lineRule="atLeast"/>
        <w:rPr>
          <w:b/>
          <w:i/>
          <w:color w:val="4E81BD" w:themeColor="accent1"/>
          <w:sz w:val="20"/>
          <w:lang w:val="bg-BG"/>
        </w:rPr>
      </w:pPr>
      <w:r w:rsidRPr="00237FB9">
        <w:rPr>
          <w:b/>
          <w:i/>
          <w:color w:val="4E81BD" w:themeColor="accent1"/>
          <w:sz w:val="20"/>
          <w:lang w:val="bg-BG"/>
        </w:rPr>
        <w:t>Коментар</w:t>
      </w:r>
    </w:p>
    <w:p w14:paraId="36F3EACB" w14:textId="77777777" w:rsidR="005D6747" w:rsidRPr="008C08CD" w:rsidRDefault="005D6747" w:rsidP="005D6747">
      <w:pPr>
        <w:widowControl/>
        <w:spacing w:before="120" w:after="120" w:line="260" w:lineRule="atLeast"/>
        <w:rPr>
          <w:i/>
          <w:sz w:val="20"/>
          <w:lang w:val="bg-BG"/>
        </w:rPr>
      </w:pPr>
      <w:r w:rsidRPr="00237FB9">
        <w:rPr>
          <w:b/>
          <w:i/>
          <w:sz w:val="20"/>
          <w:lang w:val="bg-BG"/>
        </w:rPr>
        <w:t>Водещите</w:t>
      </w:r>
      <w:r w:rsidRPr="005D6747">
        <w:rPr>
          <w:b/>
          <w:i/>
          <w:sz w:val="20"/>
          <w:lang w:val="bg-BG"/>
        </w:rPr>
        <w:t xml:space="preserve"> проверители</w:t>
      </w:r>
      <w:r w:rsidRPr="008C08CD">
        <w:rPr>
          <w:b/>
          <w:i/>
          <w:sz w:val="20"/>
          <w:lang w:val="bg-BG"/>
        </w:rPr>
        <w:t xml:space="preserve"> отбелязват важната роля на разследващата журналистика за разработването на сериозни, </w:t>
      </w:r>
      <w:r w:rsidRPr="005D6747">
        <w:rPr>
          <w:b/>
          <w:i/>
          <w:sz w:val="20"/>
          <w:lang w:val="bg-BG"/>
        </w:rPr>
        <w:t xml:space="preserve">убедителни </w:t>
      </w:r>
      <w:r w:rsidRPr="008C08CD">
        <w:rPr>
          <w:b/>
          <w:i/>
          <w:sz w:val="20"/>
          <w:lang w:val="bg-BG"/>
        </w:rPr>
        <w:t xml:space="preserve">и </w:t>
      </w:r>
      <w:r w:rsidRPr="005D6747">
        <w:rPr>
          <w:b/>
          <w:i/>
          <w:sz w:val="20"/>
          <w:lang w:val="bg-BG"/>
        </w:rPr>
        <w:t>представляващи голям интерес</w:t>
      </w:r>
      <w:r w:rsidRPr="008C08CD">
        <w:rPr>
          <w:b/>
          <w:i/>
          <w:sz w:val="20"/>
          <w:lang w:val="bg-BG"/>
        </w:rPr>
        <w:t xml:space="preserve"> репортажи за </w:t>
      </w:r>
      <w:r w:rsidRPr="005D6747">
        <w:rPr>
          <w:b/>
          <w:i/>
          <w:sz w:val="20"/>
          <w:lang w:val="bg-BG"/>
        </w:rPr>
        <w:t>случаи на подкупване на чужди длъжностни лица</w:t>
      </w:r>
      <w:r w:rsidRPr="008C08CD">
        <w:rPr>
          <w:b/>
          <w:i/>
          <w:sz w:val="20"/>
          <w:lang w:val="bg-BG"/>
        </w:rPr>
        <w:t xml:space="preserve">. Те са загрижени, че медиите в България може да не работят в среда, благоприятстваща докладването на потенциални </w:t>
      </w:r>
      <w:r w:rsidRPr="005D6747">
        <w:rPr>
          <w:b/>
          <w:i/>
          <w:sz w:val="20"/>
          <w:lang w:val="bg-BG"/>
        </w:rPr>
        <w:t xml:space="preserve">твърдения </w:t>
      </w:r>
      <w:r w:rsidRPr="008C08CD">
        <w:rPr>
          <w:b/>
          <w:i/>
          <w:sz w:val="20"/>
          <w:lang w:val="bg-BG"/>
        </w:rPr>
        <w:t>за подкуп</w:t>
      </w:r>
      <w:r w:rsidRPr="005D6747">
        <w:rPr>
          <w:b/>
          <w:i/>
          <w:sz w:val="20"/>
          <w:lang w:val="bg-BG"/>
        </w:rPr>
        <w:t xml:space="preserve">ване на </w:t>
      </w:r>
      <w:r w:rsidR="00D77A94" w:rsidRPr="005D6747">
        <w:rPr>
          <w:b/>
          <w:i/>
          <w:sz w:val="20"/>
          <w:lang w:val="bg-BG"/>
        </w:rPr>
        <w:t>чужд</w:t>
      </w:r>
      <w:r w:rsidR="00D77A94">
        <w:rPr>
          <w:b/>
          <w:i/>
          <w:sz w:val="20"/>
          <w:lang w:val="bg-BG"/>
        </w:rPr>
        <w:t>и</w:t>
      </w:r>
      <w:r w:rsidR="00D77A94" w:rsidRPr="005D6747">
        <w:rPr>
          <w:b/>
          <w:i/>
          <w:sz w:val="20"/>
          <w:lang w:val="bg-BG"/>
        </w:rPr>
        <w:t xml:space="preserve"> </w:t>
      </w:r>
      <w:r w:rsidRPr="005D6747">
        <w:rPr>
          <w:b/>
          <w:i/>
          <w:sz w:val="20"/>
          <w:lang w:val="bg-BG"/>
        </w:rPr>
        <w:t>длъжностни лица</w:t>
      </w:r>
      <w:r w:rsidRPr="008C08CD">
        <w:rPr>
          <w:b/>
          <w:i/>
          <w:sz w:val="20"/>
          <w:lang w:val="bg-BG"/>
        </w:rPr>
        <w:t xml:space="preserve">. Съответно водещите </w:t>
      </w:r>
      <w:r w:rsidRPr="005D6747">
        <w:rPr>
          <w:b/>
          <w:i/>
          <w:sz w:val="20"/>
          <w:lang w:val="bg-BG"/>
        </w:rPr>
        <w:t xml:space="preserve">проверители </w:t>
      </w:r>
      <w:r w:rsidRPr="008C08CD">
        <w:rPr>
          <w:b/>
          <w:i/>
          <w:sz w:val="20"/>
          <w:lang w:val="bg-BG"/>
        </w:rPr>
        <w:t xml:space="preserve">препоръчват на България да гарантира, че законите, свързани със свободата на </w:t>
      </w:r>
      <w:r w:rsidRPr="005D6747">
        <w:rPr>
          <w:b/>
          <w:i/>
          <w:sz w:val="20"/>
          <w:lang w:val="bg-BG"/>
        </w:rPr>
        <w:t>пресата</w:t>
      </w:r>
      <w:r w:rsidRPr="008C08CD">
        <w:rPr>
          <w:b/>
          <w:i/>
          <w:sz w:val="20"/>
          <w:lang w:val="bg-BG"/>
        </w:rPr>
        <w:t xml:space="preserve">, се прилагат изцяло на практика, за да се гарантира, че </w:t>
      </w:r>
      <w:r w:rsidRPr="005D6747">
        <w:rPr>
          <w:b/>
          <w:i/>
          <w:sz w:val="20"/>
          <w:lang w:val="bg-BG"/>
        </w:rPr>
        <w:t>твърденията за подкупване на чужди длъжностни лица</w:t>
      </w:r>
      <w:r w:rsidRPr="008C08CD">
        <w:rPr>
          <w:b/>
          <w:i/>
          <w:sz w:val="20"/>
          <w:lang w:val="bg-BG"/>
        </w:rPr>
        <w:t xml:space="preserve"> могат да бъдат докладвани без страх от репресии. </w:t>
      </w:r>
    </w:p>
    <w:p w14:paraId="468346FC" w14:textId="77777777" w:rsidR="005D6747" w:rsidRPr="008C08CD" w:rsidRDefault="005D6747" w:rsidP="005D6747">
      <w:pPr>
        <w:widowControl/>
        <w:spacing w:before="120" w:after="120" w:line="260" w:lineRule="atLeast"/>
        <w:rPr>
          <w:sz w:val="20"/>
          <w:lang w:val="bg-BG"/>
        </w:rPr>
      </w:pPr>
      <w:r w:rsidRPr="008C08CD">
        <w:rPr>
          <w:b/>
          <w:i/>
          <w:sz w:val="20"/>
          <w:lang w:val="bg-BG"/>
        </w:rPr>
        <w:t xml:space="preserve">Въпреки това водещите </w:t>
      </w:r>
      <w:r w:rsidRPr="005D6747">
        <w:rPr>
          <w:b/>
          <w:i/>
          <w:sz w:val="20"/>
          <w:lang w:val="bg-BG"/>
        </w:rPr>
        <w:t xml:space="preserve">проверители </w:t>
      </w:r>
      <w:r w:rsidRPr="008C08CD">
        <w:rPr>
          <w:b/>
          <w:i/>
          <w:sz w:val="20"/>
          <w:lang w:val="bg-BG"/>
        </w:rPr>
        <w:t>приветст</w:t>
      </w:r>
      <w:r w:rsidR="00C30475">
        <w:rPr>
          <w:b/>
          <w:i/>
          <w:sz w:val="20"/>
          <w:lang w:val="bg-BG"/>
        </w:rPr>
        <w:t>ват започването на разследване</w:t>
      </w:r>
      <w:r w:rsidRPr="008C08CD">
        <w:rPr>
          <w:b/>
          <w:i/>
          <w:sz w:val="20"/>
          <w:lang w:val="bg-BG"/>
        </w:rPr>
        <w:t xml:space="preserve"> от българските власти след </w:t>
      </w:r>
      <w:r w:rsidR="00C30475">
        <w:rPr>
          <w:b/>
          <w:i/>
          <w:sz w:val="20"/>
          <w:lang w:val="bg-BG"/>
        </w:rPr>
        <w:t>публикувана информация</w:t>
      </w:r>
      <w:r w:rsidRPr="008C08CD">
        <w:rPr>
          <w:b/>
          <w:i/>
          <w:sz w:val="20"/>
          <w:lang w:val="bg-BG"/>
        </w:rPr>
        <w:t xml:space="preserve"> в медиите относно твърденията по </w:t>
      </w:r>
      <w:r w:rsidR="008E04CC">
        <w:rPr>
          <w:b/>
          <w:i/>
          <w:sz w:val="20"/>
          <w:lang w:val="bg-BG"/>
        </w:rPr>
        <w:t>Слу</w:t>
      </w:r>
      <w:r w:rsidR="00530CE9">
        <w:rPr>
          <w:b/>
          <w:i/>
          <w:sz w:val="20"/>
          <w:lang w:val="bg-BG"/>
        </w:rPr>
        <w:t>ч</w:t>
      </w:r>
      <w:r w:rsidR="008E04CC">
        <w:rPr>
          <w:b/>
          <w:i/>
          <w:sz w:val="20"/>
          <w:lang w:val="bg-BG"/>
        </w:rPr>
        <w:t xml:space="preserve">ая </w:t>
      </w:r>
      <w:r w:rsidR="00D77A94">
        <w:rPr>
          <w:b/>
          <w:i/>
          <w:sz w:val="20"/>
          <w:lang w:val="bg-BG"/>
        </w:rPr>
        <w:t>В</w:t>
      </w:r>
      <w:r w:rsidR="008E04CC">
        <w:rPr>
          <w:b/>
          <w:i/>
          <w:sz w:val="20"/>
          <w:lang w:val="bg-BG"/>
        </w:rPr>
        <w:t xml:space="preserve"> </w:t>
      </w:r>
      <w:r w:rsidR="00530CE9">
        <w:rPr>
          <w:b/>
          <w:i/>
          <w:sz w:val="20"/>
          <w:lang w:val="bg-BG"/>
        </w:rPr>
        <w:t xml:space="preserve"> </w:t>
      </w:r>
      <w:r w:rsidRPr="00237FB9">
        <w:rPr>
          <w:b/>
          <w:i/>
          <w:sz w:val="20"/>
          <w:lang w:val="bg-BG"/>
        </w:rPr>
        <w:t xml:space="preserve">и отбелязват критичната роля, която разследващите журналисти са изиграли по случая. Те обаче са обезпокоени от недостатъчната активност на българските власти </w:t>
      </w:r>
      <w:r w:rsidR="00530CE9">
        <w:rPr>
          <w:b/>
          <w:i/>
          <w:sz w:val="20"/>
          <w:lang w:val="bg-BG"/>
        </w:rPr>
        <w:t>по</w:t>
      </w:r>
      <w:r w:rsidR="00530CE9" w:rsidRPr="00237FB9">
        <w:rPr>
          <w:b/>
          <w:i/>
          <w:sz w:val="20"/>
          <w:lang w:val="bg-BG"/>
        </w:rPr>
        <w:t xml:space="preserve"> </w:t>
      </w:r>
      <w:r w:rsidRPr="00237FB9">
        <w:rPr>
          <w:b/>
          <w:i/>
          <w:sz w:val="20"/>
          <w:lang w:val="bg-BG"/>
        </w:rPr>
        <w:t>случаите</w:t>
      </w:r>
      <w:r w:rsidR="00530CE9" w:rsidRPr="00530CE9">
        <w:rPr>
          <w:b/>
          <w:i/>
          <w:sz w:val="20"/>
          <w:lang w:val="bg-BG"/>
        </w:rPr>
        <w:t xml:space="preserve"> </w:t>
      </w:r>
      <w:r w:rsidR="00530CE9">
        <w:rPr>
          <w:b/>
          <w:i/>
          <w:sz w:val="20"/>
          <w:lang w:val="bg-BG"/>
        </w:rPr>
        <w:t>за подкуп на чужди длъжностни лица</w:t>
      </w:r>
      <w:r w:rsidRPr="008C08CD">
        <w:rPr>
          <w:b/>
          <w:i/>
          <w:sz w:val="20"/>
          <w:lang w:val="bg-BG"/>
        </w:rPr>
        <w:t xml:space="preserve">, които обикновено се съобщават в медиите. Следователно водещите </w:t>
      </w:r>
      <w:r w:rsidRPr="005D6747">
        <w:rPr>
          <w:b/>
          <w:i/>
          <w:sz w:val="20"/>
          <w:lang w:val="bg-BG"/>
        </w:rPr>
        <w:t xml:space="preserve">проверители </w:t>
      </w:r>
      <w:r w:rsidRPr="008C08CD">
        <w:rPr>
          <w:b/>
          <w:i/>
          <w:sz w:val="20"/>
          <w:lang w:val="bg-BG"/>
        </w:rPr>
        <w:t xml:space="preserve">препоръчват на правоприлагащите органи редовно и </w:t>
      </w:r>
      <w:r w:rsidR="002B42B4" w:rsidRPr="008C08CD">
        <w:rPr>
          <w:b/>
          <w:i/>
          <w:sz w:val="20"/>
          <w:lang w:val="bg-BG"/>
        </w:rPr>
        <w:t>систем</w:t>
      </w:r>
      <w:r w:rsidR="002B42B4">
        <w:rPr>
          <w:b/>
          <w:i/>
          <w:sz w:val="20"/>
          <w:lang w:val="bg-BG"/>
        </w:rPr>
        <w:t>но</w:t>
      </w:r>
      <w:r w:rsidR="002B42B4" w:rsidRPr="008C08CD">
        <w:rPr>
          <w:b/>
          <w:i/>
          <w:sz w:val="20"/>
          <w:lang w:val="bg-BG"/>
        </w:rPr>
        <w:t xml:space="preserve"> </w:t>
      </w:r>
      <w:r w:rsidRPr="008C08CD">
        <w:rPr>
          <w:b/>
          <w:i/>
          <w:sz w:val="20"/>
          <w:lang w:val="bg-BG"/>
        </w:rPr>
        <w:t xml:space="preserve">да оценяват </w:t>
      </w:r>
      <w:r w:rsidRPr="005D6747">
        <w:rPr>
          <w:b/>
          <w:i/>
          <w:sz w:val="20"/>
          <w:lang w:val="bg-BG"/>
        </w:rPr>
        <w:t>твърденията</w:t>
      </w:r>
      <w:r w:rsidRPr="008C08CD">
        <w:rPr>
          <w:b/>
          <w:i/>
          <w:sz w:val="20"/>
          <w:lang w:val="bg-BG"/>
        </w:rPr>
        <w:t xml:space="preserve"> за подкуп</w:t>
      </w:r>
      <w:r w:rsidRPr="005D6747">
        <w:rPr>
          <w:b/>
          <w:i/>
          <w:sz w:val="20"/>
          <w:lang w:val="bg-BG"/>
        </w:rPr>
        <w:t>ване</w:t>
      </w:r>
      <w:r w:rsidRPr="008C08CD">
        <w:rPr>
          <w:b/>
          <w:i/>
          <w:sz w:val="20"/>
          <w:lang w:val="bg-BG"/>
        </w:rPr>
        <w:t xml:space="preserve"> на чужди длъжностни лица, които се съобщават в местни и чуждестранни медии. </w:t>
      </w:r>
    </w:p>
    <w:p w14:paraId="35471833" w14:textId="77777777" w:rsidR="005D6747" w:rsidRPr="005D6747" w:rsidRDefault="004A5DD0"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Pr>
          <w:rFonts w:eastAsiaTheme="majorEastAsia" w:cstheme="majorBidi"/>
          <w:b/>
          <w:color w:val="4E81BD" w:themeColor="accent1"/>
          <w:sz w:val="24"/>
          <w:szCs w:val="26"/>
          <w:lang w:val="bg-BG"/>
        </w:rPr>
        <w:t xml:space="preserve"> Доклади за самоуличаване</w:t>
      </w:r>
      <w:r w:rsidR="003426CB">
        <w:rPr>
          <w:rFonts w:eastAsiaTheme="majorEastAsia" w:cstheme="majorBidi"/>
          <w:b/>
          <w:color w:val="4E81BD" w:themeColor="accent1"/>
          <w:sz w:val="24"/>
          <w:szCs w:val="26"/>
          <w:lang w:val="bg-BG"/>
        </w:rPr>
        <w:t xml:space="preserve"> </w:t>
      </w:r>
      <w:r w:rsidR="005D6747" w:rsidRPr="005D6747">
        <w:rPr>
          <w:rFonts w:eastAsiaTheme="majorEastAsia" w:cstheme="majorBidi"/>
          <w:b/>
          <w:color w:val="4E81BD" w:themeColor="accent1"/>
          <w:sz w:val="24"/>
          <w:szCs w:val="26"/>
        </w:rPr>
        <w:t>от компании</w:t>
      </w:r>
      <w:r>
        <w:rPr>
          <w:rFonts w:eastAsiaTheme="majorEastAsia" w:cstheme="majorBidi"/>
          <w:b/>
          <w:color w:val="4E81BD" w:themeColor="accent1"/>
          <w:sz w:val="24"/>
          <w:szCs w:val="26"/>
          <w:lang w:val="bg-BG"/>
        </w:rPr>
        <w:t>те</w:t>
      </w:r>
    </w:p>
    <w:p w14:paraId="03783087" w14:textId="00D80C49" w:rsidR="005D6747" w:rsidRPr="00572912" w:rsidRDefault="005D6747" w:rsidP="009A7141">
      <w:pPr>
        <w:pStyle w:val="Para"/>
        <w:rPr>
          <w:lang w:val="bg-BG"/>
        </w:rPr>
      </w:pPr>
      <w:r w:rsidRPr="005D6747">
        <w:t>Работната група призна само</w:t>
      </w:r>
      <w:r w:rsidR="009A7141">
        <w:rPr>
          <w:lang w:val="bg-BG"/>
        </w:rPr>
        <w:t>уличав</w:t>
      </w:r>
      <w:r w:rsidRPr="005D6747">
        <w:t xml:space="preserve">ането (или доброволното разкриване) от компаниите като безценен източник за разкриване на </w:t>
      </w:r>
      <w:r w:rsidRPr="005D6747">
        <w:rPr>
          <w:lang w:val="bg-BG"/>
        </w:rPr>
        <w:t>подкупване на чужди длъжностни лица</w:t>
      </w:r>
      <w:r w:rsidRPr="005D6747">
        <w:t xml:space="preserve"> и отбелязва, че в страните по Конвенцията </w:t>
      </w:r>
      <w:r w:rsidR="009A7141" w:rsidRPr="009A7141">
        <w:t>самоуличаването</w:t>
      </w:r>
      <w:r w:rsidR="009A7141" w:rsidRPr="009A7141" w:rsidDel="009A7141">
        <w:t xml:space="preserve"> </w:t>
      </w:r>
      <w:r w:rsidRPr="005D6747">
        <w:t>от компании</w:t>
      </w:r>
      <w:r w:rsidR="009A7141">
        <w:rPr>
          <w:lang w:val="bg-BG"/>
        </w:rPr>
        <w:t>те</w:t>
      </w:r>
      <w:r w:rsidRPr="005D6747">
        <w:t xml:space="preserve"> представлява приблизително една четвърт от всички </w:t>
      </w:r>
      <w:r w:rsidR="00D77A94">
        <w:rPr>
          <w:lang w:val="bg-BG"/>
        </w:rPr>
        <w:t>разкрити</w:t>
      </w:r>
      <w:r w:rsidR="00D77A94" w:rsidRPr="005D6747">
        <w:t xml:space="preserve"> </w:t>
      </w:r>
      <w:r w:rsidRPr="005D6747">
        <w:t>случаи на подкупване на чужди длъжностни лица от влизането на Конвенцията в сила. Българският закон обаче не съдържа</w:t>
      </w:r>
      <w:r w:rsidR="00010AC4">
        <w:rPr>
          <w:lang w:val="bg-BG"/>
        </w:rPr>
        <w:t xml:space="preserve"> специфични</w:t>
      </w:r>
      <w:r w:rsidRPr="005D6747">
        <w:t xml:space="preserve"> разпоредби за </w:t>
      </w:r>
      <w:r w:rsidR="009A7141" w:rsidRPr="009A7141">
        <w:t>самоуличаването</w:t>
      </w:r>
      <w:r w:rsidR="009A7141" w:rsidRPr="009A7141" w:rsidDel="009A7141">
        <w:t xml:space="preserve"> </w:t>
      </w:r>
      <w:r w:rsidRPr="005D6747">
        <w:t xml:space="preserve">от юридически лица и следователно не е източник на </w:t>
      </w:r>
      <w:r w:rsidR="009A7141">
        <w:rPr>
          <w:lang w:val="bg-BG"/>
        </w:rPr>
        <w:t>разкриване</w:t>
      </w:r>
      <w:r w:rsidR="009B3BC1">
        <w:rPr>
          <w:lang w:val="bg-BG"/>
        </w:rPr>
        <w:t xml:space="preserve">. Като </w:t>
      </w:r>
      <w:r w:rsidR="009B3BC1">
        <w:rPr>
          <w:lang w:val="bg-BG"/>
        </w:rPr>
        <w:lastRenderedPageBreak/>
        <w:t>позитивно развитие</w:t>
      </w:r>
      <w:r w:rsidR="00984C3E">
        <w:rPr>
          <w:lang w:val="en-US"/>
        </w:rPr>
        <w:t xml:space="preserve"> </w:t>
      </w:r>
      <w:r w:rsidR="00984C3E">
        <w:rPr>
          <w:lang w:val="bg-BG"/>
        </w:rPr>
        <w:t>се посочва, че</w:t>
      </w:r>
      <w:r w:rsidR="009B3BC1">
        <w:rPr>
          <w:lang w:val="bg-BG"/>
        </w:rPr>
        <w:t>,</w:t>
      </w:r>
      <w:r w:rsidRPr="00B96838">
        <w:rPr>
          <w:lang w:val="bg-BG"/>
        </w:rPr>
        <w:t xml:space="preserve"> от декември 2021 г. </w:t>
      </w:r>
      <w:r w:rsidR="00984C3E">
        <w:rPr>
          <w:lang w:val="bg-BG"/>
        </w:rPr>
        <w:t>предоставянето на съдействие за разкриването на престъплението</w:t>
      </w:r>
      <w:r w:rsidR="00984C3E" w:rsidRPr="00B96838" w:rsidDel="009A7141">
        <w:rPr>
          <w:lang w:val="bg-BG"/>
        </w:rPr>
        <w:t xml:space="preserve"> </w:t>
      </w:r>
      <w:r w:rsidRPr="00B96838">
        <w:rPr>
          <w:lang w:val="bg-BG"/>
        </w:rPr>
        <w:t xml:space="preserve">може да бъде взето предвид от съдилищата при определяне </w:t>
      </w:r>
      <w:r w:rsidR="00984C3E">
        <w:rPr>
          <w:lang w:val="bg-BG"/>
        </w:rPr>
        <w:t xml:space="preserve">на </w:t>
      </w:r>
      <w:r w:rsidRPr="00B96838">
        <w:rPr>
          <w:lang w:val="bg-BG"/>
        </w:rPr>
        <w:t xml:space="preserve">размера на </w:t>
      </w:r>
      <w:r w:rsidR="00D77A94">
        <w:rPr>
          <w:lang w:val="bg-BG"/>
        </w:rPr>
        <w:t xml:space="preserve">санкциите </w:t>
      </w:r>
      <w:r w:rsidRPr="00B96838">
        <w:rPr>
          <w:lang w:val="bg-BG"/>
        </w:rPr>
        <w:t>срещу юридическо лице</w:t>
      </w:r>
      <w:r w:rsidR="009B3BC1">
        <w:rPr>
          <w:lang w:val="bg-BG"/>
        </w:rPr>
        <w:t xml:space="preserve"> и би могло да се счита за </w:t>
      </w:r>
      <w:r w:rsidR="00593A42">
        <w:rPr>
          <w:lang w:val="bg-BG"/>
        </w:rPr>
        <w:t>стимул</w:t>
      </w:r>
      <w:r w:rsidR="009B3BC1">
        <w:rPr>
          <w:lang w:val="bg-BG"/>
        </w:rPr>
        <w:t xml:space="preserve"> </w:t>
      </w:r>
      <w:r w:rsidR="00984C3E">
        <w:rPr>
          <w:lang w:val="bg-BG"/>
        </w:rPr>
        <w:t>към</w:t>
      </w:r>
      <w:r w:rsidR="00593A42">
        <w:rPr>
          <w:lang w:val="bg-BG"/>
        </w:rPr>
        <w:t xml:space="preserve"> самоу</w:t>
      </w:r>
      <w:r w:rsidR="009B3BC1">
        <w:rPr>
          <w:lang w:val="bg-BG"/>
        </w:rPr>
        <w:t>личаване</w:t>
      </w:r>
      <w:r w:rsidRPr="00B96838">
        <w:rPr>
          <w:lang w:val="bg-BG"/>
        </w:rPr>
        <w:t xml:space="preserve">. </w:t>
      </w:r>
      <w:r w:rsidRPr="00572912">
        <w:rPr>
          <w:lang w:val="bg-BG"/>
        </w:rPr>
        <w:t xml:space="preserve">Това се обсъжда допълнително в част </w:t>
      </w:r>
      <w:r w:rsidR="00A760A2">
        <w:rPr>
          <w:lang w:val="bg-BG"/>
        </w:rPr>
        <w:t>В</w:t>
      </w:r>
      <w:r w:rsidRPr="00572912">
        <w:rPr>
          <w:lang w:val="bg-BG"/>
        </w:rPr>
        <w:t>.3 (</w:t>
      </w:r>
      <w:r w:rsidR="00A760A2">
        <w:rPr>
          <w:lang w:val="bg-BG"/>
        </w:rPr>
        <w:t>в</w:t>
      </w:r>
      <w:r w:rsidRPr="00572912">
        <w:rPr>
          <w:lang w:val="bg-BG"/>
        </w:rPr>
        <w:t>) по -долу.</w:t>
      </w:r>
    </w:p>
    <w:p w14:paraId="34EA4FE9" w14:textId="77777777" w:rsidR="005D6747" w:rsidRPr="005D6747"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lang w:val="bg-BG"/>
        </w:rPr>
        <w:t>Данъчни органи</w:t>
      </w:r>
    </w:p>
    <w:p w14:paraId="1C085F36" w14:textId="77777777" w:rsidR="005D6747" w:rsidRPr="005D6747" w:rsidRDefault="005D6747" w:rsidP="005D6747">
      <w:pPr>
        <w:widowControl/>
        <w:numPr>
          <w:ilvl w:val="0"/>
          <w:numId w:val="1"/>
        </w:numPr>
        <w:spacing w:before="120" w:after="120" w:line="260" w:lineRule="atLeast"/>
        <w:rPr>
          <w:sz w:val="20"/>
        </w:rPr>
      </w:pPr>
      <w:r w:rsidRPr="005D6747">
        <w:rPr>
          <w:sz w:val="20"/>
        </w:rPr>
        <w:t>Въпреки че НАП предоставя по-голямата част от уведомленията, водещи до образуване на досъдебно производство от прокуратурата, досега няма случаи</w:t>
      </w:r>
      <w:r w:rsidR="009A7141">
        <w:rPr>
          <w:sz w:val="20"/>
          <w:lang w:val="bg-BG"/>
        </w:rPr>
        <w:t xml:space="preserve"> на насочване</w:t>
      </w:r>
      <w:r w:rsidRPr="005D6747">
        <w:rPr>
          <w:sz w:val="20"/>
        </w:rPr>
        <w:t xml:space="preserve"> на съмнение за подкуп</w:t>
      </w:r>
      <w:r w:rsidRPr="005D6747">
        <w:rPr>
          <w:sz w:val="20"/>
          <w:lang w:val="bg-BG"/>
        </w:rPr>
        <w:t>ване на чужди длъжностни лица</w:t>
      </w:r>
      <w:r w:rsidRPr="005D6747">
        <w:rPr>
          <w:sz w:val="20"/>
        </w:rPr>
        <w:t xml:space="preserve"> от НАП до правоприлагащите органи. Свързаните данъчни въпроси са допълнително обсъдени в част </w:t>
      </w:r>
      <w:r w:rsidR="00A760A2">
        <w:rPr>
          <w:sz w:val="20"/>
          <w:lang w:val="bg-BG"/>
        </w:rPr>
        <w:t>Г</w:t>
      </w:r>
      <w:r w:rsidRPr="005D6747">
        <w:rPr>
          <w:sz w:val="20"/>
        </w:rPr>
        <w:t>.1 по -долу.</w:t>
      </w:r>
    </w:p>
    <w:p w14:paraId="08394BA0" w14:textId="77777777" w:rsidR="005D6747" w:rsidRPr="005D6747"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lang w:val="bg-BG"/>
        </w:rPr>
        <w:t>Официална помощ за развитие (ОПР)</w:t>
      </w:r>
    </w:p>
    <w:p w14:paraId="1916E4A9" w14:textId="7B5BF26E" w:rsidR="005D6747" w:rsidRPr="005D6747" w:rsidRDefault="00CB7178" w:rsidP="005D6747">
      <w:pPr>
        <w:widowControl/>
        <w:numPr>
          <w:ilvl w:val="0"/>
          <w:numId w:val="1"/>
        </w:numPr>
        <w:spacing w:before="120" w:after="120" w:line="260" w:lineRule="atLeast"/>
        <w:rPr>
          <w:sz w:val="20"/>
        </w:rPr>
      </w:pPr>
      <w:r w:rsidRPr="00D919F3">
        <w:rPr>
          <w:sz w:val="20"/>
          <w:szCs w:val="20"/>
          <w:lang w:val="bg-BG"/>
        </w:rPr>
        <w:t>Отдел „Международно сътрудничество за развитие“ на дирекция „ООН и сътрудничество за развитие“, МВнР</w:t>
      </w:r>
      <w:r w:rsidR="005D6747" w:rsidRPr="00D919F3">
        <w:rPr>
          <w:sz w:val="20"/>
        </w:rPr>
        <w:t xml:space="preserve"> </w:t>
      </w:r>
      <w:r w:rsidR="005D6747" w:rsidRPr="005D6747">
        <w:rPr>
          <w:sz w:val="20"/>
        </w:rPr>
        <w:t>администрира ОПР в България. В органите на реда никога не е докладван случай подкуп</w:t>
      </w:r>
      <w:r w:rsidR="005D6747" w:rsidRPr="005D6747">
        <w:rPr>
          <w:sz w:val="20"/>
          <w:lang w:val="bg-BG"/>
        </w:rPr>
        <w:t xml:space="preserve">ване на </w:t>
      </w:r>
      <w:r w:rsidR="00B22307" w:rsidRPr="005D6747">
        <w:rPr>
          <w:sz w:val="20"/>
          <w:lang w:val="bg-BG"/>
        </w:rPr>
        <w:t>чужд</w:t>
      </w:r>
      <w:r w:rsidR="00B22307">
        <w:rPr>
          <w:sz w:val="20"/>
          <w:lang w:val="bg-BG"/>
        </w:rPr>
        <w:t>о</w:t>
      </w:r>
      <w:r w:rsidR="00B22307" w:rsidRPr="005D6747">
        <w:rPr>
          <w:sz w:val="20"/>
          <w:lang w:val="bg-BG"/>
        </w:rPr>
        <w:t xml:space="preserve"> </w:t>
      </w:r>
      <w:r w:rsidR="005D6747" w:rsidRPr="005D6747">
        <w:rPr>
          <w:sz w:val="20"/>
          <w:lang w:val="bg-BG"/>
        </w:rPr>
        <w:t>длъжностно лице</w:t>
      </w:r>
      <w:r w:rsidR="005D6747" w:rsidRPr="005D6747">
        <w:rPr>
          <w:sz w:val="20"/>
        </w:rPr>
        <w:t xml:space="preserve"> в ОПР. Механизмите, разработени за предотвратяване, </w:t>
      </w:r>
      <w:r w:rsidR="009A7141">
        <w:rPr>
          <w:sz w:val="20"/>
          <w:lang w:val="bg-BG"/>
        </w:rPr>
        <w:t xml:space="preserve">разкриване </w:t>
      </w:r>
      <w:r w:rsidR="009A7141" w:rsidRPr="005D6747">
        <w:rPr>
          <w:sz w:val="20"/>
        </w:rPr>
        <w:t xml:space="preserve"> </w:t>
      </w:r>
      <w:r w:rsidR="005D6747" w:rsidRPr="005D6747">
        <w:rPr>
          <w:sz w:val="20"/>
        </w:rPr>
        <w:t xml:space="preserve">и докладване на </w:t>
      </w:r>
      <w:r w:rsidR="005D6747" w:rsidRPr="005D6747">
        <w:rPr>
          <w:sz w:val="20"/>
          <w:lang w:val="bg-BG"/>
        </w:rPr>
        <w:t>подкупване на чужди длъжностни лица</w:t>
      </w:r>
      <w:r w:rsidR="005D6747" w:rsidRPr="005D6747">
        <w:rPr>
          <w:sz w:val="20"/>
        </w:rPr>
        <w:t xml:space="preserve"> в ОПР и по-общо </w:t>
      </w:r>
      <w:r w:rsidR="00B22307">
        <w:rPr>
          <w:sz w:val="20"/>
          <w:lang w:val="bg-BG"/>
        </w:rPr>
        <w:t xml:space="preserve">за </w:t>
      </w:r>
      <w:r w:rsidR="005D6747" w:rsidRPr="005D6747">
        <w:rPr>
          <w:sz w:val="20"/>
        </w:rPr>
        <w:t>прилагане</w:t>
      </w:r>
      <w:r w:rsidR="00B22307">
        <w:rPr>
          <w:sz w:val="20"/>
          <w:lang w:val="bg-BG"/>
        </w:rPr>
        <w:t>то</w:t>
      </w:r>
      <w:r w:rsidR="005D6747" w:rsidRPr="005D6747">
        <w:rPr>
          <w:sz w:val="20"/>
        </w:rPr>
        <w:t xml:space="preserve"> на Препоръката от 2016 г. за участници в сътрудничеството за развитие за управление на рисковете от корупция, са прегледани в част </w:t>
      </w:r>
      <w:r w:rsidR="00B22307">
        <w:rPr>
          <w:sz w:val="20"/>
          <w:lang w:val="bg-BG"/>
        </w:rPr>
        <w:t>Г</w:t>
      </w:r>
      <w:r w:rsidR="005D6747" w:rsidRPr="005D6747">
        <w:rPr>
          <w:sz w:val="20"/>
        </w:rPr>
        <w:t>.2 (</w:t>
      </w:r>
      <w:r w:rsidR="00B22307">
        <w:rPr>
          <w:sz w:val="20"/>
          <w:lang w:val="bg-BG"/>
        </w:rPr>
        <w:t>в</w:t>
      </w:r>
      <w:r w:rsidR="005D6747" w:rsidRPr="005D6747">
        <w:rPr>
          <w:sz w:val="20"/>
        </w:rPr>
        <w:t>) по-долу.</w:t>
      </w:r>
    </w:p>
    <w:p w14:paraId="1E4EEF54" w14:textId="77777777" w:rsidR="005D6747" w:rsidRPr="005D6747"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rPr>
        <w:t>Комисия за борба с корупцията</w:t>
      </w:r>
    </w:p>
    <w:p w14:paraId="55402B60" w14:textId="76D11DBD" w:rsidR="005D6747" w:rsidRPr="00572912" w:rsidRDefault="00B22307" w:rsidP="005D6747">
      <w:pPr>
        <w:widowControl/>
        <w:numPr>
          <w:ilvl w:val="0"/>
          <w:numId w:val="1"/>
        </w:numPr>
        <w:spacing w:before="120" w:after="120" w:line="260" w:lineRule="atLeast"/>
        <w:rPr>
          <w:sz w:val="20"/>
          <w:lang w:val="bg-BG"/>
        </w:rPr>
      </w:pPr>
      <w:r>
        <w:rPr>
          <w:sz w:val="20"/>
          <w:lang w:val="bg-BG"/>
        </w:rPr>
        <w:t>След</w:t>
      </w:r>
      <w:r w:rsidRPr="005D6747">
        <w:rPr>
          <w:sz w:val="20"/>
        </w:rPr>
        <w:t xml:space="preserve"> </w:t>
      </w:r>
      <w:r w:rsidR="00673F1F">
        <w:rPr>
          <w:sz w:val="20"/>
        </w:rPr>
        <w:t>Фаза</w:t>
      </w:r>
      <w:r w:rsidR="005D6747" w:rsidRPr="005D6747">
        <w:rPr>
          <w:sz w:val="20"/>
        </w:rPr>
        <w:t xml:space="preserve"> 3 България създаде Комисия за борба с корупцията</w:t>
      </w:r>
      <w:r w:rsidR="0067598A">
        <w:rPr>
          <w:sz w:val="20"/>
          <w:lang w:val="bg-BG"/>
        </w:rPr>
        <w:t xml:space="preserve">, която консолидира съществуващите държавни структури, които провеждат дейности по отнемане на незаконно придобито имущество, установяване на конфликт на интереси и превенция и борба с корупцията,  </w:t>
      </w:r>
      <w:r w:rsidR="005D6747" w:rsidRPr="005D6747">
        <w:rPr>
          <w:sz w:val="20"/>
        </w:rPr>
        <w:t xml:space="preserve"> </w:t>
      </w:r>
      <w:r w:rsidR="0067598A" w:rsidRPr="005D6747">
        <w:rPr>
          <w:sz w:val="20"/>
        </w:rPr>
        <w:t xml:space="preserve">в съответствие </w:t>
      </w:r>
      <w:r w:rsidR="0067598A" w:rsidRPr="005D6747">
        <w:rPr>
          <w:sz w:val="20"/>
          <w:lang w:val="bg-BG"/>
        </w:rPr>
        <w:t>съ</w:t>
      </w:r>
      <w:r w:rsidR="0067598A" w:rsidRPr="005D6747">
        <w:rPr>
          <w:sz w:val="20"/>
        </w:rPr>
        <w:t xml:space="preserve">с </w:t>
      </w:r>
      <w:r w:rsidR="0067598A" w:rsidRPr="005D6747">
        <w:rPr>
          <w:sz w:val="20"/>
          <w:lang w:val="bg-BG"/>
        </w:rPr>
        <w:t>ЗПКОНПИ</w:t>
      </w:r>
      <w:r w:rsidR="0067598A">
        <w:rPr>
          <w:sz w:val="20"/>
          <w:lang w:val="bg-BG"/>
        </w:rPr>
        <w:t xml:space="preserve"> </w:t>
      </w:r>
      <w:r w:rsidR="0067598A" w:rsidRPr="005D6747">
        <w:rPr>
          <w:sz w:val="20"/>
        </w:rPr>
        <w:t xml:space="preserve">през 2018 г </w:t>
      </w:r>
      <w:r w:rsidR="0067598A">
        <w:rPr>
          <w:sz w:val="20"/>
          <w:lang w:val="bg-BG"/>
        </w:rPr>
        <w:t xml:space="preserve">. </w:t>
      </w:r>
      <w:r w:rsidR="005D6747" w:rsidRPr="00572912">
        <w:rPr>
          <w:sz w:val="20"/>
          <w:lang w:val="bg-BG"/>
        </w:rPr>
        <w:t xml:space="preserve">Комисията за борба с корупцията е постоянен независим специализиран колективен орган, осъществяващ държавната политика в областта на противодействието на корупцията и отнемането на незаконно придобито имущество. Комисията за борба с корупцията работи по следните основни области: предотвратяване на корупцията, публичен регистър, конфликт на интереси, борба с корупцията, отнемане на незаконно придобито имущество и управление на обезпеченото имущество. Комисията за борба с корупцията отговаря за събирането и анализа на декларациите за </w:t>
      </w:r>
      <w:r w:rsidR="009A7141">
        <w:rPr>
          <w:sz w:val="20"/>
          <w:lang w:val="bg-BG"/>
        </w:rPr>
        <w:t>имущество</w:t>
      </w:r>
      <w:r w:rsidR="009A7141" w:rsidRPr="00572912">
        <w:rPr>
          <w:sz w:val="20"/>
          <w:lang w:val="bg-BG"/>
        </w:rPr>
        <w:t xml:space="preserve"> </w:t>
      </w:r>
      <w:r w:rsidR="00B148BE">
        <w:rPr>
          <w:sz w:val="20"/>
          <w:lang w:val="bg-BG"/>
        </w:rPr>
        <w:t>на местните висши</w:t>
      </w:r>
      <w:r w:rsidR="00B148BE" w:rsidRPr="00572912">
        <w:rPr>
          <w:sz w:val="20"/>
          <w:lang w:val="bg-BG"/>
        </w:rPr>
        <w:t xml:space="preserve"> </w:t>
      </w:r>
      <w:r w:rsidR="00B148BE">
        <w:rPr>
          <w:sz w:val="20"/>
          <w:lang w:val="bg-BG"/>
        </w:rPr>
        <w:t>публични служители</w:t>
      </w:r>
      <w:r w:rsidR="005D6747" w:rsidRPr="00572912">
        <w:rPr>
          <w:sz w:val="20"/>
          <w:lang w:val="bg-BG"/>
        </w:rPr>
        <w:t xml:space="preserve">, определени съгласно </w:t>
      </w:r>
      <w:r w:rsidR="005D6747" w:rsidRPr="005D6747">
        <w:rPr>
          <w:sz w:val="20"/>
          <w:lang w:val="bg-BG"/>
        </w:rPr>
        <w:t>ЗПКОНПИ</w:t>
      </w:r>
      <w:r w:rsidR="005D6747" w:rsidRPr="00572912">
        <w:rPr>
          <w:sz w:val="20"/>
          <w:lang w:val="bg-BG"/>
        </w:rPr>
        <w:t>.</w:t>
      </w:r>
    </w:p>
    <w:p w14:paraId="19CCF51E" w14:textId="35BF94E0" w:rsidR="005D6747" w:rsidRPr="00986F8B" w:rsidRDefault="005D6747" w:rsidP="005D6747">
      <w:pPr>
        <w:widowControl/>
        <w:numPr>
          <w:ilvl w:val="0"/>
          <w:numId w:val="1"/>
        </w:numPr>
        <w:spacing w:before="120" w:after="120" w:line="260" w:lineRule="atLeast"/>
        <w:rPr>
          <w:sz w:val="20"/>
          <w:lang w:val="bg-BG"/>
        </w:rPr>
      </w:pPr>
      <w:r w:rsidRPr="00572912">
        <w:rPr>
          <w:sz w:val="20"/>
          <w:lang w:val="bg-BG"/>
        </w:rPr>
        <w:t>Според ЗПКОНПИ, Комисията за борба с корупцията може да започне разследване за корупционни престъпления,</w:t>
      </w:r>
      <w:r w:rsidR="00154D60">
        <w:rPr>
          <w:sz w:val="20"/>
          <w:lang w:val="bg-BG"/>
        </w:rPr>
        <w:t xml:space="preserve"> свързани с местни висши публични служите</w:t>
      </w:r>
      <w:r w:rsidR="003E0C72">
        <w:rPr>
          <w:sz w:val="20"/>
          <w:lang w:val="bg-BG"/>
        </w:rPr>
        <w:t>ли, посочени по-горе</w:t>
      </w:r>
      <w:r w:rsidR="00984C3E">
        <w:rPr>
          <w:sz w:val="20"/>
          <w:lang w:val="bg-BG"/>
        </w:rPr>
        <w:t>,</w:t>
      </w:r>
      <w:r w:rsidR="003E0C72">
        <w:rPr>
          <w:sz w:val="20"/>
          <w:lang w:val="bg-BG"/>
        </w:rPr>
        <w:t xml:space="preserve"> по искане на </w:t>
      </w:r>
      <w:r w:rsidRPr="00572912">
        <w:rPr>
          <w:sz w:val="20"/>
          <w:lang w:val="bg-BG"/>
        </w:rPr>
        <w:t>прокуратурата</w:t>
      </w:r>
      <w:r w:rsidR="00D22F22">
        <w:rPr>
          <w:sz w:val="20"/>
          <w:lang w:val="bg-BG"/>
        </w:rPr>
        <w:t xml:space="preserve"> </w:t>
      </w:r>
      <w:r w:rsidRPr="00572912">
        <w:rPr>
          <w:sz w:val="20"/>
          <w:lang w:val="bg-BG"/>
        </w:rPr>
        <w:t xml:space="preserve">съгласно Закона за съдебната </w:t>
      </w:r>
      <w:r w:rsidRPr="005D6747">
        <w:rPr>
          <w:sz w:val="20"/>
          <w:lang w:val="bg-BG"/>
        </w:rPr>
        <w:t>власт</w:t>
      </w:r>
      <w:r w:rsidRPr="00572912">
        <w:rPr>
          <w:sz w:val="20"/>
          <w:lang w:val="bg-BG"/>
        </w:rPr>
        <w:t xml:space="preserve"> (</w:t>
      </w:r>
      <w:r w:rsidRPr="005D6747">
        <w:rPr>
          <w:sz w:val="20"/>
          <w:lang w:val="bg-BG"/>
        </w:rPr>
        <w:t>ЗСВ</w:t>
      </w:r>
      <w:r w:rsidRPr="00572912">
        <w:rPr>
          <w:sz w:val="20"/>
          <w:lang w:val="bg-BG"/>
        </w:rPr>
        <w:t xml:space="preserve">) и в случай на </w:t>
      </w:r>
      <w:r w:rsidR="00111AE1">
        <w:rPr>
          <w:sz w:val="20"/>
          <w:lang w:val="bg-BG"/>
        </w:rPr>
        <w:t>сигнал</w:t>
      </w:r>
      <w:r w:rsidR="00111AE1" w:rsidRPr="00572912">
        <w:rPr>
          <w:sz w:val="20"/>
          <w:lang w:val="bg-BG"/>
        </w:rPr>
        <w:t xml:space="preserve"> </w:t>
      </w:r>
      <w:r w:rsidRPr="00572912">
        <w:rPr>
          <w:sz w:val="20"/>
          <w:lang w:val="bg-BG"/>
        </w:rPr>
        <w:t>по член 47, параграф 1 и (2) ЗПКОНПИ. Съгласно член 47, параграф 2 от ЗПКОНПИ</w:t>
      </w:r>
      <w:r w:rsidRPr="005D6747">
        <w:rPr>
          <w:sz w:val="20"/>
          <w:lang w:val="bg-BG"/>
        </w:rPr>
        <w:t>,</w:t>
      </w:r>
      <w:r w:rsidRPr="00572912">
        <w:rPr>
          <w:sz w:val="20"/>
          <w:lang w:val="bg-BG"/>
        </w:rPr>
        <w:t xml:space="preserve"> </w:t>
      </w:r>
      <w:r w:rsidRPr="005D6747">
        <w:rPr>
          <w:sz w:val="20"/>
          <w:lang w:val="bg-BG"/>
        </w:rPr>
        <w:t>з</w:t>
      </w:r>
      <w:r w:rsidRPr="00572912">
        <w:rPr>
          <w:sz w:val="20"/>
          <w:lang w:val="bg-BG"/>
        </w:rPr>
        <w:t xml:space="preserve">а сигнал се приема и публикация в средствата за масово осведомяване. Комисията за борба с корупцията също получава информация за изпълнение на международни споразумения, по които България е страна. </w:t>
      </w:r>
      <w:r w:rsidR="003C3552">
        <w:rPr>
          <w:sz w:val="20"/>
          <w:lang w:val="bg-BG"/>
        </w:rPr>
        <w:t xml:space="preserve">Съгласно НПК, когато лице е обвинено за подкуп, </w:t>
      </w:r>
      <w:r w:rsidR="00D76618">
        <w:rPr>
          <w:sz w:val="20"/>
          <w:lang w:val="bg-BG"/>
        </w:rPr>
        <w:t xml:space="preserve">включително подкуп на чужди длъжностни лица, </w:t>
      </w:r>
      <w:r w:rsidR="003C3552">
        <w:rPr>
          <w:sz w:val="20"/>
          <w:lang w:val="bg-BG"/>
        </w:rPr>
        <w:t xml:space="preserve">Комисията за борба с корупцията ще инициира процедура по отнемане на имущество. </w:t>
      </w:r>
      <w:r w:rsidRPr="00986F8B">
        <w:rPr>
          <w:sz w:val="20"/>
          <w:lang w:val="bg-BG"/>
        </w:rPr>
        <w:t>Според информацията, предоставена по време на виртуал</w:t>
      </w:r>
      <w:r w:rsidRPr="005D6747">
        <w:rPr>
          <w:sz w:val="20"/>
          <w:lang w:val="bg-BG"/>
        </w:rPr>
        <w:t>н</w:t>
      </w:r>
      <w:r w:rsidR="009A7141">
        <w:rPr>
          <w:sz w:val="20"/>
          <w:lang w:val="bg-BG"/>
        </w:rPr>
        <w:t>ото посещение</w:t>
      </w:r>
      <w:r w:rsidR="00111AE1">
        <w:rPr>
          <w:sz w:val="20"/>
          <w:lang w:val="bg-BG"/>
        </w:rPr>
        <w:t>,</w:t>
      </w:r>
      <w:r w:rsidRPr="00986F8B">
        <w:rPr>
          <w:sz w:val="20"/>
          <w:lang w:val="bg-BG"/>
        </w:rPr>
        <w:t xml:space="preserve"> Комисията за борба с корупцията не е установила или </w:t>
      </w:r>
      <w:r w:rsidR="009A7141">
        <w:rPr>
          <w:sz w:val="20"/>
          <w:lang w:val="bg-BG"/>
        </w:rPr>
        <w:t>разкрила</w:t>
      </w:r>
      <w:r w:rsidR="009A7141" w:rsidRPr="00986F8B">
        <w:rPr>
          <w:sz w:val="20"/>
          <w:lang w:val="bg-BG"/>
        </w:rPr>
        <w:t xml:space="preserve"> </w:t>
      </w:r>
      <w:r w:rsidRPr="00986F8B">
        <w:rPr>
          <w:sz w:val="20"/>
          <w:lang w:val="bg-BG"/>
        </w:rPr>
        <w:t xml:space="preserve">досега случаи на подкуп </w:t>
      </w:r>
      <w:r w:rsidR="00111AE1">
        <w:rPr>
          <w:sz w:val="20"/>
          <w:lang w:val="bg-BG"/>
        </w:rPr>
        <w:t xml:space="preserve">на чужди длъжностни лица, които да е предала </w:t>
      </w:r>
      <w:r w:rsidRPr="00986F8B">
        <w:rPr>
          <w:sz w:val="20"/>
          <w:lang w:val="bg-BG"/>
        </w:rPr>
        <w:t>в прокуратурата.</w:t>
      </w:r>
    </w:p>
    <w:p w14:paraId="66E4414F" w14:textId="77777777" w:rsidR="005D6747" w:rsidRPr="005D6747" w:rsidRDefault="005D6747" w:rsidP="005D6747">
      <w:pPr>
        <w:keepNext/>
        <w:widowControl/>
        <w:numPr>
          <w:ilvl w:val="1"/>
          <w:numId w:val="7"/>
        </w:numPr>
        <w:spacing w:before="440" w:after="240" w:line="320" w:lineRule="exact"/>
        <w:jc w:val="left"/>
        <w:outlineLvl w:val="1"/>
        <w:rPr>
          <w:rFonts w:eastAsiaTheme="majorEastAsia" w:cstheme="majorBidi"/>
          <w:b/>
          <w:color w:val="4E81BD" w:themeColor="accent1"/>
          <w:sz w:val="24"/>
          <w:szCs w:val="26"/>
        </w:rPr>
      </w:pPr>
      <w:r w:rsidRPr="005D6747">
        <w:rPr>
          <w:rFonts w:eastAsiaTheme="majorEastAsia" w:cstheme="majorBidi"/>
          <w:b/>
          <w:color w:val="4E81BD" w:themeColor="accent1"/>
          <w:sz w:val="24"/>
          <w:szCs w:val="26"/>
        </w:rPr>
        <w:lastRenderedPageBreak/>
        <w:t>Счетоводители и одитори</w:t>
      </w:r>
    </w:p>
    <w:p w14:paraId="5DAA637E" w14:textId="77777777" w:rsidR="005D6747" w:rsidRPr="005D6747" w:rsidRDefault="005D6747" w:rsidP="005D6747">
      <w:pPr>
        <w:widowControl/>
        <w:numPr>
          <w:ilvl w:val="0"/>
          <w:numId w:val="1"/>
        </w:numPr>
        <w:spacing w:before="120" w:after="120" w:line="260" w:lineRule="atLeast"/>
        <w:rPr>
          <w:sz w:val="20"/>
        </w:rPr>
      </w:pPr>
      <w:r w:rsidRPr="005D6747">
        <w:rPr>
          <w:sz w:val="20"/>
        </w:rPr>
        <w:t>През 2016 г. България прие Закона за независимия финансов одит (</w:t>
      </w:r>
      <w:r w:rsidRPr="005D6747">
        <w:rPr>
          <w:sz w:val="20"/>
          <w:lang w:val="bg-BG"/>
        </w:rPr>
        <w:t>ЗНФО</w:t>
      </w:r>
      <w:r w:rsidRPr="005D6747">
        <w:rPr>
          <w:sz w:val="20"/>
        </w:rPr>
        <w:t xml:space="preserve">), който предоставя основната рамка за външен одит в България и </w:t>
      </w:r>
      <w:r w:rsidR="00111AE1">
        <w:rPr>
          <w:sz w:val="20"/>
          <w:lang w:val="bg-BG"/>
        </w:rPr>
        <w:t>въвежда</w:t>
      </w:r>
      <w:r w:rsidR="00111AE1" w:rsidRPr="005D6747">
        <w:rPr>
          <w:sz w:val="20"/>
        </w:rPr>
        <w:t xml:space="preserve"> </w:t>
      </w:r>
      <w:r w:rsidRPr="005D6747">
        <w:rPr>
          <w:sz w:val="20"/>
        </w:rPr>
        <w:t>Международните одиторски стандарти (</w:t>
      </w:r>
      <w:r w:rsidRPr="005D6747">
        <w:rPr>
          <w:sz w:val="20"/>
          <w:lang w:val="bg-BG"/>
        </w:rPr>
        <w:t>МОС</w:t>
      </w:r>
      <w:r w:rsidRPr="005D6747">
        <w:rPr>
          <w:sz w:val="20"/>
        </w:rPr>
        <w:t>).</w:t>
      </w:r>
    </w:p>
    <w:p w14:paraId="62B78D9C" w14:textId="27515F44" w:rsidR="00313AD9" w:rsidRPr="00D919F3" w:rsidRDefault="00D76618" w:rsidP="00572912">
      <w:pPr>
        <w:widowControl/>
        <w:numPr>
          <w:ilvl w:val="0"/>
          <w:numId w:val="1"/>
        </w:numPr>
        <w:spacing w:before="120" w:after="120" w:line="260" w:lineRule="atLeast"/>
        <w:rPr>
          <w:sz w:val="20"/>
          <w:lang w:val="bg-BG"/>
        </w:rPr>
      </w:pPr>
      <w:r w:rsidRPr="00D919F3">
        <w:rPr>
          <w:sz w:val="20"/>
          <w:lang w:val="bg-BG"/>
        </w:rPr>
        <w:t xml:space="preserve">Външните </w:t>
      </w:r>
      <w:r w:rsidR="00524755" w:rsidRPr="00D919F3">
        <w:rPr>
          <w:sz w:val="20"/>
          <w:lang w:val="bg-BG"/>
        </w:rPr>
        <w:t>одитори</w:t>
      </w:r>
      <w:r w:rsidRPr="00D919F3">
        <w:rPr>
          <w:sz w:val="20"/>
          <w:lang w:val="bg-BG"/>
        </w:rPr>
        <w:t>, които извършват</w:t>
      </w:r>
      <w:r w:rsidR="005D6747" w:rsidRPr="00D919F3">
        <w:rPr>
          <w:sz w:val="20"/>
        </w:rPr>
        <w:t xml:space="preserve"> </w:t>
      </w:r>
      <w:r w:rsidRPr="00D919F3">
        <w:rPr>
          <w:sz w:val="20"/>
          <w:lang w:val="bg-BG"/>
        </w:rPr>
        <w:t>ф</w:t>
      </w:r>
      <w:r w:rsidRPr="00D919F3">
        <w:rPr>
          <w:sz w:val="20"/>
        </w:rPr>
        <w:t>инансов</w:t>
      </w:r>
      <w:r w:rsidRPr="00D919F3">
        <w:rPr>
          <w:sz w:val="20"/>
          <w:lang w:val="bg-BG"/>
        </w:rPr>
        <w:t xml:space="preserve"> одит на </w:t>
      </w:r>
      <w:r w:rsidR="005D6747" w:rsidRPr="00D919F3">
        <w:rPr>
          <w:sz w:val="20"/>
        </w:rPr>
        <w:t>субекти от</w:t>
      </w:r>
      <w:r w:rsidR="005D6747" w:rsidRPr="00EF76C3">
        <w:rPr>
          <w:sz w:val="20"/>
        </w:rPr>
        <w:t xml:space="preserve"> обществен интерес (напр. </w:t>
      </w:r>
      <w:proofErr w:type="gramStart"/>
      <w:r w:rsidR="005D6747" w:rsidRPr="00EF76C3">
        <w:rPr>
          <w:sz w:val="20"/>
        </w:rPr>
        <w:t>кредитни</w:t>
      </w:r>
      <w:proofErr w:type="gramEnd"/>
      <w:r w:rsidR="005D6747" w:rsidRPr="00EF76C3">
        <w:rPr>
          <w:sz w:val="20"/>
        </w:rPr>
        <w:t xml:space="preserve"> и финансови институции, застрахователни, пенсионни и инвестиционни дружества и някои ДП) докладват за</w:t>
      </w:r>
      <w:r w:rsidR="00524755" w:rsidRPr="00EF76C3">
        <w:rPr>
          <w:sz w:val="20"/>
          <w:lang w:val="bg-BG"/>
        </w:rPr>
        <w:t xml:space="preserve"> съмнения за</w:t>
      </w:r>
      <w:r w:rsidR="005D6747" w:rsidRPr="00EF76C3">
        <w:rPr>
          <w:sz w:val="20"/>
        </w:rPr>
        <w:t xml:space="preserve"> нередности</w:t>
      </w:r>
      <w:r w:rsidR="00524755" w:rsidRPr="00EF76C3">
        <w:rPr>
          <w:sz w:val="20"/>
          <w:lang w:val="bg-BG"/>
        </w:rPr>
        <w:t xml:space="preserve">, включително подкуп на чужди длъжностни лица, </w:t>
      </w:r>
      <w:r w:rsidR="005D6747" w:rsidRPr="00EF76C3">
        <w:rPr>
          <w:sz w:val="20"/>
        </w:rPr>
        <w:t xml:space="preserve"> на </w:t>
      </w:r>
      <w:r w:rsidR="00524755" w:rsidRPr="00EF76C3">
        <w:rPr>
          <w:sz w:val="20"/>
          <w:lang w:val="bg-BG"/>
        </w:rPr>
        <w:t xml:space="preserve">управителите на компанията </w:t>
      </w:r>
      <w:r w:rsidR="005D6747" w:rsidRPr="00EF76C3">
        <w:rPr>
          <w:sz w:val="20"/>
        </w:rPr>
        <w:t>(член 6</w:t>
      </w:r>
      <w:r w:rsidR="00524755" w:rsidRPr="00EF76C3">
        <w:rPr>
          <w:sz w:val="20"/>
          <w:lang w:val="bg-BG"/>
        </w:rPr>
        <w:t>9, ал. 1</w:t>
      </w:r>
      <w:r w:rsidR="005D6747" w:rsidRPr="00EF76C3">
        <w:rPr>
          <w:sz w:val="20"/>
          <w:lang w:val="bg-BG"/>
        </w:rPr>
        <w:t>от ЗНФО</w:t>
      </w:r>
      <w:r w:rsidR="00111AE1" w:rsidRPr="00EF76C3">
        <w:rPr>
          <w:sz w:val="20"/>
          <w:lang w:val="bg-BG"/>
        </w:rPr>
        <w:t>).</w:t>
      </w:r>
      <w:r w:rsidR="00524755" w:rsidRPr="00EF76C3">
        <w:rPr>
          <w:sz w:val="20"/>
          <w:lang w:val="bg-BG"/>
        </w:rPr>
        <w:t xml:space="preserve"> ЗНФО не налага по принцип задължение на управителите на </w:t>
      </w:r>
      <w:r w:rsidR="00E80093" w:rsidRPr="00EF76C3">
        <w:rPr>
          <w:sz w:val="20"/>
          <w:lang w:val="bg-BG"/>
        </w:rPr>
        <w:t xml:space="preserve">предприятието да отговарят активно и ефективно на подобни доклади, и поради липсата на информация, предоставена от България, Работната група не може да оцени дали България насърчава предприятията от обществен интерес да правят това на практика. Все пак, </w:t>
      </w:r>
      <w:r w:rsidR="00111AE1" w:rsidRPr="00EF76C3">
        <w:rPr>
          <w:sz w:val="20"/>
          <w:lang w:val="bg-BG"/>
        </w:rPr>
        <w:t>когато</w:t>
      </w:r>
      <w:r w:rsidR="00E80093" w:rsidRPr="00EF76C3">
        <w:rPr>
          <w:sz w:val="20"/>
          <w:lang w:val="bg-BG"/>
        </w:rPr>
        <w:t xml:space="preserve"> </w:t>
      </w:r>
      <w:r w:rsidR="005D6747" w:rsidRPr="00EF76C3">
        <w:rPr>
          <w:sz w:val="20"/>
          <w:lang w:val="bg-BG"/>
        </w:rPr>
        <w:t xml:space="preserve"> одитираното предприятие</w:t>
      </w:r>
      <w:r w:rsidR="00E80093" w:rsidRPr="00EF76C3">
        <w:rPr>
          <w:sz w:val="20"/>
          <w:lang w:val="bg-BG"/>
        </w:rPr>
        <w:t xml:space="preserve"> от обществе</w:t>
      </w:r>
      <w:r w:rsidR="00B63754" w:rsidRPr="00EF76C3">
        <w:rPr>
          <w:sz w:val="20"/>
          <w:lang w:val="bg-BG"/>
        </w:rPr>
        <w:t>н</w:t>
      </w:r>
      <w:r w:rsidR="00E80093" w:rsidRPr="00EF76C3">
        <w:rPr>
          <w:sz w:val="20"/>
          <w:lang w:val="bg-BG"/>
        </w:rPr>
        <w:t xml:space="preserve"> интерес</w:t>
      </w:r>
      <w:r w:rsidR="005D6747" w:rsidRPr="00EF76C3">
        <w:rPr>
          <w:sz w:val="20"/>
          <w:lang w:val="bg-BG"/>
        </w:rPr>
        <w:t xml:space="preserve"> не разследва случая или не предприеме подходящи мерки, регистрираният одитор е длъжен да докладва своевременно на компетентния орган, осъществяващ надзор над това предприятие (член 69 (2) от ЗНФО). Нарушение на задължението за докладване от външен одитор може да доведе до налагане на глоба от Комисията за обществен надзор над регистрираните одитори (</w:t>
      </w:r>
      <w:r w:rsidR="00B63754" w:rsidRPr="00EF76C3">
        <w:rPr>
          <w:sz w:val="20"/>
          <w:lang w:val="bg-BG"/>
        </w:rPr>
        <w:t>Комисията</w:t>
      </w:r>
      <w:r w:rsidR="00111AE1" w:rsidRPr="00EF76C3">
        <w:rPr>
          <w:sz w:val="20"/>
          <w:lang w:val="bg-BG"/>
        </w:rPr>
        <w:t>)</w:t>
      </w:r>
      <w:r w:rsidR="00B63754" w:rsidRPr="00EF76C3">
        <w:rPr>
          <w:sz w:val="20"/>
          <w:lang w:val="bg-BG"/>
        </w:rPr>
        <w:t xml:space="preserve"> </w:t>
      </w:r>
      <w:r w:rsidR="00111AE1" w:rsidRPr="00EF76C3">
        <w:rPr>
          <w:sz w:val="20"/>
          <w:lang w:val="bg-BG"/>
        </w:rPr>
        <w:t>(</w:t>
      </w:r>
      <w:r w:rsidR="005D6747" w:rsidRPr="00EF76C3">
        <w:rPr>
          <w:sz w:val="20"/>
          <w:lang w:val="bg-BG"/>
        </w:rPr>
        <w:t xml:space="preserve">член 110 от ЗНФО). </w:t>
      </w:r>
      <w:r w:rsidR="00B63754" w:rsidRPr="00EF76C3">
        <w:rPr>
          <w:sz w:val="20"/>
          <w:lang w:val="bg-BG"/>
        </w:rPr>
        <w:t xml:space="preserve">За външните одитори, които извършват финансови одити на други компаниии, например, такива, които не са от публичен интерес, България предвижда, че </w:t>
      </w:r>
      <w:r w:rsidR="0048665F" w:rsidRPr="00EF76C3">
        <w:rPr>
          <w:sz w:val="20"/>
          <w:lang w:val="bg-BG"/>
        </w:rPr>
        <w:t xml:space="preserve">се прилага общото </w:t>
      </w:r>
      <w:r w:rsidR="0048665F" w:rsidRPr="00D919F3">
        <w:rPr>
          <w:sz w:val="20"/>
          <w:lang w:val="bg-BG"/>
        </w:rPr>
        <w:t>задължение за уведомяване за извършено престъпление по чл. 205, ал. 1 от НПК. България допълнително заявява, че о</w:t>
      </w:r>
      <w:r w:rsidR="00B63754" w:rsidRPr="00D919F3">
        <w:rPr>
          <w:sz w:val="20"/>
          <w:lang w:val="bg-BG"/>
        </w:rPr>
        <w:t>бщ</w:t>
      </w:r>
      <w:r w:rsidR="00111AE1" w:rsidRPr="00D919F3">
        <w:rPr>
          <w:sz w:val="20"/>
          <w:lang w:val="bg-BG"/>
        </w:rPr>
        <w:t xml:space="preserve">ото задължение </w:t>
      </w:r>
      <w:r w:rsidR="00B63754" w:rsidRPr="00D919F3">
        <w:rPr>
          <w:sz w:val="20"/>
          <w:lang w:val="bg-BG"/>
        </w:rPr>
        <w:t xml:space="preserve">по чл. 205, ал. 1 от НПК </w:t>
      </w:r>
      <w:r w:rsidR="0048665F" w:rsidRPr="00D919F3">
        <w:rPr>
          <w:sz w:val="20"/>
          <w:lang w:val="bg-BG"/>
        </w:rPr>
        <w:t>дерогира</w:t>
      </w:r>
      <w:r w:rsidR="00B63754" w:rsidRPr="00D919F3">
        <w:rPr>
          <w:sz w:val="20"/>
          <w:lang w:val="bg-BG"/>
        </w:rPr>
        <w:t xml:space="preserve"> задължението на външн</w:t>
      </w:r>
      <w:r w:rsidR="0048665F" w:rsidRPr="00D919F3">
        <w:rPr>
          <w:sz w:val="20"/>
          <w:lang w:val="bg-BG"/>
        </w:rPr>
        <w:t>и</w:t>
      </w:r>
      <w:r w:rsidR="00B63754" w:rsidRPr="00D919F3">
        <w:rPr>
          <w:sz w:val="20"/>
          <w:lang w:val="bg-BG"/>
        </w:rPr>
        <w:t xml:space="preserve">те одитори </w:t>
      </w:r>
      <w:r w:rsidR="0048665F" w:rsidRPr="00D919F3">
        <w:rPr>
          <w:sz w:val="20"/>
          <w:lang w:val="bg-BG"/>
        </w:rPr>
        <w:t xml:space="preserve">за опазване на професионална тайна </w:t>
      </w:r>
      <w:r w:rsidR="00B63754" w:rsidRPr="00D919F3">
        <w:rPr>
          <w:sz w:val="20"/>
          <w:lang w:val="bg-BG"/>
        </w:rPr>
        <w:t xml:space="preserve">по чл. 11 от ЗНФО. </w:t>
      </w:r>
      <w:r w:rsidR="005D6747" w:rsidRPr="00D919F3">
        <w:rPr>
          <w:sz w:val="20"/>
          <w:lang w:val="bg-BG"/>
        </w:rPr>
        <w:t xml:space="preserve">Към днешна дата </w:t>
      </w:r>
      <w:r w:rsidR="00EF76C3" w:rsidRPr="00D919F3">
        <w:rPr>
          <w:sz w:val="20"/>
          <w:lang w:val="bg-BG"/>
        </w:rPr>
        <w:t xml:space="preserve">не е налице информация относно това дали </w:t>
      </w:r>
      <w:r w:rsidR="005D6747" w:rsidRPr="00D919F3">
        <w:rPr>
          <w:sz w:val="20"/>
          <w:lang w:val="bg-BG"/>
        </w:rPr>
        <w:t>външен</w:t>
      </w:r>
      <w:r w:rsidR="005D6747" w:rsidRPr="00EF76C3">
        <w:rPr>
          <w:sz w:val="20"/>
          <w:lang w:val="bg-BG"/>
        </w:rPr>
        <w:t xml:space="preserve"> одитор в България е докладвал твъ</w:t>
      </w:r>
      <w:r w:rsidR="00D919F3">
        <w:rPr>
          <w:sz w:val="20"/>
          <w:lang w:val="bg-BG"/>
        </w:rPr>
        <w:t>рдения за подкуп</w:t>
      </w:r>
      <w:r w:rsidR="005D6747" w:rsidRPr="00EF76C3">
        <w:rPr>
          <w:sz w:val="20"/>
          <w:lang w:val="bg-BG"/>
        </w:rPr>
        <w:t xml:space="preserve"> на чужди длъжностни лица на компетентните органи.</w:t>
      </w:r>
    </w:p>
    <w:p w14:paraId="5E578230" w14:textId="1382319E" w:rsidR="005D6747" w:rsidRPr="008C08CD" w:rsidRDefault="005D6747" w:rsidP="00412631">
      <w:pPr>
        <w:widowControl/>
        <w:numPr>
          <w:ilvl w:val="0"/>
          <w:numId w:val="1"/>
        </w:numPr>
        <w:spacing w:before="120" w:after="120" w:line="260" w:lineRule="atLeast"/>
        <w:rPr>
          <w:sz w:val="20"/>
          <w:lang w:val="bg-BG"/>
        </w:rPr>
      </w:pPr>
      <w:r w:rsidRPr="008C08CD">
        <w:rPr>
          <w:sz w:val="20"/>
          <w:lang w:val="bg-BG"/>
        </w:rPr>
        <w:t xml:space="preserve">Във </w:t>
      </w:r>
      <w:r w:rsidR="00673F1F">
        <w:rPr>
          <w:sz w:val="20"/>
          <w:lang w:val="bg-BG"/>
        </w:rPr>
        <w:t>Фаза</w:t>
      </w:r>
      <w:r w:rsidRPr="008C08CD">
        <w:rPr>
          <w:sz w:val="20"/>
          <w:lang w:val="bg-BG"/>
        </w:rPr>
        <w:t xml:space="preserve"> 3 </w:t>
      </w:r>
      <w:r w:rsidRPr="005D6747">
        <w:rPr>
          <w:sz w:val="20"/>
          <w:lang w:val="bg-BG"/>
        </w:rPr>
        <w:t>Р</w:t>
      </w:r>
      <w:r w:rsidRPr="008C08CD">
        <w:rPr>
          <w:sz w:val="20"/>
          <w:lang w:val="bg-BG"/>
        </w:rPr>
        <w:t xml:space="preserve">аботната група препоръча на България да засили обучението и повишаването на осведомеността по въпросите на подкупването на </w:t>
      </w:r>
      <w:r w:rsidRPr="005D6747">
        <w:rPr>
          <w:sz w:val="20"/>
          <w:lang w:val="bg-BG"/>
        </w:rPr>
        <w:t>чужди длъжностни лица</w:t>
      </w:r>
      <w:r w:rsidRPr="008C08CD">
        <w:rPr>
          <w:sz w:val="20"/>
          <w:lang w:val="bg-BG"/>
        </w:rPr>
        <w:t>, насочени към счетоводната и одиторска професия (</w:t>
      </w:r>
      <w:r w:rsidR="00473FA9">
        <w:rPr>
          <w:sz w:val="20"/>
          <w:lang w:val="bg-BG"/>
        </w:rPr>
        <w:t xml:space="preserve">втората част от </w:t>
      </w:r>
      <w:r w:rsidRPr="008C08CD">
        <w:rPr>
          <w:sz w:val="20"/>
          <w:lang w:val="bg-BG"/>
        </w:rPr>
        <w:t>препоръка 6(а) ). Двугодишният писмен доклад</w:t>
      </w:r>
      <w:r w:rsidR="0048665F">
        <w:rPr>
          <w:sz w:val="20"/>
          <w:lang w:val="bg-BG"/>
        </w:rPr>
        <w:t xml:space="preserve"> за преглед на изпълнението на препоръките от фаза 3</w:t>
      </w:r>
      <w:r w:rsidRPr="008C08CD">
        <w:rPr>
          <w:sz w:val="20"/>
          <w:lang w:val="bg-BG"/>
        </w:rPr>
        <w:t xml:space="preserve"> установи, че България е предприела недостатъчни мерки за изпълнение на препоръката. Във </w:t>
      </w:r>
      <w:r w:rsidR="00673F1F" w:rsidRPr="008C08CD">
        <w:rPr>
          <w:sz w:val="20"/>
          <w:lang w:val="bg-BG"/>
        </w:rPr>
        <w:t>Фаза</w:t>
      </w:r>
      <w:r w:rsidRPr="008C08CD">
        <w:rPr>
          <w:sz w:val="20"/>
          <w:lang w:val="bg-BG"/>
        </w:rPr>
        <w:t xml:space="preserve"> 4 България посочи, че е организирала „свързани” обучения, обхващащи етика, идентифициране на измами в счетоводната система и финансовите отчети и изграждане на системи за контрол в съответствие с новите одиторски стандарти. Нито едно от тези обучения обаче не разглежда </w:t>
      </w:r>
      <w:r w:rsidRPr="005D6747">
        <w:rPr>
          <w:sz w:val="20"/>
          <w:lang w:val="bg-BG"/>
        </w:rPr>
        <w:t xml:space="preserve">подкупването на </w:t>
      </w:r>
      <w:r w:rsidRPr="008C08CD">
        <w:rPr>
          <w:sz w:val="20"/>
          <w:lang w:val="bg-BG"/>
        </w:rPr>
        <w:t>чужди длъжностни лица</w:t>
      </w:r>
      <w:r w:rsidRPr="005D6747">
        <w:rPr>
          <w:sz w:val="20"/>
          <w:lang w:val="bg-BG"/>
        </w:rPr>
        <w:t xml:space="preserve"> </w:t>
      </w:r>
      <w:r w:rsidRPr="008C08CD">
        <w:rPr>
          <w:sz w:val="20"/>
          <w:lang w:val="bg-BG"/>
        </w:rPr>
        <w:t xml:space="preserve">или корупция. Всъщност дискусиите по време на </w:t>
      </w:r>
      <w:r w:rsidR="00412631">
        <w:rPr>
          <w:sz w:val="20"/>
          <w:lang w:val="bg-BG"/>
        </w:rPr>
        <w:t>виртуалното посещение</w:t>
      </w:r>
      <w:r w:rsidRPr="00412631">
        <w:rPr>
          <w:sz w:val="20"/>
          <w:lang w:val="bg-BG"/>
        </w:rPr>
        <w:t xml:space="preserve"> </w:t>
      </w:r>
      <w:r w:rsidRPr="008C08CD">
        <w:rPr>
          <w:sz w:val="20"/>
          <w:lang w:val="bg-BG"/>
        </w:rPr>
        <w:t xml:space="preserve">разкриха, че външните одитори в България нямат опит </w:t>
      </w:r>
      <w:r w:rsidR="0048665F">
        <w:rPr>
          <w:sz w:val="20"/>
          <w:lang w:val="bg-BG"/>
        </w:rPr>
        <w:t>в</w:t>
      </w:r>
      <w:r w:rsidR="0048665F" w:rsidRPr="008C08CD">
        <w:rPr>
          <w:sz w:val="20"/>
          <w:lang w:val="bg-BG"/>
        </w:rPr>
        <w:t xml:space="preserve"> </w:t>
      </w:r>
      <w:r w:rsidRPr="008C08CD">
        <w:rPr>
          <w:sz w:val="20"/>
          <w:lang w:val="bg-BG"/>
        </w:rPr>
        <w:t>идентифициране</w:t>
      </w:r>
      <w:r w:rsidR="0048665F">
        <w:rPr>
          <w:sz w:val="20"/>
          <w:lang w:val="bg-BG"/>
        </w:rPr>
        <w:t>то</w:t>
      </w:r>
      <w:r w:rsidRPr="008C08CD">
        <w:rPr>
          <w:sz w:val="20"/>
          <w:lang w:val="bg-BG"/>
        </w:rPr>
        <w:t xml:space="preserve"> на </w:t>
      </w:r>
      <w:r w:rsidR="00412631">
        <w:rPr>
          <w:sz w:val="20"/>
          <w:lang w:val="bg-BG"/>
        </w:rPr>
        <w:t xml:space="preserve">червените флагове </w:t>
      </w:r>
      <w:r w:rsidRPr="00412631">
        <w:rPr>
          <w:sz w:val="20"/>
          <w:lang w:val="bg-BG"/>
        </w:rPr>
        <w:t>относно подкупване на чужди длъжностни лица</w:t>
      </w:r>
      <w:r w:rsidRPr="008C08CD">
        <w:rPr>
          <w:sz w:val="20"/>
          <w:lang w:val="bg-BG"/>
        </w:rPr>
        <w:t xml:space="preserve"> и че е необходимо по</w:t>
      </w:r>
      <w:r w:rsidR="0048665F">
        <w:rPr>
          <w:sz w:val="20"/>
          <w:lang w:val="bg-BG"/>
        </w:rPr>
        <w:t>-</w:t>
      </w:r>
      <w:r w:rsidRPr="008C08CD">
        <w:rPr>
          <w:sz w:val="20"/>
          <w:lang w:val="bg-BG"/>
        </w:rPr>
        <w:t>нататъшно повишаване на осведомеността и обучение относно подкупването на чужди длъжностни лица.</w:t>
      </w:r>
      <w:r w:rsidR="00412631">
        <w:rPr>
          <w:sz w:val="20"/>
          <w:lang w:val="bg-BG"/>
        </w:rPr>
        <w:t xml:space="preserve"> След вирт</w:t>
      </w:r>
      <w:r w:rsidR="005B4B09">
        <w:rPr>
          <w:sz w:val="20"/>
          <w:lang w:val="bg-BG"/>
        </w:rPr>
        <w:t>у</w:t>
      </w:r>
      <w:r w:rsidR="00412631">
        <w:rPr>
          <w:sz w:val="20"/>
          <w:lang w:val="bg-BG"/>
        </w:rPr>
        <w:t xml:space="preserve">алното посещение България </w:t>
      </w:r>
      <w:r w:rsidR="0048665F">
        <w:rPr>
          <w:sz w:val="20"/>
          <w:lang w:val="bg-BG"/>
        </w:rPr>
        <w:t>посочи</w:t>
      </w:r>
      <w:r w:rsidR="00412631">
        <w:rPr>
          <w:sz w:val="20"/>
          <w:lang w:val="bg-BG"/>
        </w:rPr>
        <w:t xml:space="preserve">, че Комисията, която </w:t>
      </w:r>
      <w:r w:rsidR="0048665F">
        <w:rPr>
          <w:sz w:val="20"/>
          <w:lang w:val="bg-BG"/>
        </w:rPr>
        <w:t>осъществява</w:t>
      </w:r>
      <w:r w:rsidR="00412631">
        <w:rPr>
          <w:sz w:val="20"/>
          <w:lang w:val="bg-BG"/>
        </w:rPr>
        <w:t xml:space="preserve"> надзор над продължаващото професионално развитие на регитрираните одитори (чл. 71 (1.3) от ЗНФО)</w:t>
      </w:r>
      <w:r w:rsidR="005B4B09">
        <w:rPr>
          <w:sz w:val="20"/>
          <w:lang w:val="bg-BG"/>
        </w:rPr>
        <w:t>,</w:t>
      </w:r>
      <w:r w:rsidR="00412631">
        <w:rPr>
          <w:sz w:val="20"/>
          <w:lang w:val="bg-BG"/>
        </w:rPr>
        <w:t xml:space="preserve"> е дала указания за организацията на </w:t>
      </w:r>
      <w:r w:rsidR="005B4B09">
        <w:rPr>
          <w:sz w:val="20"/>
          <w:lang w:val="bg-BG"/>
        </w:rPr>
        <w:t>ежегодни</w:t>
      </w:r>
      <w:r w:rsidR="00412631">
        <w:rPr>
          <w:sz w:val="20"/>
          <w:lang w:val="bg-BG"/>
        </w:rPr>
        <w:t xml:space="preserve"> обучения </w:t>
      </w:r>
      <w:r w:rsidR="005B4B09">
        <w:rPr>
          <w:sz w:val="20"/>
          <w:lang w:val="bg-BG"/>
        </w:rPr>
        <w:t xml:space="preserve">относно </w:t>
      </w:r>
      <w:r w:rsidR="00412631">
        <w:rPr>
          <w:sz w:val="20"/>
          <w:lang w:val="bg-BG"/>
        </w:rPr>
        <w:t xml:space="preserve">подкупа на чужди длъжностни лица, включително </w:t>
      </w:r>
      <w:r w:rsidR="005B4B09">
        <w:rPr>
          <w:sz w:val="20"/>
          <w:lang w:val="bg-BG"/>
        </w:rPr>
        <w:t>относно</w:t>
      </w:r>
      <w:r w:rsidR="00412631">
        <w:rPr>
          <w:sz w:val="20"/>
          <w:lang w:val="bg-BG"/>
        </w:rPr>
        <w:t xml:space="preserve"> методи и сигнали </w:t>
      </w:r>
      <w:r w:rsidR="005B4B09">
        <w:rPr>
          <w:sz w:val="20"/>
          <w:lang w:val="bg-BG"/>
        </w:rPr>
        <w:t>за разкриване на</w:t>
      </w:r>
      <w:r w:rsidR="00412631">
        <w:rPr>
          <w:sz w:val="20"/>
          <w:lang w:val="bg-BG"/>
        </w:rPr>
        <w:t xml:space="preserve"> подкуп на чуждо длъжностно лице. </w:t>
      </w:r>
      <w:r w:rsidR="001934B2">
        <w:rPr>
          <w:sz w:val="20"/>
          <w:lang w:val="bg-BG"/>
        </w:rPr>
        <w:t xml:space="preserve">Едно подобно обучения се е провело през 2021г. и още три са предвидени за 2022 г. </w:t>
      </w:r>
    </w:p>
    <w:p w14:paraId="7FDFA623" w14:textId="4F7F16EC" w:rsidR="002F698F" w:rsidRDefault="005D6747" w:rsidP="00C45BB6">
      <w:pPr>
        <w:pStyle w:val="Para"/>
        <w:rPr>
          <w:lang w:val="bg-BG"/>
        </w:rPr>
      </w:pPr>
      <w:r w:rsidRPr="008C08CD">
        <w:rPr>
          <w:lang w:val="bg-BG"/>
        </w:rPr>
        <w:t xml:space="preserve">Независимостта на външните одитори им позволява да предоставят обективна оценка на фирмените сметки, финансовите отчети и вътрешния контрол. Член 54 </w:t>
      </w:r>
      <w:r w:rsidRPr="005D6747">
        <w:rPr>
          <w:lang w:val="bg-BG"/>
        </w:rPr>
        <w:t>от ЗНФО</w:t>
      </w:r>
      <w:r w:rsidRPr="008C08CD">
        <w:rPr>
          <w:lang w:val="bg-BG"/>
        </w:rPr>
        <w:t xml:space="preserve"> предвижда, че външните одитори трябва да са независими от одитираното </w:t>
      </w:r>
      <w:r w:rsidRPr="005D6747">
        <w:rPr>
          <w:lang w:val="bg-BG"/>
        </w:rPr>
        <w:t>предприятие</w:t>
      </w:r>
      <w:r w:rsidRPr="008C08CD">
        <w:rPr>
          <w:lang w:val="bg-BG"/>
        </w:rPr>
        <w:t xml:space="preserve"> и забранява на одиторите, които </w:t>
      </w:r>
      <w:r w:rsidR="00FD2D82">
        <w:rPr>
          <w:lang w:val="bg-BG"/>
        </w:rPr>
        <w:t>държат</w:t>
      </w:r>
      <w:r w:rsidR="00FD2D82" w:rsidRPr="008C08CD">
        <w:rPr>
          <w:lang w:val="bg-BG"/>
        </w:rPr>
        <w:t xml:space="preserve"> </w:t>
      </w:r>
      <w:r w:rsidRPr="008C08CD">
        <w:rPr>
          <w:lang w:val="bg-BG"/>
        </w:rPr>
        <w:t xml:space="preserve">финансови инструменти на одитираното </w:t>
      </w:r>
      <w:r w:rsidRPr="005D6747">
        <w:rPr>
          <w:lang w:val="bg-BG"/>
        </w:rPr>
        <w:t>предприятие</w:t>
      </w:r>
      <w:r w:rsidRPr="008C08CD">
        <w:rPr>
          <w:lang w:val="bg-BG"/>
        </w:rPr>
        <w:t xml:space="preserve"> или на </w:t>
      </w:r>
      <w:r w:rsidR="00FD2D82">
        <w:rPr>
          <w:lang w:val="bg-BG"/>
        </w:rPr>
        <w:t xml:space="preserve">предприятие, </w:t>
      </w:r>
      <w:r w:rsidRPr="008C08CD">
        <w:rPr>
          <w:lang w:val="bg-BG"/>
        </w:rPr>
        <w:t>свързан</w:t>
      </w:r>
      <w:r w:rsidR="00FD2D82">
        <w:rPr>
          <w:lang w:val="bg-BG"/>
        </w:rPr>
        <w:t>о</w:t>
      </w:r>
      <w:r w:rsidRPr="008C08CD">
        <w:rPr>
          <w:lang w:val="bg-BG"/>
        </w:rPr>
        <w:t xml:space="preserve"> с одитираното </w:t>
      </w:r>
      <w:r w:rsidRPr="005D6747">
        <w:rPr>
          <w:lang w:val="bg-BG"/>
        </w:rPr>
        <w:t>преприятие</w:t>
      </w:r>
      <w:r w:rsidRPr="008C08CD">
        <w:rPr>
          <w:lang w:val="bg-BG"/>
        </w:rPr>
        <w:t xml:space="preserve">, да участват в неговия външен одит. Разпоредбата допълнително описва ситуации, които могат да </w:t>
      </w:r>
      <w:r w:rsidR="005B4B09">
        <w:rPr>
          <w:lang w:val="bg-BG"/>
        </w:rPr>
        <w:t>доведат</w:t>
      </w:r>
      <w:r w:rsidR="005B4B09" w:rsidRPr="008C08CD">
        <w:rPr>
          <w:lang w:val="bg-BG"/>
        </w:rPr>
        <w:t xml:space="preserve"> </w:t>
      </w:r>
      <w:r w:rsidRPr="008C08CD">
        <w:rPr>
          <w:lang w:val="bg-BG"/>
        </w:rPr>
        <w:t xml:space="preserve">или </w:t>
      </w:r>
      <w:r w:rsidR="005B4B09">
        <w:rPr>
          <w:lang w:val="bg-BG"/>
        </w:rPr>
        <w:t xml:space="preserve">се считат, че могат да довет, до </w:t>
      </w:r>
      <w:r w:rsidRPr="008C08CD">
        <w:rPr>
          <w:lang w:val="bg-BG"/>
        </w:rPr>
        <w:t>конфликт на интереси. През 2018-2021 г. България организира три обучения по етика, включително относно изискванията за независимост за одиторите. По време на виртуалн</w:t>
      </w:r>
      <w:r w:rsidR="005246A4">
        <w:rPr>
          <w:lang w:val="bg-BG"/>
        </w:rPr>
        <w:t xml:space="preserve">ото </w:t>
      </w:r>
      <w:r w:rsidR="005246A4">
        <w:rPr>
          <w:lang w:val="bg-BG"/>
        </w:rPr>
        <w:lastRenderedPageBreak/>
        <w:t xml:space="preserve">посещение </w:t>
      </w:r>
      <w:r w:rsidRPr="008C08CD">
        <w:rPr>
          <w:lang w:val="bg-BG"/>
        </w:rPr>
        <w:t>някои външни одитори изразиха опасения, че стандартите за независимост на одиторите не се прилагат на практика. През 2011-2021 г. Комисията санкционира четирима външни одитори за неизпълнение на изискванията за независимост и липса на конфликт на интереси</w:t>
      </w:r>
      <w:r w:rsidR="00A5518C">
        <w:rPr>
          <w:lang w:val="bg-BG"/>
        </w:rPr>
        <w:t xml:space="preserve">, като след </w:t>
      </w:r>
      <w:r w:rsidR="002F698F">
        <w:rPr>
          <w:lang w:val="bg-BG"/>
        </w:rPr>
        <w:t xml:space="preserve">провеждането на виртуалното посещение  България посочи, че </w:t>
      </w:r>
      <w:r w:rsidR="00A5518C">
        <w:rPr>
          <w:lang w:val="bg-BG"/>
        </w:rPr>
        <w:t xml:space="preserve">са в ход </w:t>
      </w:r>
      <w:r w:rsidR="002F698F">
        <w:rPr>
          <w:lang w:val="bg-BG"/>
        </w:rPr>
        <w:t xml:space="preserve">две допълнителни санкционни процедури.  </w:t>
      </w:r>
    </w:p>
    <w:p w14:paraId="19EC6139" w14:textId="77777777" w:rsidR="005D6747" w:rsidRPr="008C08CD" w:rsidRDefault="005D6747" w:rsidP="005D6747">
      <w:pPr>
        <w:widowControl/>
        <w:spacing w:before="120" w:after="120" w:line="260" w:lineRule="atLeast"/>
        <w:rPr>
          <w:b/>
          <w:i/>
          <w:color w:val="4E81BD" w:themeColor="accent1"/>
          <w:sz w:val="20"/>
          <w:lang w:val="bg-BG"/>
        </w:rPr>
      </w:pPr>
      <w:r w:rsidRPr="008C08CD">
        <w:rPr>
          <w:b/>
          <w:i/>
          <w:color w:val="4E81BD" w:themeColor="accent1"/>
          <w:sz w:val="20"/>
          <w:lang w:val="bg-BG"/>
        </w:rPr>
        <w:t>Коментар</w:t>
      </w:r>
    </w:p>
    <w:p w14:paraId="1C5A7D22" w14:textId="361FF3A2" w:rsidR="005D6747" w:rsidRPr="005D6747" w:rsidRDefault="005D6747" w:rsidP="005D6747">
      <w:pPr>
        <w:widowControl/>
        <w:spacing w:before="120" w:after="120" w:line="260" w:lineRule="atLeast"/>
        <w:rPr>
          <w:b/>
          <w:i/>
          <w:color w:val="000000" w:themeColor="text1"/>
          <w:sz w:val="20"/>
          <w:lang w:val="bg-BG"/>
        </w:rPr>
      </w:pPr>
      <w:r w:rsidRPr="008C08CD">
        <w:rPr>
          <w:b/>
          <w:i/>
          <w:color w:val="000000" w:themeColor="text1"/>
          <w:sz w:val="20"/>
          <w:lang w:val="bg-BG"/>
        </w:rPr>
        <w:t>Водещите</w:t>
      </w:r>
      <w:r w:rsidRPr="005D6747">
        <w:rPr>
          <w:b/>
          <w:i/>
          <w:color w:val="000000" w:themeColor="text1"/>
          <w:sz w:val="20"/>
          <w:lang w:val="bg-BG"/>
        </w:rPr>
        <w:t xml:space="preserve"> проверители</w:t>
      </w:r>
      <w:r w:rsidRPr="008C08CD">
        <w:rPr>
          <w:b/>
          <w:i/>
          <w:color w:val="000000" w:themeColor="text1"/>
          <w:sz w:val="20"/>
          <w:lang w:val="bg-BG"/>
        </w:rPr>
        <w:t xml:space="preserve"> са обезпокоени от липсата на информираност и опит сред външните одитори в България за </w:t>
      </w:r>
      <w:r w:rsidR="005B4B09">
        <w:rPr>
          <w:b/>
          <w:i/>
          <w:color w:val="000000" w:themeColor="text1"/>
          <w:sz w:val="20"/>
          <w:lang w:val="bg-BG"/>
        </w:rPr>
        <w:t xml:space="preserve">разкриване </w:t>
      </w:r>
      <w:r w:rsidRPr="008C08CD">
        <w:rPr>
          <w:b/>
          <w:i/>
          <w:color w:val="000000" w:themeColor="text1"/>
          <w:sz w:val="20"/>
          <w:lang w:val="bg-BG"/>
        </w:rPr>
        <w:t xml:space="preserve">на </w:t>
      </w:r>
      <w:r w:rsidRPr="005D6747">
        <w:rPr>
          <w:b/>
          <w:i/>
          <w:color w:val="000000" w:themeColor="text1"/>
          <w:sz w:val="20"/>
          <w:lang w:val="bg-BG"/>
        </w:rPr>
        <w:t>подкуп на чужди длъжностни лица</w:t>
      </w:r>
      <w:r w:rsidR="0074519E">
        <w:rPr>
          <w:b/>
          <w:i/>
          <w:color w:val="000000" w:themeColor="text1"/>
          <w:sz w:val="20"/>
          <w:lang w:val="bg-BG"/>
        </w:rPr>
        <w:t>, но приветстват инициативата на Комисият</w:t>
      </w:r>
      <w:r w:rsidR="00EF76C3">
        <w:rPr>
          <w:b/>
          <w:i/>
          <w:color w:val="000000" w:themeColor="text1"/>
          <w:sz w:val="20"/>
          <w:lang w:val="bg-BG"/>
        </w:rPr>
        <w:t>а</w:t>
      </w:r>
      <w:r w:rsidR="0074519E">
        <w:rPr>
          <w:b/>
          <w:i/>
          <w:color w:val="000000" w:themeColor="text1"/>
          <w:sz w:val="20"/>
          <w:lang w:val="bg-BG"/>
        </w:rPr>
        <w:t xml:space="preserve"> да стартира обучения</w:t>
      </w:r>
      <w:r w:rsidR="002169C4">
        <w:rPr>
          <w:b/>
          <w:i/>
          <w:color w:val="000000" w:themeColor="text1"/>
          <w:sz w:val="20"/>
          <w:lang w:val="bg-BG"/>
        </w:rPr>
        <w:t xml:space="preserve"> по темата след виртуалното</w:t>
      </w:r>
      <w:r w:rsidR="0074519E">
        <w:rPr>
          <w:b/>
          <w:i/>
          <w:color w:val="000000" w:themeColor="text1"/>
          <w:sz w:val="20"/>
          <w:lang w:val="bg-BG"/>
        </w:rPr>
        <w:t xml:space="preserve"> посещение.</w:t>
      </w:r>
      <w:r w:rsidRPr="008C08CD">
        <w:rPr>
          <w:b/>
          <w:i/>
          <w:color w:val="000000" w:themeColor="text1"/>
          <w:sz w:val="20"/>
          <w:lang w:val="bg-BG"/>
        </w:rPr>
        <w:t xml:space="preserve"> </w:t>
      </w:r>
      <w:r w:rsidR="0074519E">
        <w:rPr>
          <w:b/>
          <w:i/>
          <w:color w:val="000000" w:themeColor="text1"/>
          <w:sz w:val="20"/>
          <w:lang w:val="bg-BG"/>
        </w:rPr>
        <w:t xml:space="preserve"> Въпреки това</w:t>
      </w:r>
      <w:r w:rsidRPr="008C08CD">
        <w:rPr>
          <w:b/>
          <w:i/>
          <w:color w:val="000000" w:themeColor="text1"/>
          <w:sz w:val="20"/>
          <w:lang w:val="bg-BG"/>
        </w:rPr>
        <w:t xml:space="preserve"> те считат, че препоръка</w:t>
      </w:r>
      <w:r w:rsidR="0074519E">
        <w:rPr>
          <w:b/>
          <w:i/>
          <w:color w:val="000000" w:themeColor="text1"/>
          <w:sz w:val="20"/>
          <w:lang w:val="bg-BG"/>
        </w:rPr>
        <w:t>та</w:t>
      </w:r>
      <w:r w:rsidRPr="008C08CD">
        <w:rPr>
          <w:b/>
          <w:i/>
          <w:color w:val="000000" w:themeColor="text1"/>
          <w:sz w:val="20"/>
          <w:lang w:val="bg-BG"/>
        </w:rPr>
        <w:t xml:space="preserve"> от </w:t>
      </w:r>
      <w:r w:rsidR="00673F1F" w:rsidRPr="008C08CD">
        <w:rPr>
          <w:b/>
          <w:i/>
          <w:color w:val="000000" w:themeColor="text1"/>
          <w:sz w:val="20"/>
          <w:lang w:val="bg-BG"/>
        </w:rPr>
        <w:t>Фаза</w:t>
      </w:r>
      <w:r w:rsidRPr="008C08CD">
        <w:rPr>
          <w:b/>
          <w:i/>
          <w:color w:val="000000" w:themeColor="text1"/>
          <w:sz w:val="20"/>
          <w:lang w:val="bg-BG"/>
        </w:rPr>
        <w:t xml:space="preserve"> 3</w:t>
      </w:r>
      <w:r w:rsidR="0074519E">
        <w:rPr>
          <w:b/>
          <w:i/>
          <w:color w:val="000000" w:themeColor="text1"/>
          <w:sz w:val="20"/>
          <w:lang w:val="bg-BG"/>
        </w:rPr>
        <w:t xml:space="preserve"> относно повишаването на осведомеността (втората част от препоръка 6а)</w:t>
      </w:r>
      <w:r w:rsidRPr="008C08CD">
        <w:rPr>
          <w:b/>
          <w:i/>
          <w:color w:val="000000" w:themeColor="text1"/>
          <w:sz w:val="20"/>
          <w:lang w:val="bg-BG"/>
        </w:rPr>
        <w:t xml:space="preserve"> остава неизпълнена и препоръчват на Българ</w:t>
      </w:r>
      <w:r w:rsidRPr="00A5518C">
        <w:rPr>
          <w:b/>
          <w:i/>
          <w:color w:val="000000" w:themeColor="text1"/>
          <w:sz w:val="20"/>
          <w:lang w:val="bg-BG"/>
        </w:rPr>
        <w:t xml:space="preserve">ия спешно </w:t>
      </w:r>
      <w:r w:rsidR="00A5518C" w:rsidRPr="00A5518C">
        <w:rPr>
          <w:b/>
          <w:i/>
          <w:color w:val="000000" w:themeColor="text1"/>
          <w:sz w:val="20"/>
          <w:lang w:val="bg-BG"/>
        </w:rPr>
        <w:t xml:space="preserve">да </w:t>
      </w:r>
      <w:r w:rsidR="0074519E" w:rsidRPr="00A5518C">
        <w:rPr>
          <w:b/>
          <w:i/>
          <w:color w:val="000000" w:themeColor="text1"/>
          <w:sz w:val="20"/>
          <w:lang w:val="bg-BG"/>
        </w:rPr>
        <w:t>пристъпи</w:t>
      </w:r>
      <w:r w:rsidR="0074519E">
        <w:rPr>
          <w:b/>
          <w:i/>
          <w:color w:val="000000" w:themeColor="text1"/>
          <w:sz w:val="20"/>
          <w:lang w:val="bg-BG"/>
        </w:rPr>
        <w:t xml:space="preserve"> към повишаване на осведомеността  и да предостави обучения на външните одитори</w:t>
      </w:r>
      <w:r w:rsidR="00F02189">
        <w:rPr>
          <w:b/>
          <w:i/>
          <w:color w:val="000000" w:themeColor="text1"/>
          <w:sz w:val="20"/>
          <w:lang w:val="bg-BG"/>
        </w:rPr>
        <w:t xml:space="preserve"> относно </w:t>
      </w:r>
      <w:r w:rsidR="00A5518C" w:rsidRPr="005D6747">
        <w:rPr>
          <w:b/>
          <w:i/>
          <w:color w:val="000000" w:themeColor="text1"/>
          <w:sz w:val="20"/>
          <w:lang w:val="bg-BG"/>
        </w:rPr>
        <w:t>подку</w:t>
      </w:r>
      <w:r w:rsidR="00A5518C">
        <w:rPr>
          <w:b/>
          <w:i/>
          <w:color w:val="000000" w:themeColor="text1"/>
          <w:sz w:val="20"/>
          <w:lang w:val="bg-BG"/>
        </w:rPr>
        <w:t>па</w:t>
      </w:r>
      <w:r w:rsidR="00A5518C" w:rsidRPr="005D6747">
        <w:rPr>
          <w:b/>
          <w:i/>
          <w:color w:val="000000" w:themeColor="text1"/>
          <w:sz w:val="20"/>
          <w:lang w:val="bg-BG"/>
        </w:rPr>
        <w:t xml:space="preserve"> на чужди длъжностни лица</w:t>
      </w:r>
      <w:r w:rsidR="00F02189">
        <w:rPr>
          <w:b/>
          <w:i/>
          <w:color w:val="000000" w:themeColor="text1"/>
          <w:sz w:val="20"/>
          <w:lang w:val="bg-BG"/>
        </w:rPr>
        <w:t>,</w:t>
      </w:r>
      <w:r w:rsidRPr="008C08CD">
        <w:rPr>
          <w:b/>
          <w:i/>
          <w:color w:val="000000" w:themeColor="text1"/>
          <w:sz w:val="20"/>
          <w:lang w:val="bg-BG"/>
        </w:rPr>
        <w:t xml:space="preserve"> включително методи и </w:t>
      </w:r>
      <w:r w:rsidR="0074519E">
        <w:rPr>
          <w:b/>
          <w:i/>
          <w:color w:val="000000" w:themeColor="text1"/>
          <w:sz w:val="20"/>
          <w:lang w:val="bg-BG"/>
        </w:rPr>
        <w:t>червени флагове</w:t>
      </w:r>
      <w:r w:rsidRPr="008C08CD">
        <w:rPr>
          <w:b/>
          <w:i/>
          <w:color w:val="000000" w:themeColor="text1"/>
          <w:sz w:val="20"/>
          <w:lang w:val="bg-BG"/>
        </w:rPr>
        <w:t xml:space="preserve"> за </w:t>
      </w:r>
      <w:r w:rsidR="0074519E">
        <w:rPr>
          <w:b/>
          <w:i/>
          <w:color w:val="000000" w:themeColor="text1"/>
          <w:sz w:val="20"/>
          <w:lang w:val="bg-BG"/>
        </w:rPr>
        <w:t>разкриването</w:t>
      </w:r>
      <w:r w:rsidR="0074519E" w:rsidRPr="008C08CD">
        <w:rPr>
          <w:b/>
          <w:i/>
          <w:color w:val="000000" w:themeColor="text1"/>
          <w:sz w:val="20"/>
          <w:lang w:val="bg-BG"/>
        </w:rPr>
        <w:t xml:space="preserve"> </w:t>
      </w:r>
      <w:r w:rsidRPr="008C08CD">
        <w:rPr>
          <w:b/>
          <w:i/>
          <w:color w:val="000000" w:themeColor="text1"/>
          <w:sz w:val="20"/>
          <w:lang w:val="bg-BG"/>
        </w:rPr>
        <w:t>на подкуп</w:t>
      </w:r>
      <w:r w:rsidRPr="005D6747">
        <w:rPr>
          <w:b/>
          <w:i/>
          <w:color w:val="000000" w:themeColor="text1"/>
          <w:sz w:val="20"/>
          <w:lang w:val="bg-BG"/>
        </w:rPr>
        <w:t>ване на</w:t>
      </w:r>
      <w:r w:rsidRPr="008C08CD">
        <w:rPr>
          <w:b/>
          <w:i/>
          <w:color w:val="000000" w:themeColor="text1"/>
          <w:sz w:val="20"/>
          <w:lang w:val="bg-BG"/>
        </w:rPr>
        <w:t xml:space="preserve"> чуж</w:t>
      </w:r>
      <w:r w:rsidRPr="005D6747">
        <w:rPr>
          <w:b/>
          <w:i/>
          <w:color w:val="000000" w:themeColor="text1"/>
          <w:sz w:val="20"/>
          <w:lang w:val="bg-BG"/>
        </w:rPr>
        <w:t>ди длъжностни лица</w:t>
      </w:r>
      <w:r w:rsidRPr="008C08CD">
        <w:rPr>
          <w:b/>
          <w:i/>
          <w:color w:val="000000" w:themeColor="text1"/>
          <w:sz w:val="20"/>
          <w:lang w:val="bg-BG"/>
        </w:rPr>
        <w:t xml:space="preserve">. Водещите </w:t>
      </w:r>
      <w:r w:rsidRPr="005D6747">
        <w:rPr>
          <w:b/>
          <w:i/>
          <w:color w:val="000000" w:themeColor="text1"/>
          <w:sz w:val="20"/>
          <w:lang w:val="bg-BG"/>
        </w:rPr>
        <w:t xml:space="preserve">проверители </w:t>
      </w:r>
      <w:r w:rsidRPr="008C08CD">
        <w:rPr>
          <w:b/>
          <w:i/>
          <w:color w:val="000000" w:themeColor="text1"/>
          <w:sz w:val="20"/>
          <w:lang w:val="bg-BG"/>
        </w:rPr>
        <w:t xml:space="preserve">препоръчват допълнително България да положи повече усилия за повишаване на осведомеността относно стандартите за независимост сред </w:t>
      </w:r>
      <w:r w:rsidR="0074519E">
        <w:rPr>
          <w:b/>
          <w:i/>
          <w:color w:val="000000" w:themeColor="text1"/>
          <w:sz w:val="20"/>
          <w:lang w:val="bg-BG"/>
        </w:rPr>
        <w:t xml:space="preserve">външните </w:t>
      </w:r>
      <w:r w:rsidRPr="008C08CD">
        <w:rPr>
          <w:b/>
          <w:i/>
          <w:color w:val="000000" w:themeColor="text1"/>
          <w:sz w:val="20"/>
          <w:lang w:val="bg-BG"/>
        </w:rPr>
        <w:t xml:space="preserve">одитори, за да подобри спазването на </w:t>
      </w:r>
      <w:r w:rsidRPr="005D6747">
        <w:rPr>
          <w:b/>
          <w:i/>
          <w:color w:val="000000" w:themeColor="text1"/>
          <w:sz w:val="20"/>
          <w:lang w:val="bg-BG"/>
        </w:rPr>
        <w:t>ЗНФО</w:t>
      </w:r>
      <w:r w:rsidRPr="008C08CD">
        <w:rPr>
          <w:b/>
          <w:i/>
          <w:color w:val="000000" w:themeColor="text1"/>
          <w:sz w:val="20"/>
          <w:lang w:val="bg-BG"/>
        </w:rPr>
        <w:t>.</w:t>
      </w:r>
      <w:r w:rsidRPr="005D6747">
        <w:rPr>
          <w:b/>
          <w:i/>
          <w:color w:val="000000" w:themeColor="text1"/>
          <w:sz w:val="20"/>
          <w:lang w:val="bg-BG"/>
        </w:rPr>
        <w:t xml:space="preserve"> </w:t>
      </w:r>
    </w:p>
    <w:p w14:paraId="567F4862" w14:textId="77777777" w:rsidR="005D6747" w:rsidRPr="008C08CD" w:rsidRDefault="005D6747" w:rsidP="005D6747">
      <w:pPr>
        <w:widowControl/>
        <w:spacing w:before="120" w:after="120" w:line="260" w:lineRule="atLeast"/>
        <w:rPr>
          <w:sz w:val="20"/>
          <w:lang w:val="bg-BG"/>
        </w:rPr>
      </w:pPr>
    </w:p>
    <w:p w14:paraId="6C08B8EE" w14:textId="77777777" w:rsidR="005D6747" w:rsidRPr="008C08CD" w:rsidRDefault="005D6747" w:rsidP="005D6747">
      <w:pPr>
        <w:widowControl/>
        <w:spacing w:after="200" w:line="276" w:lineRule="auto"/>
        <w:jc w:val="left"/>
        <w:rPr>
          <w:color w:val="000000" w:themeColor="text1"/>
          <w:sz w:val="20"/>
          <w:lang w:val="bg-BG"/>
        </w:rPr>
      </w:pPr>
      <w:r w:rsidRPr="008C08CD">
        <w:rPr>
          <w:lang w:val="bg-BG"/>
        </w:rPr>
        <w:br w:type="page"/>
      </w:r>
    </w:p>
    <w:p w14:paraId="25AB80CB" w14:textId="2FA70ED1" w:rsidR="005D6747" w:rsidRPr="005D6747" w:rsidRDefault="005D6747" w:rsidP="008C08CD">
      <w:pPr>
        <w:keepNext/>
        <w:keepLines/>
        <w:pageBreakBefore/>
        <w:framePr w:w="9360" w:wrap="notBeside" w:vAnchor="text" w:hAnchor="page" w:x="1260" w:y="1"/>
        <w:widowControl/>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42" w:hanging="29"/>
        <w:jc w:val="left"/>
        <w:outlineLvl w:val="0"/>
        <w:rPr>
          <w:rFonts w:asciiTheme="majorHAnsi" w:eastAsiaTheme="majorEastAsia" w:hAnsiTheme="majorHAnsi" w:cstheme="majorBidi"/>
          <w:b/>
          <w:noProof/>
          <w:color w:val="4E81BD" w:themeColor="accent5"/>
          <w:sz w:val="56"/>
          <w:szCs w:val="32"/>
          <w:lang w:val="bg-BG"/>
        </w:rPr>
      </w:pPr>
      <w:bookmarkStart w:id="20" w:name="_Toc51769912"/>
      <w:bookmarkStart w:id="21" w:name="_Toc56084012"/>
      <w:r w:rsidRPr="005D6747">
        <w:rPr>
          <w:rFonts w:asciiTheme="majorHAnsi" w:eastAsiaTheme="majorEastAsia" w:hAnsiTheme="majorHAnsi" w:cstheme="majorBidi"/>
          <w:b/>
          <w:color w:val="4E81BD" w:themeColor="accent5"/>
          <w:sz w:val="56"/>
          <w:szCs w:val="32"/>
          <w:lang w:val="bg-BG"/>
        </w:rPr>
        <w:lastRenderedPageBreak/>
        <w:t>Б</w:t>
      </w:r>
      <w:r w:rsidRPr="008C08CD">
        <w:rPr>
          <w:rFonts w:asciiTheme="majorHAnsi" w:eastAsiaTheme="majorEastAsia" w:hAnsiTheme="majorHAnsi" w:cstheme="majorBidi"/>
          <w:b/>
          <w:color w:val="4E81BD" w:themeColor="accent5"/>
          <w:sz w:val="56"/>
          <w:szCs w:val="32"/>
          <w:lang w:val="bg-BG"/>
        </w:rPr>
        <w:t xml:space="preserve">. </w:t>
      </w:r>
      <w:bookmarkEnd w:id="20"/>
      <w:bookmarkEnd w:id="21"/>
      <w:r w:rsidR="00D919F3">
        <w:rPr>
          <w:rFonts w:asciiTheme="majorHAnsi" w:eastAsiaTheme="majorEastAsia" w:hAnsiTheme="majorHAnsi" w:cstheme="majorBidi"/>
          <w:b/>
          <w:color w:val="4E81BD" w:themeColor="accent5"/>
          <w:sz w:val="56"/>
          <w:szCs w:val="32"/>
          <w:lang w:val="bg-BG"/>
        </w:rPr>
        <w:t xml:space="preserve">Наказателно преследване </w:t>
      </w:r>
      <w:r w:rsidRPr="008C08CD">
        <w:rPr>
          <w:rFonts w:asciiTheme="majorHAnsi" w:eastAsiaTheme="majorEastAsia" w:hAnsiTheme="majorHAnsi" w:cstheme="majorBidi"/>
          <w:b/>
          <w:noProof/>
          <w:color w:val="4E81BD" w:themeColor="accent5"/>
          <w:sz w:val="56"/>
          <w:szCs w:val="32"/>
          <w:lang w:val="bg-BG"/>
        </w:rPr>
        <w:t xml:space="preserve">на </w:t>
      </w:r>
      <w:r w:rsidR="00F02189">
        <w:rPr>
          <w:rFonts w:asciiTheme="majorHAnsi" w:eastAsiaTheme="majorEastAsia" w:hAnsiTheme="majorHAnsi" w:cstheme="majorBidi"/>
          <w:b/>
          <w:noProof/>
          <w:color w:val="4E81BD" w:themeColor="accent5"/>
          <w:sz w:val="56"/>
          <w:szCs w:val="32"/>
          <w:lang w:val="bg-BG"/>
        </w:rPr>
        <w:t>престъплението</w:t>
      </w:r>
      <w:r w:rsidR="00F02189" w:rsidRPr="008C08CD">
        <w:rPr>
          <w:rFonts w:asciiTheme="majorHAnsi" w:eastAsiaTheme="majorEastAsia" w:hAnsiTheme="majorHAnsi" w:cstheme="majorBidi"/>
          <w:b/>
          <w:noProof/>
          <w:color w:val="4E81BD" w:themeColor="accent5"/>
          <w:sz w:val="56"/>
          <w:szCs w:val="32"/>
          <w:lang w:val="bg-BG"/>
        </w:rPr>
        <w:t xml:space="preserve"> </w:t>
      </w:r>
      <w:r w:rsidRPr="008C08CD">
        <w:rPr>
          <w:rFonts w:asciiTheme="majorHAnsi" w:eastAsiaTheme="majorEastAsia" w:hAnsiTheme="majorHAnsi" w:cstheme="majorBidi"/>
          <w:b/>
          <w:noProof/>
          <w:color w:val="4E81BD" w:themeColor="accent5"/>
          <w:sz w:val="56"/>
          <w:szCs w:val="32"/>
          <w:lang w:val="bg-BG"/>
        </w:rPr>
        <w:t>подкуп</w:t>
      </w:r>
      <w:r w:rsidRPr="005D6747">
        <w:rPr>
          <w:rFonts w:asciiTheme="majorHAnsi" w:eastAsiaTheme="majorEastAsia" w:hAnsiTheme="majorHAnsi" w:cstheme="majorBidi"/>
          <w:b/>
          <w:noProof/>
          <w:color w:val="4E81BD" w:themeColor="accent5"/>
          <w:sz w:val="56"/>
          <w:szCs w:val="32"/>
          <w:lang w:val="bg-BG"/>
        </w:rPr>
        <w:t xml:space="preserve"> на чуждо длъжностно лице</w:t>
      </w:r>
    </w:p>
    <w:p w14:paraId="3F78A8D0" w14:textId="77777777" w:rsidR="005D6747" w:rsidRPr="00220EA9" w:rsidRDefault="00B8361F" w:rsidP="00504B2E">
      <w:pPr>
        <w:pStyle w:val="Para"/>
        <w:keepNext/>
        <w:numPr>
          <w:ilvl w:val="0"/>
          <w:numId w:val="23"/>
        </w:numPr>
        <w:spacing w:before="440" w:after="240" w:line="320" w:lineRule="exact"/>
        <w:jc w:val="left"/>
        <w:outlineLvl w:val="1"/>
        <w:rPr>
          <w:rFonts w:eastAsiaTheme="majorEastAsia" w:cstheme="majorBidi"/>
          <w:b/>
          <w:color w:val="4E81BD" w:themeColor="accent1"/>
          <w:sz w:val="24"/>
          <w:szCs w:val="26"/>
          <w:lang w:val="bg-BG"/>
        </w:rPr>
      </w:pPr>
      <w:bookmarkStart w:id="22" w:name="_Toc51769913"/>
      <w:bookmarkStart w:id="23" w:name="_Toc56084013"/>
      <w:r>
        <w:rPr>
          <w:rFonts w:eastAsiaTheme="majorEastAsia" w:cstheme="majorBidi"/>
          <w:b/>
          <w:color w:val="4E81BD" w:themeColor="accent1"/>
          <w:sz w:val="24"/>
          <w:szCs w:val="26"/>
          <w:lang w:val="bg-BG"/>
        </w:rPr>
        <w:t>Престъплението</w:t>
      </w:r>
      <w:r w:rsidRPr="00504B2E">
        <w:rPr>
          <w:rFonts w:eastAsiaTheme="majorEastAsia" w:cstheme="majorBidi"/>
          <w:b/>
          <w:color w:val="4E81BD" w:themeColor="accent1"/>
          <w:sz w:val="24"/>
          <w:szCs w:val="26"/>
          <w:lang w:val="bg-BG"/>
        </w:rPr>
        <w:t xml:space="preserve"> </w:t>
      </w:r>
      <w:r w:rsidR="005D6747" w:rsidRPr="00504B2E">
        <w:rPr>
          <w:rFonts w:eastAsiaTheme="majorEastAsia" w:cstheme="majorBidi"/>
          <w:b/>
          <w:color w:val="4E81BD" w:themeColor="accent1"/>
          <w:sz w:val="24"/>
          <w:szCs w:val="26"/>
          <w:lang w:val="bg-BG"/>
        </w:rPr>
        <w:t xml:space="preserve">подкуп на чуждо длъжностно лице </w:t>
      </w:r>
      <w:bookmarkEnd w:id="22"/>
      <w:bookmarkEnd w:id="23"/>
    </w:p>
    <w:p w14:paraId="12F10ED4" w14:textId="5A544054" w:rsidR="005D6747" w:rsidRPr="00D86727" w:rsidRDefault="00660C3E" w:rsidP="00572912">
      <w:pPr>
        <w:pStyle w:val="Para"/>
        <w:numPr>
          <w:ilvl w:val="0"/>
          <w:numId w:val="63"/>
        </w:numPr>
        <w:rPr>
          <w:lang w:val="bg-BG"/>
        </w:rPr>
      </w:pPr>
      <w:r w:rsidRPr="005927D2">
        <w:rPr>
          <w:lang w:val="bg-BG"/>
        </w:rPr>
        <w:t>Престъплениет</w:t>
      </w:r>
      <w:r w:rsidR="00EC2BE1" w:rsidRPr="005927D2">
        <w:rPr>
          <w:lang w:val="bg-BG"/>
        </w:rPr>
        <w:t>о</w:t>
      </w:r>
      <w:r w:rsidRPr="00D86727">
        <w:rPr>
          <w:lang w:val="bg-BG"/>
        </w:rPr>
        <w:t xml:space="preserve"> </w:t>
      </w:r>
      <w:r w:rsidR="005D6747" w:rsidRPr="00D86727">
        <w:rPr>
          <w:lang w:val="bg-BG"/>
        </w:rPr>
        <w:t xml:space="preserve">подкупване на чуждо длъжностно лице в България се съдържа в член 304 НК. Докато разпоредбата до голяма степен отговаря на изискванията на Конвенцията, някои елементи изискват допълнителни действия. </w:t>
      </w:r>
    </w:p>
    <w:p w14:paraId="44D297A2" w14:textId="77777777" w:rsidR="005D6747" w:rsidRPr="008C08CD" w:rsidRDefault="00EF25FD" w:rsidP="00EF25FD">
      <w:pPr>
        <w:keepNext/>
        <w:keepLines/>
        <w:widowControl/>
        <w:spacing w:before="280" w:after="180" w:line="280" w:lineRule="exact"/>
        <w:jc w:val="left"/>
        <w:outlineLvl w:val="2"/>
        <w:rPr>
          <w:rFonts w:eastAsiaTheme="majorEastAsia" w:cstheme="majorBidi"/>
          <w:b/>
          <w:i/>
          <w:color w:val="000000" w:themeColor="text1"/>
          <w:szCs w:val="24"/>
          <w:lang w:val="bg-BG"/>
        </w:rPr>
      </w:pPr>
      <w:r w:rsidRPr="00F02189">
        <w:rPr>
          <w:rFonts w:eastAsiaTheme="majorEastAsia" w:cstheme="majorBidi"/>
          <w:b/>
          <w:i/>
          <w:color w:val="000000" w:themeColor="text1"/>
          <w:szCs w:val="24"/>
          <w:lang w:val="bg-BG"/>
        </w:rPr>
        <w:t xml:space="preserve">а. </w:t>
      </w:r>
      <w:r w:rsidR="006E173E">
        <w:rPr>
          <w:rFonts w:eastAsiaTheme="majorEastAsia" w:cstheme="majorBidi"/>
          <w:b/>
          <w:i/>
          <w:color w:val="000000" w:themeColor="text1"/>
          <w:szCs w:val="24"/>
          <w:lang w:val="bg-BG"/>
        </w:rPr>
        <w:tab/>
      </w:r>
      <w:r w:rsidR="00660C3E" w:rsidRPr="006F6891">
        <w:rPr>
          <w:rFonts w:eastAsiaTheme="majorEastAsia" w:cstheme="majorBidi"/>
          <w:b/>
          <w:i/>
          <w:color w:val="000000" w:themeColor="text1"/>
          <w:szCs w:val="24"/>
          <w:lang w:val="bg-BG"/>
        </w:rPr>
        <w:t xml:space="preserve">Трети </w:t>
      </w:r>
      <w:r w:rsidR="00F02189" w:rsidRPr="008C08CD">
        <w:rPr>
          <w:rFonts w:eastAsiaTheme="majorEastAsia" w:cstheme="majorBidi"/>
          <w:b/>
          <w:i/>
          <w:color w:val="000000" w:themeColor="text1"/>
          <w:szCs w:val="24"/>
          <w:lang w:val="bg-BG"/>
        </w:rPr>
        <w:t xml:space="preserve">облагодетелствани </w:t>
      </w:r>
      <w:r w:rsidR="00493136" w:rsidRPr="00F02189">
        <w:rPr>
          <w:rFonts w:eastAsiaTheme="majorEastAsia" w:cstheme="majorBidi"/>
          <w:b/>
          <w:i/>
          <w:color w:val="000000" w:themeColor="text1"/>
          <w:szCs w:val="24"/>
          <w:lang w:val="bg-BG"/>
        </w:rPr>
        <w:t>лица</w:t>
      </w:r>
      <w:r w:rsidR="00660C3E" w:rsidRPr="00F02189">
        <w:rPr>
          <w:rFonts w:eastAsiaTheme="majorEastAsia" w:cstheme="majorBidi"/>
          <w:b/>
          <w:i/>
          <w:color w:val="000000" w:themeColor="text1"/>
          <w:szCs w:val="24"/>
          <w:lang w:val="bg-BG"/>
        </w:rPr>
        <w:t xml:space="preserve"> </w:t>
      </w:r>
    </w:p>
    <w:p w14:paraId="5E0FF9AA" w14:textId="6D34BEAA" w:rsidR="005D6747" w:rsidRPr="008C08CD" w:rsidRDefault="005D6747" w:rsidP="005D6747">
      <w:pPr>
        <w:widowControl/>
        <w:numPr>
          <w:ilvl w:val="0"/>
          <w:numId w:val="1"/>
        </w:numPr>
        <w:spacing w:before="120" w:after="120" w:line="260" w:lineRule="atLeast"/>
        <w:rPr>
          <w:sz w:val="20"/>
          <w:lang w:val="bg-BG"/>
        </w:rPr>
      </w:pPr>
      <w:r w:rsidRPr="008C08CD">
        <w:rPr>
          <w:sz w:val="20"/>
          <w:lang w:val="bg-BG"/>
        </w:rPr>
        <w:t xml:space="preserve">Във </w:t>
      </w:r>
      <w:r w:rsidR="00673F1F" w:rsidRPr="008C08CD">
        <w:rPr>
          <w:sz w:val="20"/>
          <w:lang w:val="bg-BG"/>
        </w:rPr>
        <w:t>Фаза</w:t>
      </w:r>
      <w:r w:rsidRPr="008C08CD">
        <w:rPr>
          <w:sz w:val="20"/>
          <w:lang w:val="bg-BG"/>
        </w:rPr>
        <w:t xml:space="preserve"> 3 </w:t>
      </w:r>
      <w:r w:rsidRPr="005D6747">
        <w:rPr>
          <w:sz w:val="20"/>
          <w:lang w:val="bg-BG"/>
        </w:rPr>
        <w:t>Р</w:t>
      </w:r>
      <w:r w:rsidRPr="008C08CD">
        <w:rPr>
          <w:sz w:val="20"/>
          <w:lang w:val="bg-BG"/>
        </w:rPr>
        <w:t>аботната група установи, че за разлика от член 1, параграф 1 от Конвенцията, активн</w:t>
      </w:r>
      <w:r w:rsidR="00F02189">
        <w:rPr>
          <w:sz w:val="20"/>
          <w:lang w:val="bg-BG"/>
        </w:rPr>
        <w:t xml:space="preserve">ият </w:t>
      </w:r>
      <w:r w:rsidRPr="005D6747">
        <w:rPr>
          <w:sz w:val="20"/>
          <w:lang w:val="bg-BG"/>
        </w:rPr>
        <w:t>подку</w:t>
      </w:r>
      <w:r w:rsidR="00747035">
        <w:rPr>
          <w:sz w:val="20"/>
          <w:lang w:val="bg-BG"/>
        </w:rPr>
        <w:t>п</w:t>
      </w:r>
      <w:r w:rsidRPr="005D6747">
        <w:rPr>
          <w:sz w:val="20"/>
          <w:lang w:val="bg-BG"/>
        </w:rPr>
        <w:t xml:space="preserve"> на чужди длъжностни лица</w:t>
      </w:r>
      <w:r w:rsidRPr="008C08CD">
        <w:rPr>
          <w:sz w:val="20"/>
          <w:lang w:val="bg-BG"/>
        </w:rPr>
        <w:t xml:space="preserve"> не покрива изрично </w:t>
      </w:r>
      <w:r w:rsidR="00F02189">
        <w:rPr>
          <w:sz w:val="20"/>
          <w:lang w:val="bg-BG"/>
        </w:rPr>
        <w:t xml:space="preserve">случаите, в които облагата е </w:t>
      </w:r>
      <w:r w:rsidRPr="008C08CD">
        <w:rPr>
          <w:sz w:val="20"/>
          <w:lang w:val="bg-BG"/>
        </w:rPr>
        <w:t>даден</w:t>
      </w:r>
      <w:r w:rsidR="00F02189">
        <w:rPr>
          <w:sz w:val="20"/>
          <w:lang w:val="bg-BG"/>
        </w:rPr>
        <w:t>а</w:t>
      </w:r>
      <w:r w:rsidRPr="008C08CD">
        <w:rPr>
          <w:sz w:val="20"/>
          <w:lang w:val="bg-BG"/>
        </w:rPr>
        <w:t xml:space="preserve"> на чуждо </w:t>
      </w:r>
      <w:r w:rsidRPr="005D6747">
        <w:rPr>
          <w:sz w:val="20"/>
          <w:lang w:val="bg-BG"/>
        </w:rPr>
        <w:t>длъжностно лице</w:t>
      </w:r>
      <w:r w:rsidRPr="008C08CD">
        <w:rPr>
          <w:sz w:val="20"/>
          <w:lang w:val="bg-BG"/>
        </w:rPr>
        <w:t xml:space="preserve"> </w:t>
      </w:r>
      <w:r w:rsidR="00F02189">
        <w:rPr>
          <w:sz w:val="20"/>
          <w:lang w:val="bg-BG"/>
        </w:rPr>
        <w:t>в полза на</w:t>
      </w:r>
      <w:r w:rsidR="00F02189" w:rsidRPr="008C08CD">
        <w:rPr>
          <w:sz w:val="20"/>
          <w:lang w:val="bg-BG"/>
        </w:rPr>
        <w:t xml:space="preserve"> </w:t>
      </w:r>
      <w:r w:rsidRPr="008C08CD">
        <w:rPr>
          <w:sz w:val="20"/>
          <w:lang w:val="bg-BG"/>
        </w:rPr>
        <w:t>трет</w:t>
      </w:r>
      <w:r w:rsidR="00F02189">
        <w:rPr>
          <w:sz w:val="20"/>
          <w:lang w:val="bg-BG"/>
        </w:rPr>
        <w:t>о лице</w:t>
      </w:r>
      <w:r w:rsidRPr="008C08CD">
        <w:rPr>
          <w:sz w:val="20"/>
          <w:lang w:val="bg-BG"/>
        </w:rPr>
        <w:t xml:space="preserve">, и затова препоръча на България да измени </w:t>
      </w:r>
      <w:r w:rsidR="00F02189">
        <w:rPr>
          <w:sz w:val="20"/>
          <w:lang w:val="bg-BG"/>
        </w:rPr>
        <w:t xml:space="preserve">състава на </w:t>
      </w:r>
      <w:r w:rsidR="00747035">
        <w:rPr>
          <w:sz w:val="20"/>
          <w:lang w:val="bg-BG"/>
        </w:rPr>
        <w:t>престъплението</w:t>
      </w:r>
      <w:r w:rsidRPr="008C08CD">
        <w:rPr>
          <w:sz w:val="20"/>
          <w:lang w:val="bg-BG"/>
        </w:rPr>
        <w:t xml:space="preserve"> </w:t>
      </w:r>
      <w:r w:rsidR="00F02189">
        <w:rPr>
          <w:sz w:val="20"/>
          <w:lang w:val="bg-BG"/>
        </w:rPr>
        <w:t>подкуп на</w:t>
      </w:r>
      <w:r w:rsidRPr="005D6747">
        <w:rPr>
          <w:sz w:val="20"/>
          <w:lang w:val="bg-BG"/>
        </w:rPr>
        <w:t xml:space="preserve"> чуждо длъжностно лице</w:t>
      </w:r>
      <w:r w:rsidR="00076D6B">
        <w:rPr>
          <w:sz w:val="20"/>
          <w:lang w:val="bg-BG"/>
        </w:rPr>
        <w:t>, така че той</w:t>
      </w:r>
      <w:r w:rsidRPr="008C08CD">
        <w:rPr>
          <w:sz w:val="20"/>
          <w:lang w:val="bg-BG"/>
        </w:rPr>
        <w:t xml:space="preserve"> изрично </w:t>
      </w:r>
      <w:r w:rsidR="00076D6B">
        <w:rPr>
          <w:sz w:val="20"/>
          <w:lang w:val="bg-BG"/>
        </w:rPr>
        <w:t xml:space="preserve">да </w:t>
      </w:r>
      <w:r w:rsidRPr="008C08CD">
        <w:rPr>
          <w:sz w:val="20"/>
          <w:lang w:val="bg-BG"/>
        </w:rPr>
        <w:t xml:space="preserve">покрива подкупи, дадени </w:t>
      </w:r>
      <w:r w:rsidR="00076D6B">
        <w:rPr>
          <w:sz w:val="20"/>
          <w:lang w:val="bg-BG"/>
        </w:rPr>
        <w:t xml:space="preserve">в полза </w:t>
      </w:r>
      <w:r w:rsidRPr="008C08CD">
        <w:rPr>
          <w:sz w:val="20"/>
          <w:lang w:val="bg-BG"/>
        </w:rPr>
        <w:t xml:space="preserve">на трети </w:t>
      </w:r>
      <w:r w:rsidR="00493136">
        <w:rPr>
          <w:sz w:val="20"/>
          <w:lang w:val="bg-BG"/>
        </w:rPr>
        <w:t>лица</w:t>
      </w:r>
      <w:r w:rsidR="00493136" w:rsidRPr="008C08CD">
        <w:rPr>
          <w:sz w:val="20"/>
          <w:lang w:val="bg-BG"/>
        </w:rPr>
        <w:t xml:space="preserve"> </w:t>
      </w:r>
      <w:r w:rsidRPr="008C08CD">
        <w:rPr>
          <w:sz w:val="20"/>
          <w:lang w:val="bg-BG"/>
        </w:rPr>
        <w:t>(</w:t>
      </w:r>
      <w:r w:rsidR="00FB2E41">
        <w:rPr>
          <w:sz w:val="20"/>
          <w:lang w:val="bg-BG"/>
        </w:rPr>
        <w:t xml:space="preserve">Втората част от </w:t>
      </w:r>
      <w:r w:rsidRPr="008C08CD">
        <w:rPr>
          <w:sz w:val="20"/>
          <w:lang w:val="bg-BG"/>
        </w:rPr>
        <w:t xml:space="preserve">препоръка 1 (а) ). През 2015 г. България измени своя </w:t>
      </w:r>
      <w:r w:rsidRPr="005D6747">
        <w:rPr>
          <w:sz w:val="20"/>
          <w:lang w:val="bg-BG"/>
        </w:rPr>
        <w:t>НК</w:t>
      </w:r>
      <w:r w:rsidRPr="008C08CD">
        <w:rPr>
          <w:sz w:val="20"/>
          <w:lang w:val="bg-BG"/>
        </w:rPr>
        <w:t xml:space="preserve"> (Държавен вестник (ДВ, бр. 74 от 2015 г.)), за да въведе нов член 304, буква (</w:t>
      </w:r>
      <w:r w:rsidRPr="005D6747">
        <w:rPr>
          <w:sz w:val="20"/>
          <w:lang w:val="bg-BG"/>
        </w:rPr>
        <w:t>в</w:t>
      </w:r>
      <w:r w:rsidRPr="008C08CD">
        <w:rPr>
          <w:sz w:val="20"/>
          <w:lang w:val="bg-BG"/>
        </w:rPr>
        <w:t xml:space="preserve">), който да обхваща изрично </w:t>
      </w:r>
      <w:r w:rsidR="00FB2E41">
        <w:rPr>
          <w:sz w:val="20"/>
          <w:lang w:val="bg-BG"/>
        </w:rPr>
        <w:t>трети лица</w:t>
      </w:r>
      <w:r w:rsidR="009C469F">
        <w:rPr>
          <w:sz w:val="20"/>
          <w:lang w:val="bg-BG"/>
        </w:rPr>
        <w:t>, в полза на които е даден подкуп</w:t>
      </w:r>
      <w:r w:rsidR="00076D6B">
        <w:rPr>
          <w:sz w:val="20"/>
          <w:lang w:val="bg-BG"/>
        </w:rPr>
        <w:t>ът</w:t>
      </w:r>
      <w:r w:rsidR="009C469F">
        <w:rPr>
          <w:sz w:val="20"/>
          <w:lang w:val="bg-BG"/>
        </w:rPr>
        <w:t>.</w:t>
      </w:r>
      <w:r w:rsidRPr="008C08CD">
        <w:rPr>
          <w:sz w:val="20"/>
          <w:lang w:val="bg-BG"/>
        </w:rPr>
        <w:t xml:space="preserve"> Според новата разпоредба подкупът </w:t>
      </w:r>
      <w:r w:rsidRPr="005D6747">
        <w:rPr>
          <w:sz w:val="20"/>
          <w:lang w:val="bg-BG"/>
        </w:rPr>
        <w:t>на чуждо длъжностно лице</w:t>
      </w:r>
      <w:r w:rsidRPr="008C08CD">
        <w:rPr>
          <w:sz w:val="20"/>
          <w:lang w:val="bg-BG"/>
        </w:rPr>
        <w:t xml:space="preserve"> се наказва дори „когато </w:t>
      </w:r>
      <w:r w:rsidRPr="005D6747">
        <w:rPr>
          <w:sz w:val="20"/>
          <w:lang w:val="bg-BG"/>
        </w:rPr>
        <w:t>дарът</w:t>
      </w:r>
      <w:r w:rsidRPr="008C08CD">
        <w:rPr>
          <w:sz w:val="20"/>
          <w:lang w:val="bg-BG"/>
        </w:rPr>
        <w:t xml:space="preserve"> или облагата са предложени, обещани или дадени на друго лице“. Докато съответната препоръка от </w:t>
      </w:r>
      <w:r w:rsidR="00673F1F">
        <w:rPr>
          <w:sz w:val="20"/>
          <w:lang w:val="bg-BG"/>
        </w:rPr>
        <w:t>Фаза</w:t>
      </w:r>
      <w:r w:rsidRPr="008C08CD">
        <w:rPr>
          <w:sz w:val="20"/>
          <w:lang w:val="bg-BG"/>
        </w:rPr>
        <w:t xml:space="preserve"> 3 по този въпрос </w:t>
      </w:r>
      <w:r w:rsidR="00076D6B">
        <w:rPr>
          <w:sz w:val="20"/>
          <w:lang w:val="bg-BG"/>
        </w:rPr>
        <w:t>следва</w:t>
      </w:r>
      <w:r w:rsidR="00076D6B" w:rsidRPr="008C08CD">
        <w:rPr>
          <w:sz w:val="20"/>
          <w:lang w:val="bg-BG"/>
        </w:rPr>
        <w:t xml:space="preserve"> </w:t>
      </w:r>
      <w:r w:rsidRPr="008C08CD">
        <w:rPr>
          <w:sz w:val="20"/>
          <w:lang w:val="bg-BG"/>
        </w:rPr>
        <w:t xml:space="preserve">да се счита за напълно изпълнена, новият език на разпоредбата се позовава на „съгласието на длъжностното лице“, което може да повдигне въпроси от гледна точка на доказване на </w:t>
      </w:r>
      <w:r w:rsidR="00076D6B">
        <w:rPr>
          <w:sz w:val="20"/>
          <w:lang w:val="bg-BG"/>
        </w:rPr>
        <w:t>престъплението</w:t>
      </w:r>
      <w:r w:rsidR="00076D6B" w:rsidRPr="008C08CD">
        <w:rPr>
          <w:sz w:val="20"/>
          <w:lang w:val="bg-BG"/>
        </w:rPr>
        <w:t xml:space="preserve"> </w:t>
      </w:r>
      <w:r w:rsidRPr="008C08CD">
        <w:rPr>
          <w:sz w:val="20"/>
          <w:lang w:val="bg-BG"/>
        </w:rPr>
        <w:t>и да въведе допълнително изискване, което не е установено в Конвенцията. По време на виртуалн</w:t>
      </w:r>
      <w:r w:rsidR="00320E4C">
        <w:rPr>
          <w:sz w:val="20"/>
          <w:lang w:val="bg-BG"/>
        </w:rPr>
        <w:t>ото посещение</w:t>
      </w:r>
      <w:r w:rsidRPr="005D6747">
        <w:rPr>
          <w:sz w:val="20"/>
          <w:lang w:val="bg-BG"/>
        </w:rPr>
        <w:t xml:space="preserve"> </w:t>
      </w:r>
      <w:r w:rsidRPr="008C08CD">
        <w:rPr>
          <w:sz w:val="20"/>
          <w:lang w:val="bg-BG"/>
        </w:rPr>
        <w:t xml:space="preserve">по този въпрос не беше предоставена съдебна практика, въпреки че по време на </w:t>
      </w:r>
      <w:r w:rsidR="00076D6B">
        <w:rPr>
          <w:sz w:val="20"/>
          <w:lang w:val="bg-BG"/>
        </w:rPr>
        <w:t xml:space="preserve">срещата </w:t>
      </w:r>
      <w:r w:rsidR="00320E4C">
        <w:rPr>
          <w:sz w:val="20"/>
          <w:lang w:val="bg-BG"/>
        </w:rPr>
        <w:t>със съдии</w:t>
      </w:r>
      <w:r w:rsidR="00076D6B">
        <w:rPr>
          <w:sz w:val="20"/>
          <w:lang w:val="bg-BG"/>
        </w:rPr>
        <w:t>те</w:t>
      </w:r>
      <w:r w:rsidR="00320E4C">
        <w:rPr>
          <w:sz w:val="20"/>
          <w:lang w:val="bg-BG"/>
        </w:rPr>
        <w:t xml:space="preserve"> </w:t>
      </w:r>
      <w:r w:rsidRPr="008C08CD">
        <w:rPr>
          <w:sz w:val="20"/>
          <w:lang w:val="bg-BG"/>
        </w:rPr>
        <w:t>беше изразено становището, че длъжностните лица</w:t>
      </w:r>
      <w:r w:rsidR="00A31F1B">
        <w:rPr>
          <w:sz w:val="20"/>
          <w:lang w:val="bg-BG"/>
        </w:rPr>
        <w:t xml:space="preserve"> всъщност следва да се съгласят </w:t>
      </w:r>
      <w:r w:rsidR="00910A2E">
        <w:rPr>
          <w:sz w:val="20"/>
          <w:lang w:val="bg-BG"/>
        </w:rPr>
        <w:t>дар</w:t>
      </w:r>
      <w:r w:rsidR="00A5518C">
        <w:rPr>
          <w:sz w:val="20"/>
          <w:lang w:val="bg-BG"/>
        </w:rPr>
        <w:t>ът</w:t>
      </w:r>
      <w:r w:rsidR="00A31F1B">
        <w:rPr>
          <w:sz w:val="20"/>
          <w:lang w:val="bg-BG"/>
        </w:rPr>
        <w:t xml:space="preserve"> или облага</w:t>
      </w:r>
      <w:r w:rsidR="00A5518C">
        <w:rPr>
          <w:sz w:val="20"/>
          <w:lang w:val="bg-BG"/>
        </w:rPr>
        <w:t>та да бъдат предложени</w:t>
      </w:r>
      <w:r w:rsidR="00A31F1B">
        <w:rPr>
          <w:sz w:val="20"/>
          <w:lang w:val="bg-BG"/>
        </w:rPr>
        <w:t>, обещани или дадени на друго лице,</w:t>
      </w:r>
      <w:r w:rsidRPr="008C08CD">
        <w:rPr>
          <w:sz w:val="20"/>
          <w:lang w:val="bg-BG"/>
        </w:rPr>
        <w:t xml:space="preserve"> съгласно разпоредбите на член 304, буква </w:t>
      </w:r>
      <w:r w:rsidRPr="005D6747">
        <w:rPr>
          <w:sz w:val="20"/>
          <w:lang w:val="bg-BG"/>
        </w:rPr>
        <w:t>(в</w:t>
      </w:r>
      <w:r w:rsidRPr="008C08CD">
        <w:rPr>
          <w:sz w:val="20"/>
          <w:lang w:val="bg-BG"/>
        </w:rPr>
        <w:t>).</w:t>
      </w:r>
    </w:p>
    <w:p w14:paraId="25E9EA77" w14:textId="77777777" w:rsidR="005D6747" w:rsidRPr="008C08CD" w:rsidRDefault="00EF25FD" w:rsidP="006E173E">
      <w:pPr>
        <w:keepNext/>
        <w:keepLines/>
        <w:widowControl/>
        <w:spacing w:before="280" w:after="180" w:line="280" w:lineRule="exact"/>
        <w:outlineLvl w:val="2"/>
        <w:rPr>
          <w:rFonts w:eastAsiaTheme="majorEastAsia" w:cstheme="majorBidi"/>
          <w:b/>
          <w:i/>
          <w:color w:val="000000" w:themeColor="text1"/>
          <w:szCs w:val="24"/>
          <w:lang w:val="bg-BG"/>
        </w:rPr>
      </w:pPr>
      <w:r>
        <w:rPr>
          <w:rFonts w:eastAsiaTheme="majorEastAsia" w:cstheme="majorBidi"/>
          <w:b/>
          <w:i/>
          <w:color w:val="000000" w:themeColor="text1"/>
          <w:szCs w:val="24"/>
          <w:lang w:val="bg-BG"/>
        </w:rPr>
        <w:t xml:space="preserve">б. </w:t>
      </w:r>
      <w:r w:rsidR="006E173E">
        <w:rPr>
          <w:rFonts w:eastAsiaTheme="majorEastAsia" w:cstheme="majorBidi"/>
          <w:b/>
          <w:i/>
          <w:color w:val="000000" w:themeColor="text1"/>
          <w:szCs w:val="24"/>
          <w:lang w:val="bg-BG"/>
        </w:rPr>
        <w:tab/>
      </w:r>
      <w:r w:rsidR="005D6747" w:rsidRPr="008C08CD">
        <w:rPr>
          <w:rFonts w:eastAsiaTheme="majorEastAsia" w:cstheme="majorBidi"/>
          <w:b/>
          <w:i/>
          <w:color w:val="000000" w:themeColor="text1"/>
          <w:szCs w:val="24"/>
          <w:lang w:val="bg-BG"/>
        </w:rPr>
        <w:t>Действие или въздържане от действия във връзка с изпълнението на служебните задължения</w:t>
      </w:r>
    </w:p>
    <w:p w14:paraId="19D4ACCD" w14:textId="1E319AB0" w:rsidR="005D6747" w:rsidRPr="009714AB" w:rsidRDefault="005D6747" w:rsidP="005D6747">
      <w:pPr>
        <w:widowControl/>
        <w:numPr>
          <w:ilvl w:val="0"/>
          <w:numId w:val="1"/>
        </w:numPr>
        <w:spacing w:before="120" w:after="120" w:line="260" w:lineRule="atLeast"/>
        <w:rPr>
          <w:b/>
          <w:i/>
          <w:sz w:val="20"/>
          <w:lang w:val="bg-BG"/>
        </w:rPr>
      </w:pPr>
      <w:r w:rsidRPr="008C08CD">
        <w:rPr>
          <w:sz w:val="20"/>
          <w:lang w:val="bg-BG"/>
        </w:rPr>
        <w:t>Член 1, параграф 4, буква (</w:t>
      </w:r>
      <w:r w:rsidR="00076D6B">
        <w:rPr>
          <w:sz w:val="20"/>
          <w:lang w:val="bg-BG"/>
        </w:rPr>
        <w:t>в</w:t>
      </w:r>
      <w:r w:rsidRPr="009714AB">
        <w:rPr>
          <w:sz w:val="20"/>
          <w:lang w:val="bg-BG"/>
        </w:rPr>
        <w:t xml:space="preserve">) от Конвенцията изисква отразяване на даването, предлагането или обещанието на подкуп „с цел </w:t>
      </w:r>
      <w:r w:rsidR="00076D6B">
        <w:rPr>
          <w:sz w:val="20"/>
          <w:lang w:val="bg-BG"/>
        </w:rPr>
        <w:t>длъжностното лица да извърши</w:t>
      </w:r>
      <w:r w:rsidR="00076D6B" w:rsidRPr="009714AB">
        <w:rPr>
          <w:sz w:val="20"/>
          <w:lang w:val="bg-BG"/>
        </w:rPr>
        <w:t xml:space="preserve"> </w:t>
      </w:r>
      <w:r w:rsidRPr="009714AB">
        <w:rPr>
          <w:sz w:val="20"/>
          <w:lang w:val="bg-BG"/>
        </w:rPr>
        <w:t xml:space="preserve">действие или </w:t>
      </w:r>
      <w:r w:rsidR="00076D6B">
        <w:rPr>
          <w:sz w:val="20"/>
          <w:lang w:val="bg-BG"/>
        </w:rPr>
        <w:t xml:space="preserve">да се </w:t>
      </w:r>
      <w:r w:rsidR="00076D6B" w:rsidRPr="009714AB">
        <w:rPr>
          <w:sz w:val="20"/>
          <w:lang w:val="bg-BG"/>
        </w:rPr>
        <w:t>въздърж</w:t>
      </w:r>
      <w:r w:rsidR="00076D6B">
        <w:rPr>
          <w:sz w:val="20"/>
          <w:lang w:val="bg-BG"/>
        </w:rPr>
        <w:t>и</w:t>
      </w:r>
      <w:r w:rsidR="00076D6B" w:rsidRPr="009714AB">
        <w:rPr>
          <w:sz w:val="20"/>
          <w:lang w:val="bg-BG"/>
        </w:rPr>
        <w:t xml:space="preserve"> </w:t>
      </w:r>
      <w:r w:rsidRPr="009714AB">
        <w:rPr>
          <w:sz w:val="20"/>
          <w:lang w:val="bg-BG"/>
        </w:rPr>
        <w:t xml:space="preserve">от действия във връзка с изпълнението на служебните задължения“. Тази фраза „включва всяко използване на </w:t>
      </w:r>
      <w:r w:rsidRPr="005D6747">
        <w:rPr>
          <w:sz w:val="20"/>
          <w:lang w:val="bg-BG"/>
        </w:rPr>
        <w:t xml:space="preserve">положението </w:t>
      </w:r>
      <w:r w:rsidRPr="009714AB">
        <w:rPr>
          <w:sz w:val="20"/>
          <w:lang w:val="bg-BG"/>
        </w:rPr>
        <w:t xml:space="preserve">на </w:t>
      </w:r>
      <w:r w:rsidRPr="005D6747">
        <w:rPr>
          <w:sz w:val="20"/>
          <w:lang w:val="bg-BG"/>
        </w:rPr>
        <w:t>длъжностното лице</w:t>
      </w:r>
      <w:r w:rsidRPr="009714AB">
        <w:rPr>
          <w:sz w:val="20"/>
          <w:lang w:val="bg-BG"/>
        </w:rPr>
        <w:t xml:space="preserve">, независимо от това дали </w:t>
      </w:r>
      <w:r w:rsidR="00076D6B">
        <w:rPr>
          <w:sz w:val="20"/>
          <w:lang w:val="bg-BG"/>
        </w:rPr>
        <w:t>попада в</w:t>
      </w:r>
      <w:r w:rsidR="00076D6B" w:rsidRPr="005D6747">
        <w:rPr>
          <w:sz w:val="20"/>
          <w:lang w:val="bg-BG"/>
        </w:rPr>
        <w:t xml:space="preserve"> разрешената</w:t>
      </w:r>
      <w:r w:rsidR="00076D6B" w:rsidRPr="003C2D25">
        <w:rPr>
          <w:sz w:val="20"/>
          <w:lang w:val="bg-BG"/>
        </w:rPr>
        <w:t xml:space="preserve"> компетентност на </w:t>
      </w:r>
      <w:r w:rsidR="00076D6B" w:rsidRPr="005D6747">
        <w:rPr>
          <w:sz w:val="20"/>
          <w:lang w:val="bg-BG"/>
        </w:rPr>
        <w:t xml:space="preserve">служителя </w:t>
      </w:r>
      <w:r w:rsidRPr="005D6747">
        <w:rPr>
          <w:sz w:val="20"/>
          <w:lang w:val="bg-BG"/>
        </w:rPr>
        <w:t xml:space="preserve">или </w:t>
      </w:r>
      <w:r w:rsidR="00076D6B">
        <w:rPr>
          <w:sz w:val="20"/>
          <w:lang w:val="bg-BG"/>
        </w:rPr>
        <w:t xml:space="preserve">излиза </w:t>
      </w:r>
      <w:r w:rsidRPr="005D6747">
        <w:rPr>
          <w:sz w:val="20"/>
          <w:lang w:val="bg-BG"/>
        </w:rPr>
        <w:t>извън</w:t>
      </w:r>
      <w:r w:rsidR="00076D6B">
        <w:rPr>
          <w:sz w:val="20"/>
          <w:lang w:val="bg-BG"/>
        </w:rPr>
        <w:t xml:space="preserve"> нея</w:t>
      </w:r>
      <w:r w:rsidRPr="009714AB">
        <w:rPr>
          <w:sz w:val="20"/>
          <w:lang w:val="bg-BG"/>
        </w:rPr>
        <w:t xml:space="preserve">“. Във </w:t>
      </w:r>
      <w:r w:rsidR="00673F1F">
        <w:rPr>
          <w:sz w:val="20"/>
          <w:lang w:val="bg-BG"/>
        </w:rPr>
        <w:t>Фаза</w:t>
      </w:r>
      <w:r w:rsidRPr="009714AB">
        <w:rPr>
          <w:sz w:val="20"/>
          <w:lang w:val="bg-BG"/>
        </w:rPr>
        <w:t xml:space="preserve"> 3 </w:t>
      </w:r>
      <w:r w:rsidR="00076D6B">
        <w:rPr>
          <w:sz w:val="20"/>
          <w:lang w:val="bg-BG"/>
        </w:rPr>
        <w:t xml:space="preserve">съставът на </w:t>
      </w:r>
      <w:r w:rsidR="00910A2E">
        <w:rPr>
          <w:sz w:val="20"/>
          <w:lang w:val="bg-BG"/>
        </w:rPr>
        <w:t>престъплението</w:t>
      </w:r>
      <w:r w:rsidR="00910A2E" w:rsidRPr="009714AB">
        <w:rPr>
          <w:sz w:val="20"/>
          <w:lang w:val="bg-BG"/>
        </w:rPr>
        <w:t xml:space="preserve"> </w:t>
      </w:r>
      <w:r w:rsidRPr="009714AB">
        <w:rPr>
          <w:sz w:val="20"/>
          <w:lang w:val="bg-BG"/>
        </w:rPr>
        <w:t>подкуп</w:t>
      </w:r>
      <w:r w:rsidR="00076D6B">
        <w:rPr>
          <w:sz w:val="20"/>
          <w:lang w:val="bg-BG"/>
        </w:rPr>
        <w:t xml:space="preserve"> </w:t>
      </w:r>
      <w:r w:rsidRPr="005D6747">
        <w:rPr>
          <w:sz w:val="20"/>
          <w:lang w:val="bg-BG"/>
        </w:rPr>
        <w:t>на</w:t>
      </w:r>
      <w:r w:rsidRPr="009714AB">
        <w:rPr>
          <w:sz w:val="20"/>
          <w:lang w:val="bg-BG"/>
        </w:rPr>
        <w:t xml:space="preserve"> чуж</w:t>
      </w:r>
      <w:r w:rsidRPr="005D6747">
        <w:rPr>
          <w:sz w:val="20"/>
          <w:lang w:val="bg-BG"/>
        </w:rPr>
        <w:t xml:space="preserve">до длъжностно лице </w:t>
      </w:r>
      <w:r w:rsidRPr="009714AB">
        <w:rPr>
          <w:sz w:val="20"/>
          <w:lang w:val="bg-BG"/>
        </w:rPr>
        <w:t xml:space="preserve">не изглежда да отговаря на това изискване </w:t>
      </w:r>
      <w:r w:rsidRPr="009714AB">
        <w:rPr>
          <w:sz w:val="20"/>
          <w:lang w:val="bg-BG"/>
        </w:rPr>
        <w:lastRenderedPageBreak/>
        <w:t>на Конвенцията, тъй като член 304, параграф 1 от НК по това време обхващаше само подкуп</w:t>
      </w:r>
      <w:r w:rsidR="0006265C">
        <w:rPr>
          <w:sz w:val="20"/>
          <w:lang w:val="bg-BG"/>
        </w:rPr>
        <w:t xml:space="preserve"> в полза на това</w:t>
      </w:r>
      <w:r w:rsidRPr="009714AB">
        <w:rPr>
          <w:sz w:val="20"/>
          <w:lang w:val="bg-BG"/>
        </w:rPr>
        <w:t xml:space="preserve"> длъжностно</w:t>
      </w:r>
      <w:r w:rsidR="0006265C">
        <w:rPr>
          <w:sz w:val="20"/>
          <w:lang w:val="bg-BG"/>
        </w:rPr>
        <w:t>то</w:t>
      </w:r>
      <w:r w:rsidRPr="009714AB">
        <w:rPr>
          <w:sz w:val="20"/>
          <w:lang w:val="bg-BG"/>
        </w:rPr>
        <w:t xml:space="preserve"> лице „да извърши или да не извърши действие </w:t>
      </w:r>
      <w:r w:rsidR="00301426">
        <w:rPr>
          <w:sz w:val="20"/>
          <w:lang w:val="bg-BG"/>
        </w:rPr>
        <w:t>по служба</w:t>
      </w:r>
      <w:r w:rsidRPr="009714AB">
        <w:rPr>
          <w:sz w:val="20"/>
          <w:lang w:val="bg-BG"/>
        </w:rPr>
        <w:t xml:space="preserve">, или защото </w:t>
      </w:r>
      <w:r w:rsidRPr="005D6747">
        <w:rPr>
          <w:sz w:val="20"/>
          <w:lang w:val="bg-BG"/>
        </w:rPr>
        <w:t>е</w:t>
      </w:r>
      <w:r w:rsidRPr="009714AB">
        <w:rPr>
          <w:sz w:val="20"/>
          <w:lang w:val="bg-BG"/>
        </w:rPr>
        <w:t xml:space="preserve"> извършило или не е извършило такова </w:t>
      </w:r>
      <w:r w:rsidR="0006265C">
        <w:rPr>
          <w:sz w:val="20"/>
          <w:lang w:val="bg-BG"/>
        </w:rPr>
        <w:t>действие</w:t>
      </w:r>
      <w:r w:rsidRPr="009714AB">
        <w:rPr>
          <w:sz w:val="20"/>
          <w:lang w:val="bg-BG"/>
        </w:rPr>
        <w:t xml:space="preserve">”. Работната група препоръча на България да </w:t>
      </w:r>
      <w:r w:rsidR="0006265C">
        <w:rPr>
          <w:sz w:val="20"/>
          <w:lang w:val="bg-BG"/>
        </w:rPr>
        <w:t>отстрани тази празнота</w:t>
      </w:r>
      <w:r w:rsidRPr="009714AB">
        <w:rPr>
          <w:sz w:val="20"/>
          <w:lang w:val="bg-BG"/>
        </w:rPr>
        <w:t xml:space="preserve"> и да измени </w:t>
      </w:r>
      <w:r w:rsidR="0006265C">
        <w:rPr>
          <w:sz w:val="20"/>
          <w:lang w:val="bg-BG"/>
        </w:rPr>
        <w:t xml:space="preserve">състава на престъплението </w:t>
      </w:r>
      <w:r w:rsidRPr="009714AB">
        <w:rPr>
          <w:sz w:val="20"/>
          <w:lang w:val="bg-BG"/>
        </w:rPr>
        <w:t>подкуп</w:t>
      </w:r>
      <w:r w:rsidR="0006265C">
        <w:rPr>
          <w:sz w:val="20"/>
          <w:lang w:val="bg-BG"/>
        </w:rPr>
        <w:t xml:space="preserve"> на чуждо длъжностно лице</w:t>
      </w:r>
      <w:r w:rsidRPr="009714AB">
        <w:rPr>
          <w:sz w:val="20"/>
          <w:lang w:val="bg-BG"/>
        </w:rPr>
        <w:t>, за да обхване всички случаи на подкуп</w:t>
      </w:r>
      <w:r w:rsidR="00AC0708">
        <w:rPr>
          <w:sz w:val="20"/>
          <w:lang w:val="bg-BG"/>
        </w:rPr>
        <w:t>, така че да бъд</w:t>
      </w:r>
      <w:r w:rsidR="00CC56ED">
        <w:rPr>
          <w:sz w:val="20"/>
          <w:lang w:val="bg-BG"/>
        </w:rPr>
        <w:t>ат включени</w:t>
      </w:r>
      <w:r w:rsidRPr="009714AB">
        <w:rPr>
          <w:sz w:val="20"/>
          <w:lang w:val="bg-BG"/>
        </w:rPr>
        <w:t xml:space="preserve"> </w:t>
      </w:r>
      <w:r w:rsidR="00AC0708">
        <w:rPr>
          <w:sz w:val="20"/>
          <w:lang w:val="bg-BG"/>
        </w:rPr>
        <w:t xml:space="preserve">и </w:t>
      </w:r>
      <w:r w:rsidRPr="009714AB">
        <w:rPr>
          <w:sz w:val="20"/>
          <w:lang w:val="bg-BG"/>
        </w:rPr>
        <w:t>действи</w:t>
      </w:r>
      <w:r w:rsidR="00AC0708">
        <w:rPr>
          <w:sz w:val="20"/>
          <w:lang w:val="bg-BG"/>
        </w:rPr>
        <w:t xml:space="preserve">я </w:t>
      </w:r>
      <w:r w:rsidR="00CC56ED">
        <w:rPr>
          <w:sz w:val="20"/>
          <w:lang w:val="bg-BG"/>
        </w:rPr>
        <w:t>на длъжностното лице</w:t>
      </w:r>
      <w:r w:rsidR="00AC0708">
        <w:rPr>
          <w:sz w:val="20"/>
          <w:lang w:val="bg-BG"/>
        </w:rPr>
        <w:t xml:space="preserve"> </w:t>
      </w:r>
      <w:r w:rsidRPr="009714AB">
        <w:rPr>
          <w:sz w:val="20"/>
          <w:lang w:val="bg-BG"/>
        </w:rPr>
        <w:t xml:space="preserve">извън </w:t>
      </w:r>
      <w:r w:rsidR="00CC56ED">
        <w:rPr>
          <w:sz w:val="20"/>
          <w:lang w:val="bg-BG"/>
        </w:rPr>
        <w:t>неговата</w:t>
      </w:r>
      <w:r w:rsidR="00CC56ED" w:rsidRPr="009714AB">
        <w:rPr>
          <w:sz w:val="20"/>
          <w:lang w:val="bg-BG"/>
        </w:rPr>
        <w:t xml:space="preserve"> </w:t>
      </w:r>
      <w:r w:rsidRPr="009714AB">
        <w:rPr>
          <w:sz w:val="20"/>
          <w:lang w:val="bg-BG"/>
        </w:rPr>
        <w:t>компетентност (</w:t>
      </w:r>
      <w:r w:rsidR="00910A2E">
        <w:rPr>
          <w:sz w:val="20"/>
          <w:lang w:val="bg-BG"/>
        </w:rPr>
        <w:t xml:space="preserve">първата част от </w:t>
      </w:r>
      <w:r w:rsidRPr="009714AB">
        <w:rPr>
          <w:sz w:val="20"/>
          <w:lang w:val="bg-BG"/>
        </w:rPr>
        <w:t xml:space="preserve">препоръка 1 (а)). </w:t>
      </w:r>
      <w:r w:rsidR="00CC56ED">
        <w:rPr>
          <w:sz w:val="20"/>
          <w:lang w:val="bg-BG"/>
        </w:rPr>
        <w:t>Престъплението</w:t>
      </w:r>
      <w:r w:rsidR="00CC56ED" w:rsidRPr="009714AB">
        <w:rPr>
          <w:sz w:val="20"/>
          <w:lang w:val="bg-BG"/>
        </w:rPr>
        <w:t xml:space="preserve"> </w:t>
      </w:r>
      <w:r w:rsidRPr="009714AB">
        <w:rPr>
          <w:sz w:val="20"/>
          <w:lang w:val="bg-BG"/>
        </w:rPr>
        <w:t>подкуп</w:t>
      </w:r>
      <w:r w:rsidRPr="005D6747">
        <w:rPr>
          <w:sz w:val="20"/>
          <w:lang w:val="bg-BG"/>
        </w:rPr>
        <w:t xml:space="preserve"> на чуждо длъжностно лице</w:t>
      </w:r>
      <w:r w:rsidRPr="009714AB">
        <w:rPr>
          <w:sz w:val="20"/>
          <w:lang w:val="bg-BG"/>
        </w:rPr>
        <w:t xml:space="preserve"> </w:t>
      </w:r>
      <w:r w:rsidR="00CC56ED">
        <w:rPr>
          <w:sz w:val="20"/>
          <w:lang w:val="bg-BG"/>
        </w:rPr>
        <w:t>в</w:t>
      </w:r>
      <w:r w:rsidR="00CC56ED" w:rsidRPr="005D6747">
        <w:rPr>
          <w:sz w:val="20"/>
          <w:lang w:val="bg-BG"/>
        </w:rPr>
        <w:t xml:space="preserve"> </w:t>
      </w:r>
      <w:r w:rsidRPr="005D6747">
        <w:rPr>
          <w:sz w:val="20"/>
          <w:lang w:val="bg-BG"/>
        </w:rPr>
        <w:t xml:space="preserve">България </w:t>
      </w:r>
      <w:r w:rsidRPr="009714AB">
        <w:rPr>
          <w:sz w:val="20"/>
          <w:lang w:val="bg-BG"/>
        </w:rPr>
        <w:t xml:space="preserve">обаче не е изменено, за да вземе предвид това, а член 304, параграф 1 от НК все още обхваща само </w:t>
      </w:r>
      <w:r w:rsidR="00CC56ED" w:rsidRPr="009714AB">
        <w:rPr>
          <w:sz w:val="20"/>
          <w:lang w:val="bg-BG"/>
        </w:rPr>
        <w:t>подкуп</w:t>
      </w:r>
      <w:r w:rsidR="00CC56ED">
        <w:rPr>
          <w:sz w:val="20"/>
          <w:lang w:val="bg-BG"/>
        </w:rPr>
        <w:t>ването на</w:t>
      </w:r>
      <w:r w:rsidRPr="009714AB">
        <w:rPr>
          <w:sz w:val="20"/>
          <w:lang w:val="bg-BG"/>
        </w:rPr>
        <w:t xml:space="preserve"> длъжностно лице „</w:t>
      </w:r>
      <w:r w:rsidR="00CC56ED">
        <w:rPr>
          <w:sz w:val="20"/>
          <w:lang w:val="bg-BG"/>
        </w:rPr>
        <w:t xml:space="preserve">за </w:t>
      </w:r>
      <w:r w:rsidRPr="009714AB">
        <w:rPr>
          <w:sz w:val="20"/>
          <w:lang w:val="bg-BG"/>
        </w:rPr>
        <w:t xml:space="preserve">да извърши или да не извърши </w:t>
      </w:r>
      <w:r w:rsidRPr="005D6747">
        <w:rPr>
          <w:sz w:val="20"/>
          <w:lang w:val="bg-BG"/>
        </w:rPr>
        <w:t xml:space="preserve">действие </w:t>
      </w:r>
      <w:r w:rsidRPr="005D6747">
        <w:rPr>
          <w:sz w:val="20"/>
          <w:u w:val="single"/>
          <w:lang w:val="bg-BG"/>
        </w:rPr>
        <w:t>по</w:t>
      </w:r>
      <w:r w:rsidR="0006265C">
        <w:rPr>
          <w:sz w:val="20"/>
          <w:u w:val="single"/>
          <w:lang w:val="bg-BG"/>
        </w:rPr>
        <w:t xml:space="preserve"> </w:t>
      </w:r>
      <w:r w:rsidRPr="009714AB">
        <w:rPr>
          <w:sz w:val="20"/>
          <w:u w:val="single"/>
          <w:lang w:val="bg-BG"/>
        </w:rPr>
        <w:t>служба</w:t>
      </w:r>
      <w:r w:rsidRPr="009714AB">
        <w:rPr>
          <w:sz w:val="20"/>
          <w:lang w:val="bg-BG"/>
        </w:rPr>
        <w:t xml:space="preserve"> или за</w:t>
      </w:r>
      <w:r w:rsidRPr="005D6747">
        <w:rPr>
          <w:sz w:val="20"/>
          <w:lang w:val="bg-BG"/>
        </w:rPr>
        <w:t>гдето е</w:t>
      </w:r>
      <w:r w:rsidRPr="009714AB">
        <w:rPr>
          <w:sz w:val="20"/>
          <w:lang w:val="bg-BG"/>
        </w:rPr>
        <w:t xml:space="preserve"> извършил</w:t>
      </w:r>
      <w:r w:rsidRPr="005D6747">
        <w:rPr>
          <w:sz w:val="20"/>
          <w:lang w:val="bg-BG"/>
        </w:rPr>
        <w:t>о</w:t>
      </w:r>
      <w:r w:rsidRPr="009714AB">
        <w:rPr>
          <w:sz w:val="20"/>
          <w:lang w:val="bg-BG"/>
        </w:rPr>
        <w:t xml:space="preserve"> или не е извършил</w:t>
      </w:r>
      <w:r w:rsidRPr="005D6747">
        <w:rPr>
          <w:sz w:val="20"/>
          <w:lang w:val="bg-BG"/>
        </w:rPr>
        <w:t>о</w:t>
      </w:r>
      <w:r w:rsidRPr="009714AB">
        <w:rPr>
          <w:sz w:val="20"/>
          <w:lang w:val="bg-BG"/>
        </w:rPr>
        <w:t xml:space="preserve"> такова действие</w:t>
      </w:r>
      <w:r w:rsidRPr="009714AB">
        <w:rPr>
          <w:b/>
          <w:i/>
          <w:sz w:val="20"/>
          <w:lang w:val="bg-BG"/>
        </w:rPr>
        <w:t>”</w:t>
      </w:r>
      <w:r w:rsidRPr="005D6747">
        <w:rPr>
          <w:b/>
          <w:i/>
          <w:sz w:val="20"/>
          <w:lang w:val="bg-BG"/>
        </w:rPr>
        <w:t xml:space="preserve"> </w:t>
      </w:r>
      <w:r w:rsidR="006938C1">
        <w:rPr>
          <w:b/>
          <w:i/>
          <w:sz w:val="20"/>
          <w:lang w:val="bg-BG"/>
        </w:rPr>
        <w:t>.</w:t>
      </w:r>
    </w:p>
    <w:p w14:paraId="0EF5F896" w14:textId="77777777" w:rsidR="005D6747" w:rsidRPr="009714AB" w:rsidRDefault="005D6747" w:rsidP="005D6747">
      <w:pPr>
        <w:widowControl/>
        <w:spacing w:before="120" w:after="120" w:line="260" w:lineRule="atLeast"/>
        <w:rPr>
          <w:b/>
          <w:i/>
          <w:color w:val="4E81BD" w:themeColor="accent1"/>
          <w:sz w:val="20"/>
          <w:lang w:val="bg-BG"/>
        </w:rPr>
      </w:pPr>
      <w:r w:rsidRPr="009714AB">
        <w:rPr>
          <w:b/>
          <w:i/>
          <w:color w:val="4E81BD" w:themeColor="accent1"/>
          <w:sz w:val="20"/>
          <w:lang w:val="bg-BG"/>
        </w:rPr>
        <w:t>Коментар</w:t>
      </w:r>
    </w:p>
    <w:p w14:paraId="0D4E4A3E" w14:textId="755D9889" w:rsidR="005D6747" w:rsidRPr="009714AB" w:rsidRDefault="005D6747" w:rsidP="005D6747">
      <w:pPr>
        <w:widowControl/>
        <w:spacing w:before="120" w:after="120" w:line="260" w:lineRule="atLeast"/>
        <w:rPr>
          <w:b/>
          <w:i/>
          <w:color w:val="000000" w:themeColor="text1"/>
          <w:sz w:val="20"/>
          <w:lang w:val="bg-BG"/>
        </w:rPr>
      </w:pPr>
      <w:r w:rsidRPr="009714AB">
        <w:rPr>
          <w:b/>
          <w:i/>
          <w:color w:val="000000" w:themeColor="text1"/>
          <w:sz w:val="20"/>
          <w:lang w:val="bg-BG"/>
        </w:rPr>
        <w:t xml:space="preserve">Водещите проверители отбелязват, че препоръката от </w:t>
      </w:r>
      <w:r w:rsidR="00673F1F">
        <w:rPr>
          <w:b/>
          <w:i/>
          <w:color w:val="000000" w:themeColor="text1"/>
          <w:sz w:val="20"/>
          <w:lang w:val="bg-BG"/>
        </w:rPr>
        <w:t>Фаза</w:t>
      </w:r>
      <w:r w:rsidRPr="009714AB">
        <w:rPr>
          <w:b/>
          <w:i/>
          <w:color w:val="000000" w:themeColor="text1"/>
          <w:sz w:val="20"/>
          <w:lang w:val="bg-BG"/>
        </w:rPr>
        <w:t xml:space="preserve"> 3, свързана с </w:t>
      </w:r>
      <w:r w:rsidR="00AB2B1D" w:rsidRPr="009714AB">
        <w:rPr>
          <w:b/>
          <w:i/>
          <w:color w:val="000000" w:themeColor="text1"/>
          <w:sz w:val="20"/>
          <w:lang w:val="bg-BG"/>
        </w:rPr>
        <w:t xml:space="preserve"> </w:t>
      </w:r>
      <w:r w:rsidR="00AB2B1D">
        <w:rPr>
          <w:b/>
          <w:i/>
          <w:color w:val="000000" w:themeColor="text1"/>
          <w:sz w:val="20"/>
          <w:lang w:val="bg-BG"/>
        </w:rPr>
        <w:t>трети лица, на които е даден подкуп</w:t>
      </w:r>
      <w:r w:rsidR="00CC56ED">
        <w:rPr>
          <w:b/>
          <w:i/>
          <w:color w:val="000000" w:themeColor="text1"/>
          <w:sz w:val="20"/>
          <w:lang w:val="bg-BG"/>
        </w:rPr>
        <w:t>ът</w:t>
      </w:r>
      <w:r w:rsidRPr="009714AB">
        <w:rPr>
          <w:b/>
          <w:i/>
          <w:color w:val="000000" w:themeColor="text1"/>
          <w:sz w:val="20"/>
          <w:lang w:val="bg-BG"/>
        </w:rPr>
        <w:t xml:space="preserve">, е изпълнена, но са загрижени от включването на допълнителното изискване за „съгласието на длъжностното лице“ и препоръчват този елемент на </w:t>
      </w:r>
      <w:r w:rsidR="00AB2B1D">
        <w:rPr>
          <w:b/>
          <w:i/>
          <w:color w:val="000000" w:themeColor="text1"/>
          <w:sz w:val="20"/>
          <w:lang w:val="bg-BG"/>
        </w:rPr>
        <w:t>престъплението</w:t>
      </w:r>
      <w:r w:rsidR="00AB2B1D" w:rsidRPr="009714AB">
        <w:rPr>
          <w:b/>
          <w:i/>
          <w:color w:val="000000" w:themeColor="text1"/>
          <w:sz w:val="20"/>
          <w:lang w:val="bg-BG"/>
        </w:rPr>
        <w:t xml:space="preserve"> </w:t>
      </w:r>
      <w:r w:rsidRPr="009714AB">
        <w:rPr>
          <w:b/>
          <w:i/>
          <w:color w:val="000000" w:themeColor="text1"/>
          <w:sz w:val="20"/>
          <w:lang w:val="bg-BG"/>
        </w:rPr>
        <w:t>да бъде оттеглен</w:t>
      </w:r>
      <w:r w:rsidR="006A1459">
        <w:rPr>
          <w:b/>
          <w:i/>
          <w:color w:val="000000" w:themeColor="text1"/>
          <w:sz w:val="20"/>
          <w:lang w:val="bg-BG"/>
        </w:rPr>
        <w:t xml:space="preserve">, освен ако не бъде </w:t>
      </w:r>
      <w:r w:rsidRPr="009714AB">
        <w:rPr>
          <w:b/>
          <w:i/>
          <w:color w:val="000000" w:themeColor="text1"/>
          <w:sz w:val="20"/>
          <w:lang w:val="bg-BG"/>
        </w:rPr>
        <w:t xml:space="preserve">допълнително изяснен </w:t>
      </w:r>
      <w:r w:rsidRPr="005D6747">
        <w:rPr>
          <w:b/>
          <w:i/>
          <w:color w:val="000000" w:themeColor="text1"/>
          <w:sz w:val="20"/>
          <w:lang w:val="bg-BG"/>
        </w:rPr>
        <w:t>от съдебната практика</w:t>
      </w:r>
      <w:r w:rsidRPr="009714AB">
        <w:rPr>
          <w:b/>
          <w:i/>
          <w:color w:val="000000" w:themeColor="text1"/>
          <w:sz w:val="20"/>
          <w:lang w:val="bg-BG"/>
        </w:rPr>
        <w:t>.</w:t>
      </w:r>
    </w:p>
    <w:p w14:paraId="0F82E566" w14:textId="5B09977E" w:rsidR="005D6747" w:rsidRPr="008C08CD" w:rsidRDefault="005D6747" w:rsidP="005D6747">
      <w:pPr>
        <w:widowControl/>
        <w:spacing w:before="120" w:after="120" w:line="260" w:lineRule="atLeast"/>
        <w:rPr>
          <w:b/>
          <w:i/>
          <w:color w:val="000000" w:themeColor="text1"/>
          <w:sz w:val="20"/>
          <w:lang w:val="bg-BG"/>
        </w:rPr>
      </w:pPr>
      <w:r w:rsidRPr="009714AB">
        <w:rPr>
          <w:b/>
          <w:i/>
          <w:color w:val="000000" w:themeColor="text1"/>
          <w:sz w:val="20"/>
          <w:lang w:val="bg-BG"/>
        </w:rPr>
        <w:t xml:space="preserve">Водещите проверители също така отбелязват, че България не е изпълнила препоръка 1 от </w:t>
      </w:r>
      <w:r w:rsidR="00673F1F" w:rsidRPr="009714AB">
        <w:rPr>
          <w:b/>
          <w:i/>
          <w:color w:val="000000" w:themeColor="text1"/>
          <w:sz w:val="20"/>
          <w:lang w:val="bg-BG"/>
        </w:rPr>
        <w:t>Фаза</w:t>
      </w:r>
      <w:r w:rsidRPr="009714AB">
        <w:rPr>
          <w:b/>
          <w:i/>
          <w:color w:val="000000" w:themeColor="text1"/>
          <w:sz w:val="20"/>
          <w:lang w:val="bg-BG"/>
        </w:rPr>
        <w:t xml:space="preserve"> 3, свързана с изпълнението на</w:t>
      </w:r>
      <w:r w:rsidR="00F80DE0">
        <w:rPr>
          <w:b/>
          <w:i/>
          <w:color w:val="000000" w:themeColor="text1"/>
          <w:sz w:val="20"/>
          <w:lang w:val="bg-BG"/>
        </w:rPr>
        <w:t xml:space="preserve"> </w:t>
      </w:r>
      <w:r w:rsidRPr="009714AB">
        <w:rPr>
          <w:b/>
          <w:i/>
          <w:color w:val="000000" w:themeColor="text1"/>
          <w:sz w:val="20"/>
          <w:lang w:val="bg-BG"/>
        </w:rPr>
        <w:t xml:space="preserve">служебните задължения. Те повтарят препоръката и препоръчват на България да измени </w:t>
      </w:r>
      <w:r w:rsidR="00CC56ED">
        <w:rPr>
          <w:b/>
          <w:i/>
          <w:color w:val="000000" w:themeColor="text1"/>
          <w:sz w:val="20"/>
          <w:lang w:val="bg-BG"/>
        </w:rPr>
        <w:t>състава</w:t>
      </w:r>
      <w:r w:rsidR="00CC56ED" w:rsidRPr="009714AB">
        <w:rPr>
          <w:b/>
          <w:i/>
          <w:color w:val="000000" w:themeColor="text1"/>
          <w:sz w:val="20"/>
          <w:lang w:val="bg-BG"/>
        </w:rPr>
        <w:t xml:space="preserve"> </w:t>
      </w:r>
      <w:r w:rsidR="00CC56ED">
        <w:rPr>
          <w:b/>
          <w:i/>
          <w:color w:val="000000" w:themeColor="text1"/>
          <w:sz w:val="20"/>
          <w:lang w:val="bg-BG"/>
        </w:rPr>
        <w:t xml:space="preserve">на </w:t>
      </w:r>
      <w:r w:rsidR="00F80DE0">
        <w:rPr>
          <w:b/>
          <w:i/>
          <w:color w:val="000000" w:themeColor="text1"/>
          <w:sz w:val="20"/>
          <w:lang w:val="bg-BG"/>
        </w:rPr>
        <w:t>престъпле</w:t>
      </w:r>
      <w:r w:rsidR="00CC56ED">
        <w:rPr>
          <w:b/>
          <w:i/>
          <w:color w:val="000000" w:themeColor="text1"/>
          <w:sz w:val="20"/>
          <w:lang w:val="bg-BG"/>
        </w:rPr>
        <w:t>нието</w:t>
      </w:r>
      <w:r w:rsidR="00F80DE0" w:rsidRPr="009714AB">
        <w:rPr>
          <w:b/>
          <w:i/>
          <w:color w:val="000000" w:themeColor="text1"/>
          <w:sz w:val="20"/>
          <w:lang w:val="bg-BG"/>
        </w:rPr>
        <w:t xml:space="preserve"> </w:t>
      </w:r>
      <w:r w:rsidRPr="009714AB">
        <w:rPr>
          <w:b/>
          <w:i/>
          <w:color w:val="000000" w:themeColor="text1"/>
          <w:sz w:val="20"/>
          <w:lang w:val="bg-BG"/>
        </w:rPr>
        <w:t>подкуп</w:t>
      </w:r>
      <w:r w:rsidRPr="005D6747">
        <w:rPr>
          <w:b/>
          <w:i/>
          <w:color w:val="000000" w:themeColor="text1"/>
          <w:sz w:val="20"/>
          <w:lang w:val="bg-BG"/>
        </w:rPr>
        <w:t xml:space="preserve"> на чуждо джъжностно лице</w:t>
      </w:r>
      <w:r w:rsidRPr="009714AB">
        <w:rPr>
          <w:b/>
          <w:i/>
          <w:color w:val="000000" w:themeColor="text1"/>
          <w:sz w:val="20"/>
          <w:lang w:val="bg-BG"/>
        </w:rPr>
        <w:t xml:space="preserve">, за да обхване всяко използване на </w:t>
      </w:r>
      <w:r w:rsidRPr="005D6747">
        <w:rPr>
          <w:b/>
          <w:i/>
          <w:color w:val="000000" w:themeColor="text1"/>
          <w:sz w:val="20"/>
          <w:lang w:val="bg-BG"/>
        </w:rPr>
        <w:t xml:space="preserve">положението </w:t>
      </w:r>
      <w:r w:rsidRPr="009714AB">
        <w:rPr>
          <w:b/>
          <w:i/>
          <w:color w:val="000000" w:themeColor="text1"/>
          <w:sz w:val="20"/>
          <w:lang w:val="bg-BG"/>
        </w:rPr>
        <w:t xml:space="preserve">на </w:t>
      </w:r>
      <w:r w:rsidRPr="005D6747">
        <w:rPr>
          <w:b/>
          <w:i/>
          <w:color w:val="000000" w:themeColor="text1"/>
          <w:sz w:val="20"/>
          <w:lang w:val="bg-BG"/>
        </w:rPr>
        <w:t>длъжностното лице</w:t>
      </w:r>
      <w:r w:rsidRPr="009714AB">
        <w:rPr>
          <w:b/>
          <w:i/>
          <w:color w:val="000000" w:themeColor="text1"/>
          <w:sz w:val="20"/>
          <w:lang w:val="bg-BG"/>
        </w:rPr>
        <w:t xml:space="preserve">, независимо от това дали </w:t>
      </w:r>
      <w:r w:rsidRPr="005D6747">
        <w:rPr>
          <w:b/>
          <w:i/>
          <w:color w:val="000000" w:themeColor="text1"/>
          <w:sz w:val="20"/>
          <w:lang w:val="bg-BG"/>
        </w:rPr>
        <w:t xml:space="preserve">влиза или </w:t>
      </w:r>
      <w:r w:rsidR="00301426">
        <w:rPr>
          <w:b/>
          <w:i/>
          <w:color w:val="000000" w:themeColor="text1"/>
          <w:sz w:val="20"/>
          <w:lang w:val="bg-BG"/>
        </w:rPr>
        <w:t>попада</w:t>
      </w:r>
      <w:r w:rsidR="00301426" w:rsidRPr="005D6747">
        <w:rPr>
          <w:b/>
          <w:i/>
          <w:color w:val="000000" w:themeColor="text1"/>
          <w:sz w:val="20"/>
          <w:lang w:val="bg-BG"/>
        </w:rPr>
        <w:t xml:space="preserve"> </w:t>
      </w:r>
      <w:r w:rsidRPr="005D6747">
        <w:rPr>
          <w:b/>
          <w:i/>
          <w:color w:val="000000" w:themeColor="text1"/>
          <w:sz w:val="20"/>
          <w:lang w:val="bg-BG"/>
        </w:rPr>
        <w:t>извън</w:t>
      </w:r>
      <w:r w:rsidRPr="009714AB">
        <w:rPr>
          <w:b/>
          <w:i/>
          <w:color w:val="000000" w:themeColor="text1"/>
          <w:sz w:val="20"/>
          <w:lang w:val="bg-BG"/>
        </w:rPr>
        <w:t xml:space="preserve"> </w:t>
      </w:r>
      <w:r w:rsidRPr="005D6747">
        <w:rPr>
          <w:b/>
          <w:i/>
          <w:color w:val="000000" w:themeColor="text1"/>
          <w:sz w:val="20"/>
          <w:lang w:val="bg-BG"/>
        </w:rPr>
        <w:t>разрешената</w:t>
      </w:r>
      <w:r w:rsidRPr="008C08CD">
        <w:rPr>
          <w:b/>
          <w:i/>
          <w:color w:val="000000" w:themeColor="text1"/>
          <w:sz w:val="20"/>
          <w:lang w:val="bg-BG"/>
        </w:rPr>
        <w:t xml:space="preserve"> компетентност на </w:t>
      </w:r>
      <w:r w:rsidRPr="005D6747">
        <w:rPr>
          <w:b/>
          <w:i/>
          <w:color w:val="000000" w:themeColor="text1"/>
          <w:sz w:val="20"/>
          <w:lang w:val="bg-BG"/>
        </w:rPr>
        <w:t>служителя.</w:t>
      </w:r>
    </w:p>
    <w:p w14:paraId="643F35DD" w14:textId="77777777" w:rsidR="00FC7B6E" w:rsidRDefault="005D6747" w:rsidP="00FC7B6E">
      <w:pPr>
        <w:pStyle w:val="Para"/>
        <w:keepNext/>
        <w:numPr>
          <w:ilvl w:val="0"/>
          <w:numId w:val="25"/>
        </w:numPr>
        <w:spacing w:before="440" w:after="240" w:line="320" w:lineRule="exact"/>
        <w:jc w:val="left"/>
        <w:outlineLvl w:val="1"/>
        <w:rPr>
          <w:rFonts w:eastAsiaTheme="majorEastAsia" w:cstheme="majorBidi"/>
          <w:b/>
          <w:color w:val="4E81BD" w:themeColor="accent1"/>
          <w:sz w:val="24"/>
          <w:szCs w:val="26"/>
          <w:lang w:val="bg-BG"/>
        </w:rPr>
      </w:pPr>
      <w:r w:rsidRPr="008C08CD">
        <w:rPr>
          <w:rFonts w:eastAsiaTheme="majorEastAsia" w:cstheme="majorBidi"/>
          <w:b/>
          <w:color w:val="4E81BD" w:themeColor="accent1"/>
          <w:sz w:val="24"/>
          <w:szCs w:val="26"/>
          <w:lang w:val="bg-BG"/>
        </w:rPr>
        <w:t>Наказания срещу физически лица за подкуп</w:t>
      </w:r>
      <w:r w:rsidRPr="00E26FAE">
        <w:rPr>
          <w:rFonts w:eastAsiaTheme="majorEastAsia" w:cstheme="majorBidi"/>
          <w:b/>
          <w:color w:val="4E81BD" w:themeColor="accent1"/>
          <w:sz w:val="24"/>
          <w:szCs w:val="26"/>
          <w:lang w:val="bg-BG"/>
        </w:rPr>
        <w:t xml:space="preserve"> на чужди длъжностни лица </w:t>
      </w:r>
    </w:p>
    <w:p w14:paraId="46C43500" w14:textId="79DD74D6" w:rsidR="005D6747" w:rsidRPr="00FC7B6E" w:rsidRDefault="00FC7B6E" w:rsidP="00FC7B6E">
      <w:pPr>
        <w:pStyle w:val="Para"/>
        <w:keepNext/>
        <w:numPr>
          <w:ilvl w:val="0"/>
          <w:numId w:val="0"/>
        </w:numPr>
        <w:spacing w:before="440" w:after="240" w:line="320" w:lineRule="exact"/>
        <w:jc w:val="left"/>
        <w:outlineLvl w:val="1"/>
        <w:rPr>
          <w:rFonts w:eastAsiaTheme="majorEastAsia" w:cstheme="majorBidi"/>
          <w:b/>
          <w:i/>
          <w:color w:val="000000" w:themeColor="text1"/>
          <w:sz w:val="22"/>
          <w:szCs w:val="24"/>
        </w:rPr>
      </w:pPr>
      <w:r w:rsidRPr="00FC7B6E">
        <w:rPr>
          <w:rFonts w:eastAsiaTheme="majorEastAsia" w:cstheme="majorBidi"/>
          <w:b/>
          <w:i/>
          <w:color w:val="000000" w:themeColor="text1"/>
          <w:sz w:val="22"/>
          <w:szCs w:val="24"/>
        </w:rPr>
        <w:t>(</w:t>
      </w:r>
      <w:r w:rsidR="00EF25FD" w:rsidRPr="00FC7B6E">
        <w:rPr>
          <w:rFonts w:eastAsiaTheme="majorEastAsia" w:cstheme="majorBidi"/>
          <w:b/>
          <w:i/>
          <w:color w:val="000000" w:themeColor="text1"/>
          <w:sz w:val="22"/>
          <w:szCs w:val="24"/>
        </w:rPr>
        <w:t>а</w:t>
      </w:r>
      <w:r w:rsidRPr="00FC7B6E">
        <w:rPr>
          <w:rFonts w:eastAsiaTheme="majorEastAsia" w:cstheme="majorBidi"/>
          <w:b/>
          <w:i/>
          <w:color w:val="000000" w:themeColor="text1"/>
          <w:sz w:val="22"/>
          <w:szCs w:val="24"/>
        </w:rPr>
        <w:t>)</w:t>
      </w:r>
      <w:r w:rsidR="00EF25FD" w:rsidRPr="00FC7B6E">
        <w:rPr>
          <w:rFonts w:eastAsiaTheme="majorEastAsia" w:cstheme="majorBidi"/>
          <w:b/>
          <w:i/>
          <w:color w:val="000000" w:themeColor="text1"/>
          <w:sz w:val="22"/>
          <w:szCs w:val="24"/>
        </w:rPr>
        <w:t xml:space="preserve"> </w:t>
      </w:r>
      <w:r w:rsidR="00F80DE0" w:rsidRPr="00FC7B6E">
        <w:rPr>
          <w:rFonts w:eastAsiaTheme="majorEastAsia" w:cstheme="majorBidi"/>
          <w:b/>
          <w:i/>
          <w:color w:val="000000" w:themeColor="text1"/>
          <w:sz w:val="22"/>
          <w:szCs w:val="24"/>
        </w:rPr>
        <w:t>Наказанията</w:t>
      </w:r>
      <w:r w:rsidR="005D6747" w:rsidRPr="00FC7B6E">
        <w:rPr>
          <w:rFonts w:eastAsiaTheme="majorEastAsia" w:cstheme="majorBidi"/>
          <w:b/>
          <w:i/>
          <w:color w:val="000000" w:themeColor="text1"/>
          <w:sz w:val="22"/>
          <w:szCs w:val="24"/>
        </w:rPr>
        <w:t xml:space="preserve"> съгласно българското законодателство</w:t>
      </w:r>
    </w:p>
    <w:p w14:paraId="70322A32" w14:textId="1A0598B7" w:rsidR="005D6747" w:rsidRPr="00572912" w:rsidRDefault="005D6747" w:rsidP="00572912">
      <w:pPr>
        <w:pStyle w:val="Para"/>
        <w:numPr>
          <w:ilvl w:val="0"/>
          <w:numId w:val="64"/>
        </w:numPr>
        <w:rPr>
          <w:lang w:val="bg-BG"/>
        </w:rPr>
      </w:pPr>
      <w:r w:rsidRPr="00572912">
        <w:rPr>
          <w:lang w:val="bg-BG"/>
        </w:rPr>
        <w:t xml:space="preserve">Във </w:t>
      </w:r>
      <w:r w:rsidR="00673F1F" w:rsidRPr="005927D2">
        <w:rPr>
          <w:lang w:val="bg-BG"/>
        </w:rPr>
        <w:t>Фаза</w:t>
      </w:r>
      <w:r w:rsidRPr="00572912">
        <w:rPr>
          <w:lang w:val="bg-BG"/>
        </w:rPr>
        <w:t xml:space="preserve"> 4 </w:t>
      </w:r>
      <w:r w:rsidR="006F6891" w:rsidRPr="005927D2">
        <w:rPr>
          <w:lang w:val="bg-BG"/>
        </w:rPr>
        <w:t xml:space="preserve">за </w:t>
      </w:r>
      <w:r w:rsidRPr="005927D2">
        <w:rPr>
          <w:lang w:val="bg-BG"/>
        </w:rPr>
        <w:t>подкуп на чужди длъжностни лица</w:t>
      </w:r>
      <w:r w:rsidRPr="00572912">
        <w:rPr>
          <w:lang w:val="bg-BG"/>
        </w:rPr>
        <w:t xml:space="preserve"> </w:t>
      </w:r>
      <w:r w:rsidR="006F6891" w:rsidRPr="00572912">
        <w:rPr>
          <w:lang w:val="bg-BG"/>
        </w:rPr>
        <w:t>физически</w:t>
      </w:r>
      <w:r w:rsidR="006F6891" w:rsidRPr="005927D2">
        <w:rPr>
          <w:lang w:val="bg-BG"/>
        </w:rPr>
        <w:t>те</w:t>
      </w:r>
      <w:r w:rsidR="006F6891" w:rsidRPr="00572912">
        <w:rPr>
          <w:lang w:val="bg-BG"/>
        </w:rPr>
        <w:t xml:space="preserve"> лица </w:t>
      </w:r>
      <w:r w:rsidRPr="00572912">
        <w:rPr>
          <w:lang w:val="bg-BG"/>
        </w:rPr>
        <w:t xml:space="preserve">продължава да се наказва с шест години лишаване от свобода и глоба </w:t>
      </w:r>
      <w:r w:rsidR="006F6891" w:rsidRPr="005927D2">
        <w:rPr>
          <w:lang w:val="bg-BG"/>
        </w:rPr>
        <w:t xml:space="preserve">до </w:t>
      </w:r>
      <w:r w:rsidRPr="00572912">
        <w:rPr>
          <w:lang w:val="bg-BG"/>
        </w:rPr>
        <w:t>5000 лв. (приблизително 2 540 евро). Същите максимални наказания се прилагат за</w:t>
      </w:r>
      <w:r w:rsidRPr="005927D2">
        <w:rPr>
          <w:lang w:val="bg-BG"/>
        </w:rPr>
        <w:t xml:space="preserve"> подкуп</w:t>
      </w:r>
      <w:r w:rsidR="006F6891" w:rsidRPr="005927D2">
        <w:rPr>
          <w:lang w:val="bg-BG"/>
        </w:rPr>
        <w:t xml:space="preserve"> </w:t>
      </w:r>
      <w:r w:rsidRPr="005927D2">
        <w:rPr>
          <w:lang w:val="bg-BG"/>
        </w:rPr>
        <w:t xml:space="preserve">на </w:t>
      </w:r>
      <w:r w:rsidR="006F6891" w:rsidRPr="005927D2">
        <w:rPr>
          <w:lang w:val="bg-BG"/>
        </w:rPr>
        <w:t>местни</w:t>
      </w:r>
      <w:r w:rsidRPr="00572912">
        <w:rPr>
          <w:lang w:val="bg-BG"/>
        </w:rPr>
        <w:t xml:space="preserve"> </w:t>
      </w:r>
      <w:r w:rsidRPr="00D86727">
        <w:rPr>
          <w:lang w:val="bg-BG"/>
        </w:rPr>
        <w:t>длъжностни лица</w:t>
      </w:r>
      <w:r w:rsidRPr="00572912">
        <w:rPr>
          <w:lang w:val="bg-BG"/>
        </w:rPr>
        <w:t>, както се изисква от член 3, параграф 1 от Конвенцията. Налице са обаче увеличени максимални наказания за</w:t>
      </w:r>
      <w:r w:rsidR="006F6891" w:rsidRPr="005927D2">
        <w:rPr>
          <w:lang w:val="bg-BG"/>
        </w:rPr>
        <w:t xml:space="preserve"> квалифицирани състави за</w:t>
      </w:r>
      <w:r w:rsidRPr="00572912">
        <w:rPr>
          <w:lang w:val="bg-BG"/>
        </w:rPr>
        <w:t xml:space="preserve"> </w:t>
      </w:r>
      <w:r w:rsidRPr="005927D2">
        <w:rPr>
          <w:lang w:val="bg-BG"/>
        </w:rPr>
        <w:t xml:space="preserve">подкуп на </w:t>
      </w:r>
      <w:r w:rsidR="006F6891" w:rsidRPr="005927D2">
        <w:rPr>
          <w:lang w:val="bg-BG"/>
        </w:rPr>
        <w:t xml:space="preserve">местни </w:t>
      </w:r>
      <w:r w:rsidRPr="005927D2">
        <w:rPr>
          <w:lang w:val="bg-BG"/>
        </w:rPr>
        <w:t>длъжностни лица</w:t>
      </w:r>
      <w:r w:rsidRPr="00572912">
        <w:rPr>
          <w:lang w:val="bg-BG"/>
        </w:rPr>
        <w:t xml:space="preserve">, но </w:t>
      </w:r>
      <w:r w:rsidR="006F6891" w:rsidRPr="005927D2">
        <w:rPr>
          <w:lang w:val="bg-BG"/>
        </w:rPr>
        <w:t>липсват такива</w:t>
      </w:r>
      <w:r w:rsidRPr="00572912">
        <w:rPr>
          <w:lang w:val="bg-BG"/>
        </w:rPr>
        <w:t xml:space="preserve"> </w:t>
      </w:r>
      <w:r w:rsidR="00E32C00" w:rsidRPr="005927D2">
        <w:rPr>
          <w:lang w:val="bg-BG"/>
        </w:rPr>
        <w:t>за</w:t>
      </w:r>
      <w:r w:rsidRPr="00572912">
        <w:rPr>
          <w:lang w:val="bg-BG"/>
        </w:rPr>
        <w:t xml:space="preserve"> подкуп</w:t>
      </w:r>
      <w:r w:rsidR="00E32C00" w:rsidRPr="005927D2">
        <w:rPr>
          <w:lang w:val="bg-BG"/>
        </w:rPr>
        <w:t>а</w:t>
      </w:r>
      <w:r w:rsidRPr="00572912">
        <w:rPr>
          <w:lang w:val="bg-BG"/>
        </w:rPr>
        <w:t xml:space="preserve"> на чужди длъжностни лица. Подкупването на българско длъжностно лице с цел нарушаване на служебните му задължения се наказва с осем години лишаване от свобода и глоба в размер на 7 000 лева (приблизително 3 640 евро). Максималното наказание допълнително се увеличава до десет години лишаване от свобода и глоба от 15 000 лева (приблизително 7 800 евро), ако длъжностното лице е „на отговорна позиция, включително тази на съдия, </w:t>
      </w:r>
      <w:r w:rsidR="006F6891" w:rsidRPr="005927D2">
        <w:rPr>
          <w:lang w:val="bg-BG"/>
        </w:rPr>
        <w:t>съдебен заседател</w:t>
      </w:r>
      <w:r w:rsidRPr="00572912">
        <w:rPr>
          <w:lang w:val="bg-BG"/>
        </w:rPr>
        <w:t>, прокурор или следовател или на поли</w:t>
      </w:r>
      <w:r w:rsidRPr="005927D2">
        <w:rPr>
          <w:lang w:val="bg-BG"/>
        </w:rPr>
        <w:t>цейски</w:t>
      </w:r>
      <w:r w:rsidRPr="00572912">
        <w:rPr>
          <w:lang w:val="bg-BG"/>
        </w:rPr>
        <w:t xml:space="preserve"> орган или на разследващ полицейски служител“</w:t>
      </w:r>
      <w:r w:rsidR="00540A51" w:rsidRPr="005927D2">
        <w:rPr>
          <w:lang w:val="bg-BG"/>
        </w:rPr>
        <w:t xml:space="preserve"> </w:t>
      </w:r>
      <w:r w:rsidRPr="005927D2">
        <w:rPr>
          <w:lang w:val="bg-BG"/>
        </w:rPr>
        <w:t>(</w:t>
      </w:r>
      <w:r w:rsidRPr="00572912">
        <w:rPr>
          <w:lang w:val="bg-BG"/>
        </w:rPr>
        <w:t>член 304, параграф 2 и 304а от НК). Тези наказания не са налични за подку</w:t>
      </w:r>
      <w:r w:rsidRPr="005927D2">
        <w:rPr>
          <w:lang w:val="bg-BG"/>
        </w:rPr>
        <w:t>пване на чуждо длъжностно лице</w:t>
      </w:r>
      <w:r w:rsidRPr="00572912">
        <w:rPr>
          <w:lang w:val="bg-BG"/>
        </w:rPr>
        <w:t xml:space="preserve">. Работната група препоръча във </w:t>
      </w:r>
      <w:r w:rsidR="00673F1F" w:rsidRPr="00572912">
        <w:rPr>
          <w:lang w:val="bg-BG"/>
        </w:rPr>
        <w:t>Фаза</w:t>
      </w:r>
      <w:r w:rsidRPr="00572912">
        <w:rPr>
          <w:lang w:val="bg-BG"/>
        </w:rPr>
        <w:t xml:space="preserve"> 3 България да приеме разпоредба за санкциониране на </w:t>
      </w:r>
      <w:r w:rsidR="002337D6" w:rsidRPr="005927D2">
        <w:rPr>
          <w:lang w:val="bg-BG"/>
        </w:rPr>
        <w:t xml:space="preserve">квалифицирани случаи на </w:t>
      </w:r>
      <w:r w:rsidRPr="005927D2">
        <w:rPr>
          <w:lang w:val="bg-BG"/>
        </w:rPr>
        <w:t>подкуп</w:t>
      </w:r>
      <w:r w:rsidR="002337D6" w:rsidRPr="00D86727">
        <w:rPr>
          <w:lang w:val="bg-BG"/>
        </w:rPr>
        <w:t xml:space="preserve"> </w:t>
      </w:r>
      <w:r w:rsidRPr="00D86727">
        <w:rPr>
          <w:lang w:val="bg-BG"/>
        </w:rPr>
        <w:t>на чужди длъжностни лица</w:t>
      </w:r>
      <w:r w:rsidR="00F80DE0" w:rsidRPr="00E71372">
        <w:rPr>
          <w:lang w:val="bg-BG"/>
        </w:rPr>
        <w:t xml:space="preserve"> (препоръка 3</w:t>
      </w:r>
      <w:r w:rsidR="006E173E" w:rsidRPr="00572912">
        <w:rPr>
          <w:lang w:val="bg-BG"/>
        </w:rPr>
        <w:t xml:space="preserve"> б</w:t>
      </w:r>
      <w:r w:rsidR="00F80DE0" w:rsidRPr="00572912">
        <w:rPr>
          <w:lang w:val="bg-BG"/>
        </w:rPr>
        <w:t>))</w:t>
      </w:r>
      <w:r w:rsidR="00F80DE0" w:rsidRPr="005927D2">
        <w:rPr>
          <w:lang w:val="bg-BG"/>
        </w:rPr>
        <w:t xml:space="preserve"> </w:t>
      </w:r>
      <w:r w:rsidRPr="005927D2">
        <w:rPr>
          <w:lang w:val="bg-BG"/>
        </w:rPr>
        <w:t xml:space="preserve"> </w:t>
      </w:r>
      <w:r w:rsidRPr="00572912">
        <w:rPr>
          <w:lang w:val="bg-BG"/>
        </w:rPr>
        <w:t xml:space="preserve">в същата степен като </w:t>
      </w:r>
      <w:r w:rsidR="002337D6" w:rsidRPr="005927D2">
        <w:rPr>
          <w:lang w:val="bg-BG"/>
        </w:rPr>
        <w:t xml:space="preserve">квалифицираните случаи </w:t>
      </w:r>
      <w:r w:rsidR="00301426">
        <w:rPr>
          <w:lang w:val="bg-BG"/>
        </w:rPr>
        <w:t xml:space="preserve">на </w:t>
      </w:r>
      <w:r w:rsidRPr="005927D2">
        <w:rPr>
          <w:lang w:val="bg-BG"/>
        </w:rPr>
        <w:t xml:space="preserve">подкуп на </w:t>
      </w:r>
      <w:r w:rsidR="006F6891" w:rsidRPr="005927D2">
        <w:rPr>
          <w:lang w:val="bg-BG"/>
        </w:rPr>
        <w:t xml:space="preserve">местни </w:t>
      </w:r>
      <w:r w:rsidRPr="005927D2">
        <w:rPr>
          <w:lang w:val="bg-BG"/>
        </w:rPr>
        <w:t>длъжностни лица</w:t>
      </w:r>
      <w:r w:rsidRPr="00572912">
        <w:rPr>
          <w:lang w:val="bg-BG"/>
        </w:rPr>
        <w:t xml:space="preserve">, но двугодишният писмен доклад </w:t>
      </w:r>
      <w:r w:rsidR="006F6891" w:rsidRPr="005927D2">
        <w:rPr>
          <w:lang w:val="bg-BG"/>
        </w:rPr>
        <w:t xml:space="preserve">за преглед на изпълнението на препоръките от фаза 3 </w:t>
      </w:r>
      <w:r w:rsidRPr="00572912">
        <w:rPr>
          <w:lang w:val="bg-BG"/>
        </w:rPr>
        <w:t xml:space="preserve">установи, че България не е изпълнила препоръката и това все още е така </w:t>
      </w:r>
      <w:r w:rsidRPr="005927D2">
        <w:rPr>
          <w:lang w:val="bg-BG"/>
        </w:rPr>
        <w:t xml:space="preserve">по </w:t>
      </w:r>
      <w:r w:rsidR="00673F1F" w:rsidRPr="00572912">
        <w:rPr>
          <w:lang w:val="bg-BG"/>
        </w:rPr>
        <w:t>Фаза</w:t>
      </w:r>
      <w:r w:rsidRPr="00572912">
        <w:rPr>
          <w:lang w:val="bg-BG"/>
        </w:rPr>
        <w:t xml:space="preserve"> 4.</w:t>
      </w:r>
    </w:p>
    <w:p w14:paraId="4F89C144" w14:textId="170F24C0" w:rsidR="005D6747" w:rsidRPr="005D6747" w:rsidRDefault="00FC7B6E"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lastRenderedPageBreak/>
        <w:t>(б)</w:t>
      </w:r>
      <w:r w:rsidR="00EF25FD">
        <w:rPr>
          <w:rFonts w:eastAsiaTheme="majorEastAsia" w:cstheme="majorBidi"/>
          <w:b/>
          <w:i/>
          <w:color w:val="000000" w:themeColor="text1"/>
          <w:szCs w:val="24"/>
          <w:lang w:val="bg-BG"/>
        </w:rPr>
        <w:t xml:space="preserve">. </w:t>
      </w:r>
      <w:r w:rsidR="005D6747" w:rsidRPr="005D6747">
        <w:rPr>
          <w:rFonts w:eastAsiaTheme="majorEastAsia" w:cstheme="majorBidi"/>
          <w:b/>
          <w:i/>
          <w:color w:val="000000" w:themeColor="text1"/>
          <w:szCs w:val="24"/>
        </w:rPr>
        <w:t>Наложени наказания на практика</w:t>
      </w:r>
    </w:p>
    <w:p w14:paraId="72C82657" w14:textId="77777777" w:rsidR="005D6747" w:rsidRPr="005D6747" w:rsidRDefault="005D6747" w:rsidP="005D6747">
      <w:pPr>
        <w:widowControl/>
        <w:numPr>
          <w:ilvl w:val="0"/>
          <w:numId w:val="1"/>
        </w:numPr>
        <w:spacing w:before="120" w:after="120" w:line="260" w:lineRule="atLeast"/>
        <w:rPr>
          <w:sz w:val="20"/>
        </w:rPr>
      </w:pPr>
      <w:r w:rsidRPr="005D6747">
        <w:rPr>
          <w:sz w:val="20"/>
        </w:rPr>
        <w:t xml:space="preserve">Във </w:t>
      </w:r>
      <w:r w:rsidR="00673F1F">
        <w:rPr>
          <w:sz w:val="20"/>
          <w:lang w:val="bg-BG"/>
        </w:rPr>
        <w:t>Фаза</w:t>
      </w:r>
      <w:r w:rsidRPr="005D6747">
        <w:rPr>
          <w:sz w:val="20"/>
        </w:rPr>
        <w:t xml:space="preserve"> 3 Работната група отбеляза, че макар наказанията за </w:t>
      </w:r>
      <w:r w:rsidRPr="005D6747">
        <w:rPr>
          <w:sz w:val="20"/>
          <w:lang w:val="bg-BG"/>
        </w:rPr>
        <w:t>подкуп на чужди длъжностни лица</w:t>
      </w:r>
      <w:r w:rsidRPr="005D6747">
        <w:rPr>
          <w:sz w:val="20"/>
        </w:rPr>
        <w:t xml:space="preserve"> да изглеждат адекватни на хартия, наложен</w:t>
      </w:r>
      <w:r w:rsidR="00540A51">
        <w:rPr>
          <w:sz w:val="20"/>
          <w:lang w:val="bg-BG"/>
        </w:rPr>
        <w:t>ите</w:t>
      </w:r>
      <w:r w:rsidR="003C1592">
        <w:rPr>
          <w:sz w:val="20"/>
          <w:lang w:val="bg-BG"/>
        </w:rPr>
        <w:t xml:space="preserve"> </w:t>
      </w:r>
      <w:r w:rsidRPr="005D6747">
        <w:rPr>
          <w:sz w:val="20"/>
        </w:rPr>
        <w:t>на практика наказани</w:t>
      </w:r>
      <w:r w:rsidR="00540A51">
        <w:rPr>
          <w:sz w:val="20"/>
          <w:lang w:val="bg-BG"/>
        </w:rPr>
        <w:t>я</w:t>
      </w:r>
      <w:r w:rsidRPr="005D6747">
        <w:rPr>
          <w:sz w:val="20"/>
        </w:rPr>
        <w:t xml:space="preserve"> не </w:t>
      </w:r>
      <w:r w:rsidR="00540A51">
        <w:rPr>
          <w:sz w:val="20"/>
          <w:lang w:val="bg-BG"/>
        </w:rPr>
        <w:t xml:space="preserve">са </w:t>
      </w:r>
      <w:r w:rsidRPr="005D6747">
        <w:rPr>
          <w:sz w:val="20"/>
        </w:rPr>
        <w:t xml:space="preserve">така. Лишаването от свобода остава малко вероятна санкция за корупционни престъпления според статистиката, предоставена от България по онова време, и повечето присъди водят до условни (т.е. </w:t>
      </w:r>
      <w:r w:rsidR="00540A51">
        <w:rPr>
          <w:sz w:val="20"/>
          <w:lang w:val="bg-BG"/>
        </w:rPr>
        <w:t>отложени</w:t>
      </w:r>
      <w:r w:rsidRPr="005D6747">
        <w:rPr>
          <w:sz w:val="20"/>
        </w:rPr>
        <w:t xml:space="preserve">) присъди </w:t>
      </w:r>
      <w:r w:rsidR="003C1592">
        <w:rPr>
          <w:sz w:val="20"/>
          <w:lang w:val="bg-BG"/>
        </w:rPr>
        <w:t>за лишаване от свобода</w:t>
      </w:r>
      <w:r w:rsidR="003C1592" w:rsidRPr="005D6747">
        <w:rPr>
          <w:sz w:val="20"/>
        </w:rPr>
        <w:t xml:space="preserve"> </w:t>
      </w:r>
      <w:r w:rsidRPr="005D6747">
        <w:rPr>
          <w:sz w:val="20"/>
        </w:rPr>
        <w:t xml:space="preserve">и пробация. Няма налична информация за глоби, наложени по дела за корупция. Поради това </w:t>
      </w:r>
      <w:r w:rsidRPr="005D6747">
        <w:rPr>
          <w:sz w:val="20"/>
          <w:lang w:val="bg-BG"/>
        </w:rPr>
        <w:t>Р</w:t>
      </w:r>
      <w:r w:rsidRPr="005D6747">
        <w:rPr>
          <w:sz w:val="20"/>
        </w:rPr>
        <w:t>аботната група препоръча на България да гарантира, че наказанията срещу физически лица, наложени на практика, са ефективни, пропорционални и възпиращи във всички случаи на подкуп</w:t>
      </w:r>
      <w:r w:rsidRPr="005D6747">
        <w:rPr>
          <w:sz w:val="20"/>
          <w:lang w:val="bg-BG"/>
        </w:rPr>
        <w:t xml:space="preserve"> на чужди длъжностни лица </w:t>
      </w:r>
      <w:r w:rsidRPr="005D6747">
        <w:rPr>
          <w:sz w:val="20"/>
        </w:rPr>
        <w:t>(</w:t>
      </w:r>
      <w:r w:rsidR="00673F1F">
        <w:rPr>
          <w:sz w:val="20"/>
        </w:rPr>
        <w:t>Фаза</w:t>
      </w:r>
      <w:r w:rsidRPr="005D6747">
        <w:rPr>
          <w:sz w:val="20"/>
        </w:rPr>
        <w:t xml:space="preserve"> 3, препоръка 3 (а)). Двугодишният писмен доклад </w:t>
      </w:r>
      <w:r w:rsidR="003C1592">
        <w:rPr>
          <w:sz w:val="20"/>
          <w:lang w:val="bg-BG"/>
        </w:rPr>
        <w:t xml:space="preserve">за преглед на изпълнението на препоръките от фаза 3 </w:t>
      </w:r>
      <w:r w:rsidRPr="005D6747">
        <w:rPr>
          <w:sz w:val="20"/>
        </w:rPr>
        <w:t>приветства предоставените от българските власти статистически данни за случаи на подкуп</w:t>
      </w:r>
      <w:r w:rsidRPr="005D6747">
        <w:rPr>
          <w:sz w:val="20"/>
          <w:lang w:val="bg-BG"/>
        </w:rPr>
        <w:t xml:space="preserve"> на </w:t>
      </w:r>
      <w:r w:rsidR="003C1592">
        <w:rPr>
          <w:sz w:val="20"/>
          <w:lang w:val="bg-BG"/>
        </w:rPr>
        <w:t>местни</w:t>
      </w:r>
      <w:r w:rsidR="003C1592" w:rsidRPr="005D6747">
        <w:rPr>
          <w:sz w:val="20"/>
          <w:lang w:val="bg-BG"/>
        </w:rPr>
        <w:t xml:space="preserve"> </w:t>
      </w:r>
      <w:r w:rsidRPr="005D6747">
        <w:rPr>
          <w:sz w:val="20"/>
          <w:lang w:val="bg-BG"/>
        </w:rPr>
        <w:t>длъжностни лица</w:t>
      </w:r>
      <w:r w:rsidRPr="005D6747">
        <w:rPr>
          <w:sz w:val="20"/>
        </w:rPr>
        <w:t>, които по това време показват положителна тенденция при налагане на ефективни, пропорционални и възпиращи наказания на практика. Въпреки това, при липса на присъди за подкуп</w:t>
      </w:r>
      <w:r w:rsidRPr="005D6747">
        <w:rPr>
          <w:sz w:val="20"/>
          <w:lang w:val="bg-BG"/>
        </w:rPr>
        <w:t>ване на чужди длъжностни лица</w:t>
      </w:r>
      <w:r w:rsidRPr="005D6747">
        <w:rPr>
          <w:sz w:val="20"/>
        </w:rPr>
        <w:t xml:space="preserve">, </w:t>
      </w:r>
      <w:r w:rsidRPr="005D6747">
        <w:rPr>
          <w:sz w:val="20"/>
          <w:lang w:val="bg-BG"/>
        </w:rPr>
        <w:t>Р</w:t>
      </w:r>
      <w:r w:rsidRPr="005D6747">
        <w:rPr>
          <w:sz w:val="20"/>
        </w:rPr>
        <w:t>аботната група стигна до заключението, че България е изпълнила частично препоръката.</w:t>
      </w:r>
    </w:p>
    <w:p w14:paraId="0373D33E" w14:textId="03CF74A7" w:rsidR="005D6747" w:rsidRPr="005D6747" w:rsidRDefault="005D6747" w:rsidP="005D6747">
      <w:pPr>
        <w:widowControl/>
        <w:numPr>
          <w:ilvl w:val="0"/>
          <w:numId w:val="1"/>
        </w:numPr>
        <w:spacing w:before="120" w:after="120" w:line="260" w:lineRule="atLeast"/>
        <w:rPr>
          <w:sz w:val="20"/>
        </w:rPr>
      </w:pPr>
      <w:r w:rsidRPr="005D6747">
        <w:rPr>
          <w:sz w:val="20"/>
        </w:rPr>
        <w:t xml:space="preserve">Както бе споменато във </w:t>
      </w:r>
      <w:r w:rsidR="00673F1F">
        <w:rPr>
          <w:sz w:val="20"/>
          <w:lang w:val="bg-BG"/>
        </w:rPr>
        <w:t>Фаза</w:t>
      </w:r>
      <w:r w:rsidRPr="005D6747">
        <w:rPr>
          <w:sz w:val="20"/>
        </w:rPr>
        <w:t xml:space="preserve"> 3, България е осъдила само едно физическо лице </w:t>
      </w:r>
      <w:r w:rsidRPr="005D6747">
        <w:rPr>
          <w:sz w:val="20"/>
          <w:lang w:val="bg-BG"/>
        </w:rPr>
        <w:t>за</w:t>
      </w:r>
      <w:r w:rsidRPr="005D6747">
        <w:rPr>
          <w:sz w:val="20"/>
        </w:rPr>
        <w:t xml:space="preserve"> подкуп</w:t>
      </w:r>
      <w:r w:rsidRPr="005D6747">
        <w:rPr>
          <w:sz w:val="20"/>
          <w:lang w:val="bg-BG"/>
        </w:rPr>
        <w:t xml:space="preserve"> на чужди длъжностни лица</w:t>
      </w:r>
      <w:r w:rsidRPr="005D6747">
        <w:rPr>
          <w:sz w:val="20"/>
        </w:rPr>
        <w:t xml:space="preserve"> и не е възможно да се прецени дали наказанията срещу физически лица за подкуп </w:t>
      </w:r>
      <w:r w:rsidR="00301426">
        <w:rPr>
          <w:sz w:val="20"/>
          <w:lang w:val="bg-BG"/>
        </w:rPr>
        <w:t xml:space="preserve">на чужди длъжностни лица </w:t>
      </w:r>
      <w:r w:rsidRPr="005D6747">
        <w:rPr>
          <w:sz w:val="20"/>
        </w:rPr>
        <w:t>са ефективни, пропорционални и възпиращи на практика</w:t>
      </w:r>
      <w:r w:rsidRPr="005D6747">
        <w:rPr>
          <w:vertAlign w:val="superscript"/>
        </w:rPr>
        <w:footnoteReference w:id="33"/>
      </w:r>
      <w:r w:rsidRPr="005D6747">
        <w:rPr>
          <w:sz w:val="20"/>
        </w:rPr>
        <w:t xml:space="preserve">. Въпреки това </w:t>
      </w:r>
      <w:r w:rsidR="00704821">
        <w:rPr>
          <w:sz w:val="20"/>
          <w:lang w:val="bg-BG"/>
        </w:rPr>
        <w:t>в периода</w:t>
      </w:r>
      <w:r w:rsidR="00704821" w:rsidRPr="005D6747">
        <w:rPr>
          <w:sz w:val="20"/>
        </w:rPr>
        <w:t xml:space="preserve"> </w:t>
      </w:r>
      <w:r w:rsidRPr="005D6747">
        <w:rPr>
          <w:sz w:val="20"/>
        </w:rPr>
        <w:t xml:space="preserve">2011-2020 г. България осъди </w:t>
      </w:r>
      <w:r w:rsidR="005927D2">
        <w:rPr>
          <w:sz w:val="20"/>
          <w:lang w:val="bg-BG"/>
        </w:rPr>
        <w:t>961</w:t>
      </w:r>
      <w:r w:rsidRPr="005D6747">
        <w:rPr>
          <w:sz w:val="20"/>
        </w:rPr>
        <w:t xml:space="preserve"> физически лица за актив</w:t>
      </w:r>
      <w:r w:rsidRPr="005D6747">
        <w:rPr>
          <w:sz w:val="20"/>
          <w:lang w:val="bg-BG"/>
        </w:rPr>
        <w:t xml:space="preserve">но подкупване на </w:t>
      </w:r>
      <w:r w:rsidR="003C1592">
        <w:rPr>
          <w:sz w:val="20"/>
          <w:lang w:val="bg-BG"/>
        </w:rPr>
        <w:t>местни</w:t>
      </w:r>
      <w:r w:rsidR="003C1592" w:rsidRPr="005D6747">
        <w:rPr>
          <w:sz w:val="20"/>
          <w:lang w:val="bg-BG"/>
        </w:rPr>
        <w:t xml:space="preserve"> </w:t>
      </w:r>
      <w:r w:rsidRPr="005D6747">
        <w:rPr>
          <w:sz w:val="20"/>
          <w:lang w:val="bg-BG"/>
        </w:rPr>
        <w:t>длъжностни лица</w:t>
      </w:r>
      <w:r w:rsidRPr="005D6747">
        <w:rPr>
          <w:sz w:val="20"/>
        </w:rPr>
        <w:t>. В 9</w:t>
      </w:r>
      <w:r w:rsidR="005927D2">
        <w:rPr>
          <w:sz w:val="20"/>
          <w:lang w:val="bg-BG"/>
        </w:rPr>
        <w:t>5</w:t>
      </w:r>
      <w:r w:rsidRPr="005D6747">
        <w:rPr>
          <w:sz w:val="20"/>
        </w:rPr>
        <w:t>7 от случаите е постановено лишаване от свобода. От тях по</w:t>
      </w:r>
      <w:r w:rsidR="003C1592">
        <w:rPr>
          <w:sz w:val="20"/>
          <w:lang w:val="bg-BG"/>
        </w:rPr>
        <w:t>-</w:t>
      </w:r>
      <w:r w:rsidRPr="005D6747">
        <w:rPr>
          <w:sz w:val="20"/>
        </w:rPr>
        <w:t>голямата част се отнася до условни присъди (604) и пробация (2</w:t>
      </w:r>
      <w:r w:rsidR="005927D2">
        <w:rPr>
          <w:sz w:val="20"/>
          <w:lang w:val="bg-BG"/>
        </w:rPr>
        <w:t>5</w:t>
      </w:r>
      <w:r w:rsidRPr="005D6747">
        <w:rPr>
          <w:sz w:val="20"/>
        </w:rPr>
        <w:t xml:space="preserve">5), докато само в 98 случая съдът </w:t>
      </w:r>
      <w:r w:rsidR="003C1592">
        <w:rPr>
          <w:sz w:val="20"/>
          <w:lang w:val="bg-BG"/>
        </w:rPr>
        <w:t xml:space="preserve">е </w:t>
      </w:r>
      <w:r w:rsidR="003C1592" w:rsidRPr="005D6747">
        <w:rPr>
          <w:sz w:val="20"/>
        </w:rPr>
        <w:t>нал</w:t>
      </w:r>
      <w:r w:rsidR="003C1592">
        <w:rPr>
          <w:sz w:val="20"/>
          <w:lang w:val="bg-BG"/>
        </w:rPr>
        <w:t>ожил</w:t>
      </w:r>
      <w:r w:rsidR="003C1592" w:rsidRPr="005D6747">
        <w:rPr>
          <w:sz w:val="20"/>
        </w:rPr>
        <w:t xml:space="preserve"> </w:t>
      </w:r>
      <w:r w:rsidR="003C1592">
        <w:rPr>
          <w:sz w:val="20"/>
          <w:lang w:val="bg-BG"/>
        </w:rPr>
        <w:t>ефективно лишаване от свобода</w:t>
      </w:r>
      <w:r w:rsidRPr="005D6747">
        <w:rPr>
          <w:sz w:val="20"/>
        </w:rPr>
        <w:t xml:space="preserve">. България не предоставя информация за продължителността на присъдите. Освен това България посочва, че </w:t>
      </w:r>
      <w:r w:rsidR="005927D2">
        <w:rPr>
          <w:sz w:val="20"/>
          <w:lang w:val="bg-BG"/>
        </w:rPr>
        <w:t xml:space="preserve">през 2011-2020 е </w:t>
      </w:r>
      <w:r w:rsidRPr="005D6747">
        <w:rPr>
          <w:sz w:val="20"/>
        </w:rPr>
        <w:t>наложила глоби по 7</w:t>
      </w:r>
      <w:r w:rsidR="005927D2">
        <w:rPr>
          <w:sz w:val="20"/>
          <w:lang w:val="bg-BG"/>
        </w:rPr>
        <w:t>81</w:t>
      </w:r>
      <w:r w:rsidRPr="005D6747">
        <w:rPr>
          <w:sz w:val="20"/>
        </w:rPr>
        <w:t xml:space="preserve"> дела за активн</w:t>
      </w:r>
      <w:r w:rsidRPr="005D6747">
        <w:rPr>
          <w:sz w:val="20"/>
          <w:lang w:val="bg-BG"/>
        </w:rPr>
        <w:t>о</w:t>
      </w:r>
      <w:r w:rsidRPr="005D6747">
        <w:rPr>
          <w:sz w:val="20"/>
        </w:rPr>
        <w:t xml:space="preserve"> подкуп</w:t>
      </w:r>
      <w:r w:rsidRPr="005D6747">
        <w:rPr>
          <w:sz w:val="20"/>
          <w:lang w:val="bg-BG"/>
        </w:rPr>
        <w:t xml:space="preserve">ване на </w:t>
      </w:r>
      <w:r w:rsidR="003C1592">
        <w:rPr>
          <w:sz w:val="20"/>
          <w:lang w:val="bg-BG"/>
        </w:rPr>
        <w:t xml:space="preserve">местни </w:t>
      </w:r>
      <w:r w:rsidRPr="005D6747">
        <w:rPr>
          <w:sz w:val="20"/>
          <w:lang w:val="bg-BG"/>
        </w:rPr>
        <w:t>длъжностни лица</w:t>
      </w:r>
      <w:r w:rsidRPr="005D6747">
        <w:rPr>
          <w:sz w:val="20"/>
        </w:rPr>
        <w:t xml:space="preserve">, </w:t>
      </w:r>
      <w:r w:rsidR="00704821">
        <w:rPr>
          <w:sz w:val="20"/>
          <w:lang w:val="bg-BG"/>
        </w:rPr>
        <w:t>които са наложени заедно с</w:t>
      </w:r>
      <w:r w:rsidRPr="005D6747">
        <w:rPr>
          <w:sz w:val="20"/>
        </w:rPr>
        <w:t xml:space="preserve"> присъдите за лишаване от свобода </w:t>
      </w:r>
      <w:r w:rsidR="00E75563">
        <w:rPr>
          <w:sz w:val="20"/>
          <w:lang w:val="bg-BG"/>
        </w:rPr>
        <w:t xml:space="preserve">с </w:t>
      </w:r>
      <w:r w:rsidRPr="005D6747">
        <w:rPr>
          <w:sz w:val="20"/>
        </w:rPr>
        <w:t>общ размер 376 4</w:t>
      </w:r>
      <w:r w:rsidR="005927D2">
        <w:rPr>
          <w:sz w:val="20"/>
          <w:lang w:val="bg-BG"/>
        </w:rPr>
        <w:t>10</w:t>
      </w:r>
      <w:r w:rsidRPr="005D6747">
        <w:rPr>
          <w:sz w:val="20"/>
        </w:rPr>
        <w:t xml:space="preserve"> лева (приблизително 192 000 евро). Те изглеждат твърде ниски, за да бъдат ефективни, пропорционални и възпиращи.</w:t>
      </w:r>
    </w:p>
    <w:p w14:paraId="0D7B99EA" w14:textId="72AC164F" w:rsidR="005D6747" w:rsidRPr="005D6747" w:rsidRDefault="00FC7B6E"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t>(</w:t>
      </w:r>
      <w:r w:rsidR="00EF25FD">
        <w:rPr>
          <w:rFonts w:eastAsiaTheme="majorEastAsia" w:cstheme="majorBidi"/>
          <w:b/>
          <w:i/>
          <w:color w:val="000000" w:themeColor="text1"/>
          <w:szCs w:val="24"/>
          <w:lang w:val="bg-BG"/>
        </w:rPr>
        <w:t>в</w:t>
      </w:r>
      <w:r>
        <w:rPr>
          <w:rFonts w:eastAsiaTheme="majorEastAsia" w:cstheme="majorBidi"/>
          <w:b/>
          <w:i/>
          <w:color w:val="000000" w:themeColor="text1"/>
          <w:szCs w:val="24"/>
          <w:lang w:val="bg-BG"/>
        </w:rPr>
        <w:t>)</w:t>
      </w:r>
      <w:r w:rsidR="00EF25FD">
        <w:rPr>
          <w:rFonts w:eastAsiaTheme="majorEastAsia" w:cstheme="majorBidi"/>
          <w:b/>
          <w:i/>
          <w:color w:val="000000" w:themeColor="text1"/>
          <w:szCs w:val="24"/>
          <w:lang w:val="bg-BG"/>
        </w:rPr>
        <w:t xml:space="preserve"> </w:t>
      </w:r>
      <w:r w:rsidR="005D6747" w:rsidRPr="005D6747">
        <w:rPr>
          <w:rFonts w:eastAsiaTheme="majorEastAsia" w:cstheme="majorBidi"/>
          <w:b/>
          <w:i/>
          <w:color w:val="000000" w:themeColor="text1"/>
          <w:szCs w:val="24"/>
          <w:lang w:val="bg-BG"/>
        </w:rPr>
        <w:t>Отнемане</w:t>
      </w:r>
    </w:p>
    <w:p w14:paraId="59CC55D0" w14:textId="5D678323" w:rsidR="005D6747" w:rsidRPr="008C08CD" w:rsidRDefault="005D6747" w:rsidP="005D6747">
      <w:pPr>
        <w:widowControl/>
        <w:numPr>
          <w:ilvl w:val="0"/>
          <w:numId w:val="1"/>
        </w:numPr>
        <w:spacing w:before="120" w:after="120" w:line="260" w:lineRule="atLeast"/>
        <w:rPr>
          <w:color w:val="4E81BD" w:themeColor="accent1"/>
          <w:sz w:val="20"/>
          <w:lang w:val="bg-BG"/>
        </w:rPr>
      </w:pPr>
      <w:r w:rsidRPr="005D6747">
        <w:rPr>
          <w:sz w:val="20"/>
        </w:rPr>
        <w:t xml:space="preserve"> </w:t>
      </w:r>
      <w:r w:rsidR="00704821">
        <w:rPr>
          <w:sz w:val="20"/>
          <w:lang w:val="bg-BG"/>
        </w:rPr>
        <w:t>Отнемането</w:t>
      </w:r>
      <w:r w:rsidR="00704821" w:rsidRPr="005D6747">
        <w:rPr>
          <w:sz w:val="20"/>
        </w:rPr>
        <w:t xml:space="preserve"> </w:t>
      </w:r>
      <w:r w:rsidRPr="005D6747">
        <w:rPr>
          <w:sz w:val="20"/>
        </w:rPr>
        <w:t>на „</w:t>
      </w:r>
      <w:r w:rsidR="003C1592">
        <w:rPr>
          <w:sz w:val="20"/>
          <w:lang w:val="bg-BG"/>
        </w:rPr>
        <w:t>предмета</w:t>
      </w:r>
      <w:r w:rsidR="003C1592" w:rsidRPr="005D6747">
        <w:rPr>
          <w:sz w:val="20"/>
        </w:rPr>
        <w:t xml:space="preserve"> </w:t>
      </w:r>
      <w:r w:rsidRPr="005D6747">
        <w:rPr>
          <w:sz w:val="20"/>
        </w:rPr>
        <w:t xml:space="preserve">на престъплението“ или неговата </w:t>
      </w:r>
      <w:r w:rsidR="003C1592">
        <w:rPr>
          <w:sz w:val="20"/>
          <w:lang w:val="bg-BG"/>
        </w:rPr>
        <w:t>равно</w:t>
      </w:r>
      <w:r w:rsidRPr="005D6747">
        <w:rPr>
          <w:sz w:val="20"/>
        </w:rPr>
        <w:t>стойност е предвидена в членове 53 и 307</w:t>
      </w:r>
      <w:r w:rsidR="00704821">
        <w:rPr>
          <w:sz w:val="20"/>
          <w:lang w:val="bg-BG"/>
        </w:rPr>
        <w:t>а</w:t>
      </w:r>
      <w:r w:rsidRPr="005D6747">
        <w:rPr>
          <w:sz w:val="20"/>
        </w:rPr>
        <w:t xml:space="preserve"> от </w:t>
      </w:r>
      <w:r w:rsidRPr="005D6747">
        <w:rPr>
          <w:sz w:val="20"/>
          <w:lang w:val="bg-BG"/>
        </w:rPr>
        <w:t>Н</w:t>
      </w:r>
      <w:r w:rsidRPr="005D6747">
        <w:rPr>
          <w:sz w:val="20"/>
        </w:rPr>
        <w:t>К</w:t>
      </w:r>
      <w:r w:rsidR="00704821">
        <w:rPr>
          <w:sz w:val="20"/>
          <w:lang w:val="bg-BG"/>
        </w:rPr>
        <w:t>.</w:t>
      </w:r>
      <w:r w:rsidRPr="005D6747">
        <w:rPr>
          <w:sz w:val="20"/>
        </w:rPr>
        <w:t xml:space="preserve"> </w:t>
      </w:r>
      <w:r w:rsidR="00704821">
        <w:rPr>
          <w:sz w:val="20"/>
          <w:lang w:val="bg-BG"/>
        </w:rPr>
        <w:t xml:space="preserve"> Допълнителни разпоредби са били приети след</w:t>
      </w:r>
      <w:r w:rsidR="003C1592">
        <w:rPr>
          <w:sz w:val="20"/>
          <w:lang w:val="bg-BG"/>
        </w:rPr>
        <w:t xml:space="preserve"> </w:t>
      </w:r>
      <w:r w:rsidRPr="008C08CD">
        <w:rPr>
          <w:sz w:val="20"/>
          <w:lang w:val="bg-BG"/>
        </w:rPr>
        <w:t xml:space="preserve">Препоръка 4 (а) от </w:t>
      </w:r>
      <w:r w:rsidR="00673F1F" w:rsidRPr="008C08CD">
        <w:rPr>
          <w:sz w:val="20"/>
          <w:lang w:val="bg-BG"/>
        </w:rPr>
        <w:t>Фаза</w:t>
      </w:r>
      <w:r w:rsidRPr="008C08CD">
        <w:rPr>
          <w:sz w:val="20"/>
          <w:lang w:val="bg-BG"/>
        </w:rPr>
        <w:t xml:space="preserve"> 3, за да се разшири </w:t>
      </w:r>
      <w:r w:rsidR="003C1592">
        <w:rPr>
          <w:sz w:val="20"/>
          <w:lang w:val="bg-BG"/>
        </w:rPr>
        <w:t>отнемането</w:t>
      </w:r>
      <w:r w:rsidR="003C1592" w:rsidRPr="008C08CD">
        <w:rPr>
          <w:sz w:val="20"/>
          <w:lang w:val="bg-BG"/>
        </w:rPr>
        <w:t xml:space="preserve"> </w:t>
      </w:r>
      <w:r w:rsidR="002337D6" w:rsidRPr="00954CD4">
        <w:rPr>
          <w:sz w:val="20"/>
          <w:lang w:val="bg-BG"/>
        </w:rPr>
        <w:t>от физически</w:t>
      </w:r>
      <w:r w:rsidR="002337D6">
        <w:rPr>
          <w:sz w:val="20"/>
          <w:lang w:val="bg-BG"/>
        </w:rPr>
        <w:t>те</w:t>
      </w:r>
      <w:r w:rsidR="002337D6" w:rsidRPr="00954CD4">
        <w:rPr>
          <w:sz w:val="20"/>
          <w:lang w:val="bg-BG"/>
        </w:rPr>
        <w:t xml:space="preserve"> лица</w:t>
      </w:r>
      <w:r w:rsidR="002337D6" w:rsidRPr="00511A52">
        <w:rPr>
          <w:sz w:val="20"/>
          <w:lang w:val="bg-BG"/>
        </w:rPr>
        <w:t xml:space="preserve"> </w:t>
      </w:r>
      <w:r w:rsidR="002337D6">
        <w:rPr>
          <w:sz w:val="20"/>
          <w:lang w:val="bg-BG"/>
        </w:rPr>
        <w:t xml:space="preserve">и </w:t>
      </w:r>
      <w:r w:rsidRPr="008C08CD">
        <w:rPr>
          <w:sz w:val="20"/>
          <w:lang w:val="bg-BG"/>
        </w:rPr>
        <w:t>до</w:t>
      </w:r>
      <w:r w:rsidR="00704821">
        <w:rPr>
          <w:sz w:val="20"/>
          <w:lang w:val="bg-BG"/>
        </w:rPr>
        <w:t xml:space="preserve"> средствата</w:t>
      </w:r>
      <w:r w:rsidRPr="008C08CD">
        <w:rPr>
          <w:sz w:val="20"/>
          <w:lang w:val="bg-BG"/>
        </w:rPr>
        <w:t xml:space="preserve"> </w:t>
      </w:r>
      <w:r w:rsidR="002337D6">
        <w:rPr>
          <w:sz w:val="20"/>
          <w:lang w:val="bg-BG"/>
        </w:rPr>
        <w:t xml:space="preserve">за извършване на престъплението </w:t>
      </w:r>
      <w:r w:rsidR="003C1592">
        <w:rPr>
          <w:sz w:val="20"/>
          <w:lang w:val="bg-BG"/>
        </w:rPr>
        <w:t xml:space="preserve">и </w:t>
      </w:r>
      <w:r w:rsidRPr="008C08CD">
        <w:rPr>
          <w:sz w:val="20"/>
          <w:lang w:val="bg-BG"/>
        </w:rPr>
        <w:t>непреки</w:t>
      </w:r>
      <w:r w:rsidR="003C1592">
        <w:rPr>
          <w:sz w:val="20"/>
          <w:lang w:val="bg-BG"/>
        </w:rPr>
        <w:t>те</w:t>
      </w:r>
      <w:r w:rsidRPr="008C08CD">
        <w:rPr>
          <w:sz w:val="20"/>
          <w:lang w:val="bg-BG"/>
        </w:rPr>
        <w:t xml:space="preserve"> </w:t>
      </w:r>
      <w:r w:rsidR="00704821">
        <w:rPr>
          <w:sz w:val="20"/>
          <w:lang w:val="bg-BG"/>
        </w:rPr>
        <w:t>облаги</w:t>
      </w:r>
      <w:r w:rsidR="00704821" w:rsidRPr="008C08CD">
        <w:rPr>
          <w:sz w:val="20"/>
          <w:lang w:val="bg-BG"/>
        </w:rPr>
        <w:t xml:space="preserve"> </w:t>
      </w:r>
      <w:r w:rsidRPr="008C08CD">
        <w:rPr>
          <w:sz w:val="20"/>
          <w:lang w:val="bg-BG"/>
        </w:rPr>
        <w:t>от подкуп и имущество в ръцете на трети лица. По време на виртуалн</w:t>
      </w:r>
      <w:r w:rsidR="002337D6">
        <w:rPr>
          <w:sz w:val="20"/>
          <w:lang w:val="bg-BG"/>
        </w:rPr>
        <w:t xml:space="preserve">ото посещение </w:t>
      </w:r>
      <w:r w:rsidRPr="008C08CD">
        <w:rPr>
          <w:sz w:val="20"/>
          <w:lang w:val="bg-BG"/>
        </w:rPr>
        <w:t xml:space="preserve">не беше предоставена допълнителна информация за прилагането на тази разпоредба, но по време на </w:t>
      </w:r>
      <w:r w:rsidR="002337D6">
        <w:rPr>
          <w:sz w:val="20"/>
          <w:lang w:val="bg-BG"/>
        </w:rPr>
        <w:t>срещата със</w:t>
      </w:r>
      <w:r w:rsidRPr="008C08CD">
        <w:rPr>
          <w:sz w:val="20"/>
          <w:lang w:val="bg-BG"/>
        </w:rPr>
        <w:t xml:space="preserve"> съдиите беше изразено становището, че </w:t>
      </w:r>
      <w:r w:rsidRPr="005D6747">
        <w:rPr>
          <w:sz w:val="20"/>
          <w:lang w:val="bg-BG"/>
        </w:rPr>
        <w:t>наказанията</w:t>
      </w:r>
      <w:r w:rsidRPr="008C08CD">
        <w:rPr>
          <w:sz w:val="20"/>
          <w:lang w:val="bg-BG"/>
        </w:rPr>
        <w:t xml:space="preserve"> за </w:t>
      </w:r>
      <w:r w:rsidRPr="005D6747">
        <w:rPr>
          <w:sz w:val="20"/>
          <w:lang w:val="bg-BG"/>
        </w:rPr>
        <w:t xml:space="preserve">подкуп на </w:t>
      </w:r>
      <w:r w:rsidRPr="008C08CD">
        <w:rPr>
          <w:sz w:val="20"/>
          <w:lang w:val="bg-BG"/>
        </w:rPr>
        <w:t xml:space="preserve">чужди </w:t>
      </w:r>
      <w:r w:rsidRPr="005D6747">
        <w:rPr>
          <w:sz w:val="20"/>
          <w:lang w:val="bg-BG"/>
        </w:rPr>
        <w:t xml:space="preserve">длъжностни лица </w:t>
      </w:r>
      <w:r w:rsidRPr="008C08CD">
        <w:rPr>
          <w:sz w:val="20"/>
          <w:lang w:val="bg-BG"/>
        </w:rPr>
        <w:t xml:space="preserve">са адекватни и възпиращи. </w:t>
      </w:r>
      <w:r w:rsidR="003507D0">
        <w:rPr>
          <w:sz w:val="20"/>
          <w:lang w:val="bg-BG"/>
        </w:rPr>
        <w:t xml:space="preserve">Докато България отбеляза, че прокурорите искат отнемане като част от техните обвинителни актове и съдилищата са </w:t>
      </w:r>
      <w:r w:rsidR="004D6A41">
        <w:rPr>
          <w:sz w:val="20"/>
          <w:lang w:val="bg-BG"/>
        </w:rPr>
        <w:t xml:space="preserve">длъжни да </w:t>
      </w:r>
      <w:r w:rsidR="00E75563">
        <w:rPr>
          <w:sz w:val="20"/>
          <w:lang w:val="bg-BG"/>
        </w:rPr>
        <w:t>се произнесат относно</w:t>
      </w:r>
      <w:r w:rsidR="004D6A41">
        <w:rPr>
          <w:sz w:val="20"/>
          <w:lang w:val="bg-BG"/>
        </w:rPr>
        <w:t xml:space="preserve"> отнемането </w:t>
      </w:r>
      <w:r w:rsidR="00E75563">
        <w:rPr>
          <w:sz w:val="20"/>
          <w:lang w:val="bg-BG"/>
        </w:rPr>
        <w:t>с</w:t>
      </w:r>
      <w:r w:rsidR="004D6A41">
        <w:rPr>
          <w:sz w:val="20"/>
          <w:lang w:val="bg-BG"/>
        </w:rPr>
        <w:t xml:space="preserve"> присъда</w:t>
      </w:r>
      <w:r w:rsidR="00E75563">
        <w:rPr>
          <w:sz w:val="20"/>
          <w:lang w:val="bg-BG"/>
        </w:rPr>
        <w:t>та</w:t>
      </w:r>
      <w:r w:rsidR="004D6A41">
        <w:rPr>
          <w:sz w:val="20"/>
          <w:lang w:val="bg-BG"/>
        </w:rPr>
        <w:t xml:space="preserve"> или в допълнително изслушване., н</w:t>
      </w:r>
      <w:r w:rsidRPr="008C08CD">
        <w:rPr>
          <w:sz w:val="20"/>
          <w:lang w:val="bg-BG"/>
        </w:rPr>
        <w:t>е беше предоставена допълнителна информация за изпълнението на Препоръка 4 (</w:t>
      </w:r>
      <w:r w:rsidR="002337D6">
        <w:rPr>
          <w:sz w:val="20"/>
          <w:lang w:val="bg-BG"/>
        </w:rPr>
        <w:t>б</w:t>
      </w:r>
      <w:r w:rsidRPr="008C08CD">
        <w:rPr>
          <w:sz w:val="20"/>
          <w:lang w:val="bg-BG"/>
        </w:rPr>
        <w:t xml:space="preserve">) </w:t>
      </w:r>
      <w:r w:rsidRPr="005D6747">
        <w:rPr>
          <w:sz w:val="20"/>
          <w:lang w:val="bg-BG"/>
        </w:rPr>
        <w:t xml:space="preserve">от </w:t>
      </w:r>
      <w:r w:rsidR="00673F1F" w:rsidRPr="008C08CD">
        <w:rPr>
          <w:sz w:val="20"/>
          <w:lang w:val="bg-BG"/>
        </w:rPr>
        <w:t>Фаза</w:t>
      </w:r>
      <w:r w:rsidRPr="008C08CD">
        <w:rPr>
          <w:sz w:val="20"/>
          <w:lang w:val="bg-BG"/>
        </w:rPr>
        <w:t xml:space="preserve"> 3 за предприемане на стъпки, за да се гарантира, че прокурорите редовно </w:t>
      </w:r>
      <w:r w:rsidRPr="005D6747">
        <w:rPr>
          <w:sz w:val="20"/>
          <w:lang w:val="bg-BG"/>
        </w:rPr>
        <w:t>искат</w:t>
      </w:r>
      <w:r w:rsidRPr="008C08CD">
        <w:rPr>
          <w:sz w:val="20"/>
          <w:lang w:val="bg-BG"/>
        </w:rPr>
        <w:t xml:space="preserve"> </w:t>
      </w:r>
      <w:r w:rsidRPr="005D6747">
        <w:rPr>
          <w:sz w:val="20"/>
          <w:lang w:val="bg-BG"/>
        </w:rPr>
        <w:t>отнемане</w:t>
      </w:r>
      <w:r w:rsidRPr="008C08CD">
        <w:rPr>
          <w:sz w:val="20"/>
          <w:lang w:val="bg-BG"/>
        </w:rPr>
        <w:t xml:space="preserve"> на подкупа, както и </w:t>
      </w:r>
      <w:r w:rsidR="002337D6">
        <w:rPr>
          <w:sz w:val="20"/>
          <w:lang w:val="bg-BG"/>
        </w:rPr>
        <w:t xml:space="preserve">на </w:t>
      </w:r>
      <w:r w:rsidRPr="008C08CD">
        <w:rPr>
          <w:sz w:val="20"/>
          <w:lang w:val="bg-BG"/>
        </w:rPr>
        <w:t xml:space="preserve">преките и непреки </w:t>
      </w:r>
      <w:r w:rsidR="00704821">
        <w:rPr>
          <w:sz w:val="20"/>
          <w:lang w:val="bg-BG"/>
        </w:rPr>
        <w:t>облаги</w:t>
      </w:r>
      <w:r w:rsidR="00704821" w:rsidRPr="008C08CD">
        <w:rPr>
          <w:sz w:val="20"/>
          <w:lang w:val="bg-BG"/>
        </w:rPr>
        <w:t xml:space="preserve"> </w:t>
      </w:r>
      <w:r w:rsidRPr="008C08CD">
        <w:rPr>
          <w:sz w:val="20"/>
          <w:lang w:val="bg-BG"/>
        </w:rPr>
        <w:t xml:space="preserve">от подкуп, получени от </w:t>
      </w:r>
      <w:r w:rsidR="00704821">
        <w:rPr>
          <w:sz w:val="20"/>
          <w:lang w:val="bg-BG"/>
        </w:rPr>
        <w:t>даващия подкупа</w:t>
      </w:r>
      <w:r w:rsidRPr="008C08CD">
        <w:rPr>
          <w:sz w:val="20"/>
          <w:lang w:val="bg-BG"/>
        </w:rPr>
        <w:t>.</w:t>
      </w:r>
    </w:p>
    <w:p w14:paraId="0F04E20F" w14:textId="77777777" w:rsidR="005D6747" w:rsidRPr="00FC7B6E" w:rsidRDefault="005D6747" w:rsidP="005D6747">
      <w:pPr>
        <w:widowControl/>
        <w:spacing w:before="120" w:after="120" w:line="260" w:lineRule="atLeast"/>
        <w:rPr>
          <w:b/>
          <w:sz w:val="20"/>
          <w:lang w:val="bg-BG"/>
        </w:rPr>
      </w:pPr>
      <w:r w:rsidRPr="00FC7B6E">
        <w:rPr>
          <w:b/>
          <w:sz w:val="20"/>
          <w:lang w:val="bg-BG"/>
        </w:rPr>
        <w:t>Коментар</w:t>
      </w:r>
    </w:p>
    <w:p w14:paraId="49611697" w14:textId="77777777" w:rsidR="005D6747" w:rsidRPr="008C08CD" w:rsidRDefault="005D6747" w:rsidP="005D6747">
      <w:pPr>
        <w:widowControl/>
        <w:spacing w:before="120" w:after="120" w:line="260" w:lineRule="atLeast"/>
        <w:rPr>
          <w:b/>
          <w:i/>
          <w:color w:val="000000" w:themeColor="text1"/>
          <w:sz w:val="20"/>
          <w:lang w:val="bg-BG"/>
        </w:rPr>
      </w:pPr>
      <w:r w:rsidRPr="008C08CD">
        <w:rPr>
          <w:b/>
          <w:i/>
          <w:color w:val="000000" w:themeColor="text1"/>
          <w:sz w:val="20"/>
          <w:lang w:val="bg-BG"/>
        </w:rPr>
        <w:lastRenderedPageBreak/>
        <w:t xml:space="preserve">Що се отнася до увеличените максимални наказания, предвидени за </w:t>
      </w:r>
      <w:r w:rsidR="002337D6">
        <w:rPr>
          <w:b/>
          <w:i/>
          <w:color w:val="000000" w:themeColor="text1"/>
          <w:sz w:val="20"/>
          <w:lang w:val="bg-BG"/>
        </w:rPr>
        <w:t>квалифицирани случаи на</w:t>
      </w:r>
      <w:r w:rsidR="002337D6" w:rsidRPr="008C08CD">
        <w:rPr>
          <w:b/>
          <w:i/>
          <w:color w:val="000000" w:themeColor="text1"/>
          <w:sz w:val="20"/>
          <w:lang w:val="bg-BG"/>
        </w:rPr>
        <w:t xml:space="preserve"> </w:t>
      </w:r>
      <w:r w:rsidRPr="008C08CD">
        <w:rPr>
          <w:b/>
          <w:i/>
          <w:color w:val="000000" w:themeColor="text1"/>
          <w:sz w:val="20"/>
          <w:lang w:val="bg-BG"/>
        </w:rPr>
        <w:t>подкуп</w:t>
      </w:r>
      <w:r w:rsidRPr="005D6747">
        <w:rPr>
          <w:b/>
          <w:i/>
          <w:color w:val="000000" w:themeColor="text1"/>
          <w:sz w:val="20"/>
          <w:lang w:val="bg-BG"/>
        </w:rPr>
        <w:t xml:space="preserve"> на </w:t>
      </w:r>
      <w:r w:rsidR="002337D6">
        <w:rPr>
          <w:b/>
          <w:i/>
          <w:color w:val="000000" w:themeColor="text1"/>
          <w:sz w:val="20"/>
          <w:lang w:val="bg-BG"/>
        </w:rPr>
        <w:t>местни</w:t>
      </w:r>
      <w:r w:rsidR="002337D6" w:rsidRPr="005D6747">
        <w:rPr>
          <w:b/>
          <w:i/>
          <w:color w:val="000000" w:themeColor="text1"/>
          <w:sz w:val="20"/>
          <w:lang w:val="bg-BG"/>
        </w:rPr>
        <w:t xml:space="preserve"> </w:t>
      </w:r>
      <w:r w:rsidRPr="005D6747">
        <w:rPr>
          <w:b/>
          <w:i/>
          <w:color w:val="000000" w:themeColor="text1"/>
          <w:sz w:val="20"/>
          <w:lang w:val="bg-BG"/>
        </w:rPr>
        <w:t>длъжностни лица</w:t>
      </w:r>
      <w:r w:rsidRPr="008C08CD">
        <w:rPr>
          <w:b/>
          <w:i/>
          <w:color w:val="000000" w:themeColor="text1"/>
          <w:sz w:val="20"/>
          <w:lang w:val="bg-BG"/>
        </w:rPr>
        <w:t xml:space="preserve">, водещите проверители препоръчват те да се прилагат и за </w:t>
      </w:r>
      <w:r w:rsidRPr="005D6747">
        <w:rPr>
          <w:b/>
          <w:i/>
          <w:color w:val="000000" w:themeColor="text1"/>
          <w:sz w:val="20"/>
          <w:lang w:val="bg-BG"/>
        </w:rPr>
        <w:t>подку</w:t>
      </w:r>
      <w:r w:rsidR="00F246C6">
        <w:rPr>
          <w:b/>
          <w:i/>
          <w:color w:val="000000" w:themeColor="text1"/>
          <w:sz w:val="20"/>
          <w:lang w:val="bg-BG"/>
        </w:rPr>
        <w:t>п</w:t>
      </w:r>
      <w:r w:rsidRPr="005D6747">
        <w:rPr>
          <w:b/>
          <w:i/>
          <w:color w:val="000000" w:themeColor="text1"/>
          <w:sz w:val="20"/>
          <w:lang w:val="bg-BG"/>
        </w:rPr>
        <w:t xml:space="preserve"> на </w:t>
      </w:r>
      <w:r w:rsidRPr="008C08CD">
        <w:rPr>
          <w:b/>
          <w:i/>
          <w:color w:val="000000" w:themeColor="text1"/>
          <w:sz w:val="20"/>
          <w:lang w:val="bg-BG"/>
        </w:rPr>
        <w:t>чужди</w:t>
      </w:r>
      <w:r w:rsidRPr="005D6747">
        <w:rPr>
          <w:b/>
          <w:i/>
          <w:color w:val="000000" w:themeColor="text1"/>
          <w:sz w:val="20"/>
          <w:lang w:val="bg-BG"/>
        </w:rPr>
        <w:t xml:space="preserve"> длъжностни лица</w:t>
      </w:r>
      <w:r w:rsidRPr="008C08CD">
        <w:rPr>
          <w:b/>
          <w:i/>
          <w:color w:val="000000" w:themeColor="text1"/>
          <w:sz w:val="20"/>
          <w:lang w:val="bg-BG"/>
        </w:rPr>
        <w:t xml:space="preserve"> и отново повтарят </w:t>
      </w:r>
      <w:r w:rsidRPr="005D6747">
        <w:rPr>
          <w:b/>
          <w:i/>
          <w:color w:val="000000" w:themeColor="text1"/>
          <w:sz w:val="20"/>
          <w:lang w:val="bg-BG"/>
        </w:rPr>
        <w:t>П</w:t>
      </w:r>
      <w:r w:rsidRPr="008C08CD">
        <w:rPr>
          <w:b/>
          <w:i/>
          <w:color w:val="000000" w:themeColor="text1"/>
          <w:sz w:val="20"/>
          <w:lang w:val="bg-BG"/>
        </w:rPr>
        <w:t>репоръка 3 (</w:t>
      </w:r>
      <w:r w:rsidRPr="005D6747">
        <w:rPr>
          <w:b/>
          <w:i/>
          <w:color w:val="000000" w:themeColor="text1"/>
          <w:sz w:val="20"/>
        </w:rPr>
        <w:t>b</w:t>
      </w:r>
      <w:r w:rsidRPr="008C08CD">
        <w:rPr>
          <w:b/>
          <w:i/>
          <w:color w:val="000000" w:themeColor="text1"/>
          <w:sz w:val="20"/>
          <w:lang w:val="bg-BG"/>
        </w:rPr>
        <w:t xml:space="preserve">) от </w:t>
      </w:r>
      <w:r w:rsidR="00673F1F" w:rsidRPr="008C08CD">
        <w:rPr>
          <w:b/>
          <w:i/>
          <w:color w:val="000000" w:themeColor="text1"/>
          <w:sz w:val="20"/>
          <w:lang w:val="bg-BG"/>
        </w:rPr>
        <w:t>Фаза</w:t>
      </w:r>
      <w:r w:rsidRPr="008C08CD">
        <w:rPr>
          <w:b/>
          <w:i/>
          <w:color w:val="000000" w:themeColor="text1"/>
          <w:sz w:val="20"/>
          <w:lang w:val="bg-BG"/>
        </w:rPr>
        <w:t xml:space="preserve"> 3 в това отношение.</w:t>
      </w:r>
    </w:p>
    <w:p w14:paraId="2CAC8117" w14:textId="7F4035C7" w:rsidR="005D6747" w:rsidRPr="008C08CD" w:rsidRDefault="005D6747" w:rsidP="005D6747">
      <w:pPr>
        <w:widowControl/>
        <w:spacing w:before="120" w:after="120" w:line="260" w:lineRule="atLeast"/>
        <w:rPr>
          <w:b/>
          <w:i/>
          <w:color w:val="000000" w:themeColor="text1"/>
          <w:sz w:val="20"/>
          <w:lang w:val="bg-BG"/>
        </w:rPr>
      </w:pPr>
      <w:r w:rsidRPr="008C08CD">
        <w:rPr>
          <w:b/>
          <w:i/>
          <w:color w:val="000000" w:themeColor="text1"/>
          <w:sz w:val="20"/>
          <w:lang w:val="bg-BG"/>
        </w:rPr>
        <w:t>При липса на повече приключени дела за подкуп</w:t>
      </w:r>
      <w:r w:rsidRPr="005D6747">
        <w:rPr>
          <w:b/>
          <w:i/>
          <w:color w:val="000000" w:themeColor="text1"/>
          <w:sz w:val="20"/>
          <w:lang w:val="bg-BG"/>
        </w:rPr>
        <w:t>ване на чужди служители</w:t>
      </w:r>
      <w:r w:rsidRPr="008C08CD">
        <w:rPr>
          <w:b/>
          <w:i/>
          <w:color w:val="000000" w:themeColor="text1"/>
          <w:sz w:val="20"/>
          <w:lang w:val="bg-BG"/>
        </w:rPr>
        <w:t xml:space="preserve">, водещите проверители не могат да преценят дали наказанията, наложени на практика срещу физически лица за </w:t>
      </w:r>
      <w:r w:rsidRPr="005D6747">
        <w:rPr>
          <w:b/>
          <w:i/>
          <w:color w:val="000000" w:themeColor="text1"/>
          <w:sz w:val="20"/>
          <w:lang w:val="bg-BG"/>
        </w:rPr>
        <w:t>подкупване на чужди длъжностни лица</w:t>
      </w:r>
      <w:r w:rsidRPr="008C08CD">
        <w:rPr>
          <w:b/>
          <w:i/>
          <w:color w:val="000000" w:themeColor="text1"/>
          <w:sz w:val="20"/>
          <w:lang w:val="bg-BG"/>
        </w:rPr>
        <w:t xml:space="preserve">, са ефективни, пропорционални и възпиращи. Водещите проверители обаче препоръчват на България (а) да предприеме всички необходими стъпки, включително чрез насоки и обучение на съдебната власт, за да гарантира, че наказанията, наложени срещу </w:t>
      </w:r>
      <w:r w:rsidR="00F246C6">
        <w:rPr>
          <w:b/>
          <w:i/>
          <w:color w:val="000000" w:themeColor="text1"/>
          <w:sz w:val="20"/>
          <w:lang w:val="bg-BG"/>
        </w:rPr>
        <w:t>физически</w:t>
      </w:r>
      <w:r w:rsidR="00F246C6" w:rsidRPr="008C08CD">
        <w:rPr>
          <w:b/>
          <w:i/>
          <w:color w:val="000000" w:themeColor="text1"/>
          <w:sz w:val="20"/>
          <w:lang w:val="bg-BG"/>
        </w:rPr>
        <w:t xml:space="preserve"> </w:t>
      </w:r>
      <w:r w:rsidRPr="008C08CD">
        <w:rPr>
          <w:b/>
          <w:i/>
          <w:color w:val="000000" w:themeColor="text1"/>
          <w:sz w:val="20"/>
          <w:lang w:val="bg-BG"/>
        </w:rPr>
        <w:t>лица за подкуп</w:t>
      </w:r>
      <w:r w:rsidRPr="005D6747">
        <w:rPr>
          <w:b/>
          <w:i/>
          <w:color w:val="000000" w:themeColor="text1"/>
          <w:sz w:val="20"/>
          <w:lang w:val="bg-BG"/>
        </w:rPr>
        <w:t xml:space="preserve"> на чужди длъжностни лица</w:t>
      </w:r>
      <w:r w:rsidRPr="008C08CD">
        <w:rPr>
          <w:b/>
          <w:i/>
          <w:color w:val="000000" w:themeColor="text1"/>
          <w:sz w:val="20"/>
          <w:lang w:val="bg-BG"/>
        </w:rPr>
        <w:t>, са ефективни, пропорционални и възпиращи на практика и (</w:t>
      </w:r>
      <w:r w:rsidRPr="005D6747">
        <w:rPr>
          <w:b/>
          <w:i/>
          <w:color w:val="000000" w:themeColor="text1"/>
          <w:sz w:val="20"/>
          <w:lang w:val="bg-BG"/>
        </w:rPr>
        <w:t>б</w:t>
      </w:r>
      <w:r w:rsidRPr="008C08CD">
        <w:rPr>
          <w:b/>
          <w:i/>
          <w:color w:val="000000" w:themeColor="text1"/>
          <w:sz w:val="20"/>
          <w:lang w:val="bg-BG"/>
        </w:rPr>
        <w:t>)</w:t>
      </w:r>
      <w:r w:rsidR="004D6A41">
        <w:rPr>
          <w:b/>
          <w:i/>
          <w:color w:val="000000" w:themeColor="text1"/>
          <w:sz w:val="20"/>
          <w:lang w:val="bg-BG"/>
        </w:rPr>
        <w:t xml:space="preserve"> да предприеме стъпки, за</w:t>
      </w:r>
      <w:r w:rsidR="00F246C6">
        <w:rPr>
          <w:b/>
          <w:i/>
          <w:color w:val="000000" w:themeColor="text1"/>
          <w:sz w:val="20"/>
          <w:lang w:val="bg-BG"/>
        </w:rPr>
        <w:t xml:space="preserve"> да</w:t>
      </w:r>
      <w:r w:rsidRPr="008C08CD">
        <w:rPr>
          <w:b/>
          <w:i/>
          <w:color w:val="000000" w:themeColor="text1"/>
          <w:sz w:val="20"/>
          <w:lang w:val="bg-BG"/>
        </w:rPr>
        <w:t xml:space="preserve"> гарантира</w:t>
      </w:r>
      <w:r w:rsidR="002337D6">
        <w:rPr>
          <w:b/>
          <w:i/>
          <w:color w:val="000000" w:themeColor="text1"/>
          <w:sz w:val="20"/>
          <w:lang w:val="bg-BG"/>
        </w:rPr>
        <w:t>,</w:t>
      </w:r>
      <w:r w:rsidRPr="008C08CD">
        <w:rPr>
          <w:b/>
          <w:i/>
          <w:color w:val="000000" w:themeColor="text1"/>
          <w:sz w:val="20"/>
          <w:lang w:val="bg-BG"/>
        </w:rPr>
        <w:t xml:space="preserve"> че </w:t>
      </w:r>
      <w:r w:rsidR="00E75563">
        <w:rPr>
          <w:b/>
          <w:i/>
          <w:color w:val="000000" w:themeColor="text1"/>
          <w:sz w:val="20"/>
          <w:lang w:val="bg-BG"/>
        </w:rPr>
        <w:t>по дела за подкуп на чуждо длъжностно лице</w:t>
      </w:r>
      <w:r w:rsidR="00E75563" w:rsidRPr="008C08CD">
        <w:rPr>
          <w:b/>
          <w:i/>
          <w:color w:val="000000" w:themeColor="text1"/>
          <w:sz w:val="20"/>
          <w:lang w:val="bg-BG"/>
        </w:rPr>
        <w:t xml:space="preserve"> </w:t>
      </w:r>
      <w:r w:rsidRPr="008C08CD">
        <w:rPr>
          <w:b/>
          <w:i/>
          <w:color w:val="000000" w:themeColor="text1"/>
          <w:sz w:val="20"/>
          <w:lang w:val="bg-BG"/>
        </w:rPr>
        <w:t xml:space="preserve">прокурорите редовно </w:t>
      </w:r>
      <w:r w:rsidR="00E75563">
        <w:rPr>
          <w:b/>
          <w:i/>
          <w:color w:val="000000" w:themeColor="text1"/>
          <w:sz w:val="20"/>
          <w:lang w:val="bg-BG"/>
        </w:rPr>
        <w:t xml:space="preserve">търсят </w:t>
      </w:r>
      <w:r w:rsidR="00E75563" w:rsidRPr="008C08CD">
        <w:rPr>
          <w:b/>
          <w:i/>
          <w:color w:val="000000" w:themeColor="text1"/>
          <w:sz w:val="20"/>
          <w:lang w:val="bg-BG"/>
        </w:rPr>
        <w:t xml:space="preserve"> </w:t>
      </w:r>
      <w:r w:rsidRPr="005D6747">
        <w:rPr>
          <w:b/>
          <w:i/>
          <w:color w:val="000000" w:themeColor="text1"/>
          <w:sz w:val="20"/>
          <w:lang w:val="bg-BG"/>
        </w:rPr>
        <w:t>отнемане</w:t>
      </w:r>
      <w:r w:rsidRPr="008C08CD">
        <w:rPr>
          <w:b/>
          <w:i/>
          <w:color w:val="000000" w:themeColor="text1"/>
          <w:sz w:val="20"/>
          <w:lang w:val="bg-BG"/>
        </w:rPr>
        <w:t xml:space="preserve"> на подкупа и преките и </w:t>
      </w:r>
      <w:r w:rsidR="006E173E">
        <w:rPr>
          <w:b/>
          <w:i/>
          <w:color w:val="000000" w:themeColor="text1"/>
          <w:sz w:val="20"/>
          <w:lang w:val="bg-BG"/>
        </w:rPr>
        <w:t>непреките</w:t>
      </w:r>
      <w:r w:rsidRPr="008C08CD">
        <w:rPr>
          <w:b/>
          <w:i/>
          <w:color w:val="000000" w:themeColor="text1"/>
          <w:sz w:val="20"/>
          <w:lang w:val="bg-BG"/>
        </w:rPr>
        <w:t xml:space="preserve"> </w:t>
      </w:r>
      <w:r w:rsidR="00F246C6">
        <w:rPr>
          <w:b/>
          <w:i/>
          <w:color w:val="000000" w:themeColor="text1"/>
          <w:sz w:val="20"/>
          <w:lang w:val="bg-BG"/>
        </w:rPr>
        <w:t>облаги</w:t>
      </w:r>
      <w:r w:rsidR="00F246C6" w:rsidRPr="008C08CD">
        <w:rPr>
          <w:b/>
          <w:i/>
          <w:color w:val="000000" w:themeColor="text1"/>
          <w:sz w:val="20"/>
          <w:lang w:val="bg-BG"/>
        </w:rPr>
        <w:t xml:space="preserve"> </w:t>
      </w:r>
      <w:r w:rsidRPr="008C08CD">
        <w:rPr>
          <w:b/>
          <w:i/>
          <w:color w:val="000000" w:themeColor="text1"/>
          <w:sz w:val="20"/>
          <w:lang w:val="bg-BG"/>
        </w:rPr>
        <w:t xml:space="preserve">от </w:t>
      </w:r>
      <w:r w:rsidR="00236BFF">
        <w:rPr>
          <w:b/>
          <w:i/>
          <w:color w:val="000000" w:themeColor="text1"/>
          <w:sz w:val="20"/>
          <w:lang w:val="bg-BG"/>
        </w:rPr>
        <w:t>престъплението</w:t>
      </w:r>
      <w:r w:rsidRPr="008C08CD">
        <w:rPr>
          <w:b/>
          <w:i/>
          <w:color w:val="000000" w:themeColor="text1"/>
          <w:sz w:val="20"/>
          <w:lang w:val="bg-BG"/>
        </w:rPr>
        <w:t xml:space="preserve">, получени от </w:t>
      </w:r>
      <w:r w:rsidR="00F246C6">
        <w:rPr>
          <w:b/>
          <w:i/>
          <w:color w:val="000000" w:themeColor="text1"/>
          <w:sz w:val="20"/>
          <w:lang w:val="bg-BG"/>
        </w:rPr>
        <w:t>даващия подкупа</w:t>
      </w:r>
      <w:r w:rsidR="004D6A41">
        <w:rPr>
          <w:b/>
          <w:i/>
          <w:color w:val="000000" w:themeColor="text1"/>
          <w:sz w:val="20"/>
          <w:lang w:val="bg-BG"/>
        </w:rPr>
        <w:t>, или налагане н</w:t>
      </w:r>
      <w:r w:rsidR="00E34AD7">
        <w:rPr>
          <w:b/>
          <w:i/>
          <w:color w:val="000000" w:themeColor="text1"/>
          <w:sz w:val="20"/>
          <w:lang w:val="bg-BG"/>
        </w:rPr>
        <w:t>а парични санкции със с</w:t>
      </w:r>
      <w:r w:rsidR="006A1459">
        <w:rPr>
          <w:b/>
          <w:i/>
          <w:color w:val="000000" w:themeColor="text1"/>
          <w:sz w:val="20"/>
          <w:lang w:val="bg-BG"/>
        </w:rPr>
        <w:t>ъпоставим</w:t>
      </w:r>
      <w:r w:rsidR="00E34AD7">
        <w:rPr>
          <w:b/>
          <w:i/>
          <w:color w:val="000000" w:themeColor="text1"/>
          <w:sz w:val="20"/>
          <w:lang w:val="bg-BG"/>
        </w:rPr>
        <w:t xml:space="preserve"> ефект. </w:t>
      </w:r>
    </w:p>
    <w:p w14:paraId="70E107D9" w14:textId="77777777" w:rsidR="005D6747" w:rsidRPr="008C08CD" w:rsidRDefault="005D6747" w:rsidP="00504B2E">
      <w:pPr>
        <w:pStyle w:val="Para"/>
        <w:keepNext/>
        <w:numPr>
          <w:ilvl w:val="0"/>
          <w:numId w:val="27"/>
        </w:numPr>
        <w:spacing w:before="440" w:after="240" w:line="320" w:lineRule="exact"/>
        <w:jc w:val="left"/>
        <w:outlineLvl w:val="1"/>
        <w:rPr>
          <w:rFonts w:eastAsiaTheme="majorEastAsia" w:cstheme="majorBidi"/>
          <w:b/>
          <w:color w:val="4E81BD" w:themeColor="accent1"/>
          <w:sz w:val="24"/>
          <w:szCs w:val="26"/>
          <w:lang w:val="bg-BG"/>
        </w:rPr>
      </w:pPr>
      <w:r w:rsidRPr="008C08CD">
        <w:rPr>
          <w:rFonts w:eastAsiaTheme="majorEastAsia" w:cstheme="majorBidi"/>
          <w:b/>
          <w:color w:val="4E81BD" w:themeColor="accent1"/>
          <w:sz w:val="24"/>
          <w:szCs w:val="26"/>
          <w:lang w:val="bg-BG"/>
        </w:rPr>
        <w:t>Свързани престъпления с фалшиво счетоводство и изпиране на пари</w:t>
      </w:r>
    </w:p>
    <w:p w14:paraId="03F70E64" w14:textId="01C63A9D" w:rsidR="005D6747" w:rsidRPr="005D6747" w:rsidRDefault="00FC7B6E"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t>(а)</w:t>
      </w:r>
      <w:r w:rsidR="00EF25FD">
        <w:rPr>
          <w:rFonts w:eastAsiaTheme="majorEastAsia" w:cstheme="majorBidi"/>
          <w:b/>
          <w:i/>
          <w:color w:val="000000" w:themeColor="text1"/>
          <w:szCs w:val="24"/>
          <w:lang w:val="bg-BG"/>
        </w:rPr>
        <w:t xml:space="preserve"> </w:t>
      </w:r>
      <w:r w:rsidR="002F710E">
        <w:rPr>
          <w:rFonts w:eastAsiaTheme="majorEastAsia" w:cstheme="majorBidi"/>
          <w:b/>
          <w:i/>
          <w:color w:val="000000" w:themeColor="text1"/>
          <w:szCs w:val="24"/>
          <w:lang w:val="bg-BG"/>
        </w:rPr>
        <w:tab/>
      </w:r>
      <w:r w:rsidR="005D6747" w:rsidRPr="005D6747">
        <w:rPr>
          <w:rFonts w:eastAsiaTheme="majorEastAsia" w:cstheme="majorBidi"/>
          <w:b/>
          <w:i/>
          <w:color w:val="000000" w:themeColor="text1"/>
          <w:szCs w:val="24"/>
          <w:lang w:val="bg-BG"/>
        </w:rPr>
        <w:t>Нарушение</w:t>
      </w:r>
      <w:r w:rsidR="00236BFF">
        <w:rPr>
          <w:rFonts w:eastAsiaTheme="majorEastAsia" w:cstheme="majorBidi"/>
          <w:b/>
          <w:i/>
          <w:color w:val="000000" w:themeColor="text1"/>
          <w:szCs w:val="24"/>
          <w:lang w:val="bg-BG"/>
        </w:rPr>
        <w:t>то</w:t>
      </w:r>
      <w:r w:rsidR="005D6747" w:rsidRPr="005D6747">
        <w:rPr>
          <w:rFonts w:eastAsiaTheme="majorEastAsia" w:cstheme="majorBidi"/>
          <w:b/>
          <w:i/>
          <w:color w:val="000000" w:themeColor="text1"/>
          <w:szCs w:val="24"/>
          <w:lang w:val="bg-BG"/>
        </w:rPr>
        <w:t xml:space="preserve"> фалшиво счетоводно </w:t>
      </w:r>
    </w:p>
    <w:p w14:paraId="37EFBDDD" w14:textId="5D5C0170" w:rsidR="005D6747" w:rsidRPr="00572912" w:rsidRDefault="005D6747" w:rsidP="00572912">
      <w:pPr>
        <w:pStyle w:val="Para"/>
        <w:numPr>
          <w:ilvl w:val="0"/>
          <w:numId w:val="65"/>
        </w:numPr>
        <w:rPr>
          <w:lang w:val="bg-BG"/>
        </w:rPr>
      </w:pPr>
      <w:r w:rsidRPr="00572912">
        <w:rPr>
          <w:lang w:val="bg-BG"/>
        </w:rPr>
        <w:t xml:space="preserve">Във </w:t>
      </w:r>
      <w:r w:rsidR="00673F1F" w:rsidRPr="00CE5B36">
        <w:rPr>
          <w:lang w:val="bg-BG"/>
        </w:rPr>
        <w:t>Фаза</w:t>
      </w:r>
      <w:r w:rsidRPr="00572912">
        <w:rPr>
          <w:lang w:val="bg-BG"/>
        </w:rPr>
        <w:t xml:space="preserve"> 3 </w:t>
      </w:r>
      <w:r w:rsidR="00743358" w:rsidRPr="00CE5B36">
        <w:rPr>
          <w:lang w:val="bg-BG"/>
        </w:rPr>
        <w:t xml:space="preserve">административното </w:t>
      </w:r>
      <w:r w:rsidRPr="00CE5B36">
        <w:rPr>
          <w:lang w:val="bg-BG"/>
        </w:rPr>
        <w:t>нарушение</w:t>
      </w:r>
      <w:r w:rsidRPr="00D86727">
        <w:rPr>
          <w:lang w:val="bg-BG"/>
        </w:rPr>
        <w:t xml:space="preserve"> </w:t>
      </w:r>
      <w:r w:rsidRPr="00572912">
        <w:rPr>
          <w:lang w:val="bg-BG"/>
        </w:rPr>
        <w:t xml:space="preserve">фалшиво счетоводство на подкуп за България е открито в член 46, параграф 1 от Закона за счетоводството. Българският НК също съдържа редица </w:t>
      </w:r>
      <w:r w:rsidR="00743358" w:rsidRPr="00CE5B36">
        <w:rPr>
          <w:lang w:val="bg-BG"/>
        </w:rPr>
        <w:t xml:space="preserve">наказателни </w:t>
      </w:r>
      <w:r w:rsidRPr="00572912">
        <w:rPr>
          <w:lang w:val="bg-BG"/>
        </w:rPr>
        <w:t xml:space="preserve">разпоредби, отнасящи се до фалшиво счетоводство във връзка с други престъпления, но според доклада от </w:t>
      </w:r>
      <w:r w:rsidR="00673F1F" w:rsidRPr="00CE5B36">
        <w:rPr>
          <w:lang w:val="bg-BG"/>
        </w:rPr>
        <w:t>Фаза</w:t>
      </w:r>
      <w:r w:rsidRPr="00572912">
        <w:rPr>
          <w:lang w:val="bg-BG"/>
        </w:rPr>
        <w:t xml:space="preserve"> 3 (параграф 81) тези разпоредби съдържат допълнителни елементи, които не са открити в член 8 от Конвенцията. През 2016 г. България прие нов Закон за счетоводството, чийто член 9 </w:t>
      </w:r>
      <w:r w:rsidRPr="00CE5B36">
        <w:rPr>
          <w:lang w:val="bg-BG"/>
        </w:rPr>
        <w:t>забранява</w:t>
      </w:r>
      <w:r w:rsidR="00BD5A2F" w:rsidRPr="00CE5B36">
        <w:rPr>
          <w:lang w:val="bg-BG"/>
        </w:rPr>
        <w:t xml:space="preserve"> </w:t>
      </w:r>
      <w:r w:rsidR="00236BFF" w:rsidRPr="00CE5B36">
        <w:rPr>
          <w:lang w:val="bg-BG"/>
        </w:rPr>
        <w:t xml:space="preserve">осчетоводяването </w:t>
      </w:r>
      <w:r w:rsidR="00DC0111" w:rsidRPr="00CE5B36">
        <w:rPr>
          <w:lang w:val="bg-BG"/>
        </w:rPr>
        <w:t>на</w:t>
      </w:r>
      <w:r w:rsidRPr="00572912">
        <w:rPr>
          <w:lang w:val="bg-BG"/>
        </w:rPr>
        <w:t>:</w:t>
      </w:r>
    </w:p>
    <w:p w14:paraId="03538F38" w14:textId="77777777" w:rsidR="005D6747" w:rsidRPr="00572912" w:rsidRDefault="005D6747" w:rsidP="005D6747">
      <w:pPr>
        <w:widowControl/>
        <w:spacing w:before="120" w:after="120" w:line="260" w:lineRule="atLeast"/>
        <w:ind w:firstLine="720"/>
        <w:rPr>
          <w:sz w:val="20"/>
          <w:lang w:val="bg-BG"/>
        </w:rPr>
      </w:pPr>
      <w:r w:rsidRPr="005D6747">
        <w:rPr>
          <w:sz w:val="20"/>
        </w:rPr>
        <w:t>a</w:t>
      </w:r>
      <w:r w:rsidRPr="00572912">
        <w:rPr>
          <w:sz w:val="20"/>
          <w:lang w:val="bg-BG"/>
        </w:rPr>
        <w:t xml:space="preserve">) </w:t>
      </w:r>
      <w:r w:rsidRPr="00572912">
        <w:rPr>
          <w:rFonts w:ascii="Verdana" w:hAnsi="Verdana"/>
          <w:color w:val="000000"/>
          <w:sz w:val="18"/>
          <w:szCs w:val="18"/>
          <w:shd w:val="clear" w:color="auto" w:fill="FEFEFE"/>
          <w:lang w:val="bg-BG"/>
        </w:rPr>
        <w:t xml:space="preserve"> </w:t>
      </w:r>
      <w:proofErr w:type="gramStart"/>
      <w:r w:rsidRPr="00572912">
        <w:rPr>
          <w:rFonts w:ascii="Verdana" w:hAnsi="Verdana"/>
          <w:color w:val="000000"/>
          <w:sz w:val="18"/>
          <w:szCs w:val="18"/>
          <w:shd w:val="clear" w:color="auto" w:fill="FEFEFE"/>
          <w:lang w:val="bg-BG"/>
        </w:rPr>
        <w:t>стопански</w:t>
      </w:r>
      <w:proofErr w:type="gramEnd"/>
      <w:r w:rsidRPr="00572912">
        <w:rPr>
          <w:rFonts w:ascii="Verdana" w:hAnsi="Verdana"/>
          <w:color w:val="000000"/>
          <w:sz w:val="18"/>
          <w:szCs w:val="18"/>
          <w:shd w:val="clear" w:color="auto" w:fill="FEFEFE"/>
          <w:lang w:val="bg-BG"/>
        </w:rPr>
        <w:t xml:space="preserve"> операции в извънсчетоводни книги или регистри;</w:t>
      </w:r>
    </w:p>
    <w:p w14:paraId="37AA1935" w14:textId="77777777" w:rsidR="005D6747" w:rsidRPr="005D6747" w:rsidRDefault="005D6747" w:rsidP="005D6747">
      <w:pPr>
        <w:widowControl/>
        <w:spacing w:before="120" w:after="120" w:line="260" w:lineRule="atLeast"/>
        <w:ind w:firstLine="720"/>
        <w:rPr>
          <w:color w:val="000000" w:themeColor="text1"/>
          <w:sz w:val="20"/>
          <w:szCs w:val="20"/>
          <w:lang w:val="x-none"/>
        </w:rPr>
      </w:pPr>
      <w:r w:rsidRPr="005D6747">
        <w:rPr>
          <w:sz w:val="20"/>
          <w:lang w:val="bg-BG"/>
        </w:rPr>
        <w:t>б</w:t>
      </w:r>
      <w:r w:rsidRPr="00572912">
        <w:rPr>
          <w:sz w:val="20"/>
          <w:lang w:val="bg-BG"/>
        </w:rPr>
        <w:t xml:space="preserve">) </w:t>
      </w:r>
      <w:r w:rsidRPr="00572912">
        <w:rPr>
          <w:rFonts w:ascii="Verdana" w:hAnsi="Verdana"/>
          <w:color w:val="000000"/>
          <w:sz w:val="18"/>
          <w:szCs w:val="18"/>
          <w:shd w:val="clear" w:color="auto" w:fill="FEFEFE"/>
          <w:lang w:val="bg-BG"/>
        </w:rPr>
        <w:t>фиктивни или недостатъчно идентифицирани сделки, несъществуващи разходи, както и задължения с неточно определен предмет, извършено с цел подкупване на длъжностни лица или прикриване на подкуп.</w:t>
      </w:r>
    </w:p>
    <w:p w14:paraId="1395D323" w14:textId="2DB00021" w:rsidR="005D6747" w:rsidRPr="008C08CD" w:rsidRDefault="005D6747" w:rsidP="005D6747">
      <w:pPr>
        <w:widowControl/>
        <w:numPr>
          <w:ilvl w:val="0"/>
          <w:numId w:val="1"/>
        </w:numPr>
        <w:spacing w:before="120" w:after="120" w:line="260" w:lineRule="atLeast"/>
        <w:rPr>
          <w:sz w:val="20"/>
          <w:lang w:val="bg-BG"/>
        </w:rPr>
      </w:pPr>
      <w:r w:rsidRPr="005D6747">
        <w:rPr>
          <w:sz w:val="20"/>
        </w:rPr>
        <w:t xml:space="preserve">България </w:t>
      </w:r>
      <w:r w:rsidR="00E75563">
        <w:rPr>
          <w:sz w:val="20"/>
          <w:lang w:val="bg-BG"/>
        </w:rPr>
        <w:t>съобщава</w:t>
      </w:r>
      <w:r w:rsidRPr="005D6747">
        <w:rPr>
          <w:sz w:val="20"/>
        </w:rPr>
        <w:t xml:space="preserve">, че член 9 е изготвен, за да </w:t>
      </w:r>
      <w:r w:rsidR="00236BFF" w:rsidRPr="005D6747">
        <w:rPr>
          <w:sz w:val="20"/>
        </w:rPr>
        <w:t>отгов</w:t>
      </w:r>
      <w:r w:rsidR="002F710E">
        <w:rPr>
          <w:sz w:val="20"/>
          <w:lang w:val="bg-BG"/>
        </w:rPr>
        <w:t>о</w:t>
      </w:r>
      <w:r w:rsidR="00236BFF" w:rsidRPr="005D6747">
        <w:rPr>
          <w:sz w:val="20"/>
        </w:rPr>
        <w:t>р</w:t>
      </w:r>
      <w:r w:rsidR="00236BFF">
        <w:rPr>
          <w:sz w:val="20"/>
          <w:lang w:val="bg-BG"/>
        </w:rPr>
        <w:t>и</w:t>
      </w:r>
      <w:r w:rsidR="00236BFF" w:rsidRPr="005D6747">
        <w:rPr>
          <w:sz w:val="20"/>
        </w:rPr>
        <w:t xml:space="preserve"> </w:t>
      </w:r>
      <w:r w:rsidRPr="005D6747">
        <w:rPr>
          <w:sz w:val="20"/>
        </w:rPr>
        <w:t xml:space="preserve">на „изискванията за ефективна борба с фалшивото счетоводство, съгласно член 8 от Конвенцията“. </w:t>
      </w:r>
      <w:r w:rsidR="00BD5A2F">
        <w:rPr>
          <w:sz w:val="20"/>
          <w:lang w:val="bg-BG"/>
        </w:rPr>
        <w:t>Счетоводителите, които присъстваха на виртуалното посещение</w:t>
      </w:r>
      <w:r w:rsidR="00236BFF">
        <w:rPr>
          <w:sz w:val="20"/>
          <w:lang w:val="bg-BG"/>
        </w:rPr>
        <w:t>,</w:t>
      </w:r>
      <w:r w:rsidR="00BD5A2F">
        <w:rPr>
          <w:sz w:val="20"/>
          <w:lang w:val="bg-BG"/>
        </w:rPr>
        <w:t xml:space="preserve"> изглежда</w:t>
      </w:r>
      <w:r w:rsidR="00236BFF">
        <w:rPr>
          <w:sz w:val="20"/>
          <w:lang w:val="bg-BG"/>
        </w:rPr>
        <w:t>ха</w:t>
      </w:r>
      <w:r w:rsidR="00BD5A2F">
        <w:rPr>
          <w:sz w:val="20"/>
          <w:lang w:val="bg-BG"/>
        </w:rPr>
        <w:t xml:space="preserve"> добре запознати с новата разпоредба. </w:t>
      </w:r>
      <w:r w:rsidRPr="008C08CD">
        <w:rPr>
          <w:sz w:val="20"/>
          <w:lang w:val="bg-BG"/>
        </w:rPr>
        <w:t xml:space="preserve">Разпоредбите на </w:t>
      </w:r>
      <w:r w:rsidRPr="005D6747">
        <w:rPr>
          <w:sz w:val="20"/>
          <w:lang w:val="bg-BG"/>
        </w:rPr>
        <w:t>НК</w:t>
      </w:r>
      <w:r w:rsidRPr="008C08CD">
        <w:rPr>
          <w:sz w:val="20"/>
          <w:lang w:val="bg-BG"/>
        </w:rPr>
        <w:t xml:space="preserve">, отнасящи се до фалшиво счетоводство във връзка с други престъпления, продължават да </w:t>
      </w:r>
      <w:r w:rsidR="0093771F">
        <w:rPr>
          <w:sz w:val="20"/>
          <w:lang w:val="bg-BG"/>
        </w:rPr>
        <w:t>са</w:t>
      </w:r>
      <w:r w:rsidR="0093771F" w:rsidRPr="008C08CD">
        <w:rPr>
          <w:sz w:val="20"/>
          <w:lang w:val="bg-BG"/>
        </w:rPr>
        <w:t xml:space="preserve"> </w:t>
      </w:r>
      <w:r w:rsidRPr="008C08CD">
        <w:rPr>
          <w:sz w:val="20"/>
          <w:lang w:val="bg-BG"/>
        </w:rPr>
        <w:t>в сила.</w:t>
      </w:r>
    </w:p>
    <w:p w14:paraId="75D197C4" w14:textId="3481A06D" w:rsidR="005D6747" w:rsidRPr="005D6747" w:rsidRDefault="001773E0"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t>(б)</w:t>
      </w:r>
      <w:r w:rsidR="00EF25FD">
        <w:rPr>
          <w:rFonts w:eastAsiaTheme="majorEastAsia" w:cstheme="majorBidi"/>
          <w:b/>
          <w:i/>
          <w:color w:val="000000" w:themeColor="text1"/>
          <w:szCs w:val="24"/>
          <w:lang w:val="bg-BG"/>
        </w:rPr>
        <w:t xml:space="preserve"> </w:t>
      </w:r>
      <w:r w:rsidR="002F710E">
        <w:rPr>
          <w:rFonts w:eastAsiaTheme="majorEastAsia" w:cstheme="majorBidi"/>
          <w:b/>
          <w:i/>
          <w:color w:val="000000" w:themeColor="text1"/>
          <w:szCs w:val="24"/>
          <w:lang w:val="bg-BG"/>
        </w:rPr>
        <w:tab/>
        <w:t>Санкции</w:t>
      </w:r>
      <w:r w:rsidR="00231A8F" w:rsidRPr="005D6747">
        <w:rPr>
          <w:rFonts w:eastAsiaTheme="majorEastAsia" w:cstheme="majorBidi"/>
          <w:b/>
          <w:i/>
          <w:color w:val="000000" w:themeColor="text1"/>
          <w:szCs w:val="24"/>
          <w:lang w:val="bg-BG"/>
        </w:rPr>
        <w:t xml:space="preserve"> </w:t>
      </w:r>
      <w:r w:rsidR="005D6747" w:rsidRPr="005D6747">
        <w:rPr>
          <w:rFonts w:eastAsiaTheme="majorEastAsia" w:cstheme="majorBidi"/>
          <w:b/>
          <w:i/>
          <w:color w:val="000000" w:themeColor="text1"/>
          <w:szCs w:val="24"/>
          <w:lang w:val="bg-BG"/>
        </w:rPr>
        <w:t>за фалшиво счетоводство</w:t>
      </w:r>
    </w:p>
    <w:p w14:paraId="04B820EF" w14:textId="77777777" w:rsidR="005D6747" w:rsidRPr="00367B42" w:rsidRDefault="005D6747" w:rsidP="005D6747">
      <w:pPr>
        <w:widowControl/>
        <w:numPr>
          <w:ilvl w:val="0"/>
          <w:numId w:val="1"/>
        </w:numPr>
        <w:spacing w:before="120" w:after="120" w:line="260" w:lineRule="atLeast"/>
        <w:rPr>
          <w:sz w:val="20"/>
          <w:lang w:val="bg-BG"/>
        </w:rPr>
      </w:pPr>
      <w:r w:rsidRPr="005D6747">
        <w:rPr>
          <w:sz w:val="20"/>
        </w:rPr>
        <w:t xml:space="preserve">Особено </w:t>
      </w:r>
      <w:r w:rsidRPr="005D6747">
        <w:rPr>
          <w:sz w:val="20"/>
          <w:lang w:val="bg-BG"/>
        </w:rPr>
        <w:t>тревожно</w:t>
      </w:r>
      <w:r w:rsidRPr="005D6747">
        <w:rPr>
          <w:sz w:val="20"/>
        </w:rPr>
        <w:t xml:space="preserve"> за </w:t>
      </w:r>
      <w:r w:rsidRPr="005D6747">
        <w:rPr>
          <w:sz w:val="20"/>
          <w:lang w:val="bg-BG"/>
        </w:rPr>
        <w:t>Р</w:t>
      </w:r>
      <w:r w:rsidRPr="005D6747">
        <w:rPr>
          <w:sz w:val="20"/>
        </w:rPr>
        <w:t xml:space="preserve">аботната група във </w:t>
      </w:r>
      <w:r w:rsidR="00673F1F">
        <w:rPr>
          <w:sz w:val="20"/>
          <w:lang w:val="bg-BG"/>
        </w:rPr>
        <w:t>Фаза</w:t>
      </w:r>
      <w:r w:rsidRPr="005D6747">
        <w:rPr>
          <w:sz w:val="20"/>
        </w:rPr>
        <w:t xml:space="preserve"> 3 беше неадекватността на </w:t>
      </w:r>
      <w:r w:rsidR="00661026">
        <w:rPr>
          <w:sz w:val="20"/>
          <w:lang w:val="bg-BG"/>
        </w:rPr>
        <w:t>санкционирането</w:t>
      </w:r>
      <w:r w:rsidR="00661026" w:rsidRPr="005D6747">
        <w:rPr>
          <w:sz w:val="20"/>
        </w:rPr>
        <w:t xml:space="preserve"> </w:t>
      </w:r>
      <w:r w:rsidRPr="005D6747">
        <w:rPr>
          <w:sz w:val="20"/>
          <w:lang w:val="bg-BG"/>
        </w:rPr>
        <w:t xml:space="preserve">на </w:t>
      </w:r>
      <w:r w:rsidRPr="005D6747">
        <w:rPr>
          <w:sz w:val="20"/>
        </w:rPr>
        <w:t xml:space="preserve">фалшиво счетоводство, което по това време се наказваше с максимална парична санкция от 500 лева (приблизително 255 евро). Поради това </w:t>
      </w:r>
      <w:r w:rsidR="00236BFF">
        <w:rPr>
          <w:sz w:val="20"/>
          <w:lang w:val="bg-BG"/>
        </w:rPr>
        <w:t>Р</w:t>
      </w:r>
      <w:r w:rsidRPr="005D6747">
        <w:rPr>
          <w:sz w:val="20"/>
        </w:rPr>
        <w:t xml:space="preserve">аботната група препоръча на България да въведе ефективни, пропорционални и възпиращи </w:t>
      </w:r>
      <w:r w:rsidR="00661026">
        <w:rPr>
          <w:sz w:val="20"/>
          <w:lang w:val="bg-BG"/>
        </w:rPr>
        <w:t>санкции</w:t>
      </w:r>
      <w:r w:rsidR="00661026" w:rsidRPr="005D6747">
        <w:rPr>
          <w:sz w:val="20"/>
        </w:rPr>
        <w:t xml:space="preserve"> </w:t>
      </w:r>
      <w:r w:rsidRPr="005D6747">
        <w:rPr>
          <w:sz w:val="20"/>
        </w:rPr>
        <w:t>за фалшиво счетоводство</w:t>
      </w:r>
      <w:r w:rsidR="00661026">
        <w:rPr>
          <w:sz w:val="20"/>
          <w:lang w:val="bg-BG"/>
        </w:rPr>
        <w:t xml:space="preserve"> </w:t>
      </w:r>
      <w:r w:rsidR="00236BFF">
        <w:rPr>
          <w:sz w:val="20"/>
          <w:lang w:val="bg-BG"/>
        </w:rPr>
        <w:t>(</w:t>
      </w:r>
      <w:r w:rsidR="00BC1A97">
        <w:rPr>
          <w:sz w:val="20"/>
          <w:lang w:val="bg-BG"/>
        </w:rPr>
        <w:t>първата част от препоръка 6а</w:t>
      </w:r>
      <w:r w:rsidR="00236BFF">
        <w:rPr>
          <w:sz w:val="20"/>
          <w:lang w:val="bg-BG"/>
        </w:rPr>
        <w:t>)</w:t>
      </w:r>
      <w:r w:rsidR="00BC1A97">
        <w:rPr>
          <w:sz w:val="20"/>
          <w:lang w:val="bg-BG"/>
        </w:rPr>
        <w:t xml:space="preserve">. </w:t>
      </w:r>
      <w:r w:rsidRPr="00367B42">
        <w:rPr>
          <w:sz w:val="20"/>
          <w:lang w:val="bg-BG"/>
        </w:rPr>
        <w:t xml:space="preserve">Двугодишният писмен </w:t>
      </w:r>
      <w:r w:rsidR="002F710E">
        <w:rPr>
          <w:sz w:val="20"/>
          <w:lang w:val="bg-BG"/>
        </w:rPr>
        <w:t>преглед</w:t>
      </w:r>
      <w:r w:rsidR="00236BFF">
        <w:rPr>
          <w:sz w:val="20"/>
          <w:lang w:val="bg-BG"/>
        </w:rPr>
        <w:t xml:space="preserve"> на изпълнението на препоръките от фаза 3 </w:t>
      </w:r>
      <w:r w:rsidRPr="00367B42">
        <w:rPr>
          <w:sz w:val="20"/>
          <w:lang w:val="bg-BG"/>
        </w:rPr>
        <w:t xml:space="preserve">установи, че България не е изпълнила препоръката. Член 68 (1) </w:t>
      </w:r>
      <w:r w:rsidR="00236BFF">
        <w:rPr>
          <w:sz w:val="20"/>
          <w:lang w:val="bg-BG"/>
        </w:rPr>
        <w:t xml:space="preserve">от </w:t>
      </w:r>
      <w:r w:rsidR="00236BFF" w:rsidRPr="00367B42">
        <w:rPr>
          <w:sz w:val="20"/>
          <w:lang w:val="bg-BG"/>
        </w:rPr>
        <w:t>Закон</w:t>
      </w:r>
      <w:r w:rsidR="00236BFF">
        <w:rPr>
          <w:sz w:val="20"/>
          <w:lang w:val="bg-BG"/>
        </w:rPr>
        <w:t>а</w:t>
      </w:r>
      <w:r w:rsidR="00236BFF" w:rsidRPr="00367B42">
        <w:rPr>
          <w:sz w:val="20"/>
          <w:lang w:val="bg-BG"/>
        </w:rPr>
        <w:t xml:space="preserve"> </w:t>
      </w:r>
      <w:r w:rsidRPr="00367B42">
        <w:rPr>
          <w:sz w:val="20"/>
          <w:lang w:val="bg-BG"/>
        </w:rPr>
        <w:t>за счетоводството увеличи наличните наказания за фалшиво</w:t>
      </w:r>
      <w:r w:rsidRPr="005D6747">
        <w:rPr>
          <w:sz w:val="20"/>
          <w:lang w:val="bg-BG"/>
        </w:rPr>
        <w:t xml:space="preserve"> </w:t>
      </w:r>
      <w:r w:rsidRPr="00367B42">
        <w:rPr>
          <w:sz w:val="20"/>
          <w:lang w:val="bg-BG"/>
        </w:rPr>
        <w:t xml:space="preserve">счетоводно нарушение </w:t>
      </w:r>
      <w:r w:rsidR="00236BFF">
        <w:rPr>
          <w:sz w:val="20"/>
          <w:lang w:val="bg-BG"/>
        </w:rPr>
        <w:t>от 500 лева до 5000 лева (приблизително 2 550 евро) за физическите лица и от</w:t>
      </w:r>
      <w:r w:rsidR="00236BFF" w:rsidRPr="00367B42">
        <w:rPr>
          <w:sz w:val="20"/>
          <w:lang w:val="bg-BG"/>
        </w:rPr>
        <w:t xml:space="preserve"> </w:t>
      </w:r>
      <w:r w:rsidRPr="00367B42">
        <w:rPr>
          <w:sz w:val="20"/>
          <w:lang w:val="bg-BG"/>
        </w:rPr>
        <w:t>2000 лева (приблизително 1022 евро) - 10 000 лева (приблизително 5100 евро)</w:t>
      </w:r>
      <w:r w:rsidR="00511A52">
        <w:rPr>
          <w:sz w:val="20"/>
          <w:lang w:val="bg-BG"/>
        </w:rPr>
        <w:t xml:space="preserve"> за юрид</w:t>
      </w:r>
      <w:r w:rsidR="00236BFF">
        <w:rPr>
          <w:sz w:val="20"/>
          <w:lang w:val="bg-BG"/>
        </w:rPr>
        <w:t>ическите лица</w:t>
      </w:r>
      <w:r w:rsidRPr="00367B42">
        <w:rPr>
          <w:sz w:val="20"/>
          <w:lang w:val="bg-BG"/>
        </w:rPr>
        <w:t xml:space="preserve">. В случай на повторно нарушение санкцията се удвоява. Въпреки че това увеличение е добре дошло, наличните </w:t>
      </w:r>
      <w:r w:rsidRPr="00367B42">
        <w:rPr>
          <w:sz w:val="20"/>
          <w:lang w:val="bg-BG"/>
        </w:rPr>
        <w:lastRenderedPageBreak/>
        <w:t xml:space="preserve">наказания за </w:t>
      </w:r>
      <w:r w:rsidR="002F710E" w:rsidRPr="00367B42">
        <w:rPr>
          <w:sz w:val="20"/>
          <w:lang w:val="bg-BG"/>
        </w:rPr>
        <w:t>нарушенията, свързани с</w:t>
      </w:r>
      <w:r w:rsidR="002F710E" w:rsidRPr="005D6747">
        <w:rPr>
          <w:sz w:val="20"/>
          <w:lang w:val="bg-BG"/>
        </w:rPr>
        <w:t xml:space="preserve"> </w:t>
      </w:r>
      <w:r w:rsidRPr="005D6747">
        <w:rPr>
          <w:sz w:val="20"/>
          <w:lang w:val="bg-BG"/>
        </w:rPr>
        <w:t>фалшиво</w:t>
      </w:r>
      <w:r w:rsidRPr="00367B42">
        <w:rPr>
          <w:sz w:val="20"/>
          <w:lang w:val="bg-BG"/>
        </w:rPr>
        <w:t xml:space="preserve"> счетоводно</w:t>
      </w:r>
      <w:r w:rsidR="002F710E">
        <w:rPr>
          <w:sz w:val="20"/>
          <w:lang w:val="bg-BG"/>
        </w:rPr>
        <w:t>,</w:t>
      </w:r>
      <w:r w:rsidRPr="00367B42">
        <w:rPr>
          <w:sz w:val="20"/>
          <w:lang w:val="bg-BG"/>
        </w:rPr>
        <w:t xml:space="preserve"> все още изглеждат много ниски, за да бъдат ефективни, пропорционални и възпиращи. </w:t>
      </w:r>
    </w:p>
    <w:p w14:paraId="26D42580" w14:textId="77777777" w:rsidR="005D6747" w:rsidRPr="00367B42" w:rsidRDefault="005D6747" w:rsidP="005D6747">
      <w:pPr>
        <w:widowControl/>
        <w:spacing w:before="120" w:after="120" w:line="260" w:lineRule="atLeast"/>
        <w:rPr>
          <w:b/>
          <w:i/>
          <w:color w:val="4E81BD" w:themeColor="accent1"/>
          <w:sz w:val="20"/>
          <w:lang w:val="bg-BG"/>
        </w:rPr>
      </w:pPr>
      <w:r w:rsidRPr="00367B42">
        <w:rPr>
          <w:b/>
          <w:i/>
          <w:color w:val="4E81BD" w:themeColor="accent1"/>
          <w:sz w:val="20"/>
          <w:lang w:val="bg-BG"/>
        </w:rPr>
        <w:t>Коментар</w:t>
      </w:r>
    </w:p>
    <w:p w14:paraId="33AF6D94" w14:textId="5401AEAE" w:rsidR="005D6747" w:rsidRPr="00367B42" w:rsidRDefault="005D6747" w:rsidP="005D6747">
      <w:pPr>
        <w:widowControl/>
        <w:spacing w:before="120" w:after="120" w:line="260" w:lineRule="atLeast"/>
        <w:rPr>
          <w:b/>
          <w:i/>
          <w:color w:val="000000" w:themeColor="text1"/>
          <w:sz w:val="20"/>
          <w:lang w:val="bg-BG"/>
        </w:rPr>
      </w:pPr>
      <w:r w:rsidRPr="00367B42">
        <w:rPr>
          <w:b/>
          <w:i/>
          <w:color w:val="000000" w:themeColor="text1"/>
          <w:sz w:val="20"/>
          <w:lang w:val="bg-BG"/>
        </w:rPr>
        <w:t xml:space="preserve">Водещите проверители приветстват приемането на член 9 от Закона за счетоводството с цел подкупване на </w:t>
      </w:r>
      <w:r w:rsidRPr="005D6747">
        <w:rPr>
          <w:b/>
          <w:i/>
          <w:color w:val="000000" w:themeColor="text1"/>
          <w:sz w:val="20"/>
          <w:lang w:val="bg-BG"/>
        </w:rPr>
        <w:t>длъжностни лица</w:t>
      </w:r>
      <w:r w:rsidRPr="00367B42">
        <w:rPr>
          <w:b/>
          <w:i/>
          <w:color w:val="000000" w:themeColor="text1"/>
          <w:sz w:val="20"/>
          <w:lang w:val="bg-BG"/>
        </w:rPr>
        <w:t xml:space="preserve"> или за укриване на такъв подкуп. Те препоръчват България да повиши осведомеността за новото </w:t>
      </w:r>
      <w:r w:rsidR="00743358">
        <w:rPr>
          <w:b/>
          <w:i/>
          <w:color w:val="000000" w:themeColor="text1"/>
          <w:sz w:val="20"/>
          <w:lang w:val="bg-BG"/>
        </w:rPr>
        <w:t>административно нарушение</w:t>
      </w:r>
      <w:r w:rsidR="00743358" w:rsidRPr="00367B42">
        <w:rPr>
          <w:b/>
          <w:i/>
          <w:color w:val="000000" w:themeColor="text1"/>
          <w:sz w:val="20"/>
          <w:lang w:val="bg-BG"/>
        </w:rPr>
        <w:t xml:space="preserve"> </w:t>
      </w:r>
      <w:r w:rsidRPr="00367B42">
        <w:rPr>
          <w:b/>
          <w:i/>
          <w:color w:val="000000" w:themeColor="text1"/>
          <w:sz w:val="20"/>
          <w:lang w:val="bg-BG"/>
        </w:rPr>
        <w:t>сред съответните практикуващи. Водещите проверители обаче считат, че новият член 9 все още не отговаря на изискванията на член 8, параграф 2 от Конвенцията относно ефективността, пропорционалността и възпиращи</w:t>
      </w:r>
      <w:r w:rsidR="00511A52">
        <w:rPr>
          <w:b/>
          <w:i/>
          <w:color w:val="000000" w:themeColor="text1"/>
          <w:sz w:val="20"/>
          <w:lang w:val="bg-BG"/>
        </w:rPr>
        <w:t xml:space="preserve">я ефект </w:t>
      </w:r>
      <w:r w:rsidRPr="00367B42">
        <w:rPr>
          <w:b/>
          <w:i/>
          <w:color w:val="000000" w:themeColor="text1"/>
          <w:sz w:val="20"/>
          <w:lang w:val="bg-BG"/>
        </w:rPr>
        <w:t xml:space="preserve">на наказанията и потвърждават </w:t>
      </w:r>
      <w:r w:rsidR="00661026" w:rsidRPr="00367B42">
        <w:rPr>
          <w:b/>
          <w:i/>
          <w:color w:val="000000" w:themeColor="text1"/>
          <w:sz w:val="20"/>
          <w:lang w:val="bg-BG"/>
        </w:rPr>
        <w:t xml:space="preserve">в тази връзка </w:t>
      </w:r>
      <w:r w:rsidR="00511A52">
        <w:rPr>
          <w:b/>
          <w:i/>
          <w:color w:val="000000" w:themeColor="text1"/>
          <w:sz w:val="20"/>
          <w:lang w:val="bg-BG"/>
        </w:rPr>
        <w:t>(</w:t>
      </w:r>
      <w:r w:rsidR="00661026" w:rsidRPr="00367B42">
        <w:rPr>
          <w:b/>
          <w:i/>
          <w:color w:val="000000" w:themeColor="text1"/>
          <w:sz w:val="20"/>
          <w:lang w:val="bg-BG"/>
        </w:rPr>
        <w:t>първата част от препоръка 6а.</w:t>
      </w:r>
      <w:r w:rsidRPr="00367B42">
        <w:rPr>
          <w:b/>
          <w:i/>
          <w:color w:val="000000" w:themeColor="text1"/>
          <w:sz w:val="20"/>
          <w:lang w:val="bg-BG"/>
        </w:rPr>
        <w:t xml:space="preserve"> от </w:t>
      </w:r>
      <w:r w:rsidR="00673F1F">
        <w:rPr>
          <w:b/>
          <w:i/>
          <w:color w:val="000000" w:themeColor="text1"/>
          <w:sz w:val="20"/>
          <w:lang w:val="bg-BG"/>
        </w:rPr>
        <w:t>Фаза</w:t>
      </w:r>
      <w:r w:rsidRPr="00367B42">
        <w:rPr>
          <w:b/>
          <w:i/>
          <w:color w:val="000000" w:themeColor="text1"/>
          <w:sz w:val="20"/>
          <w:lang w:val="bg-BG"/>
        </w:rPr>
        <w:t xml:space="preserve"> 3</w:t>
      </w:r>
      <w:r w:rsidR="00511A52">
        <w:rPr>
          <w:b/>
          <w:i/>
          <w:color w:val="000000" w:themeColor="text1"/>
          <w:sz w:val="20"/>
          <w:lang w:val="bg-BG"/>
        </w:rPr>
        <w:t>)</w:t>
      </w:r>
      <w:r w:rsidRPr="00367B42">
        <w:rPr>
          <w:b/>
          <w:i/>
          <w:color w:val="000000" w:themeColor="text1"/>
          <w:sz w:val="20"/>
          <w:lang w:val="bg-BG"/>
        </w:rPr>
        <w:t xml:space="preserve"> относно това България да въведе адекватни наказания за фалшиво счетово</w:t>
      </w:r>
      <w:r w:rsidRPr="005D6747">
        <w:rPr>
          <w:b/>
          <w:i/>
          <w:color w:val="000000" w:themeColor="text1"/>
          <w:sz w:val="20"/>
          <w:lang w:val="bg-BG"/>
        </w:rPr>
        <w:t xml:space="preserve">дство </w:t>
      </w:r>
      <w:r w:rsidRPr="00367B42">
        <w:rPr>
          <w:b/>
          <w:i/>
          <w:color w:val="000000" w:themeColor="text1"/>
          <w:sz w:val="20"/>
          <w:lang w:val="bg-BG"/>
        </w:rPr>
        <w:t>с цел подкупване на чужд</w:t>
      </w:r>
      <w:r w:rsidRPr="005D6747">
        <w:rPr>
          <w:b/>
          <w:i/>
          <w:color w:val="000000" w:themeColor="text1"/>
          <w:sz w:val="20"/>
          <w:lang w:val="bg-BG"/>
        </w:rPr>
        <w:t>и</w:t>
      </w:r>
      <w:r w:rsidRPr="00367B42">
        <w:rPr>
          <w:b/>
          <w:i/>
          <w:color w:val="000000" w:themeColor="text1"/>
          <w:sz w:val="20"/>
          <w:lang w:val="bg-BG"/>
        </w:rPr>
        <w:t xml:space="preserve"> </w:t>
      </w:r>
      <w:r w:rsidRPr="005D6747">
        <w:rPr>
          <w:b/>
          <w:i/>
          <w:color w:val="000000" w:themeColor="text1"/>
          <w:sz w:val="20"/>
          <w:lang w:val="bg-BG"/>
        </w:rPr>
        <w:t>лъжностни лица</w:t>
      </w:r>
      <w:r w:rsidR="00511A52">
        <w:rPr>
          <w:b/>
          <w:i/>
          <w:color w:val="000000" w:themeColor="text1"/>
          <w:sz w:val="20"/>
          <w:lang w:val="bg-BG"/>
        </w:rPr>
        <w:t xml:space="preserve"> </w:t>
      </w:r>
      <w:r w:rsidRPr="00367B42">
        <w:rPr>
          <w:b/>
          <w:i/>
          <w:color w:val="000000" w:themeColor="text1"/>
          <w:sz w:val="20"/>
          <w:lang w:val="bg-BG"/>
        </w:rPr>
        <w:t>или за укриване на такъв подкуп.</w:t>
      </w:r>
    </w:p>
    <w:p w14:paraId="6C0B8494" w14:textId="54930549" w:rsidR="005D6747" w:rsidRPr="008C08CD" w:rsidRDefault="001773E0" w:rsidP="00EF25FD">
      <w:pPr>
        <w:keepNext/>
        <w:keepLines/>
        <w:widowControl/>
        <w:spacing w:before="280" w:after="180" w:line="280" w:lineRule="exact"/>
        <w:jc w:val="left"/>
        <w:outlineLvl w:val="2"/>
        <w:rPr>
          <w:rFonts w:eastAsiaTheme="majorEastAsia" w:cstheme="majorBidi"/>
          <w:b/>
          <w:i/>
          <w:color w:val="000000" w:themeColor="text1"/>
          <w:lang w:val="bg-BG"/>
        </w:rPr>
      </w:pPr>
      <w:r>
        <w:rPr>
          <w:rFonts w:eastAsiaTheme="majorEastAsia" w:cstheme="majorBidi"/>
          <w:b/>
          <w:i/>
          <w:color w:val="000000" w:themeColor="text1"/>
          <w:lang w:val="bg-BG"/>
        </w:rPr>
        <w:t>(в)</w:t>
      </w:r>
      <w:r w:rsidR="00EF25FD">
        <w:rPr>
          <w:rFonts w:eastAsiaTheme="majorEastAsia" w:cstheme="majorBidi"/>
          <w:b/>
          <w:i/>
          <w:color w:val="000000" w:themeColor="text1"/>
          <w:lang w:val="bg-BG"/>
        </w:rPr>
        <w:t xml:space="preserve"> </w:t>
      </w:r>
      <w:r w:rsidR="002F710E">
        <w:rPr>
          <w:rFonts w:eastAsiaTheme="majorEastAsia" w:cstheme="majorBidi"/>
          <w:b/>
          <w:i/>
          <w:color w:val="000000" w:themeColor="text1"/>
          <w:lang w:val="bg-BG"/>
        </w:rPr>
        <w:tab/>
      </w:r>
      <w:r w:rsidR="00661026">
        <w:rPr>
          <w:rFonts w:eastAsiaTheme="majorEastAsia" w:cstheme="majorBidi"/>
          <w:b/>
          <w:i/>
          <w:color w:val="000000" w:themeColor="text1"/>
          <w:lang w:val="bg-BG"/>
        </w:rPr>
        <w:t>Престъплението из</w:t>
      </w:r>
      <w:r w:rsidR="005D6747" w:rsidRPr="005D6747">
        <w:rPr>
          <w:rFonts w:eastAsiaTheme="majorEastAsia" w:cstheme="majorBidi"/>
          <w:b/>
          <w:i/>
          <w:color w:val="000000" w:themeColor="text1"/>
          <w:lang w:val="bg-BG"/>
        </w:rPr>
        <w:t>пране на пари и превантивни мерки</w:t>
      </w:r>
    </w:p>
    <w:p w14:paraId="10EA1C5A" w14:textId="243833DE" w:rsidR="005D6747" w:rsidRPr="008C08CD" w:rsidRDefault="005D6747" w:rsidP="005D6747">
      <w:pPr>
        <w:widowControl/>
        <w:numPr>
          <w:ilvl w:val="0"/>
          <w:numId w:val="1"/>
        </w:numPr>
        <w:spacing w:before="120" w:after="120" w:line="260" w:lineRule="atLeast"/>
        <w:rPr>
          <w:color w:val="000000" w:themeColor="text1"/>
          <w:sz w:val="20"/>
          <w:lang w:val="bg-BG"/>
        </w:rPr>
      </w:pPr>
      <w:r w:rsidRPr="008C08CD">
        <w:rPr>
          <w:color w:val="000000" w:themeColor="text1"/>
          <w:sz w:val="20"/>
          <w:lang w:val="bg-BG"/>
        </w:rPr>
        <w:t xml:space="preserve">Както бе споменато в част А по-горе, във </w:t>
      </w:r>
      <w:r w:rsidR="00673F1F" w:rsidRPr="008C08CD">
        <w:rPr>
          <w:color w:val="000000" w:themeColor="text1"/>
          <w:sz w:val="20"/>
          <w:lang w:val="bg-BG"/>
        </w:rPr>
        <w:t>Фаза</w:t>
      </w:r>
      <w:r w:rsidRPr="008C08CD">
        <w:rPr>
          <w:color w:val="000000" w:themeColor="text1"/>
          <w:sz w:val="20"/>
          <w:lang w:val="bg-BG"/>
        </w:rPr>
        <w:t xml:space="preserve"> 3 няма препоръки или последващи въпроси, свързани с изпирането на пари или </w:t>
      </w:r>
      <w:r w:rsidR="00661026">
        <w:rPr>
          <w:color w:val="000000" w:themeColor="text1"/>
          <w:sz w:val="20"/>
          <w:lang w:val="bg-BG"/>
        </w:rPr>
        <w:t>ЗФР</w:t>
      </w:r>
      <w:r w:rsidRPr="008C08CD">
        <w:rPr>
          <w:color w:val="000000" w:themeColor="text1"/>
          <w:sz w:val="20"/>
          <w:lang w:val="bg-BG"/>
        </w:rPr>
        <w:t xml:space="preserve">. България в момента </w:t>
      </w:r>
      <w:r w:rsidR="002D7555">
        <w:rPr>
          <w:color w:val="000000" w:themeColor="text1"/>
          <w:sz w:val="20"/>
          <w:lang w:val="bg-BG"/>
        </w:rPr>
        <w:t>преминава през</w:t>
      </w:r>
      <w:r w:rsidRPr="008C08CD">
        <w:rPr>
          <w:color w:val="000000" w:themeColor="text1"/>
          <w:sz w:val="20"/>
          <w:lang w:val="bg-BG"/>
        </w:rPr>
        <w:t xml:space="preserve"> оценка</w:t>
      </w:r>
      <w:r w:rsidR="00661026">
        <w:rPr>
          <w:color w:val="000000" w:themeColor="text1"/>
          <w:sz w:val="20"/>
          <w:lang w:val="bg-BG"/>
        </w:rPr>
        <w:t xml:space="preserve">та на Комитета </w:t>
      </w:r>
      <w:r w:rsidRPr="005D6747">
        <w:rPr>
          <w:color w:val="000000" w:themeColor="text1"/>
          <w:sz w:val="20"/>
        </w:rPr>
        <w:t>MONEYVAL</w:t>
      </w:r>
      <w:r w:rsidR="00CE5B36">
        <w:rPr>
          <w:color w:val="000000" w:themeColor="text1"/>
          <w:sz w:val="20"/>
          <w:lang w:val="bg-BG"/>
        </w:rPr>
        <w:t xml:space="preserve"> с визита  на място, проведе</w:t>
      </w:r>
      <w:r w:rsidR="00CA55B9">
        <w:rPr>
          <w:color w:val="000000" w:themeColor="text1"/>
          <w:sz w:val="20"/>
          <w:lang w:val="bg-BG"/>
        </w:rPr>
        <w:t>на</w:t>
      </w:r>
      <w:r w:rsidR="00CE5B36">
        <w:rPr>
          <w:color w:val="000000" w:themeColor="text1"/>
          <w:sz w:val="20"/>
          <w:lang w:val="bg-BG"/>
        </w:rPr>
        <w:t xml:space="preserve"> през септември </w:t>
      </w:r>
      <w:r w:rsidRPr="008C08CD">
        <w:rPr>
          <w:color w:val="000000" w:themeColor="text1"/>
          <w:sz w:val="20"/>
          <w:lang w:val="bg-BG"/>
        </w:rPr>
        <w:t xml:space="preserve">2021 г. и подробната оценка на нейната рамка за борба с изпирането на пари не попада в обхвата на този доклад. </w:t>
      </w:r>
    </w:p>
    <w:p w14:paraId="004E6278" w14:textId="77777777"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Всяко престъпление по НК, включително подкуп</w:t>
      </w:r>
      <w:r w:rsidRPr="005D6747">
        <w:rPr>
          <w:color w:val="000000" w:themeColor="text1"/>
          <w:sz w:val="20"/>
          <w:lang w:val="bg-BG"/>
        </w:rPr>
        <w:t>а на чуждо длъжностно лице</w:t>
      </w:r>
      <w:r w:rsidRPr="008C08CD">
        <w:rPr>
          <w:color w:val="000000" w:themeColor="text1"/>
          <w:sz w:val="20"/>
          <w:lang w:val="bg-BG"/>
        </w:rPr>
        <w:t>, се квалифицира като предикатно престъпление за изпиране</w:t>
      </w:r>
      <w:r w:rsidR="00306FC5">
        <w:rPr>
          <w:color w:val="000000" w:themeColor="text1"/>
          <w:sz w:val="20"/>
          <w:lang w:val="bg-BG"/>
        </w:rPr>
        <w:t>то</w:t>
      </w:r>
      <w:r w:rsidRPr="008C08CD">
        <w:rPr>
          <w:color w:val="000000" w:themeColor="text1"/>
          <w:sz w:val="20"/>
          <w:lang w:val="bg-BG"/>
        </w:rPr>
        <w:t xml:space="preserve"> на пари (членове 253 и 253а НК). Наказанието може да бъде до 15 години лишаване от свобода за най-тежките случаи (член 253, параграф 5 от НК).</w:t>
      </w:r>
    </w:p>
    <w:p w14:paraId="5A244ACB" w14:textId="77777777"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 xml:space="preserve">След </w:t>
      </w:r>
      <w:r w:rsidR="00673F1F" w:rsidRPr="008C08CD">
        <w:rPr>
          <w:color w:val="000000" w:themeColor="text1"/>
          <w:sz w:val="20"/>
          <w:lang w:val="bg-BG"/>
        </w:rPr>
        <w:t>Фаза</w:t>
      </w:r>
      <w:r w:rsidRPr="008C08CD">
        <w:rPr>
          <w:color w:val="000000" w:themeColor="text1"/>
          <w:sz w:val="20"/>
          <w:lang w:val="bg-BG"/>
        </w:rPr>
        <w:t xml:space="preserve"> 3 са настъпили леки изменения в </w:t>
      </w:r>
      <w:r w:rsidR="00306FC5">
        <w:rPr>
          <w:color w:val="000000" w:themeColor="text1"/>
          <w:sz w:val="20"/>
          <w:lang w:val="bg-BG"/>
        </w:rPr>
        <w:t xml:space="preserve">престъплението </w:t>
      </w:r>
      <w:r w:rsidRPr="008C08CD">
        <w:rPr>
          <w:color w:val="000000" w:themeColor="text1"/>
          <w:sz w:val="20"/>
          <w:lang w:val="bg-BG"/>
        </w:rPr>
        <w:t xml:space="preserve"> </w:t>
      </w:r>
      <w:r w:rsidR="00306FC5">
        <w:rPr>
          <w:color w:val="000000" w:themeColor="text1"/>
          <w:sz w:val="20"/>
          <w:lang w:val="bg-BG"/>
        </w:rPr>
        <w:t>„</w:t>
      </w:r>
      <w:r w:rsidRPr="008C08CD">
        <w:rPr>
          <w:color w:val="000000" w:themeColor="text1"/>
          <w:sz w:val="20"/>
          <w:lang w:val="bg-BG"/>
        </w:rPr>
        <w:t>изпиране на пари</w:t>
      </w:r>
      <w:r w:rsidR="00306FC5">
        <w:rPr>
          <w:color w:val="000000" w:themeColor="text1"/>
          <w:sz w:val="20"/>
          <w:lang w:val="bg-BG"/>
        </w:rPr>
        <w:t>“</w:t>
      </w:r>
      <w:r w:rsidRPr="008C08CD">
        <w:rPr>
          <w:color w:val="000000" w:themeColor="text1"/>
          <w:sz w:val="20"/>
          <w:lang w:val="bg-BG"/>
        </w:rPr>
        <w:t xml:space="preserve"> (членове 253 и 253а от НК), основно </w:t>
      </w:r>
      <w:r w:rsidR="00306FC5">
        <w:rPr>
          <w:color w:val="000000" w:themeColor="text1"/>
          <w:sz w:val="20"/>
          <w:lang w:val="bg-BG"/>
        </w:rPr>
        <w:t xml:space="preserve"> във връзка с транспонирането</w:t>
      </w:r>
      <w:r w:rsidRPr="008C08CD">
        <w:rPr>
          <w:color w:val="000000" w:themeColor="text1"/>
          <w:sz w:val="20"/>
          <w:lang w:val="bg-BG"/>
        </w:rPr>
        <w:t xml:space="preserve"> на </w:t>
      </w:r>
      <w:r w:rsidR="00511A52">
        <w:rPr>
          <w:color w:val="000000" w:themeColor="text1"/>
          <w:sz w:val="20"/>
          <w:lang w:val="bg-BG"/>
        </w:rPr>
        <w:t>Д</w:t>
      </w:r>
      <w:r w:rsidRPr="008C08CD">
        <w:rPr>
          <w:color w:val="000000" w:themeColor="text1"/>
          <w:sz w:val="20"/>
          <w:lang w:val="bg-BG"/>
        </w:rPr>
        <w:t xml:space="preserve">иректива на ЕС 2018/1673 на Европейския парламент и на Съвета от 23 октомври 2018 г. за борба с изпирането на пари </w:t>
      </w:r>
      <w:r w:rsidRPr="005D6747">
        <w:rPr>
          <w:color w:val="000000" w:themeColor="text1"/>
          <w:sz w:val="20"/>
          <w:lang w:val="bg-BG"/>
        </w:rPr>
        <w:t>по наказателноправен ред</w:t>
      </w:r>
      <w:r w:rsidRPr="008C08CD">
        <w:rPr>
          <w:color w:val="000000" w:themeColor="text1"/>
          <w:sz w:val="20"/>
          <w:lang w:val="bg-BG"/>
        </w:rPr>
        <w:t>. Изменението въве</w:t>
      </w:r>
      <w:r w:rsidR="00306FC5">
        <w:rPr>
          <w:color w:val="000000" w:themeColor="text1"/>
          <w:sz w:val="20"/>
          <w:lang w:val="bg-BG"/>
        </w:rPr>
        <w:t>ж</w:t>
      </w:r>
      <w:r w:rsidRPr="008C08CD">
        <w:rPr>
          <w:color w:val="000000" w:themeColor="text1"/>
          <w:sz w:val="20"/>
          <w:lang w:val="bg-BG"/>
        </w:rPr>
        <w:t>д</w:t>
      </w:r>
      <w:r w:rsidR="00306FC5">
        <w:rPr>
          <w:color w:val="000000" w:themeColor="text1"/>
          <w:sz w:val="20"/>
          <w:lang w:val="bg-BG"/>
        </w:rPr>
        <w:t>а</w:t>
      </w:r>
      <w:r w:rsidRPr="008C08CD">
        <w:rPr>
          <w:color w:val="000000" w:themeColor="text1"/>
          <w:sz w:val="20"/>
          <w:lang w:val="bg-BG"/>
        </w:rPr>
        <w:t xml:space="preserve"> ново утежняващо обстоятелство за изпиране на пари, когато </w:t>
      </w:r>
      <w:r w:rsidRPr="005D6747">
        <w:rPr>
          <w:color w:val="000000" w:themeColor="text1"/>
          <w:sz w:val="20"/>
          <w:lang w:val="bg-BG"/>
        </w:rPr>
        <w:t>нарушението</w:t>
      </w:r>
      <w:r w:rsidRPr="008C08CD">
        <w:rPr>
          <w:color w:val="000000" w:themeColor="text1"/>
          <w:sz w:val="20"/>
          <w:lang w:val="bg-BG"/>
        </w:rPr>
        <w:t xml:space="preserve"> е извършено от задължено лице по чл.4 </w:t>
      </w:r>
      <w:r w:rsidRPr="005D6747">
        <w:rPr>
          <w:color w:val="000000" w:themeColor="text1"/>
          <w:sz w:val="20"/>
          <w:lang w:val="bg-BG"/>
        </w:rPr>
        <w:t xml:space="preserve">от </w:t>
      </w:r>
      <w:r w:rsidRPr="008C08CD">
        <w:rPr>
          <w:color w:val="000000" w:themeColor="text1"/>
          <w:sz w:val="20"/>
          <w:lang w:val="bg-BG"/>
        </w:rPr>
        <w:t>ЗМИП</w:t>
      </w:r>
      <w:r w:rsidRPr="008C08CD">
        <w:rPr>
          <w:sz w:val="20"/>
          <w:lang w:val="bg-BG"/>
        </w:rPr>
        <w:t xml:space="preserve">. </w:t>
      </w:r>
    </w:p>
    <w:p w14:paraId="3D56263D" w14:textId="77777777"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Както е посочено в част А.1 по-горе, България е приела нов закон, ЗМИП. ЗМИП предвижда широк набор от мерки за пр</w:t>
      </w:r>
      <w:r w:rsidRPr="005D6747">
        <w:rPr>
          <w:color w:val="000000" w:themeColor="text1"/>
          <w:sz w:val="20"/>
          <w:lang w:val="bg-BG"/>
        </w:rPr>
        <w:t xml:space="preserve">евенция на </w:t>
      </w:r>
      <w:r w:rsidRPr="008C08CD">
        <w:rPr>
          <w:color w:val="000000" w:themeColor="text1"/>
          <w:sz w:val="20"/>
          <w:lang w:val="bg-BG"/>
        </w:rPr>
        <w:t xml:space="preserve">използването на финансовата система за целите на изпирането на пари (член 1 ЗМИП), например </w:t>
      </w:r>
      <w:r w:rsidR="002F53AE">
        <w:rPr>
          <w:color w:val="000000" w:themeColor="text1"/>
          <w:sz w:val="20"/>
          <w:lang w:val="bg-BG"/>
        </w:rPr>
        <w:t>комплексна</w:t>
      </w:r>
      <w:r w:rsidR="002F53AE" w:rsidRPr="008C08CD">
        <w:rPr>
          <w:color w:val="000000" w:themeColor="text1"/>
          <w:sz w:val="20"/>
          <w:lang w:val="bg-BG"/>
        </w:rPr>
        <w:t xml:space="preserve"> </w:t>
      </w:r>
      <w:r w:rsidRPr="008C08CD">
        <w:rPr>
          <w:color w:val="000000" w:themeColor="text1"/>
          <w:sz w:val="20"/>
          <w:lang w:val="bg-BG"/>
        </w:rPr>
        <w:t xml:space="preserve">проверка на клиентите, оценка на рисковете от изпиране на пари, разкриване на </w:t>
      </w:r>
      <w:r w:rsidR="00267EF5">
        <w:rPr>
          <w:color w:val="000000" w:themeColor="text1"/>
          <w:sz w:val="20"/>
          <w:lang w:val="bg-BG"/>
        </w:rPr>
        <w:t>съмнителни</w:t>
      </w:r>
      <w:r w:rsidRPr="008C08CD">
        <w:rPr>
          <w:color w:val="000000" w:themeColor="text1"/>
          <w:sz w:val="20"/>
          <w:lang w:val="bg-BG"/>
        </w:rPr>
        <w:t xml:space="preserve"> </w:t>
      </w:r>
      <w:r w:rsidRPr="005D6747">
        <w:rPr>
          <w:color w:val="000000" w:themeColor="text1"/>
          <w:sz w:val="20"/>
          <w:lang w:val="bg-BG"/>
        </w:rPr>
        <w:t xml:space="preserve">сделки </w:t>
      </w:r>
      <w:r w:rsidRPr="008C08CD">
        <w:rPr>
          <w:color w:val="000000" w:themeColor="text1"/>
          <w:sz w:val="20"/>
          <w:lang w:val="bg-BG"/>
        </w:rPr>
        <w:t>и обмен</w:t>
      </w:r>
      <w:r w:rsidR="00791FE9">
        <w:rPr>
          <w:color w:val="000000" w:themeColor="text1"/>
          <w:sz w:val="20"/>
          <w:lang w:val="bg-BG"/>
        </w:rPr>
        <w:t xml:space="preserve"> на</w:t>
      </w:r>
      <w:r w:rsidRPr="008C08CD">
        <w:rPr>
          <w:color w:val="000000" w:themeColor="text1"/>
          <w:sz w:val="20"/>
          <w:lang w:val="bg-BG"/>
        </w:rPr>
        <w:t xml:space="preserve"> информация в страната и в чужбина. </w:t>
      </w:r>
      <w:r w:rsidRPr="005D6747">
        <w:rPr>
          <w:color w:val="000000" w:themeColor="text1"/>
          <w:sz w:val="20"/>
          <w:lang w:val="bg-BG"/>
        </w:rPr>
        <w:t>ЗМИП</w:t>
      </w:r>
      <w:r w:rsidRPr="008C08CD">
        <w:rPr>
          <w:color w:val="000000" w:themeColor="text1"/>
          <w:sz w:val="20"/>
          <w:lang w:val="bg-BG"/>
        </w:rPr>
        <w:t xml:space="preserve"> също така определя много широк кръг задължени лица, които са длъжни да спазват мерките.</w:t>
      </w:r>
      <w:r w:rsidRPr="008C08CD">
        <w:rPr>
          <w:sz w:val="20"/>
          <w:lang w:val="bg-BG"/>
        </w:rPr>
        <w:t xml:space="preserve"> </w:t>
      </w:r>
    </w:p>
    <w:p w14:paraId="2D05C7E1" w14:textId="214FF8A4" w:rsidR="005D6747" w:rsidRPr="008C08CD" w:rsidRDefault="001773E0" w:rsidP="00EF25FD">
      <w:pPr>
        <w:keepNext/>
        <w:keepLines/>
        <w:widowControl/>
        <w:spacing w:before="280" w:after="180" w:line="280" w:lineRule="exact"/>
        <w:jc w:val="left"/>
        <w:outlineLvl w:val="2"/>
        <w:rPr>
          <w:rFonts w:eastAsiaTheme="majorEastAsia" w:cstheme="majorBidi"/>
          <w:b/>
          <w:i/>
          <w:color w:val="000000" w:themeColor="text1"/>
          <w:lang w:val="bg-BG"/>
        </w:rPr>
      </w:pPr>
      <w:r>
        <w:rPr>
          <w:b/>
          <w:i/>
          <w:color w:val="000000" w:themeColor="text1"/>
          <w:lang w:val="bg-BG"/>
        </w:rPr>
        <w:t>(г)</w:t>
      </w:r>
      <w:r w:rsidR="00EF25FD">
        <w:rPr>
          <w:b/>
          <w:i/>
          <w:color w:val="000000" w:themeColor="text1"/>
          <w:lang w:val="bg-BG"/>
        </w:rPr>
        <w:t xml:space="preserve"> </w:t>
      </w:r>
      <w:r w:rsidR="002F710E">
        <w:rPr>
          <w:b/>
          <w:i/>
          <w:color w:val="000000" w:themeColor="text1"/>
          <w:lang w:val="bg-BG"/>
        </w:rPr>
        <w:tab/>
      </w:r>
      <w:r w:rsidR="005D6747" w:rsidRPr="005D6747">
        <w:rPr>
          <w:b/>
          <w:i/>
          <w:color w:val="000000" w:themeColor="text1"/>
          <w:lang w:val="bg-BG"/>
        </w:rPr>
        <w:t>З</w:t>
      </w:r>
      <w:r w:rsidR="005D6747" w:rsidRPr="008C08CD">
        <w:rPr>
          <w:b/>
          <w:i/>
          <w:color w:val="000000" w:themeColor="text1"/>
          <w:lang w:val="bg-BG"/>
        </w:rPr>
        <w:t xml:space="preserve">веното за финансово разузнаване </w:t>
      </w:r>
      <w:r w:rsidR="005D6747" w:rsidRPr="008C08CD">
        <w:rPr>
          <w:rFonts w:eastAsiaTheme="majorEastAsia" w:cstheme="majorBidi"/>
          <w:b/>
          <w:i/>
          <w:color w:val="000000" w:themeColor="text1"/>
          <w:lang w:val="bg-BG"/>
        </w:rPr>
        <w:t>(ДФР-ДАНС)</w:t>
      </w:r>
    </w:p>
    <w:p w14:paraId="51D1D4C9" w14:textId="1B2A8EB6"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 xml:space="preserve">По време на </w:t>
      </w:r>
      <w:r w:rsidR="00CD1C55">
        <w:rPr>
          <w:color w:val="000000" w:themeColor="text1"/>
          <w:sz w:val="20"/>
          <w:lang w:val="bg-BG"/>
        </w:rPr>
        <w:t>виртуалното посещение</w:t>
      </w:r>
      <w:r w:rsidRPr="005D6747">
        <w:rPr>
          <w:color w:val="000000" w:themeColor="text1"/>
          <w:sz w:val="20"/>
          <w:lang w:val="bg-BG"/>
        </w:rPr>
        <w:t xml:space="preserve"> </w:t>
      </w:r>
      <w:r w:rsidRPr="008C08CD">
        <w:rPr>
          <w:color w:val="000000" w:themeColor="text1"/>
          <w:sz w:val="20"/>
          <w:lang w:val="bg-BG"/>
        </w:rPr>
        <w:t>беше обяснено, че ДФР-ДАНС е структуриран</w:t>
      </w:r>
      <w:r w:rsidRPr="005D6747">
        <w:rPr>
          <w:color w:val="000000" w:themeColor="text1"/>
          <w:sz w:val="20"/>
          <w:lang w:val="bg-BG"/>
        </w:rPr>
        <w:t>о</w:t>
      </w:r>
      <w:r w:rsidRPr="008C08CD">
        <w:rPr>
          <w:color w:val="000000" w:themeColor="text1"/>
          <w:sz w:val="20"/>
          <w:lang w:val="bg-BG"/>
        </w:rPr>
        <w:t xml:space="preserve"> с началник и заместник-началник и има три отдела. </w:t>
      </w:r>
      <w:r w:rsidR="00791FE9">
        <w:rPr>
          <w:color w:val="000000" w:themeColor="text1"/>
          <w:sz w:val="20"/>
          <w:lang w:val="bg-BG"/>
        </w:rPr>
        <w:t>ДФР-ДАНС</w:t>
      </w:r>
      <w:r w:rsidR="00ED00F8">
        <w:rPr>
          <w:color w:val="000000" w:themeColor="text1"/>
          <w:sz w:val="20"/>
          <w:lang w:val="bg-BG"/>
        </w:rPr>
        <w:t xml:space="preserve"> </w:t>
      </w:r>
      <w:r w:rsidR="009D2BD5">
        <w:rPr>
          <w:color w:val="000000" w:themeColor="text1"/>
          <w:sz w:val="20"/>
          <w:lang w:val="bg-BG"/>
        </w:rPr>
        <w:t>извършва</w:t>
      </w:r>
      <w:r w:rsidRPr="008C08CD">
        <w:rPr>
          <w:color w:val="000000" w:themeColor="text1"/>
          <w:sz w:val="20"/>
          <w:lang w:val="bg-BG"/>
        </w:rPr>
        <w:t xml:space="preserve"> предварителния анализ на </w:t>
      </w:r>
      <w:r w:rsidR="00267EF5">
        <w:rPr>
          <w:color w:val="000000" w:themeColor="text1"/>
          <w:sz w:val="20"/>
          <w:lang w:val="bg-BG"/>
        </w:rPr>
        <w:t>ДСС</w:t>
      </w:r>
      <w:r w:rsidRPr="008C08CD">
        <w:rPr>
          <w:color w:val="000000" w:themeColor="text1"/>
          <w:sz w:val="20"/>
          <w:lang w:val="bg-BG"/>
        </w:rPr>
        <w:t xml:space="preserve"> и класифицира </w:t>
      </w:r>
      <w:r w:rsidR="00267EF5">
        <w:rPr>
          <w:color w:val="000000" w:themeColor="text1"/>
          <w:sz w:val="20"/>
          <w:lang w:val="bg-BG"/>
        </w:rPr>
        <w:t>ДСС</w:t>
      </w:r>
      <w:r w:rsidRPr="008C08CD">
        <w:rPr>
          <w:color w:val="000000" w:themeColor="text1"/>
          <w:sz w:val="20"/>
          <w:lang w:val="bg-BG"/>
        </w:rPr>
        <w:t xml:space="preserve"> за информация </w:t>
      </w:r>
      <w:r w:rsidR="00ED00F8" w:rsidRPr="008C08CD">
        <w:rPr>
          <w:color w:val="000000" w:themeColor="text1"/>
          <w:sz w:val="20"/>
          <w:lang w:val="bg-BG"/>
        </w:rPr>
        <w:t>или за</w:t>
      </w:r>
      <w:r w:rsidR="00ED00F8">
        <w:rPr>
          <w:color w:val="000000" w:themeColor="text1"/>
          <w:sz w:val="20"/>
          <w:lang w:val="bg-BG"/>
        </w:rPr>
        <w:t xml:space="preserve"> целите на</w:t>
      </w:r>
      <w:r w:rsidR="00ED00F8" w:rsidRPr="008C08CD">
        <w:rPr>
          <w:color w:val="000000" w:themeColor="text1"/>
          <w:sz w:val="20"/>
          <w:lang w:val="bg-BG"/>
        </w:rPr>
        <w:t xml:space="preserve"> по-нататъшен </w:t>
      </w:r>
      <w:r w:rsidR="009D2BD5">
        <w:rPr>
          <w:color w:val="000000" w:themeColor="text1"/>
          <w:sz w:val="20"/>
          <w:lang w:val="bg-BG"/>
        </w:rPr>
        <w:t xml:space="preserve">оперативен </w:t>
      </w:r>
      <w:r w:rsidR="00ED00F8" w:rsidRPr="008C08CD">
        <w:rPr>
          <w:color w:val="000000" w:themeColor="text1"/>
          <w:sz w:val="20"/>
          <w:lang w:val="bg-BG"/>
        </w:rPr>
        <w:t>анализ</w:t>
      </w:r>
      <w:r w:rsidR="00ED00F8">
        <w:rPr>
          <w:color w:val="000000" w:themeColor="text1"/>
          <w:sz w:val="20"/>
          <w:lang w:val="bg-BG"/>
        </w:rPr>
        <w:t xml:space="preserve">. </w:t>
      </w:r>
      <w:r w:rsidR="00ED00F8" w:rsidRPr="008C08CD">
        <w:rPr>
          <w:color w:val="000000" w:themeColor="text1"/>
          <w:sz w:val="20"/>
          <w:lang w:val="bg-BG"/>
        </w:rPr>
        <w:t xml:space="preserve"> </w:t>
      </w:r>
      <w:r w:rsidR="00ED00F8">
        <w:rPr>
          <w:color w:val="000000" w:themeColor="text1"/>
          <w:sz w:val="20"/>
          <w:lang w:val="bg-BG"/>
        </w:rPr>
        <w:t xml:space="preserve">Последното е предмет на допълнителен анализ и може да бъде разпространено на </w:t>
      </w:r>
      <w:r w:rsidRPr="008C08CD">
        <w:rPr>
          <w:color w:val="000000" w:themeColor="text1"/>
          <w:sz w:val="20"/>
          <w:lang w:val="bg-BG"/>
        </w:rPr>
        <w:t>чуждестранно ЗФР</w:t>
      </w:r>
      <w:r w:rsidR="00ED00F8">
        <w:rPr>
          <w:color w:val="000000" w:themeColor="text1"/>
          <w:sz w:val="20"/>
          <w:lang w:val="bg-BG"/>
        </w:rPr>
        <w:t xml:space="preserve"> или да бъде </w:t>
      </w:r>
      <w:r w:rsidRPr="008C08CD">
        <w:rPr>
          <w:color w:val="000000" w:themeColor="text1"/>
          <w:sz w:val="20"/>
          <w:lang w:val="bg-BG"/>
        </w:rPr>
        <w:t>отнесен до компетентните</w:t>
      </w:r>
      <w:r w:rsidR="00ED00F8">
        <w:rPr>
          <w:color w:val="000000" w:themeColor="text1"/>
          <w:sz w:val="20"/>
          <w:lang w:val="bg-BG"/>
        </w:rPr>
        <w:t xml:space="preserve"> български</w:t>
      </w:r>
      <w:r w:rsidRPr="008C08CD">
        <w:rPr>
          <w:color w:val="000000" w:themeColor="text1"/>
          <w:sz w:val="20"/>
          <w:lang w:val="bg-BG"/>
        </w:rPr>
        <w:t xml:space="preserve"> органи, включително</w:t>
      </w:r>
      <w:r w:rsidR="00ED00F8">
        <w:rPr>
          <w:color w:val="000000" w:themeColor="text1"/>
          <w:sz w:val="20"/>
          <w:lang w:val="bg-BG"/>
        </w:rPr>
        <w:t xml:space="preserve"> до</w:t>
      </w:r>
      <w:r w:rsidRPr="008C08CD">
        <w:rPr>
          <w:color w:val="000000" w:themeColor="text1"/>
          <w:sz w:val="20"/>
          <w:lang w:val="bg-BG"/>
        </w:rPr>
        <w:t xml:space="preserve"> съответната прокуратура, правоприлагащите органи, Комисията за борба с корупцията, както и специализирани дирекции в рамките на Държавната агенция </w:t>
      </w:r>
      <w:r w:rsidR="009D2BD5">
        <w:rPr>
          <w:color w:val="000000" w:themeColor="text1"/>
          <w:sz w:val="20"/>
          <w:lang w:val="bg-BG"/>
        </w:rPr>
        <w:t>„Н</w:t>
      </w:r>
      <w:r w:rsidRPr="008C08CD">
        <w:rPr>
          <w:color w:val="000000" w:themeColor="text1"/>
          <w:sz w:val="20"/>
          <w:lang w:val="bg-BG"/>
        </w:rPr>
        <w:t>ационална сигурност</w:t>
      </w:r>
      <w:r w:rsidR="009D2BD5">
        <w:rPr>
          <w:color w:val="000000" w:themeColor="text1"/>
          <w:sz w:val="20"/>
          <w:lang w:val="bg-BG"/>
        </w:rPr>
        <w:t>“</w:t>
      </w:r>
      <w:r w:rsidRPr="008C08CD">
        <w:rPr>
          <w:color w:val="000000" w:themeColor="text1"/>
          <w:sz w:val="20"/>
          <w:lang w:val="bg-BG"/>
        </w:rPr>
        <w:t xml:space="preserve">. По време на </w:t>
      </w:r>
      <w:r w:rsidR="00CD1C55">
        <w:rPr>
          <w:color w:val="000000" w:themeColor="text1"/>
          <w:sz w:val="20"/>
          <w:lang w:val="bg-BG"/>
        </w:rPr>
        <w:t>виртуалното посещение</w:t>
      </w:r>
      <w:r w:rsidRPr="005D6747">
        <w:rPr>
          <w:color w:val="000000" w:themeColor="text1"/>
          <w:sz w:val="20"/>
          <w:lang w:val="bg-BG"/>
        </w:rPr>
        <w:t xml:space="preserve"> </w:t>
      </w:r>
      <w:r w:rsidRPr="008C08CD">
        <w:rPr>
          <w:color w:val="000000" w:themeColor="text1"/>
          <w:sz w:val="20"/>
          <w:lang w:val="bg-BG"/>
        </w:rPr>
        <w:t xml:space="preserve">ДФР-ДАНС коментира, че не получава </w:t>
      </w:r>
      <w:r w:rsidR="006D2383">
        <w:rPr>
          <w:color w:val="000000" w:themeColor="text1"/>
          <w:sz w:val="20"/>
          <w:lang w:val="bg-BG"/>
        </w:rPr>
        <w:t>винаги</w:t>
      </w:r>
      <w:r w:rsidR="006D2383" w:rsidRPr="008C08CD">
        <w:rPr>
          <w:color w:val="000000" w:themeColor="text1"/>
          <w:sz w:val="20"/>
          <w:lang w:val="bg-BG"/>
        </w:rPr>
        <w:t xml:space="preserve"> </w:t>
      </w:r>
      <w:r w:rsidRPr="008C08CD">
        <w:rPr>
          <w:color w:val="000000" w:themeColor="text1"/>
          <w:sz w:val="20"/>
          <w:lang w:val="bg-BG"/>
        </w:rPr>
        <w:t xml:space="preserve">обратна връзка </w:t>
      </w:r>
      <w:r w:rsidR="00CE5B36">
        <w:rPr>
          <w:color w:val="000000" w:themeColor="text1"/>
          <w:sz w:val="20"/>
          <w:lang w:val="bg-BG"/>
        </w:rPr>
        <w:t>за последващите действия след разпространението на анализа</w:t>
      </w:r>
      <w:r w:rsidRPr="008C08CD">
        <w:rPr>
          <w:color w:val="000000" w:themeColor="text1"/>
          <w:sz w:val="20"/>
          <w:lang w:val="bg-BG"/>
        </w:rPr>
        <w:t>.</w:t>
      </w:r>
    </w:p>
    <w:p w14:paraId="79DCF8E2" w14:textId="4AB1A566" w:rsidR="005D6747" w:rsidRPr="008C08CD" w:rsidRDefault="006D2383" w:rsidP="005D6747">
      <w:pPr>
        <w:widowControl/>
        <w:numPr>
          <w:ilvl w:val="0"/>
          <w:numId w:val="1"/>
        </w:numPr>
        <w:spacing w:before="120" w:after="120" w:line="260" w:lineRule="atLeast"/>
        <w:rPr>
          <w:sz w:val="20"/>
          <w:lang w:val="bg-BG"/>
        </w:rPr>
      </w:pPr>
      <w:r>
        <w:rPr>
          <w:color w:val="000000" w:themeColor="text1"/>
          <w:sz w:val="20"/>
          <w:lang w:val="bg-BG"/>
        </w:rPr>
        <w:lastRenderedPageBreak/>
        <w:t>Един</w:t>
      </w:r>
      <w:r w:rsidRPr="008C08CD">
        <w:rPr>
          <w:color w:val="000000" w:themeColor="text1"/>
          <w:sz w:val="20"/>
          <w:lang w:val="bg-BG"/>
        </w:rPr>
        <w:t xml:space="preserve"> </w:t>
      </w:r>
      <w:r w:rsidR="005D6747" w:rsidRPr="008C08CD">
        <w:rPr>
          <w:color w:val="000000" w:themeColor="text1"/>
          <w:sz w:val="20"/>
          <w:lang w:val="bg-BG"/>
        </w:rPr>
        <w:t xml:space="preserve">отдел на ДФР-ДАНС осъществява надзор върху спазването </w:t>
      </w:r>
      <w:r w:rsidR="009D2BD5" w:rsidRPr="00A11880">
        <w:rPr>
          <w:color w:val="000000" w:themeColor="text1"/>
          <w:sz w:val="20"/>
          <w:lang w:val="bg-BG"/>
        </w:rPr>
        <w:t>на мерките за борба с изпирането на пари</w:t>
      </w:r>
      <w:r w:rsidR="009D2BD5" w:rsidRPr="00756F98">
        <w:rPr>
          <w:color w:val="000000" w:themeColor="text1"/>
          <w:sz w:val="20"/>
          <w:lang w:val="bg-BG"/>
        </w:rPr>
        <w:t xml:space="preserve"> </w:t>
      </w:r>
      <w:r w:rsidR="005D6747" w:rsidRPr="008C08CD">
        <w:rPr>
          <w:color w:val="000000" w:themeColor="text1"/>
          <w:sz w:val="20"/>
          <w:lang w:val="bg-BG"/>
        </w:rPr>
        <w:t xml:space="preserve">от страна на задължените </w:t>
      </w:r>
      <w:r w:rsidR="005D6747" w:rsidRPr="005D6747">
        <w:rPr>
          <w:color w:val="000000" w:themeColor="text1"/>
          <w:sz w:val="20"/>
          <w:lang w:val="bg-BG"/>
        </w:rPr>
        <w:t>лица</w:t>
      </w:r>
      <w:r w:rsidR="005D6747" w:rsidRPr="008C08CD">
        <w:rPr>
          <w:color w:val="000000" w:themeColor="text1"/>
          <w:sz w:val="20"/>
          <w:lang w:val="bg-BG"/>
        </w:rPr>
        <w:t xml:space="preserve">, което се споделя с </w:t>
      </w:r>
      <w:r w:rsidR="009D2BD5">
        <w:rPr>
          <w:color w:val="000000" w:themeColor="text1"/>
          <w:sz w:val="20"/>
          <w:lang w:val="bg-BG"/>
        </w:rPr>
        <w:t>Българската народна банка</w:t>
      </w:r>
      <w:r>
        <w:rPr>
          <w:color w:val="000000" w:themeColor="text1"/>
          <w:sz w:val="20"/>
          <w:lang w:val="bg-BG"/>
        </w:rPr>
        <w:t>, Комисията за финансов надзор и НАП</w:t>
      </w:r>
      <w:r w:rsidR="00D86727">
        <w:rPr>
          <w:color w:val="000000" w:themeColor="text1"/>
          <w:sz w:val="20"/>
          <w:lang w:val="bg-BG"/>
        </w:rPr>
        <w:t xml:space="preserve">. ДФР-ДАНС също така </w:t>
      </w:r>
      <w:r w:rsidR="005D6747" w:rsidRPr="008C08CD">
        <w:rPr>
          <w:color w:val="000000" w:themeColor="text1"/>
          <w:sz w:val="20"/>
          <w:lang w:val="bg-BG"/>
        </w:rPr>
        <w:t xml:space="preserve">се занимава </w:t>
      </w:r>
      <w:r w:rsidR="00D86727">
        <w:rPr>
          <w:color w:val="000000" w:themeColor="text1"/>
          <w:sz w:val="20"/>
          <w:lang w:val="bg-BG"/>
        </w:rPr>
        <w:t xml:space="preserve">и </w:t>
      </w:r>
      <w:r w:rsidR="005D6747" w:rsidRPr="008C08CD">
        <w:rPr>
          <w:color w:val="000000" w:themeColor="text1"/>
          <w:sz w:val="20"/>
          <w:lang w:val="bg-BG"/>
        </w:rPr>
        <w:t>с обмен на информация както в страната, така и в международен план.</w:t>
      </w:r>
    </w:p>
    <w:p w14:paraId="2D44FC73" w14:textId="77777777"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 xml:space="preserve">България не </w:t>
      </w:r>
      <w:r w:rsidR="009D2BD5" w:rsidRPr="008C08CD">
        <w:rPr>
          <w:color w:val="000000" w:themeColor="text1"/>
          <w:sz w:val="20"/>
          <w:lang w:val="bg-BG"/>
        </w:rPr>
        <w:t>мож</w:t>
      </w:r>
      <w:r w:rsidR="009D2BD5">
        <w:rPr>
          <w:color w:val="000000" w:themeColor="text1"/>
          <w:sz w:val="20"/>
          <w:lang w:val="bg-BG"/>
        </w:rPr>
        <w:t>а</w:t>
      </w:r>
      <w:r w:rsidR="009D2BD5" w:rsidRPr="008C08CD">
        <w:rPr>
          <w:color w:val="000000" w:themeColor="text1"/>
          <w:sz w:val="20"/>
          <w:lang w:val="bg-BG"/>
        </w:rPr>
        <w:t xml:space="preserve"> </w:t>
      </w:r>
      <w:r w:rsidRPr="008C08CD">
        <w:rPr>
          <w:color w:val="000000" w:themeColor="text1"/>
          <w:sz w:val="20"/>
          <w:lang w:val="bg-BG"/>
        </w:rPr>
        <w:t xml:space="preserve">да предостави данни във връзка с ресурсите на ДФР-ДАНС, като отбелязва, че тази информация е поверителна. </w:t>
      </w:r>
      <w:r w:rsidR="007D5364">
        <w:rPr>
          <w:color w:val="000000" w:themeColor="text1"/>
          <w:sz w:val="20"/>
          <w:lang w:val="bg-BG"/>
        </w:rPr>
        <w:t>Все пак, и</w:t>
      </w:r>
      <w:r w:rsidRPr="008C08CD">
        <w:rPr>
          <w:color w:val="000000" w:themeColor="text1"/>
          <w:sz w:val="20"/>
          <w:lang w:val="bg-BG"/>
        </w:rPr>
        <w:t>нформацията, предоставена при виртуалн</w:t>
      </w:r>
      <w:r w:rsidR="007D5364">
        <w:rPr>
          <w:color w:val="000000" w:themeColor="text1"/>
          <w:sz w:val="20"/>
          <w:lang w:val="bg-BG"/>
        </w:rPr>
        <w:t>ото посещение</w:t>
      </w:r>
      <w:r w:rsidRPr="008C08CD">
        <w:rPr>
          <w:color w:val="000000" w:themeColor="text1"/>
          <w:sz w:val="20"/>
          <w:lang w:val="bg-BG"/>
        </w:rPr>
        <w:t xml:space="preserve"> показва, че ресурсите са стабилни с леко увеличение от шест или седем позиции през 2020 г. ДФР-ДАНС организира собствено обучение на персонал чрез вътрешни работни срещи, но и чрез Института за публична администрация и персоналът понякога е посещавал международни конференции и обучения. Освен това ДФР-ДАНС спомена при виртуалн</w:t>
      </w:r>
      <w:r w:rsidR="00342DC4">
        <w:rPr>
          <w:color w:val="000000" w:themeColor="text1"/>
          <w:sz w:val="20"/>
          <w:lang w:val="bg-BG"/>
        </w:rPr>
        <w:t>ото посещение</w:t>
      </w:r>
      <w:r w:rsidRPr="008C08CD">
        <w:rPr>
          <w:color w:val="000000" w:themeColor="text1"/>
          <w:sz w:val="20"/>
          <w:lang w:val="bg-BG"/>
        </w:rPr>
        <w:t xml:space="preserve">, че се среща ежегодно със задължени </w:t>
      </w:r>
      <w:r w:rsidRPr="005D6747">
        <w:rPr>
          <w:color w:val="000000" w:themeColor="text1"/>
          <w:sz w:val="20"/>
          <w:lang w:val="bg-BG"/>
        </w:rPr>
        <w:t>лица</w:t>
      </w:r>
      <w:r w:rsidRPr="008C08CD">
        <w:rPr>
          <w:color w:val="000000" w:themeColor="text1"/>
          <w:sz w:val="20"/>
          <w:lang w:val="bg-BG"/>
        </w:rPr>
        <w:t xml:space="preserve">, за да обсъжда въпроси, включително качеството на подадените </w:t>
      </w:r>
      <w:r w:rsidR="00267EF5" w:rsidRPr="008C08CD">
        <w:rPr>
          <w:color w:val="000000" w:themeColor="text1"/>
          <w:sz w:val="20"/>
          <w:lang w:val="bg-BG"/>
        </w:rPr>
        <w:t>ДСС</w:t>
      </w:r>
      <w:r w:rsidRPr="008C08CD">
        <w:rPr>
          <w:color w:val="000000" w:themeColor="text1"/>
          <w:sz w:val="20"/>
          <w:lang w:val="bg-BG"/>
        </w:rPr>
        <w:t>. Панелисти от финансови институции също коментираха при виртуалн</w:t>
      </w:r>
      <w:r w:rsidR="004B0805">
        <w:rPr>
          <w:color w:val="000000" w:themeColor="text1"/>
          <w:sz w:val="20"/>
          <w:lang w:val="bg-BG"/>
        </w:rPr>
        <w:t>ото посещение</w:t>
      </w:r>
      <w:r w:rsidRPr="008C08CD">
        <w:rPr>
          <w:color w:val="000000" w:themeColor="text1"/>
          <w:sz w:val="20"/>
          <w:lang w:val="bg-BG"/>
        </w:rPr>
        <w:t xml:space="preserve">, че персоналът на ДФР-ДАНС </w:t>
      </w:r>
      <w:r w:rsidRPr="005D6747">
        <w:rPr>
          <w:color w:val="000000" w:themeColor="text1"/>
          <w:sz w:val="20"/>
          <w:lang w:val="bg-BG"/>
        </w:rPr>
        <w:t xml:space="preserve">е </w:t>
      </w:r>
      <w:r w:rsidR="004B0805">
        <w:rPr>
          <w:color w:val="000000" w:themeColor="text1"/>
          <w:sz w:val="20"/>
          <w:lang w:val="bg-BG"/>
        </w:rPr>
        <w:t xml:space="preserve">в общи линии е </w:t>
      </w:r>
      <w:r w:rsidRPr="005D6747">
        <w:rPr>
          <w:color w:val="000000" w:themeColor="text1"/>
          <w:sz w:val="20"/>
          <w:lang w:val="bg-BG"/>
        </w:rPr>
        <w:t>достъпен</w:t>
      </w:r>
      <w:r w:rsidRPr="008C08CD">
        <w:rPr>
          <w:color w:val="000000" w:themeColor="text1"/>
          <w:sz w:val="20"/>
          <w:lang w:val="bg-BG"/>
        </w:rPr>
        <w:t>, за да обсъжда въпроси по телефона, когато е необходимо.</w:t>
      </w:r>
    </w:p>
    <w:p w14:paraId="4A95957A" w14:textId="3CA26D80" w:rsidR="005D6747" w:rsidRPr="008C08CD" w:rsidRDefault="005D6747" w:rsidP="005D6747">
      <w:pPr>
        <w:widowControl/>
        <w:numPr>
          <w:ilvl w:val="0"/>
          <w:numId w:val="1"/>
        </w:numPr>
        <w:spacing w:before="120" w:after="120" w:line="260" w:lineRule="atLeast"/>
        <w:rPr>
          <w:sz w:val="20"/>
          <w:lang w:val="bg-BG"/>
        </w:rPr>
      </w:pPr>
      <w:r w:rsidRPr="008C08CD">
        <w:rPr>
          <w:color w:val="000000" w:themeColor="text1"/>
          <w:sz w:val="20"/>
          <w:lang w:val="bg-BG"/>
        </w:rPr>
        <w:t xml:space="preserve">През януари 2020 г. България обяви приключването на своята първа цялостна </w:t>
      </w:r>
      <w:r w:rsidRPr="005D6747">
        <w:rPr>
          <w:color w:val="000000" w:themeColor="text1"/>
          <w:sz w:val="20"/>
          <w:lang w:val="bg-BG"/>
        </w:rPr>
        <w:t>Н</w:t>
      </w:r>
      <w:r w:rsidRPr="008C08CD">
        <w:rPr>
          <w:color w:val="000000" w:themeColor="text1"/>
          <w:sz w:val="20"/>
          <w:lang w:val="bg-BG"/>
        </w:rPr>
        <w:t xml:space="preserve">ационална оценка на риска от </w:t>
      </w:r>
      <w:r w:rsidRPr="005D6747">
        <w:rPr>
          <w:color w:val="000000" w:themeColor="text1"/>
          <w:sz w:val="20"/>
          <w:lang w:val="bg-BG"/>
        </w:rPr>
        <w:t>изпиране на пари и финансиране на тероризма (НОР)</w:t>
      </w:r>
      <w:r w:rsidRPr="008C08CD">
        <w:rPr>
          <w:color w:val="000000" w:themeColor="text1"/>
          <w:sz w:val="20"/>
          <w:lang w:val="bg-BG"/>
        </w:rPr>
        <w:t>, анализираща вътрешните и външните рискове от изпиране на пари и финансиране на тероризма, пред които е изправена страната.</w:t>
      </w:r>
      <w:r w:rsidRPr="005D6747">
        <w:rPr>
          <w:sz w:val="20"/>
          <w:vertAlign w:val="superscript"/>
        </w:rPr>
        <w:footnoteReference w:id="34"/>
      </w:r>
      <w:r w:rsidRPr="008C08CD">
        <w:rPr>
          <w:sz w:val="20"/>
          <w:lang w:val="bg-BG"/>
        </w:rPr>
        <w:t xml:space="preserve"> </w:t>
      </w:r>
      <w:r w:rsidRPr="008C08CD">
        <w:rPr>
          <w:color w:val="000000" w:themeColor="text1"/>
          <w:sz w:val="20"/>
          <w:lang w:val="bg-BG"/>
        </w:rPr>
        <w:t xml:space="preserve"> Един от основните рискове, идентифицирани в националната оценка на риска, беше изпиране на приходи от корупция (включително имущество, свързано с присвояване/измами с обществени поръчки с</w:t>
      </w:r>
      <w:r w:rsidR="004B0805">
        <w:rPr>
          <w:color w:val="000000" w:themeColor="text1"/>
          <w:sz w:val="20"/>
          <w:lang w:val="bg-BG"/>
        </w:rPr>
        <w:t>ъс средства от</w:t>
      </w:r>
      <w:r w:rsidRPr="008C08CD">
        <w:rPr>
          <w:color w:val="000000" w:themeColor="text1"/>
          <w:sz w:val="20"/>
          <w:lang w:val="bg-BG"/>
        </w:rPr>
        <w:t xml:space="preserve"> фондове на ЕС) чрез сложни вътрешни и чуждестранни схеми за натрупване на </w:t>
      </w:r>
      <w:r w:rsidR="00412148">
        <w:rPr>
          <w:color w:val="000000" w:themeColor="text1"/>
          <w:sz w:val="20"/>
          <w:lang w:val="bg-BG"/>
        </w:rPr>
        <w:t>облаги от изпиране</w:t>
      </w:r>
      <w:r w:rsidR="00412148" w:rsidRPr="008C08CD">
        <w:rPr>
          <w:color w:val="000000" w:themeColor="text1"/>
          <w:sz w:val="20"/>
          <w:lang w:val="bg-BG"/>
        </w:rPr>
        <w:t xml:space="preserve"> </w:t>
      </w:r>
      <w:r w:rsidRPr="008C08CD">
        <w:rPr>
          <w:color w:val="000000" w:themeColor="text1"/>
          <w:sz w:val="20"/>
          <w:lang w:val="bg-BG"/>
        </w:rPr>
        <w:t>на пари с помощта на специалисти по изпиране на пари за последваща</w:t>
      </w:r>
      <w:r w:rsidR="00412148">
        <w:rPr>
          <w:color w:val="000000" w:themeColor="text1"/>
          <w:sz w:val="20"/>
          <w:lang w:val="bg-BG"/>
        </w:rPr>
        <w:t>та</w:t>
      </w:r>
      <w:r w:rsidRPr="008C08CD">
        <w:rPr>
          <w:color w:val="000000" w:themeColor="text1"/>
          <w:sz w:val="20"/>
          <w:lang w:val="bg-BG"/>
        </w:rPr>
        <w:t xml:space="preserve"> интеграция във финансови инструменти в чужбина и търговски субекти и недвижими имоти в страната.</w:t>
      </w:r>
      <w:r w:rsidRPr="005D6747">
        <w:rPr>
          <w:sz w:val="20"/>
          <w:vertAlign w:val="superscript"/>
        </w:rPr>
        <w:footnoteReference w:id="35"/>
      </w:r>
    </w:p>
    <w:p w14:paraId="67945105" w14:textId="77777777" w:rsidR="005D6747" w:rsidRPr="008C08CD" w:rsidRDefault="005D6747" w:rsidP="00A50C6B">
      <w:pPr>
        <w:pStyle w:val="Para"/>
        <w:keepNext/>
        <w:numPr>
          <w:ilvl w:val="0"/>
          <w:numId w:val="29"/>
        </w:numPr>
        <w:spacing w:before="440" w:after="240" w:line="320" w:lineRule="exact"/>
        <w:outlineLvl w:val="1"/>
        <w:rPr>
          <w:rFonts w:eastAsiaTheme="majorEastAsia" w:cstheme="majorBidi"/>
          <w:b/>
          <w:color w:val="4E81BD" w:themeColor="accent1"/>
          <w:sz w:val="24"/>
          <w:szCs w:val="26"/>
          <w:lang w:val="bg-BG"/>
        </w:rPr>
      </w:pPr>
      <w:r w:rsidRPr="008C08CD">
        <w:rPr>
          <w:rFonts w:eastAsiaTheme="majorEastAsia" w:cstheme="majorBidi"/>
          <w:b/>
          <w:color w:val="4E81BD" w:themeColor="accent1"/>
          <w:sz w:val="24"/>
          <w:szCs w:val="26"/>
          <w:lang w:val="bg-BG"/>
        </w:rPr>
        <w:t>Разследване и наказателно преследване на</w:t>
      </w:r>
      <w:r w:rsidRPr="00504B2E">
        <w:rPr>
          <w:rFonts w:eastAsiaTheme="majorEastAsia" w:cstheme="majorBidi"/>
          <w:b/>
          <w:color w:val="4E81BD" w:themeColor="accent1"/>
          <w:sz w:val="24"/>
          <w:szCs w:val="26"/>
          <w:lang w:val="bg-BG"/>
        </w:rPr>
        <w:t xml:space="preserve"> </w:t>
      </w:r>
      <w:r w:rsidR="00C44E7F">
        <w:rPr>
          <w:rFonts w:eastAsiaTheme="majorEastAsia" w:cstheme="majorBidi"/>
          <w:b/>
          <w:color w:val="4E81BD" w:themeColor="accent1"/>
          <w:sz w:val="24"/>
          <w:szCs w:val="26"/>
          <w:lang w:val="bg-BG"/>
        </w:rPr>
        <w:t>престъплението</w:t>
      </w:r>
      <w:r w:rsidR="00C44E7F" w:rsidRPr="00504B2E">
        <w:rPr>
          <w:rFonts w:eastAsiaTheme="majorEastAsia" w:cstheme="majorBidi"/>
          <w:b/>
          <w:color w:val="4E81BD" w:themeColor="accent1"/>
          <w:sz w:val="24"/>
          <w:szCs w:val="26"/>
          <w:lang w:val="bg-BG"/>
        </w:rPr>
        <w:t xml:space="preserve"> </w:t>
      </w:r>
      <w:r w:rsidRPr="00504B2E">
        <w:rPr>
          <w:rFonts w:eastAsiaTheme="majorEastAsia" w:cstheme="majorBidi"/>
          <w:b/>
          <w:color w:val="4E81BD" w:themeColor="accent1"/>
          <w:sz w:val="24"/>
          <w:szCs w:val="26"/>
          <w:lang w:val="bg-BG"/>
        </w:rPr>
        <w:t xml:space="preserve">подкуване на чуждо длъжностно лице </w:t>
      </w:r>
    </w:p>
    <w:p w14:paraId="3FF515A4" w14:textId="4557CBA0" w:rsidR="005D6747" w:rsidRPr="005D6747" w:rsidRDefault="001773E0"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t>(а)</w:t>
      </w:r>
      <w:r w:rsidR="00EF25FD">
        <w:rPr>
          <w:rFonts w:eastAsiaTheme="majorEastAsia" w:cstheme="majorBidi"/>
          <w:b/>
          <w:i/>
          <w:color w:val="000000" w:themeColor="text1"/>
          <w:szCs w:val="24"/>
          <w:lang w:val="bg-BG"/>
        </w:rPr>
        <w:t xml:space="preserve"> </w:t>
      </w:r>
      <w:r w:rsidR="00A50C6B">
        <w:rPr>
          <w:rFonts w:eastAsiaTheme="majorEastAsia" w:cstheme="majorBidi"/>
          <w:b/>
          <w:i/>
          <w:color w:val="000000" w:themeColor="text1"/>
          <w:szCs w:val="24"/>
          <w:lang w:val="bg-BG"/>
        </w:rPr>
        <w:tab/>
      </w:r>
      <w:r w:rsidR="005D6747" w:rsidRPr="005D6747">
        <w:rPr>
          <w:rFonts w:eastAsiaTheme="majorEastAsia" w:cstheme="majorBidi"/>
          <w:b/>
          <w:i/>
          <w:color w:val="000000" w:themeColor="text1"/>
          <w:szCs w:val="24"/>
        </w:rPr>
        <w:t>Разследвания и наказателн</w:t>
      </w:r>
      <w:r w:rsidR="005D6747" w:rsidRPr="005D6747">
        <w:rPr>
          <w:rFonts w:eastAsiaTheme="majorEastAsia" w:cstheme="majorBidi"/>
          <w:b/>
          <w:i/>
          <w:color w:val="000000" w:themeColor="text1"/>
          <w:szCs w:val="24"/>
          <w:lang w:val="bg-BG"/>
        </w:rPr>
        <w:t>и</w:t>
      </w:r>
      <w:r w:rsidR="005D6747" w:rsidRPr="005D6747">
        <w:rPr>
          <w:rFonts w:eastAsiaTheme="majorEastAsia" w:cstheme="majorBidi"/>
          <w:b/>
          <w:i/>
          <w:color w:val="000000" w:themeColor="text1"/>
          <w:szCs w:val="24"/>
        </w:rPr>
        <w:t xml:space="preserve"> преследвания</w:t>
      </w:r>
    </w:p>
    <w:p w14:paraId="384C12D7" w14:textId="0C75203E" w:rsidR="005D6747" w:rsidRPr="00504B2E" w:rsidRDefault="005D6747" w:rsidP="00572912">
      <w:pPr>
        <w:pStyle w:val="Para"/>
        <w:numPr>
          <w:ilvl w:val="0"/>
          <w:numId w:val="67"/>
        </w:numPr>
      </w:pPr>
      <w:r w:rsidRPr="00504B2E">
        <w:t xml:space="preserve">Във </w:t>
      </w:r>
      <w:r w:rsidR="00673F1F" w:rsidRPr="00E17B4C">
        <w:rPr>
          <w:lang w:val="bg-BG"/>
        </w:rPr>
        <w:t>Фаза</w:t>
      </w:r>
      <w:r w:rsidRPr="00504B2E">
        <w:t xml:space="preserve"> </w:t>
      </w:r>
      <w:r w:rsidR="00B71F6D" w:rsidRPr="00504B2E">
        <w:t xml:space="preserve">3 </w:t>
      </w:r>
      <w:r w:rsidR="00B71F6D" w:rsidRPr="00E17B4C">
        <w:rPr>
          <w:lang w:val="bg-BG"/>
        </w:rPr>
        <w:t>(</w:t>
      </w:r>
      <w:r w:rsidR="005D3762" w:rsidRPr="001B5CD5">
        <w:rPr>
          <w:lang w:val="bg-BG"/>
        </w:rPr>
        <w:t xml:space="preserve">параграф 5) </w:t>
      </w:r>
      <w:r w:rsidRPr="00E64156">
        <w:rPr>
          <w:lang w:val="bg-BG"/>
        </w:rPr>
        <w:t>Р</w:t>
      </w:r>
      <w:r w:rsidRPr="00504B2E">
        <w:t xml:space="preserve">аботната група отбеляза, че България има ограничен опит с разследвания и </w:t>
      </w:r>
      <w:r w:rsidR="004B0805" w:rsidRPr="00E17B4C">
        <w:rPr>
          <w:lang w:val="bg-BG"/>
        </w:rPr>
        <w:t xml:space="preserve">наказателно </w:t>
      </w:r>
      <w:r w:rsidRPr="00504B2E">
        <w:t>преследване на подкуп на чужд</w:t>
      </w:r>
      <w:r w:rsidRPr="00E17B4C">
        <w:rPr>
          <w:lang w:val="bg-BG"/>
        </w:rPr>
        <w:t>и</w:t>
      </w:r>
      <w:r w:rsidRPr="00504B2E">
        <w:t xml:space="preserve"> </w:t>
      </w:r>
      <w:r w:rsidRPr="00E17B4C">
        <w:rPr>
          <w:lang w:val="bg-BG"/>
        </w:rPr>
        <w:t>длъжностни лица</w:t>
      </w:r>
      <w:r w:rsidRPr="00504B2E">
        <w:t xml:space="preserve"> и това не се е променило във </w:t>
      </w:r>
      <w:r w:rsidR="00673F1F" w:rsidRPr="00E17B4C">
        <w:rPr>
          <w:lang w:val="bg-BG"/>
        </w:rPr>
        <w:t>Фаза</w:t>
      </w:r>
      <w:r w:rsidRPr="00504B2E">
        <w:t xml:space="preserve"> 4.  По</w:t>
      </w:r>
      <w:r w:rsidR="004B0805" w:rsidRPr="00E17B4C">
        <w:rPr>
          <w:lang w:val="bg-BG"/>
        </w:rPr>
        <w:t>-</w:t>
      </w:r>
      <w:r w:rsidRPr="00504B2E">
        <w:t xml:space="preserve">важното е, че </w:t>
      </w:r>
      <w:r w:rsidR="004B0805" w:rsidRPr="00E17B4C">
        <w:rPr>
          <w:lang w:val="bg-BG"/>
        </w:rPr>
        <w:t xml:space="preserve">след </w:t>
      </w:r>
      <w:r w:rsidR="00673F1F" w:rsidRPr="001B5CD5">
        <w:rPr>
          <w:lang w:val="bg-BG"/>
        </w:rPr>
        <w:t>Фаза</w:t>
      </w:r>
      <w:r w:rsidRPr="00504B2E">
        <w:t xml:space="preserve"> 3 има само едно </w:t>
      </w:r>
      <w:r w:rsidR="00C44E7F" w:rsidRPr="00E17B4C">
        <w:rPr>
          <w:lang w:val="bg-BG"/>
        </w:rPr>
        <w:t xml:space="preserve">започнато </w:t>
      </w:r>
      <w:r w:rsidRPr="00504B2E">
        <w:t>разследване, което се провежда от Специализираната прокуратура, тъй като включва организирани престъпни групи</w:t>
      </w:r>
      <w:r w:rsidR="00C44E7F" w:rsidRPr="00E17B4C">
        <w:rPr>
          <w:lang w:val="bg-BG"/>
        </w:rPr>
        <w:t xml:space="preserve"> (</w:t>
      </w:r>
      <w:r w:rsidR="00C44E7F" w:rsidRPr="001B5CD5">
        <w:rPr>
          <w:b/>
          <w:lang w:val="bg-BG"/>
        </w:rPr>
        <w:t>Случа</w:t>
      </w:r>
      <w:r w:rsidR="004B0805" w:rsidRPr="00E64156">
        <w:rPr>
          <w:b/>
          <w:lang w:val="bg-BG"/>
        </w:rPr>
        <w:t xml:space="preserve">я с </w:t>
      </w:r>
      <w:r w:rsidR="00A50C6B" w:rsidRPr="006A1459">
        <w:rPr>
          <w:b/>
          <w:lang w:val="bg-BG"/>
        </w:rPr>
        <w:t>ф</w:t>
      </w:r>
      <w:r w:rsidR="00C44E7F" w:rsidRPr="006A1459">
        <w:rPr>
          <w:b/>
          <w:lang w:val="bg-BG"/>
        </w:rPr>
        <w:t>ондовете на ЕС</w:t>
      </w:r>
      <w:r w:rsidR="00C44E7F" w:rsidRPr="00E17B4C">
        <w:rPr>
          <w:lang w:val="bg-BG"/>
        </w:rPr>
        <w:t>)</w:t>
      </w:r>
      <w:r w:rsidRPr="00504B2E">
        <w:t>.</w:t>
      </w:r>
    </w:p>
    <w:p w14:paraId="597B88E9" w14:textId="498F6BAE" w:rsidR="005D6747" w:rsidRPr="001773E0" w:rsidRDefault="001773E0" w:rsidP="00EF25FD">
      <w:pPr>
        <w:keepNext/>
        <w:keepLines/>
        <w:widowControl/>
        <w:spacing w:before="280" w:after="180" w:line="280" w:lineRule="exact"/>
        <w:jc w:val="left"/>
        <w:outlineLvl w:val="2"/>
        <w:rPr>
          <w:rFonts w:eastAsiaTheme="majorEastAsia" w:cstheme="majorBidi"/>
          <w:b/>
          <w:i/>
          <w:color w:val="000000" w:themeColor="text1"/>
          <w:szCs w:val="24"/>
        </w:rPr>
      </w:pPr>
      <w:r>
        <w:rPr>
          <w:rFonts w:eastAsiaTheme="majorEastAsia" w:cstheme="majorBidi"/>
          <w:b/>
          <w:i/>
          <w:color w:val="000000" w:themeColor="text1"/>
          <w:szCs w:val="24"/>
          <w:lang w:val="bg-BG"/>
        </w:rPr>
        <w:t>(</w:t>
      </w:r>
      <w:r>
        <w:rPr>
          <w:rFonts w:eastAsiaTheme="majorEastAsia" w:cstheme="majorBidi"/>
          <w:b/>
          <w:i/>
          <w:color w:val="000000" w:themeColor="text1"/>
          <w:szCs w:val="24"/>
        </w:rPr>
        <w:t>б</w:t>
      </w:r>
      <w:r>
        <w:rPr>
          <w:rFonts w:eastAsiaTheme="majorEastAsia" w:cstheme="majorBidi"/>
          <w:b/>
          <w:i/>
          <w:color w:val="000000" w:themeColor="text1"/>
          <w:szCs w:val="24"/>
          <w:lang w:val="bg-BG"/>
        </w:rPr>
        <w:t>)</w:t>
      </w:r>
      <w:r w:rsidR="00A50C6B" w:rsidRPr="001773E0">
        <w:rPr>
          <w:rFonts w:eastAsiaTheme="majorEastAsia" w:cstheme="majorBidi"/>
          <w:b/>
          <w:i/>
          <w:color w:val="000000" w:themeColor="text1"/>
          <w:szCs w:val="24"/>
        </w:rPr>
        <w:tab/>
      </w:r>
      <w:r w:rsidR="005D6747" w:rsidRPr="001773E0">
        <w:rPr>
          <w:rFonts w:eastAsiaTheme="majorEastAsia" w:cstheme="majorBidi"/>
          <w:b/>
          <w:i/>
          <w:color w:val="000000" w:themeColor="text1"/>
          <w:szCs w:val="24"/>
        </w:rPr>
        <w:t xml:space="preserve">Преглед на </w:t>
      </w:r>
      <w:r w:rsidR="007519F4" w:rsidRPr="001773E0">
        <w:rPr>
          <w:rFonts w:eastAsiaTheme="majorEastAsia" w:cstheme="majorBidi"/>
          <w:b/>
          <w:i/>
          <w:color w:val="000000" w:themeColor="text1"/>
          <w:szCs w:val="24"/>
        </w:rPr>
        <w:t>органите</w:t>
      </w:r>
      <w:r w:rsidR="005D6747" w:rsidRPr="001773E0">
        <w:rPr>
          <w:rFonts w:eastAsiaTheme="majorEastAsia" w:cstheme="majorBidi"/>
          <w:b/>
          <w:i/>
          <w:color w:val="000000" w:themeColor="text1"/>
          <w:szCs w:val="24"/>
        </w:rPr>
        <w:t>, отговорни за разследването и наказателното преследване на подкуп на чужди длъжностни лица</w:t>
      </w:r>
    </w:p>
    <w:p w14:paraId="7340456F" w14:textId="13657DE0" w:rsidR="005D6747" w:rsidRPr="00572912" w:rsidRDefault="004B0805" w:rsidP="005D6747">
      <w:pPr>
        <w:widowControl/>
        <w:numPr>
          <w:ilvl w:val="0"/>
          <w:numId w:val="1"/>
        </w:numPr>
        <w:spacing w:before="120" w:after="120" w:line="260" w:lineRule="atLeast"/>
        <w:rPr>
          <w:sz w:val="20"/>
          <w:lang w:val="bg-BG"/>
        </w:rPr>
      </w:pPr>
      <w:r>
        <w:rPr>
          <w:sz w:val="20"/>
          <w:lang w:val="bg-BG"/>
        </w:rPr>
        <w:t>Както и</w:t>
      </w:r>
      <w:r w:rsidR="005D6747" w:rsidRPr="00572912">
        <w:rPr>
          <w:sz w:val="20"/>
          <w:lang w:val="bg-BG"/>
        </w:rPr>
        <w:t xml:space="preserve"> във </w:t>
      </w:r>
      <w:r w:rsidR="00673F1F">
        <w:rPr>
          <w:sz w:val="20"/>
          <w:lang w:val="bg-BG"/>
        </w:rPr>
        <w:t>Фаза</w:t>
      </w:r>
      <w:r w:rsidR="005D6747" w:rsidRPr="00572912">
        <w:rPr>
          <w:sz w:val="20"/>
          <w:lang w:val="bg-BG"/>
        </w:rPr>
        <w:t xml:space="preserve"> 3, все още има няколко </w:t>
      </w:r>
      <w:r w:rsidR="00ED06D2">
        <w:rPr>
          <w:sz w:val="20"/>
          <w:lang w:val="bg-BG"/>
        </w:rPr>
        <w:t>институции</w:t>
      </w:r>
      <w:r w:rsidR="005D6747" w:rsidRPr="00572912">
        <w:rPr>
          <w:sz w:val="20"/>
          <w:lang w:val="bg-BG"/>
        </w:rPr>
        <w:t xml:space="preserve">, които биха могли да разследват и да преследват </w:t>
      </w:r>
      <w:r w:rsidR="005D6747" w:rsidRPr="005D6747">
        <w:rPr>
          <w:sz w:val="20"/>
          <w:lang w:val="bg-BG"/>
        </w:rPr>
        <w:t>твърдения за подкуп на чужди длъжностни лица</w:t>
      </w:r>
      <w:r w:rsidR="005D6747" w:rsidRPr="00572912">
        <w:rPr>
          <w:sz w:val="20"/>
          <w:lang w:val="bg-BG"/>
        </w:rPr>
        <w:t xml:space="preserve">. По принцип разследванията и наказателното преследване на </w:t>
      </w:r>
      <w:r w:rsidR="005D6747" w:rsidRPr="005D6747">
        <w:rPr>
          <w:sz w:val="20"/>
          <w:lang w:val="bg-BG"/>
        </w:rPr>
        <w:t>подкуп на чужди длъжностни лица</w:t>
      </w:r>
      <w:r w:rsidR="005D6747" w:rsidRPr="00572912">
        <w:rPr>
          <w:sz w:val="20"/>
          <w:lang w:val="bg-BG"/>
        </w:rPr>
        <w:t xml:space="preserve"> ще се извършват или от Софийска градска прокуратура, или от съответната </w:t>
      </w:r>
      <w:r w:rsidR="00ED06D2">
        <w:rPr>
          <w:sz w:val="20"/>
          <w:lang w:val="bg-BG"/>
        </w:rPr>
        <w:t>окръжна</w:t>
      </w:r>
      <w:r w:rsidR="00ED06D2" w:rsidRPr="00572912">
        <w:rPr>
          <w:sz w:val="20"/>
          <w:lang w:val="bg-BG"/>
        </w:rPr>
        <w:t xml:space="preserve"> </w:t>
      </w:r>
      <w:r w:rsidR="005D6747" w:rsidRPr="00572912">
        <w:rPr>
          <w:sz w:val="20"/>
          <w:lang w:val="bg-BG"/>
        </w:rPr>
        <w:t>прокуратура.</w:t>
      </w:r>
      <w:r w:rsidR="00C93549">
        <w:rPr>
          <w:sz w:val="20"/>
          <w:lang w:val="bg-BG"/>
        </w:rPr>
        <w:t xml:space="preserve"> </w:t>
      </w:r>
      <w:r w:rsidR="005D6747" w:rsidRPr="00572912">
        <w:rPr>
          <w:sz w:val="20"/>
          <w:lang w:val="bg-BG"/>
        </w:rPr>
        <w:t xml:space="preserve">Както бе споменато по-горе, при някои ограничени обстоятелства Специализираната прокуратура ще проведе </w:t>
      </w:r>
      <w:r w:rsidR="005D6747" w:rsidRPr="00572912">
        <w:rPr>
          <w:sz w:val="20"/>
          <w:lang w:val="bg-BG"/>
        </w:rPr>
        <w:lastRenderedPageBreak/>
        <w:t>разследване за подкуп</w:t>
      </w:r>
      <w:r w:rsidR="005D6747" w:rsidRPr="005D6747">
        <w:rPr>
          <w:sz w:val="20"/>
          <w:lang w:val="bg-BG"/>
        </w:rPr>
        <w:t xml:space="preserve"> на чужди длъжностни лица</w:t>
      </w:r>
      <w:r w:rsidR="005D6747" w:rsidRPr="00572912">
        <w:rPr>
          <w:sz w:val="20"/>
          <w:lang w:val="bg-BG"/>
        </w:rPr>
        <w:t xml:space="preserve">, ако то включва и организирана престъпност. Въпреки че в България няма прокурори, специализирани по въпроси, свързани с подкупването на чужди длъжностни лица, </w:t>
      </w:r>
      <w:r w:rsidR="00ED06D2">
        <w:rPr>
          <w:sz w:val="20"/>
          <w:lang w:val="bg-BG"/>
        </w:rPr>
        <w:t xml:space="preserve"> специален надзор над досъдебните производства (включително дела за корупция)</w:t>
      </w:r>
      <w:r w:rsidR="005D6747" w:rsidRPr="00572912">
        <w:rPr>
          <w:sz w:val="20"/>
          <w:lang w:val="bg-BG"/>
        </w:rPr>
        <w:t xml:space="preserve"> по всички случаи на корупция във всички прокуратури се осъществява от звено в </w:t>
      </w:r>
      <w:r w:rsidR="005D6747" w:rsidRPr="005D6747">
        <w:rPr>
          <w:sz w:val="20"/>
          <w:lang w:val="bg-BG"/>
        </w:rPr>
        <w:t xml:space="preserve">рамките на </w:t>
      </w:r>
      <w:r w:rsidRPr="00572912">
        <w:rPr>
          <w:sz w:val="20"/>
          <w:lang w:val="bg-BG"/>
        </w:rPr>
        <w:t xml:space="preserve">отдел </w:t>
      </w:r>
      <w:r w:rsidR="005D6747" w:rsidRPr="00572912">
        <w:rPr>
          <w:sz w:val="20"/>
          <w:lang w:val="bg-BG"/>
        </w:rPr>
        <w:t xml:space="preserve">„Специализиран” на </w:t>
      </w:r>
      <w:r w:rsidR="005D6747" w:rsidRPr="005D6747">
        <w:rPr>
          <w:sz w:val="20"/>
          <w:lang w:val="bg-BG"/>
        </w:rPr>
        <w:t xml:space="preserve">Върховна касационна прокуратура </w:t>
      </w:r>
      <w:r w:rsidR="005D6747" w:rsidRPr="00572912">
        <w:rPr>
          <w:sz w:val="20"/>
          <w:lang w:val="bg-BG"/>
        </w:rPr>
        <w:t>(виж по -долу).</w:t>
      </w:r>
    </w:p>
    <w:p w14:paraId="03B497A8" w14:textId="77777777" w:rsidR="005D6747" w:rsidRPr="005D6747" w:rsidRDefault="005D6747" w:rsidP="005D6747">
      <w:pPr>
        <w:keepNext/>
        <w:keepLines/>
        <w:widowControl/>
        <w:numPr>
          <w:ilvl w:val="3"/>
          <w:numId w:val="7"/>
        </w:numPr>
        <w:spacing w:before="240" w:after="180" w:line="280" w:lineRule="exact"/>
        <w:ind w:left="0"/>
        <w:jc w:val="left"/>
        <w:outlineLvl w:val="3"/>
        <w:rPr>
          <w:rFonts w:eastAsiaTheme="majorEastAsia" w:cstheme="majorBidi"/>
          <w:i/>
          <w:iCs/>
          <w:color w:val="3F3F3F" w:themeColor="text2"/>
        </w:rPr>
      </w:pPr>
      <w:r w:rsidRPr="005D6747">
        <w:rPr>
          <w:rFonts w:eastAsiaTheme="majorEastAsia" w:cstheme="majorBidi"/>
          <w:i/>
          <w:iCs/>
          <w:color w:val="3F3F3F" w:themeColor="text2"/>
        </w:rPr>
        <w:t>Софийска градска прокуратура</w:t>
      </w:r>
    </w:p>
    <w:p w14:paraId="422AC3E6" w14:textId="77777777" w:rsidR="005D6747" w:rsidRPr="005D6747" w:rsidRDefault="005D6747" w:rsidP="005D6747">
      <w:pPr>
        <w:widowControl/>
        <w:numPr>
          <w:ilvl w:val="0"/>
          <w:numId w:val="1"/>
        </w:numPr>
        <w:spacing w:before="120" w:after="120" w:line="260" w:lineRule="atLeast"/>
        <w:rPr>
          <w:sz w:val="20"/>
        </w:rPr>
      </w:pPr>
      <w:r w:rsidRPr="005D6747">
        <w:rPr>
          <w:sz w:val="20"/>
        </w:rPr>
        <w:t xml:space="preserve">Софийската градска прокуратура носи отговорност за дела, които попадат в юрисдикцията на Софийския градски съд, включително когато престъплението е извършено в района на Софийския градски съд или от чужденец или чужденец е съучастник в престъплението </w:t>
      </w:r>
    </w:p>
    <w:p w14:paraId="7DAA2D69" w14:textId="77777777" w:rsidR="005D6747" w:rsidRPr="005D6747" w:rsidRDefault="005D6747" w:rsidP="005D6747">
      <w:pPr>
        <w:widowControl/>
        <w:numPr>
          <w:ilvl w:val="0"/>
          <w:numId w:val="1"/>
        </w:numPr>
        <w:spacing w:before="120" w:after="120" w:line="260" w:lineRule="atLeast"/>
        <w:rPr>
          <w:sz w:val="20"/>
        </w:rPr>
      </w:pPr>
      <w:r w:rsidRPr="005D6747">
        <w:rPr>
          <w:sz w:val="20"/>
        </w:rPr>
        <w:t xml:space="preserve">Законът за съдебната </w:t>
      </w:r>
      <w:r w:rsidRPr="005D6747">
        <w:rPr>
          <w:sz w:val="20"/>
          <w:lang w:val="bg-BG"/>
        </w:rPr>
        <w:t xml:space="preserve">власт </w:t>
      </w:r>
      <w:r w:rsidRPr="005D6747">
        <w:rPr>
          <w:sz w:val="20"/>
        </w:rPr>
        <w:t>(ЗСВ) очертава съответните</w:t>
      </w:r>
      <w:r w:rsidRPr="005D6747">
        <w:rPr>
          <w:sz w:val="20"/>
          <w:lang w:val="bg-BG"/>
        </w:rPr>
        <w:t xml:space="preserve"> следствени</w:t>
      </w:r>
      <w:r w:rsidRPr="005D6747">
        <w:rPr>
          <w:sz w:val="20"/>
        </w:rPr>
        <w:t xml:space="preserve"> органи в България (член 148 </w:t>
      </w:r>
      <w:r w:rsidRPr="005D6747">
        <w:rPr>
          <w:sz w:val="20"/>
          <w:lang w:val="bg-BG"/>
        </w:rPr>
        <w:t xml:space="preserve">от </w:t>
      </w:r>
      <w:r w:rsidRPr="005D6747">
        <w:rPr>
          <w:sz w:val="20"/>
        </w:rPr>
        <w:t xml:space="preserve">ЗСВ), а </w:t>
      </w:r>
      <w:r w:rsidRPr="005D6747">
        <w:rPr>
          <w:sz w:val="20"/>
          <w:lang w:val="bg-BG"/>
        </w:rPr>
        <w:t xml:space="preserve">следственият отдел в </w:t>
      </w:r>
      <w:r w:rsidRPr="005D6747">
        <w:rPr>
          <w:sz w:val="20"/>
        </w:rPr>
        <w:t xml:space="preserve">Софийската градска прокуратура </w:t>
      </w:r>
      <w:r w:rsidRPr="005D6747">
        <w:rPr>
          <w:sz w:val="20"/>
          <w:lang w:val="bg-BG"/>
        </w:rPr>
        <w:t>е със статут на</w:t>
      </w:r>
      <w:r w:rsidRPr="005D6747">
        <w:rPr>
          <w:sz w:val="20"/>
        </w:rPr>
        <w:t xml:space="preserve"> </w:t>
      </w:r>
      <w:r w:rsidRPr="005D6747">
        <w:rPr>
          <w:sz w:val="20"/>
          <w:lang w:val="bg-BG"/>
        </w:rPr>
        <w:t xml:space="preserve">окръжен следствен </w:t>
      </w:r>
      <w:r w:rsidRPr="005D6747">
        <w:rPr>
          <w:sz w:val="20"/>
        </w:rPr>
        <w:t xml:space="preserve">отдел (член 148, параграф 2 </w:t>
      </w:r>
      <w:r w:rsidRPr="005D6747">
        <w:rPr>
          <w:sz w:val="20"/>
          <w:lang w:val="bg-BG"/>
        </w:rPr>
        <w:t xml:space="preserve">от </w:t>
      </w:r>
      <w:r w:rsidRPr="005D6747">
        <w:rPr>
          <w:sz w:val="20"/>
        </w:rPr>
        <w:t>ЗСВ). Разследванията се извършват от разследващи магистрати. Има пет отдели на прокуратурата и „</w:t>
      </w:r>
      <w:r w:rsidRPr="005D6747">
        <w:rPr>
          <w:sz w:val="20"/>
          <w:lang w:val="bg-BG"/>
        </w:rPr>
        <w:t>Отдел</w:t>
      </w:r>
      <w:r w:rsidRPr="005D6747">
        <w:rPr>
          <w:sz w:val="20"/>
        </w:rPr>
        <w:t xml:space="preserve"> 01 Икономически“ е разделен на три сектора, като секторът „Обща икономическа престъпност“ отговаря за дела за подку</w:t>
      </w:r>
      <w:r w:rsidR="004362D1">
        <w:rPr>
          <w:sz w:val="20"/>
          <w:lang w:val="bg-BG"/>
        </w:rPr>
        <w:t>п</w:t>
      </w:r>
      <w:r w:rsidRPr="005D6747">
        <w:rPr>
          <w:sz w:val="20"/>
          <w:lang w:val="bg-BG"/>
        </w:rPr>
        <w:t xml:space="preserve"> </w:t>
      </w:r>
      <w:r w:rsidR="004362D1">
        <w:rPr>
          <w:sz w:val="20"/>
          <w:lang w:val="bg-BG"/>
        </w:rPr>
        <w:t xml:space="preserve">на </w:t>
      </w:r>
      <w:r w:rsidRPr="005D6747">
        <w:rPr>
          <w:sz w:val="20"/>
          <w:lang w:val="bg-BG"/>
        </w:rPr>
        <w:t>чужди длъжностни лица</w:t>
      </w:r>
      <w:r w:rsidRPr="005D6747">
        <w:rPr>
          <w:sz w:val="20"/>
        </w:rPr>
        <w:t>.</w:t>
      </w:r>
    </w:p>
    <w:p w14:paraId="049D13B4" w14:textId="77777777" w:rsidR="005D6747" w:rsidRPr="005D6747" w:rsidRDefault="007727C2" w:rsidP="005D6747">
      <w:pPr>
        <w:keepNext/>
        <w:keepLines/>
        <w:widowControl/>
        <w:numPr>
          <w:ilvl w:val="3"/>
          <w:numId w:val="7"/>
        </w:numPr>
        <w:spacing w:before="240" w:after="180" w:line="280" w:lineRule="exact"/>
        <w:ind w:left="0"/>
        <w:jc w:val="left"/>
        <w:outlineLvl w:val="3"/>
        <w:rPr>
          <w:rFonts w:eastAsiaTheme="majorEastAsia" w:cstheme="majorBidi"/>
          <w:i/>
          <w:iCs/>
          <w:color w:val="3F3F3F" w:themeColor="text2"/>
        </w:rPr>
      </w:pPr>
      <w:r>
        <w:rPr>
          <w:rFonts w:eastAsiaTheme="majorEastAsia" w:cstheme="majorBidi"/>
          <w:i/>
          <w:iCs/>
          <w:color w:val="3F3F3F" w:themeColor="text2"/>
          <w:lang w:val="bg-BG"/>
        </w:rPr>
        <w:t>Окръжните</w:t>
      </w:r>
      <w:r w:rsidRPr="005D6747">
        <w:rPr>
          <w:rFonts w:eastAsiaTheme="majorEastAsia" w:cstheme="majorBidi"/>
          <w:i/>
          <w:iCs/>
          <w:color w:val="3F3F3F" w:themeColor="text2"/>
        </w:rPr>
        <w:t xml:space="preserve"> </w:t>
      </w:r>
      <w:r w:rsidR="005D6747" w:rsidRPr="005D6747">
        <w:rPr>
          <w:rFonts w:eastAsiaTheme="majorEastAsia" w:cstheme="majorBidi"/>
          <w:i/>
          <w:iCs/>
          <w:color w:val="3F3F3F" w:themeColor="text2"/>
        </w:rPr>
        <w:t>прокуратури</w:t>
      </w:r>
    </w:p>
    <w:p w14:paraId="19098BED" w14:textId="77777777" w:rsidR="005D6747" w:rsidRPr="005D6747" w:rsidRDefault="005D6747" w:rsidP="005D6747">
      <w:pPr>
        <w:widowControl/>
        <w:numPr>
          <w:ilvl w:val="0"/>
          <w:numId w:val="1"/>
        </w:numPr>
        <w:spacing w:before="120" w:after="120" w:line="260" w:lineRule="atLeast"/>
        <w:rPr>
          <w:sz w:val="20"/>
        </w:rPr>
      </w:pPr>
      <w:r w:rsidRPr="005D6747">
        <w:rPr>
          <w:sz w:val="20"/>
        </w:rPr>
        <w:t xml:space="preserve">Съгласно член 35 от </w:t>
      </w:r>
      <w:r w:rsidRPr="005D6747">
        <w:rPr>
          <w:sz w:val="20"/>
          <w:lang w:val="bg-BG"/>
        </w:rPr>
        <w:t>Н</w:t>
      </w:r>
      <w:r w:rsidRPr="005D6747">
        <w:rPr>
          <w:sz w:val="20"/>
        </w:rPr>
        <w:t xml:space="preserve">ПК, </w:t>
      </w:r>
      <w:r w:rsidR="007727C2">
        <w:rPr>
          <w:sz w:val="20"/>
          <w:lang w:val="bg-BG"/>
        </w:rPr>
        <w:t>окръжните</w:t>
      </w:r>
      <w:r w:rsidR="007727C2" w:rsidRPr="005D6747">
        <w:rPr>
          <w:sz w:val="20"/>
        </w:rPr>
        <w:t xml:space="preserve"> </w:t>
      </w:r>
      <w:r w:rsidRPr="005D6747">
        <w:rPr>
          <w:sz w:val="20"/>
        </w:rPr>
        <w:t>съдилища ще разглеждат дела за подкуп на чужд</w:t>
      </w:r>
      <w:r w:rsidRPr="005D6747">
        <w:rPr>
          <w:sz w:val="20"/>
          <w:lang w:val="bg-BG"/>
        </w:rPr>
        <w:t xml:space="preserve">и длъжностни лица </w:t>
      </w:r>
      <w:r w:rsidRPr="005D6747">
        <w:rPr>
          <w:sz w:val="20"/>
        </w:rPr>
        <w:t>като първа инстанция (с изключение на</w:t>
      </w:r>
      <w:r w:rsidRPr="005D6747">
        <w:rPr>
          <w:sz w:val="20"/>
          <w:lang w:val="bg-BG"/>
        </w:rPr>
        <w:t xml:space="preserve"> делата</w:t>
      </w:r>
      <w:r w:rsidRPr="005D6747">
        <w:rPr>
          <w:sz w:val="20"/>
        </w:rPr>
        <w:t xml:space="preserve">, когато Софийският градски съд има компетентност, посочена по -горе) и съответната </w:t>
      </w:r>
      <w:r w:rsidR="007727C2">
        <w:rPr>
          <w:sz w:val="20"/>
          <w:lang w:val="bg-BG"/>
        </w:rPr>
        <w:t>окръжна</w:t>
      </w:r>
      <w:r w:rsidR="007727C2" w:rsidRPr="005D6747">
        <w:rPr>
          <w:sz w:val="20"/>
        </w:rPr>
        <w:t xml:space="preserve"> </w:t>
      </w:r>
      <w:r w:rsidRPr="005D6747">
        <w:rPr>
          <w:sz w:val="20"/>
        </w:rPr>
        <w:t>прокуратура ще се занимава с въпроса. Всяка</w:t>
      </w:r>
      <w:r w:rsidRPr="005D6747">
        <w:rPr>
          <w:sz w:val="20"/>
          <w:lang w:val="bg-BG"/>
        </w:rPr>
        <w:t xml:space="preserve"> </w:t>
      </w:r>
      <w:r w:rsidR="007727C2">
        <w:rPr>
          <w:sz w:val="20"/>
          <w:lang w:val="bg-BG"/>
        </w:rPr>
        <w:t>окръжна</w:t>
      </w:r>
      <w:r w:rsidR="007727C2" w:rsidRPr="005D6747">
        <w:rPr>
          <w:sz w:val="20"/>
        </w:rPr>
        <w:t xml:space="preserve"> </w:t>
      </w:r>
      <w:r w:rsidRPr="005D6747">
        <w:rPr>
          <w:sz w:val="20"/>
        </w:rPr>
        <w:t xml:space="preserve">прокуратура има отдел за разследване, в който работят разследващи магистрати. </w:t>
      </w:r>
      <w:r w:rsidR="007727C2">
        <w:rPr>
          <w:sz w:val="20"/>
          <w:lang w:val="bg-BG"/>
        </w:rPr>
        <w:t>Окръжните</w:t>
      </w:r>
      <w:r w:rsidR="007727C2" w:rsidRPr="005D6747">
        <w:rPr>
          <w:sz w:val="20"/>
        </w:rPr>
        <w:t xml:space="preserve"> </w:t>
      </w:r>
      <w:r w:rsidRPr="005D6747">
        <w:rPr>
          <w:sz w:val="20"/>
        </w:rPr>
        <w:t>прокуратури разследват и преследват дела за подкуп</w:t>
      </w:r>
      <w:r w:rsidRPr="005D6747">
        <w:rPr>
          <w:sz w:val="20"/>
          <w:lang w:val="bg-BG"/>
        </w:rPr>
        <w:t xml:space="preserve"> на чужди длъжностни лица</w:t>
      </w:r>
      <w:r w:rsidRPr="005D6747">
        <w:rPr>
          <w:sz w:val="20"/>
        </w:rPr>
        <w:t xml:space="preserve"> срещу физически лица, когато престъплението е извършено в тяхната юрисдикция.</w:t>
      </w:r>
    </w:p>
    <w:p w14:paraId="1E49CB08" w14:textId="77777777" w:rsidR="005D6747" w:rsidRPr="005D6747" w:rsidRDefault="005D6747" w:rsidP="005D6747">
      <w:pPr>
        <w:keepNext/>
        <w:keepLines/>
        <w:widowControl/>
        <w:numPr>
          <w:ilvl w:val="3"/>
          <w:numId w:val="7"/>
        </w:numPr>
        <w:spacing w:before="240" w:after="180" w:line="280" w:lineRule="exact"/>
        <w:ind w:left="0"/>
        <w:jc w:val="left"/>
        <w:outlineLvl w:val="3"/>
        <w:rPr>
          <w:rFonts w:eastAsiaTheme="majorEastAsia" w:cstheme="majorBidi"/>
          <w:i/>
          <w:iCs/>
          <w:color w:val="3F3F3F" w:themeColor="text2"/>
        </w:rPr>
      </w:pPr>
      <w:r w:rsidRPr="005D6747">
        <w:rPr>
          <w:rFonts w:eastAsiaTheme="majorEastAsia" w:cstheme="majorBidi"/>
          <w:i/>
          <w:iCs/>
          <w:color w:val="3F3F3F" w:themeColor="text2"/>
        </w:rPr>
        <w:t>Специализирана прокуратура</w:t>
      </w:r>
    </w:p>
    <w:p w14:paraId="5E861ED4" w14:textId="100FAA59" w:rsidR="00E17B4C" w:rsidRPr="001773E0" w:rsidRDefault="005D6747" w:rsidP="001773E0">
      <w:pPr>
        <w:widowControl/>
        <w:numPr>
          <w:ilvl w:val="0"/>
          <w:numId w:val="1"/>
        </w:numPr>
        <w:spacing w:before="120" w:after="120" w:line="260" w:lineRule="atLeast"/>
        <w:rPr>
          <w:sz w:val="20"/>
        </w:rPr>
      </w:pPr>
      <w:r w:rsidRPr="005D6747">
        <w:rPr>
          <w:sz w:val="20"/>
        </w:rPr>
        <w:t xml:space="preserve">През 2012 </w:t>
      </w:r>
      <w:proofErr w:type="gramStart"/>
      <w:r w:rsidRPr="005D6747">
        <w:rPr>
          <w:sz w:val="20"/>
        </w:rPr>
        <w:t>г.,</w:t>
      </w:r>
      <w:proofErr w:type="gramEnd"/>
      <w:r w:rsidRPr="005D6747">
        <w:rPr>
          <w:sz w:val="20"/>
        </w:rPr>
        <w:t xml:space="preserve"> малко след </w:t>
      </w:r>
      <w:r w:rsidR="00673F1F">
        <w:rPr>
          <w:sz w:val="20"/>
          <w:lang w:val="bg-BG"/>
        </w:rPr>
        <w:t>Фаза</w:t>
      </w:r>
      <w:r w:rsidRPr="005D6747">
        <w:rPr>
          <w:sz w:val="20"/>
        </w:rPr>
        <w:t xml:space="preserve"> 3, България създаде Специализирана прокуратура за борба с организираната престъпност на националн</w:t>
      </w:r>
      <w:r w:rsidR="00566378">
        <w:rPr>
          <w:sz w:val="20"/>
          <w:lang w:val="bg-BG"/>
        </w:rPr>
        <w:t>о</w:t>
      </w:r>
      <w:r w:rsidR="000E1425" w:rsidRPr="008C08CD">
        <w:rPr>
          <w:sz w:val="20"/>
        </w:rPr>
        <w:t xml:space="preserve"> </w:t>
      </w:r>
      <w:r w:rsidR="000E1425">
        <w:rPr>
          <w:sz w:val="20"/>
          <w:lang w:val="bg-BG"/>
        </w:rPr>
        <w:t>равнище</w:t>
      </w:r>
      <w:r w:rsidRPr="005D6747">
        <w:rPr>
          <w:sz w:val="20"/>
        </w:rPr>
        <w:t>. Съответно, когато даден случай включва организирана престъпност и подкуп</w:t>
      </w:r>
      <w:r w:rsidRPr="005D6747">
        <w:rPr>
          <w:sz w:val="20"/>
          <w:lang w:val="bg-BG"/>
        </w:rPr>
        <w:t>ване на чужди длъжностни лица</w:t>
      </w:r>
      <w:r w:rsidRPr="005D6747">
        <w:rPr>
          <w:sz w:val="20"/>
        </w:rPr>
        <w:t xml:space="preserve">, Специализираната прокуратура ще бъде отговорна за разследването, както е показано в </w:t>
      </w:r>
      <w:r w:rsidR="00102D2E" w:rsidRPr="008C08CD">
        <w:rPr>
          <w:b/>
          <w:sz w:val="20"/>
          <w:lang w:val="bg-BG"/>
        </w:rPr>
        <w:t xml:space="preserve">случая </w:t>
      </w:r>
      <w:r w:rsidR="00566378" w:rsidRPr="008C08CD">
        <w:rPr>
          <w:b/>
          <w:sz w:val="20"/>
          <w:lang w:val="bg-BG"/>
        </w:rPr>
        <w:t>с</w:t>
      </w:r>
      <w:r w:rsidR="00566378" w:rsidRPr="008C08CD">
        <w:rPr>
          <w:b/>
          <w:sz w:val="20"/>
        </w:rPr>
        <w:t xml:space="preserve"> </w:t>
      </w:r>
      <w:r w:rsidRPr="005D6747">
        <w:rPr>
          <w:b/>
          <w:sz w:val="20"/>
        </w:rPr>
        <w:t>фондовете на ЕС</w:t>
      </w:r>
      <w:r w:rsidRPr="005D6747">
        <w:rPr>
          <w:sz w:val="20"/>
        </w:rPr>
        <w:t>, обсъден в този доклад (вж.</w:t>
      </w:r>
      <w:r w:rsidR="00566378">
        <w:rPr>
          <w:sz w:val="20"/>
          <w:lang w:val="bg-BG"/>
        </w:rPr>
        <w:t xml:space="preserve"> </w:t>
      </w:r>
      <w:r w:rsidR="00102D2E">
        <w:rPr>
          <w:sz w:val="20"/>
          <w:lang w:val="bg-BG"/>
        </w:rPr>
        <w:t>параграф 21</w:t>
      </w:r>
      <w:r w:rsidRPr="005D6747">
        <w:rPr>
          <w:sz w:val="20"/>
        </w:rPr>
        <w:t>)</w:t>
      </w:r>
      <w:r w:rsidRPr="005D6747">
        <w:rPr>
          <w:sz w:val="20"/>
          <w:lang w:val="bg-BG"/>
        </w:rPr>
        <w:t>.</w:t>
      </w:r>
    </w:p>
    <w:p w14:paraId="785D2D71" w14:textId="77777777" w:rsidR="00FC1A2C" w:rsidRPr="00A50C6B" w:rsidRDefault="00F3484F" w:rsidP="00A50C6B">
      <w:pPr>
        <w:pStyle w:val="Heading4"/>
        <w:ind w:left="720" w:hanging="720"/>
        <w:rPr>
          <w:color w:val="auto"/>
          <w:lang w:val="bg-BG"/>
        </w:rPr>
      </w:pPr>
      <w:r w:rsidRPr="00A50C6B">
        <w:rPr>
          <w:color w:val="auto"/>
          <w:lang w:val="bg-BG"/>
        </w:rPr>
        <w:t>Върховна касационна прокуратура</w:t>
      </w:r>
    </w:p>
    <w:p w14:paraId="29A5488E" w14:textId="52B76E68" w:rsidR="00FC1A2C" w:rsidRPr="00367B42" w:rsidRDefault="00A92D2D" w:rsidP="00DD7407">
      <w:pPr>
        <w:widowControl/>
        <w:numPr>
          <w:ilvl w:val="0"/>
          <w:numId w:val="1"/>
        </w:numPr>
        <w:spacing w:before="120" w:after="120" w:line="260" w:lineRule="atLeast"/>
        <w:rPr>
          <w:sz w:val="20"/>
          <w:lang w:val="bg-BG"/>
        </w:rPr>
      </w:pPr>
      <w:r w:rsidRPr="00367B42">
        <w:rPr>
          <w:sz w:val="20"/>
          <w:lang w:val="bg-BG"/>
        </w:rPr>
        <w:t>Въпреки че не провежда разследвания или наказателно преследване, ВКП осигурява надзорна функция на</w:t>
      </w:r>
      <w:r w:rsidR="00E84949">
        <w:rPr>
          <w:sz w:val="20"/>
          <w:lang w:val="bg-BG"/>
        </w:rPr>
        <w:t>д</w:t>
      </w:r>
      <w:r w:rsidRPr="00367B42">
        <w:rPr>
          <w:sz w:val="20"/>
          <w:lang w:val="bg-BG"/>
        </w:rPr>
        <w:t xml:space="preserve"> другите прокуратури. Тя може да преразгледа решението на други прокурори </w:t>
      </w:r>
      <w:r w:rsidR="00E84949">
        <w:rPr>
          <w:sz w:val="20"/>
          <w:lang w:val="bg-BG"/>
        </w:rPr>
        <w:t>за</w:t>
      </w:r>
      <w:r w:rsidRPr="00367B42">
        <w:rPr>
          <w:sz w:val="20"/>
          <w:lang w:val="bg-BG"/>
        </w:rPr>
        <w:t xml:space="preserve"> прекратя</w:t>
      </w:r>
      <w:r w:rsidR="00E84949">
        <w:rPr>
          <w:sz w:val="20"/>
          <w:lang w:val="bg-BG"/>
        </w:rPr>
        <w:t>ване на</w:t>
      </w:r>
      <w:r w:rsidRPr="00367B42">
        <w:rPr>
          <w:sz w:val="20"/>
          <w:lang w:val="bg-BG"/>
        </w:rPr>
        <w:t xml:space="preserve"> разследвания и също така може да предостав</w:t>
      </w:r>
      <w:r w:rsidR="00E17B4C">
        <w:rPr>
          <w:sz w:val="20"/>
          <w:lang w:val="bg-BG"/>
        </w:rPr>
        <w:t>и</w:t>
      </w:r>
      <w:r w:rsidRPr="00367B42">
        <w:rPr>
          <w:sz w:val="20"/>
          <w:lang w:val="bg-BG"/>
        </w:rPr>
        <w:t xml:space="preserve"> експертни насоки по делата</w:t>
      </w:r>
      <w:r w:rsidR="00FC1A2C" w:rsidRPr="00367B42">
        <w:rPr>
          <w:sz w:val="20"/>
          <w:lang w:val="bg-BG"/>
        </w:rPr>
        <w:t xml:space="preserve">. </w:t>
      </w:r>
    </w:p>
    <w:p w14:paraId="44DD36D8" w14:textId="77777777" w:rsidR="00FC1A2C" w:rsidRPr="00367B42" w:rsidRDefault="00A92D2D" w:rsidP="00FC1A2C">
      <w:pPr>
        <w:widowControl/>
        <w:spacing w:before="120" w:after="120"/>
        <w:ind w:right="-58"/>
        <w:rPr>
          <w:rFonts w:cstheme="minorHAnsi"/>
          <w:b/>
          <w:i/>
          <w:noProof/>
          <w:color w:val="4E81BD" w:themeColor="accent1"/>
          <w:sz w:val="20"/>
          <w:lang w:val="bg-BG"/>
        </w:rPr>
      </w:pPr>
      <w:r>
        <w:rPr>
          <w:rFonts w:cstheme="minorHAnsi"/>
          <w:b/>
          <w:i/>
          <w:noProof/>
          <w:color w:val="4E81BD" w:themeColor="accent1"/>
          <w:sz w:val="20"/>
          <w:lang w:val="bg-BG"/>
        </w:rPr>
        <w:t>Коментар</w:t>
      </w:r>
    </w:p>
    <w:p w14:paraId="758DCC57" w14:textId="37E80095" w:rsidR="002E4F62" w:rsidRPr="00367B42" w:rsidRDefault="002E4F62" w:rsidP="002E4F62">
      <w:pPr>
        <w:widowControl/>
        <w:spacing w:before="120" w:after="120"/>
        <w:ind w:right="-58"/>
        <w:rPr>
          <w:rFonts w:cstheme="minorHAnsi"/>
          <w:b/>
          <w:i/>
          <w:noProof/>
          <w:sz w:val="20"/>
          <w:lang w:val="bg-BG"/>
        </w:rPr>
      </w:pPr>
      <w:r w:rsidRPr="00367B42">
        <w:rPr>
          <w:rFonts w:cstheme="minorHAnsi"/>
          <w:b/>
          <w:i/>
          <w:noProof/>
          <w:sz w:val="20"/>
          <w:lang w:val="bg-BG"/>
        </w:rPr>
        <w:t xml:space="preserve">Тъй като </w:t>
      </w:r>
      <w:r w:rsidR="003D50A6">
        <w:rPr>
          <w:rFonts w:cstheme="minorHAnsi"/>
          <w:b/>
          <w:i/>
          <w:noProof/>
          <w:sz w:val="20"/>
          <w:lang w:val="bg-BG"/>
        </w:rPr>
        <w:t>след</w:t>
      </w:r>
      <w:r w:rsidRPr="00367B42">
        <w:rPr>
          <w:rFonts w:cstheme="minorHAnsi"/>
          <w:b/>
          <w:i/>
          <w:noProof/>
          <w:sz w:val="20"/>
          <w:lang w:val="bg-BG"/>
        </w:rPr>
        <w:t xml:space="preserve"> </w:t>
      </w:r>
      <w:r w:rsidR="00673F1F" w:rsidRPr="00367B42">
        <w:rPr>
          <w:rFonts w:cstheme="minorHAnsi"/>
          <w:b/>
          <w:i/>
          <w:noProof/>
          <w:sz w:val="20"/>
          <w:lang w:val="bg-BG"/>
        </w:rPr>
        <w:t>Фаза</w:t>
      </w:r>
      <w:r w:rsidRPr="00367B42">
        <w:rPr>
          <w:rFonts w:cstheme="minorHAnsi"/>
          <w:b/>
          <w:i/>
          <w:noProof/>
          <w:sz w:val="20"/>
          <w:lang w:val="bg-BG"/>
        </w:rPr>
        <w:t xml:space="preserve"> 3 не е имало досъдебно производство или наказателно преследване</w:t>
      </w:r>
      <w:r w:rsidR="00895704">
        <w:rPr>
          <w:rFonts w:cstheme="minorHAnsi"/>
          <w:b/>
          <w:i/>
          <w:noProof/>
          <w:sz w:val="20"/>
          <w:lang w:val="bg-BG"/>
        </w:rPr>
        <w:t xml:space="preserve"> на подкуп на чуждо длъжностно лице</w:t>
      </w:r>
      <w:r w:rsidRPr="00367B42">
        <w:rPr>
          <w:rFonts w:cstheme="minorHAnsi"/>
          <w:b/>
          <w:i/>
          <w:noProof/>
          <w:sz w:val="20"/>
          <w:lang w:val="bg-BG"/>
        </w:rPr>
        <w:t>, водещите п</w:t>
      </w:r>
      <w:r w:rsidR="0006421B" w:rsidRPr="00367B42">
        <w:rPr>
          <w:rFonts w:cstheme="minorHAnsi"/>
          <w:b/>
          <w:i/>
          <w:noProof/>
          <w:sz w:val="20"/>
          <w:lang w:val="bg-BG"/>
        </w:rPr>
        <w:t>роверители</w:t>
      </w:r>
      <w:r w:rsidRPr="00367B42">
        <w:rPr>
          <w:rFonts w:cstheme="minorHAnsi"/>
          <w:b/>
          <w:i/>
          <w:noProof/>
          <w:sz w:val="20"/>
          <w:lang w:val="bg-BG"/>
        </w:rPr>
        <w:t xml:space="preserve"> не са в състояние да оценят напълно адекватността на ресурсите в различните прокуратури. Съответно </w:t>
      </w:r>
      <w:r w:rsidR="000A014B">
        <w:rPr>
          <w:rFonts w:cstheme="minorHAnsi"/>
          <w:b/>
          <w:i/>
          <w:noProof/>
          <w:sz w:val="20"/>
          <w:lang w:val="bg-BG"/>
        </w:rPr>
        <w:t>Р</w:t>
      </w:r>
      <w:r w:rsidRPr="00367B42">
        <w:rPr>
          <w:rFonts w:cstheme="minorHAnsi"/>
          <w:b/>
          <w:i/>
          <w:noProof/>
          <w:sz w:val="20"/>
          <w:lang w:val="bg-BG"/>
        </w:rPr>
        <w:t xml:space="preserve">аботната група следва да проследи това при </w:t>
      </w:r>
      <w:r w:rsidR="00566378">
        <w:rPr>
          <w:rFonts w:cstheme="minorHAnsi"/>
          <w:b/>
          <w:i/>
          <w:noProof/>
          <w:sz w:val="20"/>
          <w:lang w:val="bg-BG"/>
        </w:rPr>
        <w:t>появата</w:t>
      </w:r>
      <w:r w:rsidR="00566378" w:rsidRPr="00367B42">
        <w:rPr>
          <w:rFonts w:cstheme="minorHAnsi"/>
          <w:b/>
          <w:i/>
          <w:noProof/>
          <w:sz w:val="20"/>
          <w:lang w:val="bg-BG"/>
        </w:rPr>
        <w:t xml:space="preserve"> </w:t>
      </w:r>
      <w:r w:rsidRPr="00367B42">
        <w:rPr>
          <w:rFonts w:cstheme="minorHAnsi"/>
          <w:b/>
          <w:i/>
          <w:noProof/>
          <w:sz w:val="20"/>
          <w:lang w:val="bg-BG"/>
        </w:rPr>
        <w:t>на нови случаи.</w:t>
      </w:r>
    </w:p>
    <w:p w14:paraId="5BE51792" w14:textId="4406E01D" w:rsidR="00FC1A2C" w:rsidRPr="00367B42" w:rsidRDefault="002E4F62" w:rsidP="002E4F62">
      <w:pPr>
        <w:widowControl/>
        <w:spacing w:before="120" w:after="120"/>
        <w:ind w:right="-58"/>
        <w:rPr>
          <w:rFonts w:cstheme="minorHAnsi"/>
          <w:b/>
          <w:bCs/>
          <w:i/>
          <w:iCs/>
          <w:noProof/>
          <w:sz w:val="20"/>
          <w:lang w:val="bg-BG"/>
        </w:rPr>
      </w:pPr>
      <w:r w:rsidRPr="00367B42">
        <w:rPr>
          <w:rFonts w:cstheme="minorHAnsi"/>
          <w:b/>
          <w:i/>
          <w:noProof/>
          <w:sz w:val="20"/>
          <w:lang w:val="bg-BG"/>
        </w:rPr>
        <w:t xml:space="preserve">Водещите </w:t>
      </w:r>
      <w:r w:rsidR="0006421B" w:rsidRPr="00367B42">
        <w:rPr>
          <w:rFonts w:cstheme="minorHAnsi"/>
          <w:b/>
          <w:i/>
          <w:noProof/>
          <w:sz w:val="20"/>
          <w:lang w:val="bg-BG"/>
        </w:rPr>
        <w:t>проверители</w:t>
      </w:r>
      <w:r w:rsidRPr="00367B42">
        <w:rPr>
          <w:rFonts w:cstheme="minorHAnsi"/>
          <w:b/>
          <w:i/>
          <w:noProof/>
          <w:sz w:val="20"/>
          <w:lang w:val="bg-BG"/>
        </w:rPr>
        <w:t xml:space="preserve"> препоръчват България да възложи основна отговорност </w:t>
      </w:r>
      <w:bookmarkStart w:id="24" w:name="_Hlk79141591"/>
      <w:r w:rsidR="00E17B4C">
        <w:rPr>
          <w:rFonts w:cstheme="minorHAnsi"/>
          <w:b/>
          <w:i/>
          <w:noProof/>
          <w:sz w:val="20"/>
          <w:lang w:val="bg-BG"/>
        </w:rPr>
        <w:t xml:space="preserve">за </w:t>
      </w:r>
      <w:r w:rsidR="00971BCD">
        <w:rPr>
          <w:rFonts w:cstheme="minorHAnsi"/>
          <w:b/>
          <w:i/>
          <w:noProof/>
          <w:sz w:val="20"/>
          <w:lang w:val="bg-BG"/>
        </w:rPr>
        <w:t xml:space="preserve">случаите на подкуп на </w:t>
      </w:r>
      <w:r w:rsidR="00313DCE">
        <w:rPr>
          <w:rFonts w:cstheme="minorHAnsi"/>
          <w:b/>
          <w:i/>
          <w:noProof/>
          <w:sz w:val="20"/>
          <w:lang w:val="bg-BG"/>
        </w:rPr>
        <w:t>чужди</w:t>
      </w:r>
      <w:r w:rsidR="00971BCD">
        <w:rPr>
          <w:rFonts w:cstheme="minorHAnsi"/>
          <w:b/>
          <w:i/>
          <w:noProof/>
          <w:sz w:val="20"/>
          <w:lang w:val="bg-BG"/>
        </w:rPr>
        <w:t>те длъжностни лица</w:t>
      </w:r>
      <w:bookmarkEnd w:id="24"/>
      <w:r w:rsidRPr="00367B42">
        <w:rPr>
          <w:rFonts w:cstheme="minorHAnsi"/>
          <w:b/>
          <w:i/>
          <w:noProof/>
          <w:sz w:val="20"/>
          <w:lang w:val="bg-BG"/>
        </w:rPr>
        <w:t xml:space="preserve"> на</w:t>
      </w:r>
      <w:r w:rsidR="00895704">
        <w:rPr>
          <w:rFonts w:cstheme="minorHAnsi"/>
          <w:b/>
          <w:i/>
          <w:noProof/>
          <w:sz w:val="20"/>
          <w:lang w:val="bg-BG"/>
        </w:rPr>
        <w:t xml:space="preserve"> специализирани прокурори, по такъв начин, че </w:t>
      </w:r>
      <w:r w:rsidRPr="00367B42">
        <w:rPr>
          <w:rFonts w:cstheme="minorHAnsi"/>
          <w:b/>
          <w:i/>
          <w:noProof/>
          <w:sz w:val="20"/>
          <w:lang w:val="bg-BG"/>
        </w:rPr>
        <w:t xml:space="preserve">да се осигури достатъчен приоритет </w:t>
      </w:r>
      <w:r w:rsidR="00566378">
        <w:rPr>
          <w:rFonts w:cstheme="minorHAnsi"/>
          <w:b/>
          <w:i/>
          <w:noProof/>
          <w:sz w:val="20"/>
          <w:lang w:val="bg-BG"/>
        </w:rPr>
        <w:t>при наказателното преследване</w:t>
      </w:r>
      <w:r w:rsidRPr="00367B42">
        <w:rPr>
          <w:rFonts w:cstheme="minorHAnsi"/>
          <w:b/>
          <w:i/>
          <w:noProof/>
          <w:sz w:val="20"/>
          <w:lang w:val="bg-BG"/>
        </w:rPr>
        <w:t xml:space="preserve"> на това престъпление. Това би подобрило експертния опит и междуведомствената </w:t>
      </w:r>
      <w:r w:rsidRPr="00367B42">
        <w:rPr>
          <w:rFonts w:cstheme="minorHAnsi"/>
          <w:b/>
          <w:i/>
          <w:noProof/>
          <w:sz w:val="20"/>
          <w:lang w:val="bg-BG"/>
        </w:rPr>
        <w:lastRenderedPageBreak/>
        <w:t xml:space="preserve">координация и би улеснило специален контакт за докладване на </w:t>
      </w:r>
      <w:r w:rsidR="00566378">
        <w:rPr>
          <w:rFonts w:cstheme="minorHAnsi"/>
          <w:b/>
          <w:i/>
          <w:noProof/>
          <w:sz w:val="20"/>
          <w:lang w:val="bg-BG"/>
        </w:rPr>
        <w:t>твърдения</w:t>
      </w:r>
      <w:r w:rsidR="00566378" w:rsidRPr="00367B42">
        <w:rPr>
          <w:rFonts w:cstheme="minorHAnsi"/>
          <w:b/>
          <w:i/>
          <w:noProof/>
          <w:sz w:val="20"/>
          <w:lang w:val="bg-BG"/>
        </w:rPr>
        <w:t xml:space="preserve"> </w:t>
      </w:r>
      <w:r w:rsidR="00971BCD">
        <w:rPr>
          <w:rFonts w:cstheme="minorHAnsi"/>
          <w:b/>
          <w:i/>
          <w:noProof/>
          <w:sz w:val="20"/>
          <w:lang w:val="bg-BG"/>
        </w:rPr>
        <w:t>относно</w:t>
      </w:r>
      <w:r w:rsidRPr="00367B42">
        <w:rPr>
          <w:rFonts w:cstheme="minorHAnsi"/>
          <w:b/>
          <w:i/>
          <w:noProof/>
          <w:sz w:val="20"/>
          <w:lang w:val="bg-BG"/>
        </w:rPr>
        <w:t xml:space="preserve"> </w:t>
      </w:r>
      <w:r w:rsidR="00971BCD">
        <w:rPr>
          <w:rFonts w:cstheme="minorHAnsi"/>
          <w:b/>
          <w:i/>
          <w:noProof/>
          <w:sz w:val="20"/>
          <w:lang w:val="bg-BG"/>
        </w:rPr>
        <w:t xml:space="preserve">случаи на подкуп на </w:t>
      </w:r>
      <w:r w:rsidR="00313DCE">
        <w:rPr>
          <w:rFonts w:cstheme="minorHAnsi"/>
          <w:b/>
          <w:i/>
          <w:noProof/>
          <w:sz w:val="20"/>
          <w:lang w:val="bg-BG"/>
        </w:rPr>
        <w:t>чужди</w:t>
      </w:r>
      <w:r w:rsidR="00971BCD">
        <w:rPr>
          <w:rFonts w:cstheme="minorHAnsi"/>
          <w:b/>
          <w:i/>
          <w:noProof/>
          <w:sz w:val="20"/>
          <w:lang w:val="bg-BG"/>
        </w:rPr>
        <w:t>те длъжностни лица</w:t>
      </w:r>
      <w:r w:rsidRPr="00367B42">
        <w:rPr>
          <w:rFonts w:cstheme="minorHAnsi"/>
          <w:b/>
          <w:i/>
          <w:noProof/>
          <w:sz w:val="20"/>
          <w:lang w:val="bg-BG"/>
        </w:rPr>
        <w:t xml:space="preserve"> от обществеността и правителствените агенции. </w:t>
      </w:r>
      <w:r w:rsidR="00895704">
        <w:rPr>
          <w:rFonts w:cstheme="minorHAnsi"/>
          <w:b/>
          <w:i/>
          <w:noProof/>
          <w:sz w:val="20"/>
          <w:lang w:val="bg-BG"/>
        </w:rPr>
        <w:t xml:space="preserve">Прокурорите, които работят по случаи на подкуп на чужди длъжностни лица, </w:t>
      </w:r>
      <w:r w:rsidRPr="00367B42">
        <w:rPr>
          <w:rFonts w:cstheme="minorHAnsi"/>
          <w:b/>
          <w:i/>
          <w:noProof/>
          <w:sz w:val="20"/>
          <w:lang w:val="bg-BG"/>
        </w:rPr>
        <w:t>следва също така да получ</w:t>
      </w:r>
      <w:r w:rsidR="00895704">
        <w:rPr>
          <w:rFonts w:cstheme="minorHAnsi"/>
          <w:b/>
          <w:i/>
          <w:noProof/>
          <w:sz w:val="20"/>
          <w:lang w:val="bg-BG"/>
        </w:rPr>
        <w:t>ат</w:t>
      </w:r>
      <w:r w:rsidRPr="00367B42">
        <w:rPr>
          <w:rFonts w:cstheme="minorHAnsi"/>
          <w:b/>
          <w:i/>
          <w:noProof/>
          <w:sz w:val="20"/>
          <w:lang w:val="bg-BG"/>
        </w:rPr>
        <w:t xml:space="preserve"> изрично </w:t>
      </w:r>
      <w:r w:rsidR="00E17B4C">
        <w:rPr>
          <w:rFonts w:cstheme="minorHAnsi"/>
          <w:b/>
          <w:i/>
          <w:noProof/>
          <w:sz w:val="20"/>
          <w:lang w:val="bg-BG"/>
        </w:rPr>
        <w:t>копметентност</w:t>
      </w:r>
      <w:r w:rsidR="00E17B4C" w:rsidRPr="00367B42">
        <w:rPr>
          <w:rFonts w:cstheme="minorHAnsi"/>
          <w:b/>
          <w:i/>
          <w:noProof/>
          <w:sz w:val="20"/>
          <w:lang w:val="bg-BG"/>
        </w:rPr>
        <w:t xml:space="preserve"> </w:t>
      </w:r>
      <w:r w:rsidRPr="00367B42">
        <w:rPr>
          <w:rFonts w:cstheme="minorHAnsi"/>
          <w:b/>
          <w:i/>
          <w:noProof/>
          <w:sz w:val="20"/>
          <w:lang w:val="bg-BG"/>
        </w:rPr>
        <w:t xml:space="preserve">по </w:t>
      </w:r>
      <w:r w:rsidR="00E17B4C">
        <w:rPr>
          <w:rFonts w:cstheme="minorHAnsi"/>
          <w:b/>
          <w:i/>
          <w:noProof/>
          <w:sz w:val="20"/>
          <w:lang w:val="bg-BG"/>
        </w:rPr>
        <w:t xml:space="preserve">отношение на </w:t>
      </w:r>
      <w:r w:rsidRPr="00367B42">
        <w:rPr>
          <w:rFonts w:cstheme="minorHAnsi"/>
          <w:b/>
          <w:i/>
          <w:noProof/>
          <w:sz w:val="20"/>
          <w:lang w:val="bg-BG"/>
        </w:rPr>
        <w:t>свързани престъпления (напр.</w:t>
      </w:r>
      <w:r w:rsidR="00895704">
        <w:rPr>
          <w:rFonts w:cstheme="minorHAnsi"/>
          <w:b/>
          <w:i/>
          <w:noProof/>
          <w:sz w:val="20"/>
          <w:lang w:val="bg-BG"/>
        </w:rPr>
        <w:t>,</w:t>
      </w:r>
      <w:r w:rsidRPr="00367B42">
        <w:rPr>
          <w:rFonts w:cstheme="minorHAnsi"/>
          <w:b/>
          <w:i/>
          <w:noProof/>
          <w:sz w:val="20"/>
          <w:lang w:val="bg-BG"/>
        </w:rPr>
        <w:t xml:space="preserve"> </w:t>
      </w:r>
      <w:r w:rsidR="00566378">
        <w:rPr>
          <w:rFonts w:cstheme="minorHAnsi"/>
          <w:b/>
          <w:i/>
          <w:noProof/>
          <w:sz w:val="20"/>
          <w:lang w:val="bg-BG"/>
        </w:rPr>
        <w:t>и</w:t>
      </w:r>
      <w:r w:rsidR="0098459F">
        <w:rPr>
          <w:rFonts w:cstheme="minorHAnsi"/>
          <w:b/>
          <w:i/>
          <w:noProof/>
          <w:sz w:val="20"/>
          <w:lang w:val="bg-BG"/>
        </w:rPr>
        <w:t>зпиране</w:t>
      </w:r>
      <w:r w:rsidR="0098459F" w:rsidRPr="00367B42">
        <w:rPr>
          <w:rFonts w:cstheme="minorHAnsi"/>
          <w:b/>
          <w:i/>
          <w:noProof/>
          <w:sz w:val="20"/>
          <w:lang w:val="bg-BG"/>
        </w:rPr>
        <w:t xml:space="preserve"> </w:t>
      </w:r>
      <w:r w:rsidRPr="00367B42">
        <w:rPr>
          <w:rFonts w:cstheme="minorHAnsi"/>
          <w:b/>
          <w:i/>
          <w:noProof/>
          <w:sz w:val="20"/>
          <w:lang w:val="bg-BG"/>
        </w:rPr>
        <w:t>на пари и фалшиво счетоводство) в същия случай, с изключение на случаите, когато става въпрос за организирана престъпност</w:t>
      </w:r>
      <w:r w:rsidR="00FC1A2C" w:rsidRPr="00367B42">
        <w:rPr>
          <w:rFonts w:cstheme="minorHAnsi"/>
          <w:b/>
          <w:bCs/>
          <w:i/>
          <w:iCs/>
          <w:noProof/>
          <w:sz w:val="20"/>
          <w:lang w:val="bg-BG"/>
        </w:rPr>
        <w:t>.</w:t>
      </w:r>
    </w:p>
    <w:p w14:paraId="7EC62084" w14:textId="26EED598" w:rsidR="00FC1A2C" w:rsidRPr="00367B42" w:rsidRDefault="001773E0" w:rsidP="00EF25FD">
      <w:pPr>
        <w:pStyle w:val="Heading3"/>
        <w:numPr>
          <w:ilvl w:val="0"/>
          <w:numId w:val="0"/>
        </w:numPr>
        <w:rPr>
          <w:lang w:val="bg-BG"/>
        </w:rPr>
      </w:pPr>
      <w:r>
        <w:rPr>
          <w:lang w:val="bg-BG"/>
        </w:rPr>
        <w:t>(</w:t>
      </w:r>
      <w:r w:rsidR="00EF25FD">
        <w:rPr>
          <w:lang w:val="bg-BG"/>
        </w:rPr>
        <w:t>в</w:t>
      </w:r>
      <w:r>
        <w:rPr>
          <w:lang w:val="bg-BG"/>
        </w:rPr>
        <w:t>)</w:t>
      </w:r>
      <w:r w:rsidR="00EF25FD">
        <w:rPr>
          <w:lang w:val="bg-BG"/>
        </w:rPr>
        <w:t xml:space="preserve"> </w:t>
      </w:r>
      <w:r w:rsidR="00B56E52" w:rsidRPr="00367B42">
        <w:rPr>
          <w:lang w:val="bg-BG"/>
        </w:rPr>
        <w:t xml:space="preserve">Провеждане на </w:t>
      </w:r>
      <w:r w:rsidR="00971BCD">
        <w:rPr>
          <w:lang w:val="bg-BG"/>
        </w:rPr>
        <w:t xml:space="preserve">разследване на </w:t>
      </w:r>
      <w:r w:rsidR="00971BCD" w:rsidRPr="00367B42">
        <w:rPr>
          <w:lang w:val="bg-BG"/>
        </w:rPr>
        <w:t xml:space="preserve">случаи на подкуп на </w:t>
      </w:r>
      <w:r w:rsidR="00313DCE" w:rsidRPr="00367B42">
        <w:rPr>
          <w:lang w:val="bg-BG"/>
        </w:rPr>
        <w:t>чужди</w:t>
      </w:r>
      <w:r w:rsidR="00971BCD" w:rsidRPr="00367B42">
        <w:rPr>
          <w:lang w:val="bg-BG"/>
        </w:rPr>
        <w:t xml:space="preserve"> длъжностни лица</w:t>
      </w:r>
      <w:r w:rsidR="00B56E52" w:rsidRPr="00367B42">
        <w:rPr>
          <w:lang w:val="bg-BG"/>
        </w:rPr>
        <w:t xml:space="preserve"> и наказателно преследване</w:t>
      </w:r>
    </w:p>
    <w:p w14:paraId="11DA580D" w14:textId="77777777" w:rsidR="00FC1A2C" w:rsidRPr="00FC1A2C" w:rsidRDefault="00B56E52" w:rsidP="008C08CD">
      <w:pPr>
        <w:pStyle w:val="Heading4"/>
        <w:numPr>
          <w:ilvl w:val="3"/>
          <w:numId w:val="56"/>
        </w:numPr>
        <w:ind w:hanging="340"/>
      </w:pPr>
      <w:r w:rsidRPr="000C5383">
        <w:rPr>
          <w:lang w:val="bg-BG"/>
        </w:rPr>
        <w:t>Започване на разследване</w:t>
      </w:r>
    </w:p>
    <w:p w14:paraId="00709403" w14:textId="77777777" w:rsidR="00FC1A2C" w:rsidRDefault="00E25A1C" w:rsidP="008C08CD">
      <w:pPr>
        <w:pStyle w:val="Para"/>
      </w:pPr>
      <w:r w:rsidRPr="00E25A1C">
        <w:t xml:space="preserve">НПК определя реда, по който се извършва наказателното производство, за да се осигури разкриване на престъпленията, разобличаване на виновните и правилно прилагане на закона (член 1 </w:t>
      </w:r>
      <w:r w:rsidR="009A5C84">
        <w:rPr>
          <w:lang w:val="bg-BG"/>
        </w:rPr>
        <w:t xml:space="preserve">от </w:t>
      </w:r>
      <w:r w:rsidRPr="00E25A1C">
        <w:t xml:space="preserve">НПК). НПК обхваща досъдебни производства, които се провеждат по дела от общ характер (член 191 </w:t>
      </w:r>
      <w:r w:rsidR="009A5C84">
        <w:rPr>
          <w:lang w:val="bg-BG"/>
        </w:rPr>
        <w:t xml:space="preserve">от </w:t>
      </w:r>
      <w:r w:rsidRPr="00E25A1C">
        <w:t xml:space="preserve">НПК), и включва разследване и действия на прокурора след приключване на разследването (член 192 </w:t>
      </w:r>
      <w:r w:rsidR="009A5C84">
        <w:rPr>
          <w:lang w:val="bg-BG"/>
        </w:rPr>
        <w:t xml:space="preserve">от </w:t>
      </w:r>
      <w:r w:rsidRPr="00E25A1C">
        <w:t>НПК)</w:t>
      </w:r>
      <w:r w:rsidR="00FC1A2C" w:rsidRPr="00FC1A2C">
        <w:t>.</w:t>
      </w:r>
    </w:p>
    <w:p w14:paraId="79EAEDC9" w14:textId="317711BF" w:rsidR="00756F98" w:rsidRDefault="00E25A1C" w:rsidP="008C08CD">
      <w:pPr>
        <w:pStyle w:val="Para"/>
        <w:rPr>
          <w:lang w:val="bg-BG"/>
        </w:rPr>
      </w:pPr>
      <w:r w:rsidRPr="00756F98">
        <w:t xml:space="preserve">Глава 17 НПК урежда образуването на досъдебно производство и провеждането на разследвания. Както бе споменато по-горе, доосъдебно производство се образува, когато са налице </w:t>
      </w:r>
      <w:r w:rsidRPr="000C5383">
        <w:rPr>
          <w:i/>
          <w:iCs/>
        </w:rPr>
        <w:t>законен повод</w:t>
      </w:r>
      <w:r w:rsidRPr="000C5383">
        <w:t xml:space="preserve"> </w:t>
      </w:r>
      <w:r w:rsidRPr="00485404">
        <w:rPr>
          <w:u w:val="single"/>
        </w:rPr>
        <w:t>и</w:t>
      </w:r>
      <w:r w:rsidRPr="00485404">
        <w:t xml:space="preserve"> </w:t>
      </w:r>
      <w:r w:rsidRPr="00485404">
        <w:rPr>
          <w:i/>
          <w:iCs/>
        </w:rPr>
        <w:t>достатъчно данни</w:t>
      </w:r>
      <w:r w:rsidRPr="00485404">
        <w:t xml:space="preserve"> за извършено престъпление (член 207 </w:t>
      </w:r>
      <w:r w:rsidR="009A5C84" w:rsidRPr="00485404">
        <w:rPr>
          <w:lang w:val="bg-BG"/>
        </w:rPr>
        <w:t xml:space="preserve">от </w:t>
      </w:r>
      <w:r w:rsidRPr="00485404">
        <w:t>НПК). Законни поводи за започване на разследване включват съобщение до органите на досъдебното производство за извършено престъпление</w:t>
      </w:r>
      <w:r w:rsidR="00FC1A2C" w:rsidRPr="00127D8C">
        <w:t>,</w:t>
      </w:r>
      <w:r w:rsidR="00FC1A2C" w:rsidRPr="00FC1A2C">
        <w:rPr>
          <w:vertAlign w:val="superscript"/>
        </w:rPr>
        <w:footnoteReference w:id="36"/>
      </w:r>
      <w:r w:rsidR="00FC1A2C" w:rsidRPr="00756F98">
        <w:t xml:space="preserve"> </w:t>
      </w:r>
      <w:r w:rsidRPr="00756F98">
        <w:t xml:space="preserve">информация за извършено престъпление, разпространена чрез средствата </w:t>
      </w:r>
      <w:r w:rsidRPr="000C5383">
        <w:t>за масово осведомяване</w:t>
      </w:r>
      <w:r w:rsidRPr="000C5383">
        <w:rPr>
          <w:lang w:val="bg-BG"/>
        </w:rPr>
        <w:t>,</w:t>
      </w:r>
      <w:r w:rsidRPr="00485404">
        <w:t xml:space="preserve"> непосредствено разкриване от органите на досъдебното производство на признаци за извършено престъпление. (чл. 208 </w:t>
      </w:r>
      <w:r w:rsidR="009A5C84" w:rsidRPr="00127D8C">
        <w:rPr>
          <w:lang w:val="bg-BG"/>
        </w:rPr>
        <w:t xml:space="preserve">от </w:t>
      </w:r>
      <w:r w:rsidRPr="008C08CD">
        <w:t>НПК). Достатъчно данни за образуване на досъдебно производство са налице, когато може да се направи основателно предположение, че е извършено престъпление (чл. 211</w:t>
      </w:r>
      <w:r w:rsidR="009A5C84" w:rsidRPr="008C08CD">
        <w:rPr>
          <w:lang w:val="bg-BG"/>
        </w:rPr>
        <w:t xml:space="preserve"> от</w:t>
      </w:r>
      <w:r w:rsidRPr="008C08CD">
        <w:t xml:space="preserve"> НПК). </w:t>
      </w:r>
      <w:r w:rsidR="00481E67" w:rsidRPr="008C08CD">
        <w:rPr>
          <w:lang w:val="bg-BG"/>
        </w:rPr>
        <w:t xml:space="preserve"> Както беше споменато и по-горе, България е предприела </w:t>
      </w:r>
      <w:r w:rsidR="00AF7BCF" w:rsidRPr="008C08CD">
        <w:rPr>
          <w:lang w:val="bg-BG"/>
        </w:rPr>
        <w:t>предварителни разследвания</w:t>
      </w:r>
      <w:r w:rsidR="00AF7BCF" w:rsidRPr="00756F98">
        <w:rPr>
          <w:lang w:val="bg-BG"/>
        </w:rPr>
        <w:t xml:space="preserve"> по един случаи, който е бил докладван в медиите. </w:t>
      </w:r>
    </w:p>
    <w:p w14:paraId="44B128CA" w14:textId="77777777" w:rsidR="00756F98" w:rsidRDefault="00756F98" w:rsidP="008C08CD">
      <w:pPr>
        <w:pStyle w:val="Para"/>
        <w:rPr>
          <w:lang w:val="bg-BG"/>
        </w:rPr>
      </w:pPr>
      <w:r w:rsidRPr="00147262">
        <w:rPr>
          <w:lang w:val="bg-BG"/>
        </w:rPr>
        <w:t>Не са настъпили значителни промени в провеждането на разследванията и образуването на досъдебното производство след Фаза 3</w:t>
      </w:r>
      <w:r>
        <w:rPr>
          <w:lang w:val="bg-BG"/>
        </w:rPr>
        <w:t xml:space="preserve"> </w:t>
      </w:r>
      <w:r w:rsidRPr="00147262">
        <w:rPr>
          <w:lang w:val="bg-BG"/>
        </w:rPr>
        <w:t>(параграфи 62-65)</w:t>
      </w:r>
      <w:r>
        <w:rPr>
          <w:lang w:val="bg-BG"/>
        </w:rPr>
        <w:t>.</w:t>
      </w:r>
      <w:r w:rsidRPr="00147262">
        <w:rPr>
          <w:lang w:val="bg-BG"/>
        </w:rPr>
        <w:t xml:space="preserve"> Следва да се отбележи в началото, че разследванията, макар и провеждани от разследващи органи,</w:t>
      </w:r>
      <w:r w:rsidRPr="00FC1A2C">
        <w:rPr>
          <w:vertAlign w:val="superscript"/>
        </w:rPr>
        <w:footnoteReference w:id="37"/>
      </w:r>
      <w:r w:rsidRPr="00147262">
        <w:rPr>
          <w:lang w:val="bg-BG"/>
        </w:rPr>
        <w:t xml:space="preserve"> се наблюдават отблизо от прокурорите и се провеждат в рамките на съответната прокуратура.</w:t>
      </w:r>
    </w:p>
    <w:p w14:paraId="5B769AA2" w14:textId="0DBB7588" w:rsidR="00566378" w:rsidRPr="002169C4" w:rsidRDefault="00756F98" w:rsidP="002169C4">
      <w:pPr>
        <w:pStyle w:val="Para"/>
        <w:numPr>
          <w:ilvl w:val="0"/>
          <w:numId w:val="50"/>
        </w:numPr>
        <w:rPr>
          <w:lang w:val="bg-BG"/>
        </w:rPr>
      </w:pPr>
      <w:r w:rsidRPr="00756F98">
        <w:rPr>
          <w:lang w:val="bg-BG"/>
        </w:rPr>
        <w:t>По</w:t>
      </w:r>
      <w:r w:rsidRPr="00367B42">
        <w:rPr>
          <w:lang w:val="bg-BG"/>
        </w:rPr>
        <w:t xml:space="preserve"> Фаза 3 </w:t>
      </w:r>
      <w:r w:rsidRPr="00756F98">
        <w:rPr>
          <w:lang w:val="bg-BG"/>
        </w:rPr>
        <w:t>Р</w:t>
      </w:r>
      <w:r w:rsidRPr="00367B42">
        <w:rPr>
          <w:lang w:val="bg-BG"/>
        </w:rPr>
        <w:t xml:space="preserve">аботната група беше загрижена за времето, необходимо за извършване на предварителни разследвания, и реши да </w:t>
      </w:r>
      <w:r>
        <w:rPr>
          <w:lang w:val="bg-BG"/>
        </w:rPr>
        <w:t>проследи</w:t>
      </w:r>
      <w:r w:rsidRPr="00367B42">
        <w:rPr>
          <w:lang w:val="bg-BG"/>
        </w:rPr>
        <w:t xml:space="preserve"> този въпрос. След двугодиш</w:t>
      </w:r>
      <w:r>
        <w:rPr>
          <w:lang w:val="bg-BG"/>
        </w:rPr>
        <w:t xml:space="preserve">ния писмен преглед на изпълнението на препоръките </w:t>
      </w:r>
      <w:r w:rsidR="00485404">
        <w:rPr>
          <w:lang w:val="bg-BG"/>
        </w:rPr>
        <w:t>по</w:t>
      </w:r>
      <w:r>
        <w:rPr>
          <w:lang w:val="bg-BG"/>
        </w:rPr>
        <w:t xml:space="preserve"> фаза 3 </w:t>
      </w:r>
      <w:r w:rsidRPr="00367B42">
        <w:rPr>
          <w:lang w:val="bg-BG"/>
        </w:rPr>
        <w:t>България е изменила ЗСВ, който влезе в сила през август 2016 г.</w:t>
      </w:r>
      <w:r w:rsidRPr="00756F98">
        <w:rPr>
          <w:lang w:val="bg-BG"/>
        </w:rPr>
        <w:t>и</w:t>
      </w:r>
      <w:r w:rsidRPr="00367B42">
        <w:rPr>
          <w:lang w:val="bg-BG"/>
        </w:rPr>
        <w:t xml:space="preserve"> предвижда, че предварителните проверки трябва да се извършват в рамките на два месеца, като </w:t>
      </w:r>
      <w:r>
        <w:rPr>
          <w:lang w:val="bg-BG"/>
        </w:rPr>
        <w:t xml:space="preserve">те </w:t>
      </w:r>
      <w:r w:rsidRPr="00367B42">
        <w:rPr>
          <w:lang w:val="bg-BG"/>
        </w:rPr>
        <w:t xml:space="preserve">могат </w:t>
      </w:r>
      <w:r>
        <w:rPr>
          <w:lang w:val="bg-BG"/>
        </w:rPr>
        <w:t>бъдат</w:t>
      </w:r>
      <w:r w:rsidRPr="00367B42">
        <w:rPr>
          <w:lang w:val="bg-BG"/>
        </w:rPr>
        <w:t xml:space="preserve"> удължавани само веднъж за един месец от административния ръководител на съответната прокуратура. Освен това през 2016 г</w:t>
      </w:r>
      <w:r w:rsidRPr="00756F98">
        <w:rPr>
          <w:lang w:val="bg-BG"/>
        </w:rPr>
        <w:t>.</w:t>
      </w:r>
      <w:r w:rsidRPr="00367B42">
        <w:rPr>
          <w:lang w:val="bg-BG"/>
        </w:rPr>
        <w:t xml:space="preserve"> </w:t>
      </w:r>
      <w:r w:rsidR="009D2A8E">
        <w:rPr>
          <w:lang w:val="bg-BG"/>
        </w:rPr>
        <w:t>П</w:t>
      </w:r>
      <w:r w:rsidRPr="00367B42">
        <w:rPr>
          <w:lang w:val="bg-BG"/>
        </w:rPr>
        <w:t>рокуратура</w:t>
      </w:r>
      <w:r w:rsidR="009D2A8E">
        <w:rPr>
          <w:lang w:val="bg-BG"/>
        </w:rPr>
        <w:t>та</w:t>
      </w:r>
      <w:r w:rsidRPr="00756F98">
        <w:rPr>
          <w:lang w:val="bg-BG"/>
        </w:rPr>
        <w:t xml:space="preserve"> проведе реорганизация на работата си</w:t>
      </w:r>
      <w:r w:rsidRPr="00367B42">
        <w:rPr>
          <w:lang w:val="bg-BG"/>
        </w:rPr>
        <w:t xml:space="preserve">, за да осигури еднакво и точно прилагане на член 145 от ЗСВ за отчитане на сроковете за проверките. </w:t>
      </w:r>
      <w:r w:rsidRPr="00756F98">
        <w:rPr>
          <w:lang w:val="bg-BG"/>
        </w:rPr>
        <w:t xml:space="preserve">След виртуалното </w:t>
      </w:r>
      <w:r w:rsidRPr="002169C4">
        <w:rPr>
          <w:lang w:val="bg-BG"/>
        </w:rPr>
        <w:t>посещение България предостави информация на Работната група, която показва, че почти 97 % от предварителните проверки са завършени,  както се изисква.</w:t>
      </w:r>
    </w:p>
    <w:p w14:paraId="70171D1A" w14:textId="1CCDE2FC" w:rsidR="00CD48B4" w:rsidRPr="00367B42" w:rsidRDefault="00D412CB" w:rsidP="008C08CD">
      <w:pPr>
        <w:widowControl/>
        <w:spacing w:before="120" w:after="120" w:line="260" w:lineRule="atLeast"/>
        <w:rPr>
          <w:sz w:val="20"/>
          <w:lang w:val="bg-BG"/>
        </w:rPr>
      </w:pPr>
      <w:r w:rsidRPr="00367B42">
        <w:rPr>
          <w:sz w:val="20"/>
          <w:lang w:val="bg-BG"/>
        </w:rPr>
        <w:t xml:space="preserve">92. </w:t>
      </w:r>
      <w:r w:rsidR="00990C71" w:rsidRPr="00367B42">
        <w:rPr>
          <w:sz w:val="20"/>
          <w:lang w:val="bg-BG"/>
        </w:rPr>
        <w:tab/>
      </w:r>
      <w:r w:rsidR="00FB017B" w:rsidRPr="00367B42">
        <w:rPr>
          <w:sz w:val="20"/>
          <w:lang w:val="bg-BG"/>
        </w:rPr>
        <w:t xml:space="preserve">Въпреки че </w:t>
      </w:r>
      <w:r w:rsidR="00990C71">
        <w:rPr>
          <w:sz w:val="20"/>
          <w:lang w:val="bg-BG"/>
        </w:rPr>
        <w:t>съобщенията</w:t>
      </w:r>
      <w:r w:rsidR="00990C71" w:rsidRPr="00367B42">
        <w:rPr>
          <w:sz w:val="20"/>
          <w:lang w:val="bg-BG"/>
        </w:rPr>
        <w:t xml:space="preserve"> </w:t>
      </w:r>
      <w:r w:rsidR="00FB017B" w:rsidRPr="00367B42">
        <w:rPr>
          <w:sz w:val="20"/>
          <w:lang w:val="bg-BG"/>
        </w:rPr>
        <w:t>в средствата за масово осведомяване се квалифицира</w:t>
      </w:r>
      <w:r w:rsidR="00990C71">
        <w:rPr>
          <w:sz w:val="20"/>
          <w:lang w:val="bg-BG"/>
        </w:rPr>
        <w:t>т</w:t>
      </w:r>
      <w:r w:rsidR="00FB017B" w:rsidRPr="00367B42">
        <w:rPr>
          <w:sz w:val="20"/>
          <w:lang w:val="bg-BG"/>
        </w:rPr>
        <w:t xml:space="preserve"> като </w:t>
      </w:r>
      <w:r w:rsidR="009A60C3" w:rsidRPr="00367B42">
        <w:rPr>
          <w:sz w:val="20"/>
          <w:lang w:val="bg-BG"/>
        </w:rPr>
        <w:t>законен повод и</w:t>
      </w:r>
      <w:r w:rsidR="000775E4">
        <w:rPr>
          <w:sz w:val="20"/>
          <w:lang w:val="bg-BG"/>
        </w:rPr>
        <w:t>въпреки наличието на з</w:t>
      </w:r>
      <w:r w:rsidR="009A60C3" w:rsidRPr="00367B42">
        <w:rPr>
          <w:sz w:val="20"/>
          <w:lang w:val="bg-BG"/>
        </w:rPr>
        <w:t>аповед</w:t>
      </w:r>
      <w:r w:rsidR="000775E4">
        <w:rPr>
          <w:sz w:val="20"/>
          <w:lang w:val="bg-BG"/>
        </w:rPr>
        <w:t>та</w:t>
      </w:r>
      <w:r w:rsidR="009A60C3" w:rsidRPr="00367B42">
        <w:rPr>
          <w:sz w:val="20"/>
          <w:lang w:val="bg-BG"/>
        </w:rPr>
        <w:t xml:space="preserve"> на главния прокурор </w:t>
      </w:r>
      <w:r w:rsidR="008D1004">
        <w:rPr>
          <w:sz w:val="20"/>
          <w:lang w:val="bg-BG"/>
        </w:rPr>
        <w:t xml:space="preserve">във връзка с комуникацията с медиите, </w:t>
      </w:r>
      <w:r w:rsidR="009A60C3" w:rsidRPr="00367B42">
        <w:rPr>
          <w:sz w:val="20"/>
          <w:lang w:val="bg-BG"/>
        </w:rPr>
        <w:t xml:space="preserve"> посочена по-горе</w:t>
      </w:r>
      <w:r w:rsidR="000775E4">
        <w:rPr>
          <w:sz w:val="20"/>
          <w:lang w:val="bg-BG"/>
        </w:rPr>
        <w:t>,</w:t>
      </w:r>
      <w:r w:rsidR="009A60C3" w:rsidRPr="00367B42">
        <w:rPr>
          <w:sz w:val="20"/>
          <w:lang w:val="bg-BG"/>
        </w:rPr>
        <w:t xml:space="preserve"> </w:t>
      </w:r>
      <w:r w:rsidR="00E60307" w:rsidRPr="00367B42">
        <w:rPr>
          <w:sz w:val="20"/>
          <w:lang w:val="bg-BG"/>
        </w:rPr>
        <w:t xml:space="preserve">с която се предвижда задължителен ежедневен мониторинг на </w:t>
      </w:r>
      <w:r w:rsidR="00E60307" w:rsidRPr="00367B42">
        <w:rPr>
          <w:sz w:val="20"/>
          <w:lang w:val="bg-BG"/>
        </w:rPr>
        <w:lastRenderedPageBreak/>
        <w:t xml:space="preserve">медийната информация, относима към </w:t>
      </w:r>
      <w:r w:rsidR="00990C71">
        <w:rPr>
          <w:sz w:val="20"/>
          <w:lang w:val="bg-BG"/>
        </w:rPr>
        <w:t>дейността</w:t>
      </w:r>
      <w:r w:rsidR="00A50C6B" w:rsidRPr="00367B42">
        <w:rPr>
          <w:sz w:val="20"/>
          <w:lang w:val="bg-BG"/>
        </w:rPr>
        <w:t xml:space="preserve"> на съответн</w:t>
      </w:r>
      <w:r w:rsidR="00E60307" w:rsidRPr="00367B42">
        <w:rPr>
          <w:sz w:val="20"/>
          <w:lang w:val="bg-BG"/>
        </w:rPr>
        <w:t xml:space="preserve">ата прокуратура, </w:t>
      </w:r>
      <w:r w:rsidR="00FB017B" w:rsidRPr="00367B42">
        <w:rPr>
          <w:sz w:val="20"/>
          <w:lang w:val="bg-BG"/>
        </w:rPr>
        <w:t>никоя</w:t>
      </w:r>
      <w:r w:rsidR="00A50C6B" w:rsidRPr="00367B42">
        <w:rPr>
          <w:sz w:val="20"/>
          <w:lang w:val="bg-BG"/>
        </w:rPr>
        <w:t xml:space="preserve"> от прокуратурите, споменати по</w:t>
      </w:r>
      <w:r w:rsidR="00FB017B" w:rsidRPr="00367B42">
        <w:rPr>
          <w:sz w:val="20"/>
          <w:lang w:val="bg-BG"/>
        </w:rPr>
        <w:t xml:space="preserve">-горе, не следи систематично медиите за съобщения за </w:t>
      </w:r>
      <w:r w:rsidR="00A50C6B" w:rsidRPr="00367B42">
        <w:rPr>
          <w:sz w:val="20"/>
          <w:lang w:val="bg-BG"/>
        </w:rPr>
        <w:t>случаи на подкуп</w:t>
      </w:r>
      <w:r w:rsidR="00F4772B" w:rsidRPr="00367B42">
        <w:rPr>
          <w:sz w:val="20"/>
          <w:lang w:val="bg-BG"/>
        </w:rPr>
        <w:t xml:space="preserve"> на </w:t>
      </w:r>
      <w:r w:rsidR="00313DCE" w:rsidRPr="00367B42">
        <w:rPr>
          <w:sz w:val="20"/>
          <w:lang w:val="bg-BG"/>
        </w:rPr>
        <w:t>чужди</w:t>
      </w:r>
      <w:r w:rsidR="00F4772B" w:rsidRPr="00367B42">
        <w:rPr>
          <w:sz w:val="20"/>
          <w:lang w:val="bg-BG"/>
        </w:rPr>
        <w:t xml:space="preserve"> длъжностни лица</w:t>
      </w:r>
      <w:r w:rsidR="00FB017B" w:rsidRPr="00367B42">
        <w:rPr>
          <w:sz w:val="20"/>
          <w:lang w:val="bg-BG"/>
        </w:rPr>
        <w:t xml:space="preserve">. Освен това България заявява, че Матрицата на </w:t>
      </w:r>
      <w:r w:rsidR="000A014B" w:rsidRPr="00367B42">
        <w:rPr>
          <w:sz w:val="20"/>
          <w:lang w:val="bg-BG"/>
        </w:rPr>
        <w:t>Р</w:t>
      </w:r>
      <w:r w:rsidR="00FB017B" w:rsidRPr="00367B42">
        <w:rPr>
          <w:sz w:val="20"/>
          <w:lang w:val="bg-BG"/>
        </w:rPr>
        <w:t>аботната група не съдържа достатъчно информация за образуване на досъдебно производство</w:t>
      </w:r>
      <w:r w:rsidR="00FC1A2C" w:rsidRPr="00367B42">
        <w:rPr>
          <w:sz w:val="20"/>
          <w:lang w:val="bg-BG"/>
        </w:rPr>
        <w:t>.</w:t>
      </w:r>
      <w:r w:rsidR="00CD48B4" w:rsidRPr="00367B42">
        <w:rPr>
          <w:sz w:val="20"/>
          <w:lang w:val="bg-BG"/>
        </w:rPr>
        <w:t xml:space="preserve"> </w:t>
      </w:r>
      <w:r w:rsidR="00FB017B" w:rsidRPr="00367B42">
        <w:rPr>
          <w:sz w:val="20"/>
          <w:lang w:val="bg-BG"/>
        </w:rPr>
        <w:t xml:space="preserve">Както бе отбелязано </w:t>
      </w:r>
      <w:r w:rsidR="003D50A6" w:rsidRPr="00367B42">
        <w:rPr>
          <w:sz w:val="20"/>
          <w:lang w:val="bg-BG"/>
        </w:rPr>
        <w:t>по</w:t>
      </w:r>
      <w:r w:rsidR="00FB017B" w:rsidRPr="00367B42">
        <w:rPr>
          <w:sz w:val="20"/>
          <w:lang w:val="bg-BG"/>
        </w:rPr>
        <w:t xml:space="preserve"> </w:t>
      </w:r>
      <w:r w:rsidR="00673F1F" w:rsidRPr="00367B42">
        <w:rPr>
          <w:sz w:val="20"/>
          <w:lang w:val="bg-BG"/>
        </w:rPr>
        <w:t>Фаза</w:t>
      </w:r>
      <w:r w:rsidR="00FB017B" w:rsidRPr="00367B42">
        <w:rPr>
          <w:sz w:val="20"/>
          <w:lang w:val="bg-BG"/>
        </w:rPr>
        <w:t xml:space="preserve"> 3, съгласно член 209, параграф 1 от НПК, въпреки че анонимните съобщения не са законен повод за започване на разследване, </w:t>
      </w:r>
      <w:r w:rsidR="00990C71">
        <w:rPr>
          <w:sz w:val="20"/>
          <w:lang w:val="bg-BG"/>
        </w:rPr>
        <w:t xml:space="preserve">същите </w:t>
      </w:r>
      <w:r w:rsidR="00074C5E" w:rsidRPr="00367B42">
        <w:rPr>
          <w:sz w:val="20"/>
          <w:lang w:val="bg-BG"/>
        </w:rPr>
        <w:t xml:space="preserve">се </w:t>
      </w:r>
      <w:r w:rsidR="00FB017B" w:rsidRPr="00367B42">
        <w:rPr>
          <w:sz w:val="20"/>
          <w:lang w:val="bg-BG"/>
        </w:rPr>
        <w:t>анализира</w:t>
      </w:r>
      <w:r w:rsidR="00074C5E" w:rsidRPr="00367B42">
        <w:rPr>
          <w:sz w:val="20"/>
          <w:lang w:val="bg-BG"/>
        </w:rPr>
        <w:t>т</w:t>
      </w:r>
      <w:r w:rsidR="00FB017B" w:rsidRPr="00367B42">
        <w:rPr>
          <w:sz w:val="20"/>
          <w:lang w:val="bg-BG"/>
        </w:rPr>
        <w:t xml:space="preserve"> и изпра</w:t>
      </w:r>
      <w:r w:rsidR="00074C5E" w:rsidRPr="00367B42">
        <w:rPr>
          <w:sz w:val="20"/>
          <w:lang w:val="bg-BG"/>
        </w:rPr>
        <w:t>щат</w:t>
      </w:r>
      <w:r w:rsidR="00FB017B" w:rsidRPr="00367B42">
        <w:rPr>
          <w:sz w:val="20"/>
          <w:lang w:val="bg-BG"/>
        </w:rPr>
        <w:t xml:space="preserve"> до административния ръководител на съответната прокуратура</w:t>
      </w:r>
      <w:r w:rsidR="00990C71">
        <w:rPr>
          <w:sz w:val="20"/>
          <w:lang w:val="bg-BG"/>
        </w:rPr>
        <w:t>, който</w:t>
      </w:r>
      <w:r w:rsidR="00FB017B" w:rsidRPr="00367B42">
        <w:rPr>
          <w:sz w:val="20"/>
          <w:lang w:val="bg-BG"/>
        </w:rPr>
        <w:t xml:space="preserve"> взема решение дали да се предприемат действия</w:t>
      </w:r>
      <w:r w:rsidR="00990C71">
        <w:rPr>
          <w:sz w:val="20"/>
          <w:lang w:val="bg-BG"/>
        </w:rPr>
        <w:t xml:space="preserve"> по сигнала</w:t>
      </w:r>
      <w:r w:rsidR="00CD48B4" w:rsidRPr="00367B42">
        <w:rPr>
          <w:sz w:val="20"/>
          <w:lang w:val="bg-BG"/>
        </w:rPr>
        <w:t xml:space="preserve">. </w:t>
      </w:r>
    </w:p>
    <w:p w14:paraId="41C46FFF" w14:textId="3EB559E1" w:rsidR="00FC1A2C" w:rsidRPr="00367B42" w:rsidRDefault="00B63BC9" w:rsidP="008C08CD">
      <w:pPr>
        <w:widowControl/>
        <w:spacing w:before="120" w:after="120" w:line="260" w:lineRule="atLeast"/>
        <w:rPr>
          <w:sz w:val="20"/>
          <w:lang w:val="bg-BG"/>
        </w:rPr>
      </w:pPr>
      <w:r w:rsidRPr="00367B42">
        <w:rPr>
          <w:sz w:val="20"/>
          <w:lang w:val="bg-BG"/>
        </w:rPr>
        <w:t xml:space="preserve">93. </w:t>
      </w:r>
      <w:r w:rsidR="00990C71" w:rsidRPr="00367B42">
        <w:rPr>
          <w:sz w:val="20"/>
          <w:lang w:val="bg-BG"/>
        </w:rPr>
        <w:tab/>
      </w:r>
      <w:r w:rsidR="00FB017B" w:rsidRPr="00367B42">
        <w:rPr>
          <w:sz w:val="20"/>
          <w:lang w:val="bg-BG"/>
        </w:rPr>
        <w:t xml:space="preserve">Освен това, по отношение на </w:t>
      </w:r>
      <w:r w:rsidR="00A9364E" w:rsidRPr="00367B42">
        <w:rPr>
          <w:sz w:val="20"/>
          <w:lang w:val="bg-BG"/>
        </w:rPr>
        <w:t>законния повод</w:t>
      </w:r>
      <w:r w:rsidR="00FB017B" w:rsidRPr="00367B42">
        <w:rPr>
          <w:sz w:val="20"/>
          <w:lang w:val="bg-BG"/>
        </w:rPr>
        <w:t>, прокуратурите не „</w:t>
      </w:r>
      <w:r w:rsidR="00A9364E" w:rsidRPr="00367B42">
        <w:rPr>
          <w:sz w:val="20"/>
          <w:lang w:val="bg-BG"/>
        </w:rPr>
        <w:t>разкриват</w:t>
      </w:r>
      <w:r w:rsidR="00FB017B" w:rsidRPr="00367B42">
        <w:rPr>
          <w:sz w:val="20"/>
          <w:lang w:val="bg-BG"/>
        </w:rPr>
        <w:t>“</w:t>
      </w:r>
      <w:r w:rsidR="00A9364E" w:rsidRPr="00367B42">
        <w:rPr>
          <w:sz w:val="20"/>
          <w:lang w:val="bg-BG"/>
        </w:rPr>
        <w:t xml:space="preserve"> случаи</w:t>
      </w:r>
      <w:r w:rsidR="00FB017B" w:rsidRPr="00367B42">
        <w:rPr>
          <w:sz w:val="20"/>
          <w:lang w:val="bg-BG"/>
        </w:rPr>
        <w:t xml:space="preserve">, т.е. не </w:t>
      </w:r>
      <w:r w:rsidR="00A9364E" w:rsidRPr="00367B42">
        <w:rPr>
          <w:sz w:val="20"/>
          <w:lang w:val="bg-BG"/>
        </w:rPr>
        <w:t xml:space="preserve">разкриват </w:t>
      </w:r>
      <w:r w:rsidR="00FB017B" w:rsidRPr="00367B42">
        <w:rPr>
          <w:sz w:val="20"/>
          <w:lang w:val="bg-BG"/>
        </w:rPr>
        <w:t xml:space="preserve">проактивно </w:t>
      </w:r>
      <w:r w:rsidR="00A9364E" w:rsidRPr="00367B42">
        <w:rPr>
          <w:sz w:val="20"/>
          <w:lang w:val="bg-BG"/>
        </w:rPr>
        <w:t>случаите</w:t>
      </w:r>
      <w:r w:rsidR="00FB017B" w:rsidRPr="00367B42">
        <w:rPr>
          <w:sz w:val="20"/>
          <w:lang w:val="bg-BG"/>
        </w:rPr>
        <w:t>, така че досъдебните органи разчитат до голяма степен на съобщенията</w:t>
      </w:r>
      <w:r w:rsidR="00990C71" w:rsidRPr="00367B42">
        <w:rPr>
          <w:sz w:val="20"/>
          <w:lang w:val="bg-BG"/>
        </w:rPr>
        <w:t xml:space="preserve"> за извършени престъплени</w:t>
      </w:r>
      <w:r w:rsidR="00990C71">
        <w:rPr>
          <w:sz w:val="20"/>
          <w:lang w:val="bg-BG"/>
        </w:rPr>
        <w:t>я</w:t>
      </w:r>
      <w:r w:rsidR="00FB017B" w:rsidRPr="00367B42">
        <w:rPr>
          <w:sz w:val="20"/>
          <w:lang w:val="bg-BG"/>
        </w:rPr>
        <w:t>, изпратени до тях. К</w:t>
      </w:r>
      <w:r w:rsidR="00590027">
        <w:rPr>
          <w:sz w:val="20"/>
          <w:lang w:val="bg-BG"/>
        </w:rPr>
        <w:t>акато бе отбелязано по-горе, к</w:t>
      </w:r>
      <w:r w:rsidR="00FB017B" w:rsidRPr="00367B42">
        <w:rPr>
          <w:sz w:val="20"/>
          <w:lang w:val="bg-BG"/>
        </w:rPr>
        <w:t>омпетен</w:t>
      </w:r>
      <w:r w:rsidR="000775E4">
        <w:rPr>
          <w:sz w:val="20"/>
          <w:lang w:val="bg-BG"/>
        </w:rPr>
        <w:t>тността</w:t>
      </w:r>
      <w:r w:rsidR="00FB017B" w:rsidRPr="00367B42">
        <w:rPr>
          <w:sz w:val="20"/>
          <w:lang w:val="bg-BG"/>
        </w:rPr>
        <w:t xml:space="preserve"> за разкриване на престъпления принадлежи на </w:t>
      </w:r>
      <w:r w:rsidR="00590027">
        <w:rPr>
          <w:sz w:val="20"/>
          <w:lang w:val="bg-BG"/>
        </w:rPr>
        <w:t>МВР и ДАНС</w:t>
      </w:r>
      <w:r w:rsidR="00FC1A2C" w:rsidRPr="00367B42">
        <w:rPr>
          <w:sz w:val="20"/>
          <w:lang w:val="bg-BG"/>
        </w:rPr>
        <w:t>.</w:t>
      </w:r>
      <w:r w:rsidR="00CD48B4" w:rsidRPr="00367B42">
        <w:rPr>
          <w:sz w:val="20"/>
          <w:lang w:val="bg-BG"/>
        </w:rPr>
        <w:t xml:space="preserve"> </w:t>
      </w:r>
      <w:r w:rsidR="00990C71" w:rsidRPr="00367B42">
        <w:rPr>
          <w:sz w:val="20"/>
          <w:lang w:val="bg-BG"/>
        </w:rPr>
        <w:t>С</w:t>
      </w:r>
      <w:r w:rsidR="00990C71">
        <w:rPr>
          <w:sz w:val="20"/>
          <w:lang w:val="bg-BG"/>
        </w:rPr>
        <w:t>ледователно</w:t>
      </w:r>
      <w:r w:rsidR="00590027">
        <w:rPr>
          <w:sz w:val="20"/>
          <w:lang w:val="bg-BG"/>
        </w:rPr>
        <w:t>,</w:t>
      </w:r>
      <w:r w:rsidR="00990C71" w:rsidRPr="00367B42">
        <w:rPr>
          <w:sz w:val="20"/>
          <w:lang w:val="bg-BG"/>
        </w:rPr>
        <w:t xml:space="preserve"> </w:t>
      </w:r>
      <w:r w:rsidR="00FB017B" w:rsidRPr="00367B42">
        <w:rPr>
          <w:sz w:val="20"/>
          <w:lang w:val="bg-BG"/>
        </w:rPr>
        <w:t>е наложително да има добра комуникация между агенциите, които биха могли да разкрият дадено престъпление и съответната прокуратура</w:t>
      </w:r>
      <w:r w:rsidR="00FC1A2C" w:rsidRPr="00367B42">
        <w:rPr>
          <w:sz w:val="20"/>
          <w:lang w:val="bg-BG"/>
        </w:rPr>
        <w:t xml:space="preserve">. </w:t>
      </w:r>
    </w:p>
    <w:p w14:paraId="280965BA" w14:textId="6BCB0081" w:rsidR="007F3932" w:rsidRPr="00367B42" w:rsidRDefault="00FB017B" w:rsidP="008C08CD">
      <w:pPr>
        <w:pStyle w:val="Para"/>
        <w:numPr>
          <w:ilvl w:val="0"/>
          <w:numId w:val="51"/>
        </w:numPr>
        <w:rPr>
          <w:lang w:val="bg-BG"/>
        </w:rPr>
      </w:pPr>
      <w:r w:rsidRPr="00367B42">
        <w:rPr>
          <w:lang w:val="bg-BG"/>
        </w:rPr>
        <w:t xml:space="preserve">По време на досъдебното производство наблюдаващият прокурор контролира и ръководи работата на </w:t>
      </w:r>
      <w:r w:rsidR="00287989">
        <w:rPr>
          <w:lang w:val="bg-BG"/>
        </w:rPr>
        <w:t>разследващите органи</w:t>
      </w:r>
      <w:r w:rsidRPr="00367B42">
        <w:rPr>
          <w:lang w:val="bg-BG"/>
        </w:rPr>
        <w:t xml:space="preserve">, което осигурява тясна координация. След като разследването приключи, </w:t>
      </w:r>
      <w:r w:rsidR="00287989">
        <w:rPr>
          <w:lang w:val="bg-BG"/>
        </w:rPr>
        <w:t>делото</w:t>
      </w:r>
      <w:r w:rsidR="00287989" w:rsidRPr="00367B42">
        <w:rPr>
          <w:lang w:val="bg-BG"/>
        </w:rPr>
        <w:t xml:space="preserve"> </w:t>
      </w:r>
      <w:r w:rsidRPr="00367B42">
        <w:rPr>
          <w:lang w:val="bg-BG"/>
        </w:rPr>
        <w:t>се препраща на прокурора за вземане на решение относно следващите стъпки (обсъдени по-долу)</w:t>
      </w:r>
      <w:r w:rsidR="00FC1A2C" w:rsidRPr="00367B42">
        <w:rPr>
          <w:lang w:val="bg-BG"/>
        </w:rPr>
        <w:t xml:space="preserve">. </w:t>
      </w:r>
    </w:p>
    <w:p w14:paraId="0B904D1E" w14:textId="727160A4" w:rsidR="00FC1A2C" w:rsidRPr="00367B42" w:rsidRDefault="00FB017B" w:rsidP="00DD7407">
      <w:pPr>
        <w:widowControl/>
        <w:numPr>
          <w:ilvl w:val="0"/>
          <w:numId w:val="1"/>
        </w:numPr>
        <w:spacing w:before="120" w:after="120" w:line="260" w:lineRule="atLeast"/>
        <w:rPr>
          <w:sz w:val="20"/>
          <w:lang w:val="bg-BG"/>
        </w:rPr>
      </w:pPr>
      <w:r w:rsidRPr="00367B42">
        <w:rPr>
          <w:sz w:val="20"/>
          <w:lang w:val="bg-BG"/>
        </w:rPr>
        <w:t xml:space="preserve">Както бе споменато по-горе, поради липсата на </w:t>
      </w:r>
      <w:r w:rsidR="00F4772B" w:rsidRPr="00367B42">
        <w:rPr>
          <w:sz w:val="20"/>
          <w:lang w:val="bg-BG"/>
        </w:rPr>
        <w:t xml:space="preserve">случаи на подкупване на </w:t>
      </w:r>
      <w:r w:rsidR="00313DCE" w:rsidRPr="00367B42">
        <w:rPr>
          <w:sz w:val="20"/>
          <w:lang w:val="bg-BG"/>
        </w:rPr>
        <w:t>чужди</w:t>
      </w:r>
      <w:r w:rsidR="00F4772B" w:rsidRPr="00367B42">
        <w:rPr>
          <w:sz w:val="20"/>
          <w:lang w:val="bg-BG"/>
        </w:rPr>
        <w:t xml:space="preserve"> длъжностни лица,</w:t>
      </w:r>
      <w:r w:rsidRPr="00367B42">
        <w:rPr>
          <w:sz w:val="20"/>
          <w:lang w:val="bg-BG"/>
        </w:rPr>
        <w:t xml:space="preserve"> Работната група не е в състояние да прецени дали координацията е ефективна в тези случаи и това трябва да бъде проследено при </w:t>
      </w:r>
      <w:r w:rsidR="00990C71">
        <w:rPr>
          <w:sz w:val="20"/>
          <w:lang w:val="bg-BG"/>
        </w:rPr>
        <w:t>появата</w:t>
      </w:r>
      <w:r w:rsidR="00990C71" w:rsidRPr="00367B42">
        <w:rPr>
          <w:sz w:val="20"/>
          <w:lang w:val="bg-BG"/>
        </w:rPr>
        <w:t xml:space="preserve"> </w:t>
      </w:r>
      <w:r w:rsidRPr="00367B42">
        <w:rPr>
          <w:sz w:val="20"/>
          <w:lang w:val="bg-BG"/>
        </w:rPr>
        <w:t>на нови случаи</w:t>
      </w:r>
      <w:r w:rsidR="008A33AB">
        <w:rPr>
          <w:sz w:val="20"/>
          <w:lang w:val="bg-BG"/>
        </w:rPr>
        <w:t xml:space="preserve"> на подкуп на чуждо длъжностно лице</w:t>
      </w:r>
      <w:r w:rsidR="00FC1A2C" w:rsidRPr="00367B42">
        <w:rPr>
          <w:sz w:val="20"/>
          <w:lang w:val="bg-BG"/>
        </w:rPr>
        <w:t>.</w:t>
      </w:r>
    </w:p>
    <w:p w14:paraId="39EB2262" w14:textId="77777777" w:rsidR="00FC1A2C" w:rsidRPr="008C08CD" w:rsidRDefault="00FB017B" w:rsidP="00FC1A2C">
      <w:pPr>
        <w:widowControl/>
        <w:spacing w:before="120" w:after="120" w:line="260" w:lineRule="atLeast"/>
        <w:rPr>
          <w:b/>
          <w:i/>
          <w:color w:val="4E81BD" w:themeColor="accent1"/>
          <w:sz w:val="20"/>
          <w:szCs w:val="20"/>
          <w:lang w:val="bg-BG"/>
        </w:rPr>
      </w:pPr>
      <w:r w:rsidRPr="008C08CD">
        <w:rPr>
          <w:b/>
          <w:i/>
          <w:color w:val="4E81BD" w:themeColor="accent1"/>
          <w:sz w:val="20"/>
          <w:szCs w:val="20"/>
          <w:lang w:val="bg-BG"/>
        </w:rPr>
        <w:t>Коментар</w:t>
      </w:r>
    </w:p>
    <w:p w14:paraId="0C92E312" w14:textId="68C06C65" w:rsidR="004A0684" w:rsidRDefault="008C75B5" w:rsidP="008C08CD">
      <w:pPr>
        <w:widowControl/>
        <w:spacing w:before="120" w:after="120" w:line="260" w:lineRule="atLeast"/>
        <w:rPr>
          <w:b/>
          <w:i/>
          <w:sz w:val="20"/>
          <w:lang w:val="bg-BG"/>
        </w:rPr>
      </w:pPr>
      <w:r w:rsidRPr="00367B42">
        <w:rPr>
          <w:b/>
          <w:i/>
          <w:sz w:val="20"/>
          <w:lang w:val="bg-BG"/>
        </w:rPr>
        <w:t xml:space="preserve">Водещите </w:t>
      </w:r>
      <w:r w:rsidR="0006421B" w:rsidRPr="00367B42">
        <w:rPr>
          <w:b/>
          <w:i/>
          <w:sz w:val="20"/>
          <w:lang w:val="bg-BG"/>
        </w:rPr>
        <w:t>проверители</w:t>
      </w:r>
      <w:r w:rsidRPr="00367B42">
        <w:rPr>
          <w:b/>
          <w:i/>
          <w:sz w:val="20"/>
          <w:lang w:val="bg-BG"/>
        </w:rPr>
        <w:t xml:space="preserve"> приветстват мерките, предприети от България </w:t>
      </w:r>
      <w:r w:rsidR="003D50A6" w:rsidRPr="00367B42">
        <w:rPr>
          <w:b/>
          <w:i/>
          <w:sz w:val="20"/>
          <w:lang w:val="bg-BG"/>
        </w:rPr>
        <w:t>след</w:t>
      </w:r>
      <w:r w:rsidRPr="00367B42">
        <w:rPr>
          <w:b/>
          <w:i/>
          <w:sz w:val="20"/>
          <w:lang w:val="bg-BG"/>
        </w:rPr>
        <w:t xml:space="preserve"> </w:t>
      </w:r>
      <w:r w:rsidR="00673F1F" w:rsidRPr="00367B42">
        <w:rPr>
          <w:b/>
          <w:i/>
          <w:sz w:val="20"/>
          <w:lang w:val="bg-BG"/>
        </w:rPr>
        <w:t>Фаза</w:t>
      </w:r>
      <w:r w:rsidRPr="00367B42">
        <w:rPr>
          <w:b/>
          <w:i/>
          <w:sz w:val="20"/>
          <w:lang w:val="bg-BG"/>
        </w:rPr>
        <w:t xml:space="preserve"> 3 във връзка с</w:t>
      </w:r>
      <w:r w:rsidR="004A309F">
        <w:rPr>
          <w:b/>
          <w:i/>
          <w:sz w:val="20"/>
          <w:lang w:val="bg-BG"/>
        </w:rPr>
        <w:t xml:space="preserve"> намаляване на времето за провеждане на</w:t>
      </w:r>
      <w:r w:rsidRPr="00367B42">
        <w:rPr>
          <w:b/>
          <w:i/>
          <w:sz w:val="20"/>
          <w:lang w:val="bg-BG"/>
        </w:rPr>
        <w:t xml:space="preserve"> предварителните проверки</w:t>
      </w:r>
      <w:r w:rsidR="004A0684">
        <w:rPr>
          <w:b/>
          <w:i/>
          <w:sz w:val="20"/>
          <w:lang w:val="bg-BG"/>
        </w:rPr>
        <w:t>.</w:t>
      </w:r>
    </w:p>
    <w:p w14:paraId="7A1DD85E" w14:textId="77777777" w:rsidR="008C75B5" w:rsidRPr="00367B42" w:rsidRDefault="008C75B5" w:rsidP="008C08CD">
      <w:pPr>
        <w:widowControl/>
        <w:spacing w:before="120" w:after="120" w:line="260" w:lineRule="atLeast"/>
        <w:rPr>
          <w:b/>
          <w:i/>
          <w:sz w:val="20"/>
          <w:lang w:val="bg-BG"/>
        </w:rPr>
      </w:pPr>
      <w:r w:rsidRPr="00367B42">
        <w:rPr>
          <w:b/>
          <w:i/>
          <w:sz w:val="20"/>
          <w:lang w:val="bg-BG"/>
        </w:rPr>
        <w:t xml:space="preserve">Водещите </w:t>
      </w:r>
      <w:r w:rsidR="0006421B" w:rsidRPr="00367B42">
        <w:rPr>
          <w:b/>
          <w:i/>
          <w:sz w:val="20"/>
          <w:lang w:val="bg-BG"/>
        </w:rPr>
        <w:t>проверители</w:t>
      </w:r>
      <w:r w:rsidRPr="00367B42">
        <w:rPr>
          <w:b/>
          <w:i/>
          <w:sz w:val="20"/>
          <w:lang w:val="bg-BG"/>
        </w:rPr>
        <w:t xml:space="preserve"> са на мнение, че не са налице основателни причини анонимните съобщения </w:t>
      </w:r>
      <w:r w:rsidR="004A0684">
        <w:rPr>
          <w:b/>
          <w:i/>
          <w:sz w:val="20"/>
          <w:lang w:val="bg-BG"/>
        </w:rPr>
        <w:t xml:space="preserve">да </w:t>
      </w:r>
      <w:r w:rsidRPr="00367B42">
        <w:rPr>
          <w:b/>
          <w:i/>
          <w:sz w:val="20"/>
          <w:lang w:val="bg-BG"/>
        </w:rPr>
        <w:t xml:space="preserve">не се считат за законен повод. Съответно те препоръчват член 209, </w:t>
      </w:r>
      <w:r w:rsidR="00A50C6B">
        <w:rPr>
          <w:b/>
          <w:i/>
          <w:sz w:val="20"/>
          <w:lang w:val="bg-BG"/>
        </w:rPr>
        <w:t>ал.</w:t>
      </w:r>
      <w:r w:rsidRPr="00367B42">
        <w:rPr>
          <w:b/>
          <w:i/>
          <w:sz w:val="20"/>
          <w:lang w:val="bg-BG"/>
        </w:rPr>
        <w:t xml:space="preserve"> 1 от НПК да бъде изменен, за да позволи анонимните съобщения да се считат за законен повод, като по този</w:t>
      </w:r>
      <w:r w:rsidR="00A50C6B" w:rsidRPr="00367B42">
        <w:rPr>
          <w:b/>
          <w:i/>
          <w:sz w:val="20"/>
          <w:lang w:val="bg-BG"/>
        </w:rPr>
        <w:t xml:space="preserve"> начин потенциално ще се увеличат</w:t>
      </w:r>
      <w:r w:rsidRPr="00367B42">
        <w:rPr>
          <w:b/>
          <w:i/>
          <w:sz w:val="20"/>
          <w:lang w:val="bg-BG"/>
        </w:rPr>
        <w:t xml:space="preserve"> източници</w:t>
      </w:r>
      <w:r w:rsidR="00A50C6B">
        <w:rPr>
          <w:b/>
          <w:i/>
          <w:sz w:val="20"/>
          <w:lang w:val="bg-BG"/>
        </w:rPr>
        <w:t>те</w:t>
      </w:r>
      <w:r w:rsidRPr="00367B42">
        <w:rPr>
          <w:b/>
          <w:i/>
          <w:sz w:val="20"/>
          <w:lang w:val="bg-BG"/>
        </w:rPr>
        <w:t xml:space="preserve"> за </w:t>
      </w:r>
      <w:r w:rsidR="00A9364E" w:rsidRPr="00367B42">
        <w:rPr>
          <w:b/>
          <w:i/>
          <w:sz w:val="20"/>
          <w:lang w:val="bg-BG"/>
        </w:rPr>
        <w:t xml:space="preserve">разкриване </w:t>
      </w:r>
      <w:r w:rsidRPr="00367B42">
        <w:rPr>
          <w:b/>
          <w:i/>
          <w:sz w:val="20"/>
          <w:lang w:val="bg-BG"/>
        </w:rPr>
        <w:t xml:space="preserve">на случаи. Като </w:t>
      </w:r>
      <w:r w:rsidR="00FE5384" w:rsidRPr="00367B42">
        <w:rPr>
          <w:b/>
          <w:i/>
          <w:sz w:val="20"/>
          <w:lang w:val="bg-BG"/>
        </w:rPr>
        <w:t xml:space="preserve">предпазна мярка </w:t>
      </w:r>
      <w:r w:rsidRPr="00367B42">
        <w:rPr>
          <w:b/>
          <w:i/>
          <w:sz w:val="20"/>
          <w:lang w:val="bg-BG"/>
        </w:rPr>
        <w:t xml:space="preserve">все </w:t>
      </w:r>
      <w:r w:rsidR="00FE5384" w:rsidRPr="00367B42">
        <w:rPr>
          <w:b/>
          <w:i/>
          <w:sz w:val="20"/>
          <w:lang w:val="bg-BG"/>
        </w:rPr>
        <w:t>пак</w:t>
      </w:r>
      <w:r w:rsidRPr="00367B42">
        <w:rPr>
          <w:b/>
          <w:i/>
          <w:sz w:val="20"/>
          <w:lang w:val="bg-BG"/>
        </w:rPr>
        <w:t xml:space="preserve"> би </w:t>
      </w:r>
      <w:r w:rsidR="00FE5384" w:rsidRPr="00367B42">
        <w:rPr>
          <w:b/>
          <w:i/>
          <w:sz w:val="20"/>
          <w:lang w:val="bg-BG"/>
        </w:rPr>
        <w:t xml:space="preserve">било необходимо </w:t>
      </w:r>
      <w:r w:rsidRPr="00367B42">
        <w:rPr>
          <w:b/>
          <w:i/>
          <w:sz w:val="20"/>
          <w:lang w:val="bg-BG"/>
        </w:rPr>
        <w:t>да има достатъчно данни, за да може да започне досъдебното производство.</w:t>
      </w:r>
    </w:p>
    <w:p w14:paraId="66027C24" w14:textId="65DF3824" w:rsidR="00FC1A2C" w:rsidRPr="00367B42" w:rsidRDefault="008C75B5" w:rsidP="008C08CD">
      <w:pPr>
        <w:widowControl/>
        <w:spacing w:before="120" w:after="120" w:line="260" w:lineRule="atLeast"/>
        <w:rPr>
          <w:b/>
          <w:i/>
          <w:sz w:val="20"/>
          <w:lang w:val="bg-BG"/>
        </w:rPr>
      </w:pPr>
      <w:r w:rsidRPr="00367B42">
        <w:rPr>
          <w:b/>
          <w:i/>
          <w:sz w:val="20"/>
          <w:lang w:val="bg-BG"/>
        </w:rPr>
        <w:t xml:space="preserve">Водещите </w:t>
      </w:r>
      <w:r w:rsidR="0006421B" w:rsidRPr="00367B42">
        <w:rPr>
          <w:b/>
          <w:i/>
          <w:sz w:val="20"/>
          <w:lang w:val="bg-BG"/>
        </w:rPr>
        <w:t>проверители</w:t>
      </w:r>
      <w:r w:rsidRPr="00367B42">
        <w:rPr>
          <w:b/>
          <w:i/>
          <w:sz w:val="20"/>
          <w:lang w:val="bg-BG"/>
        </w:rPr>
        <w:t xml:space="preserve"> също препоръчват </w:t>
      </w:r>
      <w:r w:rsidR="000A014B" w:rsidRPr="00367B42">
        <w:rPr>
          <w:b/>
          <w:i/>
          <w:sz w:val="20"/>
          <w:lang w:val="bg-BG"/>
        </w:rPr>
        <w:t>Р</w:t>
      </w:r>
      <w:r w:rsidRPr="00367B42">
        <w:rPr>
          <w:b/>
          <w:i/>
          <w:sz w:val="20"/>
          <w:lang w:val="bg-BG"/>
        </w:rPr>
        <w:t xml:space="preserve">аботната група да проследи </w:t>
      </w:r>
      <w:r w:rsidR="00FE5384" w:rsidRPr="008C08CD">
        <w:rPr>
          <w:b/>
          <w:i/>
          <w:sz w:val="20"/>
        </w:rPr>
        <w:t>i</w:t>
      </w:r>
      <w:r w:rsidR="00FE5384" w:rsidRPr="00367B42">
        <w:rPr>
          <w:b/>
          <w:i/>
          <w:sz w:val="20"/>
          <w:lang w:val="bg-BG"/>
        </w:rPr>
        <w:t xml:space="preserve">) мониторинга на медиините съобщения съгласно Заповедта на главния прокурор и </w:t>
      </w:r>
      <w:r w:rsidR="00FE5384" w:rsidRPr="008C08CD">
        <w:rPr>
          <w:b/>
          <w:i/>
          <w:sz w:val="20"/>
        </w:rPr>
        <w:t>ii</w:t>
      </w:r>
      <w:r w:rsidR="00FE5384" w:rsidRPr="00367B42">
        <w:rPr>
          <w:b/>
          <w:i/>
          <w:sz w:val="20"/>
          <w:lang w:val="bg-BG"/>
        </w:rPr>
        <w:t xml:space="preserve">) </w:t>
      </w:r>
      <w:r w:rsidRPr="00367B42">
        <w:rPr>
          <w:b/>
          <w:i/>
          <w:sz w:val="20"/>
          <w:lang w:val="bg-BG"/>
        </w:rPr>
        <w:t xml:space="preserve">координацията между следователите и прокурорите при започване на нови </w:t>
      </w:r>
      <w:r w:rsidR="00F4772B" w:rsidRPr="00367B42">
        <w:rPr>
          <w:b/>
          <w:i/>
          <w:sz w:val="20"/>
          <w:lang w:val="bg-BG"/>
        </w:rPr>
        <w:t xml:space="preserve">дела на подкупване на </w:t>
      </w:r>
      <w:r w:rsidR="00313DCE" w:rsidRPr="00367B42">
        <w:rPr>
          <w:b/>
          <w:i/>
          <w:sz w:val="20"/>
          <w:lang w:val="bg-BG"/>
        </w:rPr>
        <w:t>чужди</w:t>
      </w:r>
      <w:r w:rsidR="00F4772B" w:rsidRPr="00367B42">
        <w:rPr>
          <w:b/>
          <w:i/>
          <w:sz w:val="20"/>
          <w:lang w:val="bg-BG"/>
        </w:rPr>
        <w:t xml:space="preserve"> длъжностни лица</w:t>
      </w:r>
      <w:r w:rsidR="00FC1A2C" w:rsidRPr="00367B42">
        <w:rPr>
          <w:b/>
          <w:i/>
          <w:sz w:val="20"/>
          <w:lang w:val="bg-BG"/>
        </w:rPr>
        <w:t xml:space="preserve">. </w:t>
      </w:r>
    </w:p>
    <w:p w14:paraId="086163CC" w14:textId="77777777" w:rsidR="00FC1A2C" w:rsidRPr="00FC1A2C" w:rsidRDefault="00B21460" w:rsidP="0074474F">
      <w:pPr>
        <w:pStyle w:val="Heading4"/>
        <w:ind w:hanging="340"/>
      </w:pPr>
      <w:r>
        <w:rPr>
          <w:lang w:val="bg-BG"/>
        </w:rPr>
        <w:t>Способи за раз</w:t>
      </w:r>
      <w:r w:rsidR="004A0684">
        <w:rPr>
          <w:lang w:val="bg-BG"/>
        </w:rPr>
        <w:t>с</w:t>
      </w:r>
      <w:r>
        <w:rPr>
          <w:lang w:val="bg-BG"/>
        </w:rPr>
        <w:t>ледване</w:t>
      </w:r>
    </w:p>
    <w:p w14:paraId="1B3E401C" w14:textId="77777777" w:rsidR="00FC1A2C" w:rsidRPr="00FC1A2C" w:rsidRDefault="00FE5384" w:rsidP="008C08CD">
      <w:pPr>
        <w:widowControl/>
        <w:spacing w:before="120" w:after="120" w:line="260" w:lineRule="atLeast"/>
        <w:rPr>
          <w:sz w:val="20"/>
        </w:rPr>
      </w:pPr>
      <w:r>
        <w:rPr>
          <w:sz w:val="20"/>
          <w:lang w:val="bg-BG"/>
        </w:rPr>
        <w:t xml:space="preserve">96. </w:t>
      </w:r>
      <w:r w:rsidR="004A0684">
        <w:rPr>
          <w:sz w:val="20"/>
          <w:lang w:val="bg-BG"/>
        </w:rPr>
        <w:tab/>
      </w:r>
      <w:proofErr w:type="gramStart"/>
      <w:r w:rsidR="00ED4BED" w:rsidRPr="00ED4BED">
        <w:rPr>
          <w:sz w:val="20"/>
        </w:rPr>
        <w:t xml:space="preserve">Обичайните </w:t>
      </w:r>
      <w:r w:rsidR="004A0684">
        <w:rPr>
          <w:sz w:val="20"/>
          <w:lang w:val="bg-BG"/>
        </w:rPr>
        <w:t>способи за разследване</w:t>
      </w:r>
      <w:r w:rsidR="00ED4BED" w:rsidRPr="00ED4BED">
        <w:rPr>
          <w:sz w:val="20"/>
        </w:rPr>
        <w:t xml:space="preserve"> са налични в досъдебните производства за </w:t>
      </w:r>
      <w:r w:rsidR="00F4772B" w:rsidRPr="00F4772B">
        <w:rPr>
          <w:sz w:val="20"/>
        </w:rPr>
        <w:t xml:space="preserve">подкуп на </w:t>
      </w:r>
      <w:r w:rsidR="00313DCE">
        <w:rPr>
          <w:sz w:val="20"/>
        </w:rPr>
        <w:t>чужди</w:t>
      </w:r>
      <w:r w:rsidR="00F4772B" w:rsidRPr="00F4772B">
        <w:rPr>
          <w:sz w:val="20"/>
        </w:rPr>
        <w:t xml:space="preserve"> длъжностни лица</w:t>
      </w:r>
      <w:r w:rsidR="00ED4BED" w:rsidRPr="00ED4BED">
        <w:rPr>
          <w:sz w:val="20"/>
        </w:rPr>
        <w:t>, а също така е предвидено използването на специални разузнавателни средства съгласно НПК (чл</w:t>
      </w:r>
      <w:r w:rsidR="00B21460">
        <w:rPr>
          <w:sz w:val="20"/>
          <w:lang w:val="bg-BG"/>
        </w:rPr>
        <w:t>.</w:t>
      </w:r>
      <w:r w:rsidR="00ED4BED" w:rsidRPr="00ED4BED">
        <w:rPr>
          <w:sz w:val="20"/>
        </w:rPr>
        <w:t xml:space="preserve"> 172-177) и Закона за специалните разузнавателни средства (ЗСРС).</w:t>
      </w:r>
      <w:proofErr w:type="gramEnd"/>
      <w:r w:rsidR="00ED4BED" w:rsidRPr="00ED4BED">
        <w:rPr>
          <w:sz w:val="20"/>
        </w:rPr>
        <w:t xml:space="preserve"> </w:t>
      </w:r>
      <w:r w:rsidR="003D50A6">
        <w:rPr>
          <w:sz w:val="20"/>
          <w:lang w:val="bg-BG"/>
        </w:rPr>
        <w:t>По</w:t>
      </w:r>
      <w:r w:rsidR="00ED4BED" w:rsidRPr="00ED4BED">
        <w:rPr>
          <w:sz w:val="20"/>
        </w:rPr>
        <w:t xml:space="preserve"> </w:t>
      </w:r>
      <w:r w:rsidR="00673F1F">
        <w:rPr>
          <w:sz w:val="20"/>
        </w:rPr>
        <w:t>Фаза</w:t>
      </w:r>
      <w:r w:rsidR="00ED4BED" w:rsidRPr="00ED4BED">
        <w:rPr>
          <w:sz w:val="20"/>
        </w:rPr>
        <w:t xml:space="preserve"> 3 </w:t>
      </w:r>
      <w:r w:rsidR="003D50A6">
        <w:rPr>
          <w:sz w:val="20"/>
          <w:lang w:val="bg-BG"/>
        </w:rPr>
        <w:t>Р</w:t>
      </w:r>
      <w:r w:rsidR="00ED4BED" w:rsidRPr="00ED4BED">
        <w:rPr>
          <w:sz w:val="20"/>
        </w:rPr>
        <w:t xml:space="preserve">аботната група установи, че проблемите, повдигнати </w:t>
      </w:r>
      <w:r w:rsidR="003D50A6">
        <w:rPr>
          <w:sz w:val="20"/>
          <w:lang w:val="bg-BG"/>
        </w:rPr>
        <w:t>по</w:t>
      </w:r>
      <w:r w:rsidR="00ED4BED" w:rsidRPr="00ED4BED">
        <w:rPr>
          <w:sz w:val="20"/>
        </w:rPr>
        <w:t xml:space="preserve"> </w:t>
      </w:r>
      <w:r w:rsidR="00673F1F">
        <w:rPr>
          <w:sz w:val="20"/>
        </w:rPr>
        <w:t>Фаза</w:t>
      </w:r>
      <w:r w:rsidR="00ED4BED" w:rsidRPr="00ED4BED">
        <w:rPr>
          <w:sz w:val="20"/>
        </w:rPr>
        <w:t xml:space="preserve"> 2 относно използването на специални разузнавателни средства, са били </w:t>
      </w:r>
      <w:r w:rsidR="004A0684">
        <w:rPr>
          <w:sz w:val="20"/>
          <w:lang w:val="bg-BG"/>
        </w:rPr>
        <w:t>отразени</w:t>
      </w:r>
      <w:r w:rsidR="004A0684" w:rsidRPr="00ED4BED">
        <w:rPr>
          <w:sz w:val="20"/>
        </w:rPr>
        <w:t xml:space="preserve"> </w:t>
      </w:r>
      <w:r w:rsidR="00ED4BED" w:rsidRPr="00ED4BED">
        <w:rPr>
          <w:sz w:val="20"/>
        </w:rPr>
        <w:t>и оттогава няма промени в използването и регулирането на специални разузнавателни средства</w:t>
      </w:r>
      <w:r w:rsidR="00FC1A2C" w:rsidRPr="00FC1A2C">
        <w:rPr>
          <w:sz w:val="20"/>
        </w:rPr>
        <w:t xml:space="preserve">. </w:t>
      </w:r>
    </w:p>
    <w:p w14:paraId="3E2E3216" w14:textId="3F79B0D8" w:rsidR="00FC1A2C" w:rsidRPr="008C08CD" w:rsidRDefault="00DE7459" w:rsidP="008C08CD">
      <w:pPr>
        <w:pStyle w:val="Para"/>
        <w:numPr>
          <w:ilvl w:val="0"/>
          <w:numId w:val="0"/>
        </w:numPr>
        <w:rPr>
          <w:lang w:val="bg-BG"/>
        </w:rPr>
      </w:pPr>
      <w:r>
        <w:rPr>
          <w:lang w:val="bg-BG"/>
        </w:rPr>
        <w:t xml:space="preserve">97. </w:t>
      </w:r>
      <w:r w:rsidR="004A0684">
        <w:rPr>
          <w:lang w:val="bg-BG"/>
        </w:rPr>
        <w:tab/>
      </w:r>
      <w:r w:rsidR="00C13E7D" w:rsidRPr="008C08CD">
        <w:rPr>
          <w:lang w:val="bg-BG"/>
        </w:rPr>
        <w:t xml:space="preserve">Съгласно член 172 от НПК и член 3, параграф 1 от ЗСРС, когато е необходимо, могат да се използват специални разузнавателни средства, включително при разследване на тежки умишлени престъпления по глава </w:t>
      </w:r>
      <w:r w:rsidR="00C13E7D" w:rsidRPr="00C13E7D">
        <w:t>VIII</w:t>
      </w:r>
      <w:r w:rsidR="00C13E7D" w:rsidRPr="008C08CD">
        <w:rPr>
          <w:lang w:val="bg-BG"/>
        </w:rPr>
        <w:t xml:space="preserve"> (а именно член 304 от НК, подкуп), ако съответните </w:t>
      </w:r>
      <w:r w:rsidR="00C13E7D" w:rsidRPr="008C08CD">
        <w:rPr>
          <w:lang w:val="bg-BG"/>
        </w:rPr>
        <w:lastRenderedPageBreak/>
        <w:t xml:space="preserve">обстоятелства не могат да бъдат установени по друг начин или установяването им е свързано с изключителни трудности. За използване на специални разузнавателни средства е необходимо писмено искане до съда, подадено от </w:t>
      </w:r>
      <w:r w:rsidR="004A0684">
        <w:rPr>
          <w:lang w:val="bg-BG"/>
        </w:rPr>
        <w:t>наблюдаващия делото</w:t>
      </w:r>
      <w:r w:rsidR="004A0684" w:rsidRPr="008C08CD">
        <w:rPr>
          <w:lang w:val="bg-BG"/>
        </w:rPr>
        <w:t xml:space="preserve"> </w:t>
      </w:r>
      <w:r w:rsidR="00C13E7D" w:rsidRPr="008C08CD">
        <w:rPr>
          <w:lang w:val="bg-BG"/>
        </w:rPr>
        <w:t xml:space="preserve">прокурор. Видовете налични специални </w:t>
      </w:r>
      <w:r w:rsidR="004A0684">
        <w:rPr>
          <w:lang w:val="bg-BG"/>
        </w:rPr>
        <w:t>разузнавателни</w:t>
      </w:r>
      <w:r w:rsidR="004A0684" w:rsidRPr="008C08CD">
        <w:rPr>
          <w:lang w:val="bg-BG"/>
        </w:rPr>
        <w:t xml:space="preserve"> </w:t>
      </w:r>
      <w:r w:rsidR="00C13E7D" w:rsidRPr="008C08CD">
        <w:rPr>
          <w:lang w:val="bg-BG"/>
        </w:rPr>
        <w:t>средства</w:t>
      </w:r>
      <w:r w:rsidR="00401EC5">
        <w:rPr>
          <w:lang w:val="bg-BG"/>
        </w:rPr>
        <w:t>, наред с други</w:t>
      </w:r>
      <w:r w:rsidR="00C13E7D" w:rsidRPr="008C08CD">
        <w:rPr>
          <w:lang w:val="bg-BG"/>
        </w:rPr>
        <w:t xml:space="preserve"> включват наблюдение и </w:t>
      </w:r>
      <w:r w:rsidR="004A0684">
        <w:rPr>
          <w:lang w:val="bg-BG"/>
        </w:rPr>
        <w:t>разследване чрез служител</w:t>
      </w:r>
      <w:r w:rsidR="004A0684" w:rsidRPr="008C08CD">
        <w:rPr>
          <w:lang w:val="bg-BG"/>
        </w:rPr>
        <w:t xml:space="preserve"> </w:t>
      </w:r>
      <w:r w:rsidR="00C13E7D" w:rsidRPr="008C08CD">
        <w:rPr>
          <w:lang w:val="bg-BG"/>
        </w:rPr>
        <w:t xml:space="preserve">под прикритие. ЗСРС регулира условията, процедурата и контрола върху използването на специални разузнавателни средства и получените резултати. Тъй като </w:t>
      </w:r>
      <w:r w:rsidR="0078737D">
        <w:rPr>
          <w:lang w:val="bg-BG"/>
        </w:rPr>
        <w:t>е имало</w:t>
      </w:r>
      <w:r w:rsidR="000C5D1A">
        <w:rPr>
          <w:lang w:val="bg-BG"/>
        </w:rPr>
        <w:t xml:space="preserve"> </w:t>
      </w:r>
      <w:r w:rsidR="00C13E7D" w:rsidRPr="008C08CD">
        <w:rPr>
          <w:lang w:val="bg-BG"/>
        </w:rPr>
        <w:t xml:space="preserve">само </w:t>
      </w:r>
      <w:r>
        <w:rPr>
          <w:lang w:val="bg-BG"/>
        </w:rPr>
        <w:t>един случай</w:t>
      </w:r>
      <w:r w:rsidR="00C13E7D" w:rsidRPr="008C08CD">
        <w:rPr>
          <w:lang w:val="bg-BG"/>
        </w:rPr>
        <w:t xml:space="preserve"> на подкуп</w:t>
      </w:r>
      <w:r w:rsidR="003D50A6">
        <w:rPr>
          <w:lang w:val="bg-BG"/>
        </w:rPr>
        <w:t xml:space="preserve"> на чужди длъжностни лица</w:t>
      </w:r>
      <w:r w:rsidR="00C13E7D" w:rsidRPr="008C08CD">
        <w:rPr>
          <w:lang w:val="bg-BG"/>
        </w:rPr>
        <w:t xml:space="preserve"> </w:t>
      </w:r>
      <w:r w:rsidR="003D50A6">
        <w:rPr>
          <w:lang w:val="bg-BG"/>
        </w:rPr>
        <w:t>след</w:t>
      </w:r>
      <w:r w:rsidR="00C13E7D" w:rsidRPr="008C08CD">
        <w:rPr>
          <w:lang w:val="bg-BG"/>
        </w:rPr>
        <w:t xml:space="preserve"> </w:t>
      </w:r>
      <w:r w:rsidR="00673F1F" w:rsidRPr="008C08CD">
        <w:rPr>
          <w:lang w:val="bg-BG"/>
        </w:rPr>
        <w:t>Фаза</w:t>
      </w:r>
      <w:r w:rsidR="00C13E7D" w:rsidRPr="008C08CD">
        <w:rPr>
          <w:lang w:val="bg-BG"/>
        </w:rPr>
        <w:t xml:space="preserve"> 3, не е възможно да се прецени напълно </w:t>
      </w:r>
      <w:r>
        <w:rPr>
          <w:lang w:val="bg-BG"/>
        </w:rPr>
        <w:t>реалното</w:t>
      </w:r>
      <w:r w:rsidRPr="008C08CD">
        <w:rPr>
          <w:lang w:val="bg-BG"/>
        </w:rPr>
        <w:t xml:space="preserve"> </w:t>
      </w:r>
      <w:r w:rsidR="00C13E7D" w:rsidRPr="008C08CD">
        <w:rPr>
          <w:lang w:val="bg-BG"/>
        </w:rPr>
        <w:t xml:space="preserve">използване на специални </w:t>
      </w:r>
      <w:r w:rsidR="004A0684">
        <w:rPr>
          <w:lang w:val="bg-BG"/>
        </w:rPr>
        <w:t xml:space="preserve">разузнавателни </w:t>
      </w:r>
      <w:r w:rsidR="00C13E7D" w:rsidRPr="008C08CD">
        <w:rPr>
          <w:lang w:val="bg-BG"/>
        </w:rPr>
        <w:t xml:space="preserve">средства в </w:t>
      </w:r>
      <w:r w:rsidR="00F4772B" w:rsidRPr="008C08CD">
        <w:rPr>
          <w:lang w:val="bg-BG"/>
        </w:rPr>
        <w:t xml:space="preserve">случаите на подкуп на </w:t>
      </w:r>
      <w:r w:rsidR="00313DCE" w:rsidRPr="008C08CD">
        <w:rPr>
          <w:lang w:val="bg-BG"/>
        </w:rPr>
        <w:t>чужди</w:t>
      </w:r>
      <w:r w:rsidR="00F4772B" w:rsidRPr="008C08CD">
        <w:rPr>
          <w:lang w:val="bg-BG"/>
        </w:rPr>
        <w:t xml:space="preserve"> длъжностни лица</w:t>
      </w:r>
      <w:r w:rsidR="00FC1A2C" w:rsidRPr="008C08CD">
        <w:rPr>
          <w:lang w:val="bg-BG"/>
        </w:rPr>
        <w:t>.</w:t>
      </w:r>
    </w:p>
    <w:p w14:paraId="0D444D83" w14:textId="77777777" w:rsidR="00FC1A2C" w:rsidRPr="008C08CD" w:rsidRDefault="00C13E7D" w:rsidP="008C08CD">
      <w:pPr>
        <w:pStyle w:val="Para"/>
        <w:numPr>
          <w:ilvl w:val="0"/>
          <w:numId w:val="53"/>
        </w:numPr>
        <w:rPr>
          <w:lang w:val="bg-BG"/>
        </w:rPr>
      </w:pPr>
      <w:r w:rsidRPr="008C08CD">
        <w:rPr>
          <w:lang w:val="bg-BG"/>
        </w:rPr>
        <w:t xml:space="preserve">Изглежда, че Законът за кредитните институции (ЗКИ) позволява разкриването на информация, съставляваща банкова тайна, във всички случаи на разследване на </w:t>
      </w:r>
      <w:r w:rsidR="00F4772B" w:rsidRPr="008C08CD">
        <w:rPr>
          <w:lang w:val="bg-BG"/>
        </w:rPr>
        <w:t xml:space="preserve">случаите на подкупване на </w:t>
      </w:r>
      <w:r w:rsidR="00313DCE" w:rsidRPr="008C08CD">
        <w:rPr>
          <w:lang w:val="bg-BG"/>
        </w:rPr>
        <w:t>чужди</w:t>
      </w:r>
      <w:r w:rsidR="00F4772B" w:rsidRPr="008C08CD">
        <w:rPr>
          <w:lang w:val="bg-BG"/>
        </w:rPr>
        <w:t xml:space="preserve"> длъжностни лица</w:t>
      </w:r>
      <w:r w:rsidRPr="008C08CD">
        <w:rPr>
          <w:lang w:val="bg-BG"/>
        </w:rPr>
        <w:t xml:space="preserve"> както в националните производства, така и при изпълнението на </w:t>
      </w:r>
      <w:r w:rsidR="001A5926">
        <w:rPr>
          <w:lang w:val="bg-BG"/>
        </w:rPr>
        <w:t>молби</w:t>
      </w:r>
      <w:r w:rsidR="001A5926" w:rsidRPr="008C08CD">
        <w:rPr>
          <w:lang w:val="bg-BG"/>
        </w:rPr>
        <w:t xml:space="preserve"> </w:t>
      </w:r>
      <w:r w:rsidRPr="008C08CD">
        <w:rPr>
          <w:lang w:val="bg-BG"/>
        </w:rPr>
        <w:t xml:space="preserve">за </w:t>
      </w:r>
      <w:r w:rsidR="001A5926">
        <w:rPr>
          <w:lang w:val="bg-BG"/>
        </w:rPr>
        <w:t>международна</w:t>
      </w:r>
      <w:r w:rsidR="00DE7459" w:rsidRPr="000C5383">
        <w:rPr>
          <w:lang w:val="bg-BG"/>
        </w:rPr>
        <w:t xml:space="preserve"> правна помощ</w:t>
      </w:r>
      <w:r w:rsidRPr="008C08CD">
        <w:rPr>
          <w:lang w:val="bg-BG"/>
        </w:rPr>
        <w:t xml:space="preserve"> (член 61 от ЗКИ)</w:t>
      </w:r>
      <w:r w:rsidR="00FC1A2C" w:rsidRPr="008C08CD">
        <w:rPr>
          <w:lang w:val="bg-BG"/>
        </w:rPr>
        <w:t>.</w:t>
      </w:r>
    </w:p>
    <w:p w14:paraId="105E5410" w14:textId="77777777" w:rsidR="00FC1A2C" w:rsidRPr="00FC1A2C" w:rsidRDefault="00C13E7D" w:rsidP="0074474F">
      <w:pPr>
        <w:pStyle w:val="Heading4"/>
        <w:ind w:left="720" w:hanging="720"/>
      </w:pPr>
      <w:r w:rsidRPr="00C13E7D">
        <w:t>Давност</w:t>
      </w:r>
    </w:p>
    <w:p w14:paraId="0DCBA981" w14:textId="77777777" w:rsidR="00FC1A2C" w:rsidRPr="00FC1A2C" w:rsidRDefault="00B2476D" w:rsidP="00DD7407">
      <w:pPr>
        <w:widowControl/>
        <w:numPr>
          <w:ilvl w:val="0"/>
          <w:numId w:val="1"/>
        </w:numPr>
        <w:spacing w:before="120" w:after="120" w:line="260" w:lineRule="atLeast"/>
        <w:rPr>
          <w:sz w:val="20"/>
        </w:rPr>
      </w:pPr>
      <w:r w:rsidRPr="00B2476D">
        <w:rPr>
          <w:sz w:val="20"/>
        </w:rPr>
        <w:t>Не са извършвани промени относно давността (чл</w:t>
      </w:r>
      <w:r w:rsidR="00C67B46">
        <w:rPr>
          <w:sz w:val="20"/>
          <w:lang w:val="bg-BG"/>
        </w:rPr>
        <w:t>.</w:t>
      </w:r>
      <w:r w:rsidRPr="00B2476D">
        <w:rPr>
          <w:sz w:val="20"/>
        </w:rPr>
        <w:t xml:space="preserve"> 80 и 81 от НК) </w:t>
      </w:r>
      <w:r w:rsidR="003D50A6">
        <w:rPr>
          <w:sz w:val="20"/>
          <w:lang w:val="bg-BG"/>
        </w:rPr>
        <w:t>след</w:t>
      </w:r>
      <w:r w:rsidRPr="00B2476D">
        <w:rPr>
          <w:sz w:val="20"/>
        </w:rPr>
        <w:t xml:space="preserve"> </w:t>
      </w:r>
      <w:r w:rsidR="00673F1F">
        <w:rPr>
          <w:sz w:val="20"/>
        </w:rPr>
        <w:t>Фаза</w:t>
      </w:r>
      <w:r w:rsidRPr="00B2476D">
        <w:rPr>
          <w:sz w:val="20"/>
        </w:rPr>
        <w:t xml:space="preserve"> 3, която е десет години и изглежда адекватна</w:t>
      </w:r>
      <w:r w:rsidR="00FC1A2C" w:rsidRPr="00FC1A2C">
        <w:rPr>
          <w:sz w:val="20"/>
        </w:rPr>
        <w:t xml:space="preserve">. </w:t>
      </w:r>
      <w:r w:rsidRPr="00B2476D">
        <w:rPr>
          <w:sz w:val="20"/>
        </w:rPr>
        <w:t xml:space="preserve">Според България </w:t>
      </w:r>
      <w:r w:rsidR="003D50A6">
        <w:rPr>
          <w:sz w:val="20"/>
          <w:lang w:val="bg-BG"/>
        </w:rPr>
        <w:t>след</w:t>
      </w:r>
      <w:r w:rsidRPr="00B2476D">
        <w:rPr>
          <w:sz w:val="20"/>
        </w:rPr>
        <w:t xml:space="preserve"> </w:t>
      </w:r>
      <w:r w:rsidR="00673F1F">
        <w:rPr>
          <w:sz w:val="20"/>
        </w:rPr>
        <w:t>Фаза</w:t>
      </w:r>
      <w:r w:rsidRPr="00B2476D">
        <w:rPr>
          <w:sz w:val="20"/>
        </w:rPr>
        <w:t xml:space="preserve"> 3 няма случаи</w:t>
      </w:r>
      <w:r w:rsidR="001A5926">
        <w:rPr>
          <w:sz w:val="20"/>
          <w:lang w:val="bg-BG"/>
        </w:rPr>
        <w:t xml:space="preserve"> на</w:t>
      </w:r>
      <w:r w:rsidR="00F4772B" w:rsidRPr="00F4772B">
        <w:rPr>
          <w:sz w:val="20"/>
        </w:rPr>
        <w:t xml:space="preserve"> подкуп на </w:t>
      </w:r>
      <w:r w:rsidR="00313DCE">
        <w:rPr>
          <w:sz w:val="20"/>
        </w:rPr>
        <w:t>чужди</w:t>
      </w:r>
      <w:r w:rsidR="00F4772B" w:rsidRPr="00F4772B">
        <w:rPr>
          <w:sz w:val="20"/>
        </w:rPr>
        <w:t xml:space="preserve"> </w:t>
      </w:r>
      <w:r w:rsidR="00F4772B">
        <w:rPr>
          <w:sz w:val="20"/>
          <w:lang w:val="bg-BG"/>
        </w:rPr>
        <w:t xml:space="preserve">или </w:t>
      </w:r>
      <w:r w:rsidR="001A5926">
        <w:rPr>
          <w:sz w:val="20"/>
          <w:lang w:val="bg-BG"/>
        </w:rPr>
        <w:t xml:space="preserve">местни </w:t>
      </w:r>
      <w:r w:rsidR="00F4772B" w:rsidRPr="00F4772B">
        <w:rPr>
          <w:sz w:val="20"/>
        </w:rPr>
        <w:t>длъжностни лица</w:t>
      </w:r>
      <w:r w:rsidR="001A5926">
        <w:rPr>
          <w:sz w:val="20"/>
          <w:lang w:val="bg-BG"/>
        </w:rPr>
        <w:t>, които да са били прекратени</w:t>
      </w:r>
      <w:r w:rsidRPr="00B2476D">
        <w:rPr>
          <w:sz w:val="20"/>
        </w:rPr>
        <w:t xml:space="preserve"> поради </w:t>
      </w:r>
      <w:r w:rsidR="001A5926">
        <w:rPr>
          <w:sz w:val="20"/>
          <w:lang w:val="bg-BG"/>
        </w:rPr>
        <w:t xml:space="preserve">изтекла </w:t>
      </w:r>
      <w:r w:rsidRPr="00B2476D">
        <w:rPr>
          <w:sz w:val="20"/>
        </w:rPr>
        <w:t xml:space="preserve">давност. Във връзка </w:t>
      </w:r>
      <w:r w:rsidR="00F4772B">
        <w:rPr>
          <w:sz w:val="20"/>
          <w:lang w:val="bg-BG"/>
        </w:rPr>
        <w:t>съ</w:t>
      </w:r>
      <w:r w:rsidRPr="00B2476D">
        <w:rPr>
          <w:sz w:val="20"/>
        </w:rPr>
        <w:t xml:space="preserve">с </w:t>
      </w:r>
      <w:r w:rsidR="00F4772B" w:rsidRPr="00F4772B">
        <w:rPr>
          <w:sz w:val="20"/>
        </w:rPr>
        <w:t xml:space="preserve">случаите на подкуп на </w:t>
      </w:r>
      <w:r w:rsidR="001A5926">
        <w:rPr>
          <w:sz w:val="20"/>
          <w:lang w:val="bg-BG"/>
        </w:rPr>
        <w:t>местни</w:t>
      </w:r>
      <w:r w:rsidR="001A5926" w:rsidRPr="00F4772B">
        <w:rPr>
          <w:sz w:val="20"/>
        </w:rPr>
        <w:t xml:space="preserve"> </w:t>
      </w:r>
      <w:r w:rsidR="00F4772B" w:rsidRPr="00F4772B">
        <w:rPr>
          <w:sz w:val="20"/>
        </w:rPr>
        <w:t>длъжностни лица</w:t>
      </w:r>
      <w:r w:rsidRPr="00B2476D">
        <w:rPr>
          <w:sz w:val="20"/>
        </w:rPr>
        <w:t xml:space="preserve"> Върховният касационен съд е разгледал 238 дела, от които </w:t>
      </w:r>
      <w:r w:rsidR="001A5926" w:rsidRPr="00B2476D">
        <w:rPr>
          <w:sz w:val="20"/>
        </w:rPr>
        <w:t xml:space="preserve">нито едно </w:t>
      </w:r>
      <w:r w:rsidRPr="00B2476D">
        <w:rPr>
          <w:sz w:val="20"/>
        </w:rPr>
        <w:t>не е прекратено поради давност</w:t>
      </w:r>
      <w:r w:rsidR="00FC1A2C" w:rsidRPr="00FC1A2C">
        <w:rPr>
          <w:sz w:val="20"/>
        </w:rPr>
        <w:t xml:space="preserve">. </w:t>
      </w:r>
    </w:p>
    <w:p w14:paraId="59327C79" w14:textId="77777777" w:rsidR="00FC1A2C" w:rsidRPr="00FC1A2C" w:rsidRDefault="00362DDD" w:rsidP="0074474F">
      <w:pPr>
        <w:pStyle w:val="Heading4"/>
        <w:ind w:left="720" w:hanging="720"/>
      </w:pPr>
      <w:r>
        <w:rPr>
          <w:lang w:val="bg-BG"/>
        </w:rPr>
        <w:t>Инициране на наказателно преследване</w:t>
      </w:r>
    </w:p>
    <w:p w14:paraId="00DE1A28" w14:textId="77777777" w:rsidR="00FC1A2C" w:rsidRPr="00E25FC4" w:rsidRDefault="00362DDD" w:rsidP="00DD7407">
      <w:pPr>
        <w:widowControl/>
        <w:numPr>
          <w:ilvl w:val="0"/>
          <w:numId w:val="1"/>
        </w:numPr>
        <w:spacing w:before="120" w:after="120" w:line="260" w:lineRule="atLeast"/>
        <w:rPr>
          <w:sz w:val="20"/>
        </w:rPr>
      </w:pPr>
      <w:r w:rsidRPr="00362DDD">
        <w:rPr>
          <w:sz w:val="20"/>
        </w:rPr>
        <w:t xml:space="preserve">След като получи делото, прокурорът </w:t>
      </w:r>
      <w:r w:rsidR="009A7D6D">
        <w:rPr>
          <w:sz w:val="20"/>
          <w:lang w:val="bg-BG"/>
        </w:rPr>
        <w:t xml:space="preserve">разполага с различни възможности, включително да </w:t>
      </w:r>
      <w:r w:rsidRPr="00362DDD">
        <w:rPr>
          <w:sz w:val="20"/>
        </w:rPr>
        <w:t>прекрат</w:t>
      </w:r>
      <w:r w:rsidR="009A7D6D">
        <w:rPr>
          <w:sz w:val="20"/>
          <w:lang w:val="bg-BG"/>
        </w:rPr>
        <w:t>и</w:t>
      </w:r>
      <w:r w:rsidRPr="00362DDD">
        <w:rPr>
          <w:sz w:val="20"/>
        </w:rPr>
        <w:t>, сп</w:t>
      </w:r>
      <w:r w:rsidR="009A7D6D">
        <w:rPr>
          <w:sz w:val="20"/>
          <w:lang w:val="bg-BG"/>
        </w:rPr>
        <w:t>ре</w:t>
      </w:r>
      <w:r w:rsidRPr="00362DDD">
        <w:rPr>
          <w:sz w:val="20"/>
        </w:rPr>
        <w:t xml:space="preserve"> наказателното производство, </w:t>
      </w:r>
      <w:r w:rsidR="009A7D6D">
        <w:rPr>
          <w:sz w:val="20"/>
          <w:lang w:val="bg-BG"/>
        </w:rPr>
        <w:t xml:space="preserve">да </w:t>
      </w:r>
      <w:r w:rsidRPr="00362DDD">
        <w:rPr>
          <w:sz w:val="20"/>
        </w:rPr>
        <w:t>вн</w:t>
      </w:r>
      <w:r w:rsidR="009A7D6D">
        <w:rPr>
          <w:sz w:val="20"/>
          <w:lang w:val="bg-BG"/>
        </w:rPr>
        <w:t>есе</w:t>
      </w:r>
      <w:r w:rsidRPr="00362DDD">
        <w:rPr>
          <w:sz w:val="20"/>
        </w:rPr>
        <w:t xml:space="preserve"> предложение за освобождаване от наказателна отговорност с налагане на административно наказание или предложение за споразумение за решаване на делото, или </w:t>
      </w:r>
      <w:r w:rsidR="004A6654">
        <w:rPr>
          <w:sz w:val="20"/>
          <w:lang w:val="bg-BG"/>
        </w:rPr>
        <w:t xml:space="preserve">да </w:t>
      </w:r>
      <w:r w:rsidRPr="00362DDD">
        <w:rPr>
          <w:sz w:val="20"/>
        </w:rPr>
        <w:t>повдиг</w:t>
      </w:r>
      <w:r w:rsidR="009A7D6D">
        <w:rPr>
          <w:sz w:val="20"/>
          <w:lang w:val="bg-BG"/>
        </w:rPr>
        <w:t>не</w:t>
      </w:r>
      <w:r w:rsidRPr="00362DDD">
        <w:rPr>
          <w:sz w:val="20"/>
        </w:rPr>
        <w:t xml:space="preserve"> обвинение с обвинителен акт, ако са налице основанията за това (чл. 242 от НПК). Прокурорът осъществява правомощията си в най-кратък срок, но не по-късно от един месец от получаване на делото, въпреки че това може да бъде удължено в случаи, които са фактически или правно сложни (член 242, параграфи 4 и 5 от НПК)</w:t>
      </w:r>
      <w:r w:rsidR="00FC1A2C" w:rsidRPr="00E25FC4">
        <w:rPr>
          <w:sz w:val="20"/>
        </w:rPr>
        <w:t>.</w:t>
      </w:r>
    </w:p>
    <w:p w14:paraId="639E2F18" w14:textId="6E4A2C58" w:rsidR="00FC1A2C" w:rsidRPr="008C08CD" w:rsidRDefault="00362DDD" w:rsidP="00C67B46">
      <w:pPr>
        <w:widowControl/>
        <w:numPr>
          <w:ilvl w:val="0"/>
          <w:numId w:val="1"/>
        </w:numPr>
        <w:spacing w:before="120" w:after="120" w:line="260" w:lineRule="atLeast"/>
        <w:rPr>
          <w:sz w:val="20"/>
          <w:lang w:val="bg-BG"/>
        </w:rPr>
      </w:pPr>
      <w:r w:rsidRPr="00362DDD">
        <w:rPr>
          <w:sz w:val="20"/>
        </w:rPr>
        <w:t xml:space="preserve">По </w:t>
      </w:r>
      <w:r w:rsidR="00673F1F">
        <w:rPr>
          <w:sz w:val="20"/>
        </w:rPr>
        <w:t>Фаза</w:t>
      </w:r>
      <w:r w:rsidRPr="00362DDD">
        <w:rPr>
          <w:sz w:val="20"/>
        </w:rPr>
        <w:t xml:space="preserve"> 2 Работната група изрази опасения, че съдилищата са върнали значителен брой дела на органите на досъдебното производство поради процесуални нарушения. По </w:t>
      </w:r>
      <w:r w:rsidR="00673F1F">
        <w:rPr>
          <w:sz w:val="20"/>
        </w:rPr>
        <w:t>Фаза</w:t>
      </w:r>
      <w:r w:rsidRPr="00362DDD">
        <w:rPr>
          <w:sz w:val="20"/>
        </w:rPr>
        <w:t xml:space="preserve"> 3 съдиите </w:t>
      </w:r>
      <w:r w:rsidR="007934A8">
        <w:rPr>
          <w:sz w:val="20"/>
          <w:lang w:val="bg-BG"/>
        </w:rPr>
        <w:t xml:space="preserve">по време на </w:t>
      </w:r>
      <w:r w:rsidR="001938C8">
        <w:rPr>
          <w:sz w:val="20"/>
          <w:lang w:val="bg-BG"/>
        </w:rPr>
        <w:t>посещението</w:t>
      </w:r>
      <w:r w:rsidR="007934A8">
        <w:rPr>
          <w:sz w:val="20"/>
          <w:lang w:val="bg-BG"/>
        </w:rPr>
        <w:t xml:space="preserve"> на място</w:t>
      </w:r>
      <w:r w:rsidR="00C67B46">
        <w:rPr>
          <w:sz w:val="20"/>
          <w:lang w:val="bg-BG"/>
        </w:rPr>
        <w:t xml:space="preserve"> </w:t>
      </w:r>
      <w:r w:rsidRPr="008C08CD">
        <w:rPr>
          <w:sz w:val="20"/>
          <w:lang w:val="bg-BG"/>
        </w:rPr>
        <w:t xml:space="preserve">заявиха, че делата продължават да се връщат по процесуални причини, а не поради качеството на обвинителните заключения (доклад по </w:t>
      </w:r>
      <w:r w:rsidR="00673F1F" w:rsidRPr="008C08CD">
        <w:rPr>
          <w:sz w:val="20"/>
          <w:lang w:val="bg-BG"/>
        </w:rPr>
        <w:t>Фаза</w:t>
      </w:r>
      <w:r w:rsidRPr="008C08CD">
        <w:rPr>
          <w:sz w:val="20"/>
          <w:lang w:val="bg-BG"/>
        </w:rPr>
        <w:t xml:space="preserve"> 3, параграф 60). По време на </w:t>
      </w:r>
      <w:r w:rsidR="00673F1F" w:rsidRPr="008C08CD">
        <w:rPr>
          <w:sz w:val="20"/>
          <w:lang w:val="bg-BG"/>
        </w:rPr>
        <w:t>Фаза</w:t>
      </w:r>
      <w:r w:rsidRPr="008C08CD">
        <w:rPr>
          <w:sz w:val="20"/>
          <w:lang w:val="bg-BG"/>
        </w:rPr>
        <w:t xml:space="preserve"> 3 прокурорите предоставиха статистически данни, показващи, че някои дела са върнати поради качеството на обвинителните актове. През 2007-2010 г. броят на върнатите дела е намален наполовина, от близо 10% до 5% от всички случаи. По </w:t>
      </w:r>
      <w:r w:rsidR="00673F1F" w:rsidRPr="008C08CD">
        <w:rPr>
          <w:sz w:val="20"/>
          <w:lang w:val="bg-BG"/>
        </w:rPr>
        <w:t>Фаза</w:t>
      </w:r>
      <w:r w:rsidRPr="008C08CD">
        <w:rPr>
          <w:sz w:val="20"/>
          <w:lang w:val="bg-BG"/>
        </w:rPr>
        <w:t xml:space="preserve"> 3 Работната група реши да проследи броя и причините за връщане на делата от съдилищата на органите </w:t>
      </w:r>
      <w:r w:rsidR="006951AD">
        <w:rPr>
          <w:sz w:val="20"/>
          <w:lang w:val="bg-BG"/>
        </w:rPr>
        <w:t>на</w:t>
      </w:r>
      <w:r w:rsidR="006951AD" w:rsidRPr="008C08CD">
        <w:rPr>
          <w:sz w:val="20"/>
          <w:lang w:val="bg-BG"/>
        </w:rPr>
        <w:t xml:space="preserve"> </w:t>
      </w:r>
      <w:r w:rsidRPr="008C08CD">
        <w:rPr>
          <w:sz w:val="20"/>
          <w:lang w:val="bg-BG"/>
        </w:rPr>
        <w:t xml:space="preserve">досъдебното производство (последващ </w:t>
      </w:r>
      <w:r w:rsidR="00C67B46">
        <w:rPr>
          <w:sz w:val="20"/>
          <w:lang w:val="bg-BG"/>
        </w:rPr>
        <w:t>доклад</w:t>
      </w:r>
      <w:r w:rsidRPr="008C08CD">
        <w:rPr>
          <w:sz w:val="20"/>
          <w:lang w:val="bg-BG"/>
        </w:rPr>
        <w:t xml:space="preserve"> 13 (а)</w:t>
      </w:r>
      <w:r w:rsidR="00FC1A2C" w:rsidRPr="008C08CD">
        <w:rPr>
          <w:sz w:val="20"/>
          <w:lang w:val="bg-BG"/>
        </w:rPr>
        <w:t xml:space="preserve">). </w:t>
      </w:r>
    </w:p>
    <w:p w14:paraId="46819F42" w14:textId="77777777" w:rsidR="00FC1A2C" w:rsidRPr="008C08CD" w:rsidRDefault="00BD5001" w:rsidP="00DD7407">
      <w:pPr>
        <w:widowControl/>
        <w:numPr>
          <w:ilvl w:val="0"/>
          <w:numId w:val="1"/>
        </w:numPr>
        <w:spacing w:before="120" w:after="120" w:line="260" w:lineRule="atLeast"/>
        <w:rPr>
          <w:sz w:val="20"/>
          <w:lang w:val="bg-BG"/>
        </w:rPr>
      </w:pPr>
      <w:r w:rsidRPr="008C08CD">
        <w:rPr>
          <w:sz w:val="20"/>
          <w:lang w:val="bg-BG"/>
        </w:rPr>
        <w:t xml:space="preserve">След </w:t>
      </w:r>
      <w:r w:rsidR="00673F1F" w:rsidRPr="008C08CD">
        <w:rPr>
          <w:sz w:val="20"/>
          <w:lang w:val="bg-BG"/>
        </w:rPr>
        <w:t>Фаза</w:t>
      </w:r>
      <w:r w:rsidRPr="008C08CD">
        <w:rPr>
          <w:sz w:val="20"/>
          <w:lang w:val="bg-BG"/>
        </w:rPr>
        <w:t xml:space="preserve"> 3 България измени НПК, </w:t>
      </w:r>
      <w:r w:rsidR="006951AD" w:rsidRPr="008C08CD">
        <w:rPr>
          <w:sz w:val="20"/>
          <w:lang w:val="bg-BG"/>
        </w:rPr>
        <w:t>ко</w:t>
      </w:r>
      <w:r w:rsidR="006951AD">
        <w:rPr>
          <w:sz w:val="20"/>
          <w:lang w:val="bg-BG"/>
        </w:rPr>
        <w:t>й</w:t>
      </w:r>
      <w:r w:rsidR="006951AD" w:rsidRPr="008C08CD">
        <w:rPr>
          <w:sz w:val="20"/>
          <w:lang w:val="bg-BG"/>
        </w:rPr>
        <w:t xml:space="preserve">то </w:t>
      </w:r>
      <w:r w:rsidRPr="008C08CD">
        <w:rPr>
          <w:sz w:val="20"/>
          <w:lang w:val="bg-BG"/>
        </w:rPr>
        <w:t xml:space="preserve">предвижда разпоредително заседание след внасяне на обвинителния акт в съда (член 248 от НПК). По време на новото </w:t>
      </w:r>
      <w:r w:rsidR="006951AD">
        <w:rPr>
          <w:sz w:val="20"/>
          <w:lang w:val="bg-BG"/>
        </w:rPr>
        <w:t>разпоредително</w:t>
      </w:r>
      <w:r w:rsidR="006951AD" w:rsidRPr="008C08CD">
        <w:rPr>
          <w:sz w:val="20"/>
          <w:lang w:val="bg-BG"/>
        </w:rPr>
        <w:t xml:space="preserve"> </w:t>
      </w:r>
      <w:r w:rsidRPr="008C08CD">
        <w:rPr>
          <w:sz w:val="20"/>
          <w:lang w:val="bg-BG"/>
        </w:rPr>
        <w:t>заседание се обсъждат редица конкретни въпроси, включително допуснато ли е на досъдебното производство отстранимо съществено нарушение на процесуални правила, довело до ограничаване на процесуалните права на обвиняемия, на пострадалия или на неговите наследници, изискващо връщане на делото за отстраняването му.  В разпоредителното заседание не се обсъждат нарушения, свързани с допускането, събирането, проверката и оценката на доказателствата и доказателствените средства (член 248, параграф 2 от НПК</w:t>
      </w:r>
      <w:r w:rsidR="00C67B46">
        <w:rPr>
          <w:sz w:val="20"/>
          <w:lang w:val="bg-BG"/>
        </w:rPr>
        <w:t>)</w:t>
      </w:r>
      <w:r w:rsidR="00FC1A2C" w:rsidRPr="008C08CD">
        <w:rPr>
          <w:sz w:val="20"/>
          <w:lang w:val="bg-BG"/>
        </w:rPr>
        <w:t>.</w:t>
      </w:r>
    </w:p>
    <w:p w14:paraId="75C78FB9" w14:textId="6F688D4B" w:rsidR="00FC1A2C" w:rsidRPr="008C08CD" w:rsidRDefault="00AF2A21" w:rsidP="00DD7407">
      <w:pPr>
        <w:widowControl/>
        <w:numPr>
          <w:ilvl w:val="0"/>
          <w:numId w:val="1"/>
        </w:numPr>
        <w:spacing w:before="120" w:after="120" w:line="260" w:lineRule="atLeast"/>
        <w:rPr>
          <w:sz w:val="20"/>
          <w:lang w:val="bg-BG"/>
        </w:rPr>
      </w:pPr>
      <w:r w:rsidRPr="008C08CD">
        <w:rPr>
          <w:sz w:val="20"/>
          <w:lang w:val="bg-BG"/>
        </w:rPr>
        <w:lastRenderedPageBreak/>
        <w:t xml:space="preserve">Разпоредителното заседание трябва да се проведе в рамките на два месеца (три месеца за </w:t>
      </w:r>
      <w:r w:rsidR="006951AD">
        <w:rPr>
          <w:sz w:val="20"/>
          <w:lang w:val="bg-BG"/>
        </w:rPr>
        <w:t xml:space="preserve">дела с </w:t>
      </w:r>
      <w:r w:rsidR="006951AD" w:rsidRPr="008C08CD">
        <w:rPr>
          <w:sz w:val="20"/>
          <w:lang w:val="bg-BG"/>
        </w:rPr>
        <w:t>фактическ</w:t>
      </w:r>
      <w:r w:rsidR="006951AD">
        <w:rPr>
          <w:sz w:val="20"/>
          <w:lang w:val="bg-BG"/>
        </w:rPr>
        <w:t>а</w:t>
      </w:r>
      <w:r w:rsidR="006951AD" w:rsidRPr="008C08CD">
        <w:rPr>
          <w:sz w:val="20"/>
          <w:lang w:val="bg-BG"/>
        </w:rPr>
        <w:t xml:space="preserve"> </w:t>
      </w:r>
      <w:r w:rsidRPr="008C08CD">
        <w:rPr>
          <w:sz w:val="20"/>
          <w:lang w:val="bg-BG"/>
        </w:rPr>
        <w:t xml:space="preserve">или </w:t>
      </w:r>
      <w:r w:rsidR="006951AD" w:rsidRPr="008C08CD">
        <w:rPr>
          <w:sz w:val="20"/>
          <w:lang w:val="bg-BG"/>
        </w:rPr>
        <w:t>правн</w:t>
      </w:r>
      <w:r w:rsidR="006951AD">
        <w:rPr>
          <w:sz w:val="20"/>
          <w:lang w:val="bg-BG"/>
        </w:rPr>
        <w:t>а</w:t>
      </w:r>
      <w:r w:rsidR="006951AD" w:rsidRPr="008C08CD">
        <w:rPr>
          <w:sz w:val="20"/>
          <w:lang w:val="bg-BG"/>
        </w:rPr>
        <w:t xml:space="preserve"> </w:t>
      </w:r>
      <w:r w:rsidRPr="008C08CD">
        <w:rPr>
          <w:sz w:val="20"/>
          <w:lang w:val="bg-BG"/>
        </w:rPr>
        <w:t xml:space="preserve">сложност), когато делото е от компетентността на съда. След </w:t>
      </w:r>
      <w:r w:rsidR="006951AD">
        <w:rPr>
          <w:sz w:val="20"/>
          <w:lang w:val="bg-BG"/>
        </w:rPr>
        <w:t>разпоредителното</w:t>
      </w:r>
      <w:r w:rsidR="006951AD" w:rsidRPr="008C08CD">
        <w:rPr>
          <w:sz w:val="20"/>
          <w:lang w:val="bg-BG"/>
        </w:rPr>
        <w:t xml:space="preserve"> </w:t>
      </w:r>
      <w:r w:rsidRPr="008C08CD">
        <w:rPr>
          <w:sz w:val="20"/>
          <w:lang w:val="bg-BG"/>
        </w:rPr>
        <w:t>заседание съдът или прекратява съдебното производство, прекратява или спира наказателното производство</w:t>
      </w:r>
      <w:r w:rsidR="00BF54A8">
        <w:rPr>
          <w:sz w:val="20"/>
          <w:lang w:val="bg-BG"/>
        </w:rPr>
        <w:t>,</w:t>
      </w:r>
      <w:r w:rsidRPr="008C08CD">
        <w:rPr>
          <w:sz w:val="20"/>
          <w:lang w:val="bg-BG"/>
        </w:rPr>
        <w:t xml:space="preserve"> или насрочва делото за разглеждане (член 248, параграф 5 от НПК)</w:t>
      </w:r>
      <w:r w:rsidR="00FC1A2C" w:rsidRPr="008C08CD">
        <w:rPr>
          <w:sz w:val="20"/>
          <w:lang w:val="bg-BG"/>
        </w:rPr>
        <w:t xml:space="preserve">. </w:t>
      </w:r>
    </w:p>
    <w:p w14:paraId="03E1A9DE" w14:textId="19017C12" w:rsidR="00FC1A2C" w:rsidRPr="008C08CD" w:rsidRDefault="00C67B46" w:rsidP="008C08CD">
      <w:pPr>
        <w:widowControl/>
        <w:spacing w:before="120" w:after="120" w:line="260" w:lineRule="atLeast"/>
        <w:rPr>
          <w:sz w:val="20"/>
          <w:lang w:val="bg-BG"/>
        </w:rPr>
      </w:pPr>
      <w:r>
        <w:rPr>
          <w:sz w:val="20"/>
          <w:lang w:val="bg-BG"/>
        </w:rPr>
        <w:t xml:space="preserve">104. </w:t>
      </w:r>
      <w:r w:rsidR="00BF54A8">
        <w:rPr>
          <w:sz w:val="20"/>
          <w:lang w:val="bg-BG"/>
        </w:rPr>
        <w:tab/>
      </w:r>
      <w:r w:rsidR="00AF2A21" w:rsidRPr="008C08CD">
        <w:rPr>
          <w:sz w:val="20"/>
          <w:lang w:val="bg-BG"/>
        </w:rPr>
        <w:t xml:space="preserve">Освен това през 2018 г. </w:t>
      </w:r>
      <w:r w:rsidR="001A0D2B">
        <w:rPr>
          <w:sz w:val="20"/>
          <w:lang w:val="bg-BG"/>
        </w:rPr>
        <w:t>Г</w:t>
      </w:r>
      <w:r w:rsidR="00AF2A21" w:rsidRPr="008C08CD">
        <w:rPr>
          <w:sz w:val="20"/>
          <w:lang w:val="bg-BG"/>
        </w:rPr>
        <w:t xml:space="preserve">лавният прокурор одобри Указания за подобряване на работата по наказателно-съдебен надзор, в които </w:t>
      </w:r>
      <w:r w:rsidR="0074474F">
        <w:rPr>
          <w:sz w:val="20"/>
          <w:lang w:val="bg-BG"/>
        </w:rPr>
        <w:t xml:space="preserve">са </w:t>
      </w:r>
      <w:r w:rsidR="00AF2A21" w:rsidRPr="008C08CD">
        <w:rPr>
          <w:sz w:val="20"/>
          <w:lang w:val="bg-BG"/>
        </w:rPr>
        <w:t xml:space="preserve">определени критерии, чрез които се </w:t>
      </w:r>
      <w:r w:rsidR="0074474F">
        <w:rPr>
          <w:sz w:val="20"/>
          <w:lang w:val="bg-BG"/>
        </w:rPr>
        <w:t>отчитат</w:t>
      </w:r>
      <w:r w:rsidR="0074474F" w:rsidRPr="008C08CD">
        <w:rPr>
          <w:sz w:val="20"/>
          <w:lang w:val="bg-BG"/>
        </w:rPr>
        <w:t xml:space="preserve"> </w:t>
      </w:r>
      <w:r w:rsidR="00AF2A21" w:rsidRPr="008C08CD">
        <w:rPr>
          <w:sz w:val="20"/>
          <w:lang w:val="bg-BG"/>
        </w:rPr>
        <w:t xml:space="preserve">и </w:t>
      </w:r>
      <w:r w:rsidR="0074474F" w:rsidRPr="008C08CD">
        <w:rPr>
          <w:sz w:val="20"/>
          <w:lang w:val="bg-BG"/>
        </w:rPr>
        <w:t>анализира</w:t>
      </w:r>
      <w:r w:rsidR="0074474F">
        <w:rPr>
          <w:sz w:val="20"/>
          <w:lang w:val="bg-BG"/>
        </w:rPr>
        <w:t>т</w:t>
      </w:r>
      <w:r w:rsidR="0074474F" w:rsidRPr="008C08CD">
        <w:rPr>
          <w:sz w:val="20"/>
          <w:lang w:val="bg-BG"/>
        </w:rPr>
        <w:t xml:space="preserve"> </w:t>
      </w:r>
      <w:r w:rsidR="00AF2A21" w:rsidRPr="008C08CD">
        <w:rPr>
          <w:sz w:val="20"/>
          <w:lang w:val="bg-BG"/>
        </w:rPr>
        <w:t>причините за връщане на делата</w:t>
      </w:r>
      <w:r w:rsidR="00FC1A2C" w:rsidRPr="008C08CD">
        <w:rPr>
          <w:sz w:val="20"/>
          <w:lang w:val="bg-BG"/>
        </w:rPr>
        <w:t xml:space="preserve">. </w:t>
      </w:r>
      <w:r w:rsidR="00AF2A21" w:rsidRPr="008C08CD">
        <w:rPr>
          <w:sz w:val="20"/>
          <w:lang w:val="bg-BG"/>
        </w:rPr>
        <w:t>Въпреки че България не е предоставила данните във връзка с причините, броят на върнатите дела продължава да намалява от 4,7% от случаите през 2017 г. на 3</w:t>
      </w:r>
      <w:r>
        <w:rPr>
          <w:sz w:val="20"/>
          <w:lang w:val="bg-BG"/>
        </w:rPr>
        <w:t xml:space="preserve"> </w:t>
      </w:r>
      <w:r w:rsidR="0074474F">
        <w:rPr>
          <w:sz w:val="20"/>
          <w:lang w:val="bg-BG"/>
        </w:rPr>
        <w:t>% п</w:t>
      </w:r>
      <w:r>
        <w:rPr>
          <w:sz w:val="20"/>
          <w:lang w:val="bg-BG"/>
        </w:rPr>
        <w:t xml:space="preserve">рез 2020 г. </w:t>
      </w:r>
    </w:p>
    <w:p w14:paraId="033E4E4B" w14:textId="77777777" w:rsidR="00FC1A2C" w:rsidRPr="008C08CD" w:rsidRDefault="00AF2A21" w:rsidP="008C08CD">
      <w:pPr>
        <w:pStyle w:val="Para"/>
        <w:numPr>
          <w:ilvl w:val="0"/>
          <w:numId w:val="55"/>
        </w:numPr>
        <w:rPr>
          <w:lang w:val="bg-BG"/>
        </w:rPr>
      </w:pPr>
      <w:r w:rsidRPr="008C08CD">
        <w:rPr>
          <w:lang w:val="bg-BG"/>
        </w:rPr>
        <w:t xml:space="preserve">Тъй като </w:t>
      </w:r>
      <w:r w:rsidR="003D50A6" w:rsidRPr="000C5383">
        <w:rPr>
          <w:lang w:val="bg-BG"/>
        </w:rPr>
        <w:t>след</w:t>
      </w:r>
      <w:r w:rsidRPr="008C08CD">
        <w:rPr>
          <w:lang w:val="bg-BG"/>
        </w:rPr>
        <w:t xml:space="preserve"> </w:t>
      </w:r>
      <w:r w:rsidR="00673F1F" w:rsidRPr="008C08CD">
        <w:rPr>
          <w:lang w:val="bg-BG"/>
        </w:rPr>
        <w:t>Фаза</w:t>
      </w:r>
      <w:r w:rsidRPr="008C08CD">
        <w:rPr>
          <w:lang w:val="bg-BG"/>
        </w:rPr>
        <w:t xml:space="preserve"> 3 не е имало съдебно </w:t>
      </w:r>
      <w:r w:rsidR="00C67B46" w:rsidRPr="000C5383">
        <w:rPr>
          <w:lang w:val="bg-BG"/>
        </w:rPr>
        <w:t>производство за</w:t>
      </w:r>
      <w:r w:rsidR="00C67B46" w:rsidRPr="008C08CD">
        <w:rPr>
          <w:lang w:val="bg-BG"/>
        </w:rPr>
        <w:t xml:space="preserve"> </w:t>
      </w:r>
      <w:r w:rsidRPr="008C08CD">
        <w:rPr>
          <w:lang w:val="bg-BG"/>
        </w:rPr>
        <w:t xml:space="preserve"> случаи на подкупване на </w:t>
      </w:r>
      <w:r w:rsidR="00313DCE" w:rsidRPr="008C08CD">
        <w:rPr>
          <w:lang w:val="bg-BG"/>
        </w:rPr>
        <w:t>чужди</w:t>
      </w:r>
      <w:r w:rsidRPr="008C08CD">
        <w:rPr>
          <w:lang w:val="bg-BG"/>
        </w:rPr>
        <w:t xml:space="preserve"> длъжностни лица или свързани с тях престъпления, Работната група не е в състояние да оцени предизвикателствата на преследването, пред които е изправена България по случаи на подкупване на </w:t>
      </w:r>
      <w:r w:rsidR="00313DCE" w:rsidRPr="008C08CD">
        <w:rPr>
          <w:lang w:val="bg-BG"/>
        </w:rPr>
        <w:t>чужди</w:t>
      </w:r>
      <w:r w:rsidRPr="008C08CD">
        <w:rPr>
          <w:lang w:val="bg-BG"/>
        </w:rPr>
        <w:t xml:space="preserve"> длъжностни лица</w:t>
      </w:r>
      <w:r w:rsidR="00FC1A2C" w:rsidRPr="008C08CD">
        <w:rPr>
          <w:lang w:val="bg-BG"/>
        </w:rPr>
        <w:t>.</w:t>
      </w:r>
    </w:p>
    <w:p w14:paraId="084E3FE8" w14:textId="77777777" w:rsidR="00FC1A2C" w:rsidRPr="00AF2A21" w:rsidRDefault="00AF2A21" w:rsidP="00FC1A2C">
      <w:pPr>
        <w:widowControl/>
        <w:spacing w:before="120" w:after="120"/>
        <w:ind w:right="-58"/>
        <w:rPr>
          <w:rFonts w:cstheme="minorHAnsi"/>
          <w:b/>
          <w:i/>
          <w:noProof/>
          <w:color w:val="4E81BD" w:themeColor="accent1"/>
          <w:sz w:val="20"/>
          <w:lang w:val="bg-BG"/>
        </w:rPr>
      </w:pPr>
      <w:r>
        <w:rPr>
          <w:rFonts w:cstheme="minorHAnsi"/>
          <w:b/>
          <w:i/>
          <w:noProof/>
          <w:color w:val="4E81BD" w:themeColor="accent1"/>
          <w:sz w:val="20"/>
          <w:lang w:val="bg-BG"/>
        </w:rPr>
        <w:t>Коментар</w:t>
      </w:r>
    </w:p>
    <w:p w14:paraId="3CF664A6" w14:textId="77777777" w:rsidR="00FC1A2C" w:rsidRPr="008C08CD" w:rsidRDefault="00AF2A21" w:rsidP="00FC1A2C">
      <w:pPr>
        <w:widowControl/>
        <w:spacing w:before="120" w:after="120"/>
        <w:ind w:right="-58"/>
        <w:rPr>
          <w:rFonts w:cstheme="minorHAnsi"/>
          <w:b/>
          <w:i/>
          <w:noProof/>
          <w:sz w:val="20"/>
          <w:lang w:val="bg-BG"/>
        </w:rPr>
      </w:pPr>
      <w:r w:rsidRPr="008C08CD">
        <w:rPr>
          <w:rFonts w:cstheme="minorHAnsi"/>
          <w:b/>
          <w:i/>
          <w:noProof/>
          <w:sz w:val="20"/>
          <w:lang w:val="bg-BG"/>
        </w:rPr>
        <w:t xml:space="preserve">Водещите </w:t>
      </w:r>
      <w:r w:rsidR="0006421B" w:rsidRPr="008C08CD">
        <w:rPr>
          <w:rFonts w:cstheme="minorHAnsi"/>
          <w:b/>
          <w:i/>
          <w:noProof/>
          <w:sz w:val="20"/>
          <w:lang w:val="bg-BG"/>
        </w:rPr>
        <w:t>проверители</w:t>
      </w:r>
      <w:r w:rsidRPr="008C08CD">
        <w:rPr>
          <w:rFonts w:cstheme="minorHAnsi"/>
          <w:b/>
          <w:i/>
          <w:noProof/>
          <w:sz w:val="20"/>
          <w:lang w:val="bg-BG"/>
        </w:rPr>
        <w:t xml:space="preserve"> приветстват усилията на България да се справи с въпроса относно върнатите дела, които изглежда са довели до по-нататъшен спад </w:t>
      </w:r>
      <w:r w:rsidR="003D50A6">
        <w:rPr>
          <w:rFonts w:cstheme="minorHAnsi"/>
          <w:b/>
          <w:i/>
          <w:noProof/>
          <w:sz w:val="20"/>
          <w:lang w:val="bg-BG"/>
        </w:rPr>
        <w:t>след</w:t>
      </w:r>
      <w:r w:rsidRPr="008C08CD">
        <w:rPr>
          <w:rFonts w:cstheme="minorHAnsi"/>
          <w:b/>
          <w:i/>
          <w:noProof/>
          <w:sz w:val="20"/>
          <w:lang w:val="bg-BG"/>
        </w:rPr>
        <w:t xml:space="preserve"> </w:t>
      </w:r>
      <w:r w:rsidR="00673F1F" w:rsidRPr="008C08CD">
        <w:rPr>
          <w:rFonts w:cstheme="minorHAnsi"/>
          <w:b/>
          <w:i/>
          <w:noProof/>
          <w:sz w:val="20"/>
          <w:lang w:val="bg-BG"/>
        </w:rPr>
        <w:t>Фаза</w:t>
      </w:r>
      <w:r w:rsidRPr="008C08CD">
        <w:rPr>
          <w:rFonts w:cstheme="minorHAnsi"/>
          <w:b/>
          <w:i/>
          <w:noProof/>
          <w:sz w:val="20"/>
          <w:lang w:val="bg-BG"/>
        </w:rPr>
        <w:t xml:space="preserve"> 3. Въпреки това водещите </w:t>
      </w:r>
      <w:r w:rsidR="0006421B" w:rsidRPr="008C08CD">
        <w:rPr>
          <w:rFonts w:cstheme="minorHAnsi"/>
          <w:b/>
          <w:i/>
          <w:noProof/>
          <w:sz w:val="20"/>
          <w:lang w:val="bg-BG"/>
        </w:rPr>
        <w:t>проверители</w:t>
      </w:r>
      <w:r w:rsidRPr="008C08CD">
        <w:rPr>
          <w:rFonts w:cstheme="minorHAnsi"/>
          <w:b/>
          <w:i/>
          <w:noProof/>
          <w:sz w:val="20"/>
          <w:lang w:val="bg-BG"/>
        </w:rPr>
        <w:t xml:space="preserve"> не са могли да разберат напълно причините за делата, които все още се връщат, тъй</w:t>
      </w:r>
      <w:r w:rsidR="00B03485">
        <w:rPr>
          <w:rFonts w:cstheme="minorHAnsi"/>
          <w:b/>
          <w:i/>
          <w:noProof/>
          <w:sz w:val="20"/>
          <w:lang w:val="bg-BG"/>
        </w:rPr>
        <w:t xml:space="preserve"> </w:t>
      </w:r>
      <w:r w:rsidRPr="008C08CD">
        <w:rPr>
          <w:rFonts w:cstheme="minorHAnsi"/>
          <w:b/>
          <w:i/>
          <w:noProof/>
          <w:sz w:val="20"/>
          <w:lang w:val="bg-BG"/>
        </w:rPr>
        <w:t>като България не е предоставила информацията. Поради това те препоръчват Работната група да продължи да проследява въпроса</w:t>
      </w:r>
      <w:r w:rsidR="00FC1A2C" w:rsidRPr="008C08CD">
        <w:rPr>
          <w:rFonts w:cstheme="minorHAnsi"/>
          <w:b/>
          <w:i/>
          <w:noProof/>
          <w:sz w:val="20"/>
          <w:lang w:val="bg-BG"/>
        </w:rPr>
        <w:t>.</w:t>
      </w:r>
    </w:p>
    <w:p w14:paraId="53801C12" w14:textId="77777777" w:rsidR="00FC1A2C" w:rsidRPr="00FC1A2C" w:rsidRDefault="0074474F" w:rsidP="0074474F">
      <w:pPr>
        <w:pStyle w:val="Heading4"/>
        <w:ind w:left="720" w:hanging="720"/>
      </w:pPr>
      <w:r>
        <w:rPr>
          <w:lang w:val="bg-BG"/>
        </w:rPr>
        <w:t>О</w:t>
      </w:r>
      <w:r w:rsidR="00AF2A21" w:rsidRPr="00AF2A21">
        <w:t>сведоменост и специализация</w:t>
      </w:r>
      <w:r w:rsidRPr="0074474F">
        <w:t xml:space="preserve"> </w:t>
      </w:r>
      <w:r>
        <w:rPr>
          <w:lang w:val="bg-BG"/>
        </w:rPr>
        <w:t xml:space="preserve">сред </w:t>
      </w:r>
      <w:r>
        <w:t>с</w:t>
      </w:r>
      <w:r w:rsidRPr="00AF2A21">
        <w:t>ъд</w:t>
      </w:r>
      <w:r>
        <w:t>илищата</w:t>
      </w:r>
    </w:p>
    <w:p w14:paraId="74C1BF0B" w14:textId="5B24C148" w:rsidR="00FC1A2C" w:rsidRPr="00FC1A2C" w:rsidRDefault="008C5CBF" w:rsidP="00DD7407">
      <w:pPr>
        <w:widowControl/>
        <w:numPr>
          <w:ilvl w:val="0"/>
          <w:numId w:val="1"/>
        </w:numPr>
        <w:spacing w:before="120" w:after="120" w:line="260" w:lineRule="atLeast"/>
        <w:rPr>
          <w:sz w:val="20"/>
        </w:rPr>
      </w:pPr>
      <w:r w:rsidRPr="008C5CBF">
        <w:rPr>
          <w:sz w:val="20"/>
        </w:rPr>
        <w:t>По време на виртуалн</w:t>
      </w:r>
      <w:r w:rsidR="00EC19B7">
        <w:rPr>
          <w:sz w:val="20"/>
          <w:lang w:val="bg-BG"/>
        </w:rPr>
        <w:t>ото посещение</w:t>
      </w:r>
      <w:r w:rsidRPr="008C5CBF">
        <w:rPr>
          <w:sz w:val="20"/>
        </w:rPr>
        <w:t xml:space="preserve"> присъстващите съдии заявиха, че нямат опит с дела </w:t>
      </w:r>
      <w:r w:rsidR="0074474F">
        <w:rPr>
          <w:sz w:val="20"/>
          <w:lang w:val="bg-BG"/>
        </w:rPr>
        <w:t>за подкуп</w:t>
      </w:r>
      <w:r w:rsidRPr="008C5CBF">
        <w:rPr>
          <w:sz w:val="20"/>
        </w:rPr>
        <w:t xml:space="preserve"> на </w:t>
      </w:r>
      <w:r w:rsidR="00313DCE">
        <w:rPr>
          <w:sz w:val="20"/>
        </w:rPr>
        <w:t>чужди</w:t>
      </w:r>
      <w:r w:rsidRPr="008C5CBF">
        <w:rPr>
          <w:sz w:val="20"/>
        </w:rPr>
        <w:t xml:space="preserve"> длъжностни лица, а само с дела </w:t>
      </w:r>
      <w:r w:rsidR="0074474F">
        <w:rPr>
          <w:sz w:val="20"/>
          <w:lang w:val="bg-BG"/>
        </w:rPr>
        <w:t>за</w:t>
      </w:r>
      <w:r w:rsidR="0074474F" w:rsidRPr="008C5CBF">
        <w:rPr>
          <w:sz w:val="20"/>
        </w:rPr>
        <w:t xml:space="preserve"> </w:t>
      </w:r>
      <w:r w:rsidRPr="008C5CBF">
        <w:rPr>
          <w:sz w:val="20"/>
        </w:rPr>
        <w:t xml:space="preserve">подкуп на </w:t>
      </w:r>
      <w:r w:rsidR="0074474F">
        <w:rPr>
          <w:sz w:val="20"/>
          <w:lang w:val="bg-BG"/>
        </w:rPr>
        <w:t>местни</w:t>
      </w:r>
      <w:r w:rsidR="0074474F" w:rsidRPr="008C5CBF">
        <w:rPr>
          <w:sz w:val="20"/>
        </w:rPr>
        <w:t xml:space="preserve"> </w:t>
      </w:r>
      <w:r w:rsidRPr="008C5CBF">
        <w:rPr>
          <w:sz w:val="20"/>
        </w:rPr>
        <w:t xml:space="preserve">длъжностни лица. На първа инстанция съответният </w:t>
      </w:r>
      <w:r w:rsidR="00EC19B7">
        <w:rPr>
          <w:sz w:val="20"/>
          <w:lang w:val="bg-BG"/>
        </w:rPr>
        <w:t>окръжен</w:t>
      </w:r>
      <w:r w:rsidR="00EC19B7" w:rsidRPr="008C5CBF">
        <w:rPr>
          <w:sz w:val="20"/>
        </w:rPr>
        <w:t xml:space="preserve"> </w:t>
      </w:r>
      <w:r w:rsidRPr="008C5CBF">
        <w:rPr>
          <w:sz w:val="20"/>
        </w:rPr>
        <w:t xml:space="preserve">съд, където е извършено престъплението, ще разгледа случая на подкуп на </w:t>
      </w:r>
      <w:r w:rsidR="00313DCE">
        <w:rPr>
          <w:sz w:val="20"/>
        </w:rPr>
        <w:t>чужди</w:t>
      </w:r>
      <w:r w:rsidRPr="008C5CBF">
        <w:rPr>
          <w:sz w:val="20"/>
        </w:rPr>
        <w:t xml:space="preserve"> длъжностни лица (членове 35 и 36 от НПК), освен ако лицето е чужденец или престъплението е извършено в съучастие с чужденец, в който случай това ще бъде Софийският градски съд (член 37 от НПК). </w:t>
      </w:r>
    </w:p>
    <w:p w14:paraId="47CB0766" w14:textId="54160707" w:rsidR="00FC1A2C" w:rsidRPr="00FC1A2C" w:rsidRDefault="001053A6" w:rsidP="00DD7407">
      <w:pPr>
        <w:widowControl/>
        <w:numPr>
          <w:ilvl w:val="0"/>
          <w:numId w:val="1"/>
        </w:numPr>
        <w:spacing w:before="120" w:after="120" w:line="260" w:lineRule="atLeast"/>
        <w:rPr>
          <w:sz w:val="20"/>
        </w:rPr>
      </w:pPr>
      <w:r>
        <w:rPr>
          <w:sz w:val="20"/>
          <w:lang w:val="bg-BG"/>
        </w:rPr>
        <w:t>Като се възложи основната отг</w:t>
      </w:r>
      <w:r w:rsidR="00EC229F">
        <w:rPr>
          <w:sz w:val="20"/>
          <w:lang w:val="bg-BG"/>
        </w:rPr>
        <w:t>о</w:t>
      </w:r>
      <w:r>
        <w:rPr>
          <w:sz w:val="20"/>
          <w:lang w:val="bg-BG"/>
        </w:rPr>
        <w:t xml:space="preserve">ворност за </w:t>
      </w:r>
      <w:r w:rsidR="008C5CBF" w:rsidRPr="008C5CBF">
        <w:rPr>
          <w:sz w:val="20"/>
        </w:rPr>
        <w:t>дела</w:t>
      </w:r>
      <w:r>
        <w:rPr>
          <w:sz w:val="20"/>
          <w:lang w:val="bg-BG"/>
        </w:rPr>
        <w:t>та</w:t>
      </w:r>
      <w:r w:rsidR="008C5CBF" w:rsidRPr="008C5CBF">
        <w:rPr>
          <w:sz w:val="20"/>
        </w:rPr>
        <w:t xml:space="preserve"> </w:t>
      </w:r>
      <w:r w:rsidR="00D30870">
        <w:rPr>
          <w:sz w:val="20"/>
          <w:lang w:val="bg-BG"/>
        </w:rPr>
        <w:t>за</w:t>
      </w:r>
      <w:r w:rsidR="00D30870" w:rsidRPr="008C5CBF">
        <w:rPr>
          <w:sz w:val="20"/>
        </w:rPr>
        <w:t xml:space="preserve"> </w:t>
      </w:r>
      <w:r w:rsidR="008C5CBF" w:rsidRPr="008C5CBF">
        <w:rPr>
          <w:sz w:val="20"/>
        </w:rPr>
        <w:t xml:space="preserve">подкуп на </w:t>
      </w:r>
      <w:r w:rsidR="00313DCE">
        <w:rPr>
          <w:sz w:val="20"/>
        </w:rPr>
        <w:t>чужди</w:t>
      </w:r>
      <w:r w:rsidR="008C5CBF" w:rsidRPr="008C5CBF">
        <w:rPr>
          <w:sz w:val="20"/>
        </w:rPr>
        <w:t xml:space="preserve"> длъжностни лица на </w:t>
      </w:r>
      <w:r>
        <w:rPr>
          <w:sz w:val="20"/>
          <w:lang w:val="bg-BG"/>
        </w:rPr>
        <w:t xml:space="preserve">специализирани </w:t>
      </w:r>
      <w:r w:rsidR="008C5CBF" w:rsidRPr="008C5CBF">
        <w:rPr>
          <w:sz w:val="20"/>
        </w:rPr>
        <w:t>прокур</w:t>
      </w:r>
      <w:r>
        <w:rPr>
          <w:sz w:val="20"/>
          <w:lang w:val="bg-BG"/>
        </w:rPr>
        <w:t>ори, тогава и</w:t>
      </w:r>
      <w:r w:rsidR="008C5CBF" w:rsidRPr="008C5CBF">
        <w:rPr>
          <w:sz w:val="20"/>
        </w:rPr>
        <w:t xml:space="preserve"> съответният съд ще разгле</w:t>
      </w:r>
      <w:r>
        <w:rPr>
          <w:sz w:val="20"/>
          <w:lang w:val="bg-BG"/>
        </w:rPr>
        <w:t>ж</w:t>
      </w:r>
      <w:r w:rsidR="008C5CBF" w:rsidRPr="008C5CBF">
        <w:rPr>
          <w:sz w:val="20"/>
        </w:rPr>
        <w:t xml:space="preserve">да тези дела и ще развие своя собствена </w:t>
      </w:r>
      <w:r w:rsidR="004F568F">
        <w:rPr>
          <w:sz w:val="20"/>
          <w:lang w:val="bg-BG"/>
        </w:rPr>
        <w:t>експертиза</w:t>
      </w:r>
      <w:r w:rsidR="00FC1A2C" w:rsidRPr="00FC1A2C">
        <w:rPr>
          <w:sz w:val="20"/>
        </w:rPr>
        <w:t xml:space="preserve">. </w:t>
      </w:r>
    </w:p>
    <w:p w14:paraId="52E7BE61" w14:textId="77777777" w:rsidR="00FC1A2C" w:rsidRPr="00FC1A2C" w:rsidRDefault="008C5CBF" w:rsidP="0074474F">
      <w:pPr>
        <w:pStyle w:val="Heading4"/>
        <w:ind w:left="720" w:hanging="720"/>
      </w:pPr>
      <w:r>
        <w:rPr>
          <w:lang w:val="bg-BG"/>
        </w:rPr>
        <w:t>Независимост</w:t>
      </w:r>
    </w:p>
    <w:p w14:paraId="1F7F5F6A" w14:textId="024C5C8F" w:rsidR="00FC1A2C" w:rsidRPr="00FC1A2C" w:rsidRDefault="008C5CBF" w:rsidP="00DD7407">
      <w:pPr>
        <w:widowControl/>
        <w:numPr>
          <w:ilvl w:val="0"/>
          <w:numId w:val="1"/>
        </w:numPr>
        <w:spacing w:before="120" w:after="120" w:line="260" w:lineRule="atLeast"/>
        <w:rPr>
          <w:sz w:val="20"/>
        </w:rPr>
      </w:pPr>
      <w:r w:rsidRPr="008C5CBF">
        <w:rPr>
          <w:sz w:val="20"/>
        </w:rPr>
        <w:t xml:space="preserve">Както и по </w:t>
      </w:r>
      <w:r w:rsidR="00673F1F">
        <w:rPr>
          <w:sz w:val="20"/>
        </w:rPr>
        <w:t>Фаза</w:t>
      </w:r>
      <w:r w:rsidRPr="008C5CBF">
        <w:rPr>
          <w:sz w:val="20"/>
        </w:rPr>
        <w:t xml:space="preserve"> 3, българските власти са на мнение, че Конституцията и </w:t>
      </w:r>
      <w:r w:rsidR="00D30870">
        <w:rPr>
          <w:sz w:val="20"/>
          <w:lang w:val="bg-BG"/>
        </w:rPr>
        <w:t>законите</w:t>
      </w:r>
      <w:r w:rsidR="00D30870" w:rsidRPr="008C5CBF">
        <w:rPr>
          <w:sz w:val="20"/>
        </w:rPr>
        <w:t xml:space="preserve"> </w:t>
      </w:r>
      <w:r w:rsidRPr="008C5CBF">
        <w:rPr>
          <w:sz w:val="20"/>
        </w:rPr>
        <w:t>адекватно гарантират независимостта на съдиите и прокурорите. По-специално, тъй като прокурорите са част от съдебната система, България твърди, че</w:t>
      </w:r>
      <w:r w:rsidR="00D30870">
        <w:rPr>
          <w:sz w:val="20"/>
          <w:lang w:val="bg-BG"/>
        </w:rPr>
        <w:t xml:space="preserve"> това</w:t>
      </w:r>
      <w:r w:rsidRPr="008C5CBF">
        <w:rPr>
          <w:sz w:val="20"/>
        </w:rPr>
        <w:t xml:space="preserve"> предотвратява неправомерното влияние и </w:t>
      </w:r>
      <w:r w:rsidR="00E71372">
        <w:rPr>
          <w:sz w:val="20"/>
          <w:lang w:val="bg-BG"/>
        </w:rPr>
        <w:t>МП</w:t>
      </w:r>
      <w:r w:rsidRPr="008C5CBF">
        <w:rPr>
          <w:sz w:val="20"/>
        </w:rPr>
        <w:t xml:space="preserve"> не може да се намесва</w:t>
      </w:r>
      <w:r w:rsidR="00FC1A2C" w:rsidRPr="00FC1A2C">
        <w:rPr>
          <w:sz w:val="20"/>
        </w:rPr>
        <w:t xml:space="preserve">. </w:t>
      </w:r>
    </w:p>
    <w:p w14:paraId="747C269E" w14:textId="32BF8B23" w:rsidR="00FC1A2C" w:rsidRPr="00FC1A2C" w:rsidRDefault="00A61CB9" w:rsidP="00DD7407">
      <w:pPr>
        <w:widowControl/>
        <w:numPr>
          <w:ilvl w:val="0"/>
          <w:numId w:val="1"/>
        </w:numPr>
        <w:spacing w:before="120" w:after="120" w:line="260" w:lineRule="atLeast"/>
        <w:rPr>
          <w:rFonts w:cstheme="minorHAnsi"/>
          <w:sz w:val="20"/>
        </w:rPr>
      </w:pPr>
      <w:r w:rsidRPr="00A61CB9">
        <w:rPr>
          <w:sz w:val="20"/>
        </w:rPr>
        <w:t xml:space="preserve">От 2016 г. прокуратурата е претърпяла редица реформи, целящи преструктуриране на службата, например прокурорите станаха подчинени на административните ръководители на прокуратурата си, а не директно на </w:t>
      </w:r>
      <w:r w:rsidR="004F568F">
        <w:rPr>
          <w:sz w:val="20"/>
          <w:lang w:val="bg-BG"/>
        </w:rPr>
        <w:t>г</w:t>
      </w:r>
      <w:r w:rsidRPr="00A61CB9">
        <w:rPr>
          <w:sz w:val="20"/>
        </w:rPr>
        <w:t>лавния прокурор (член 136, параграфи 3 и 4 от ЗСВ</w:t>
      </w:r>
      <w:r w:rsidR="00FC1A2C" w:rsidRPr="00FC1A2C">
        <w:rPr>
          <w:rFonts w:cstheme="minorHAnsi"/>
          <w:sz w:val="20"/>
        </w:rPr>
        <w:t>).</w:t>
      </w:r>
      <w:r w:rsidR="00FC1A2C" w:rsidRPr="00FC1A2C">
        <w:rPr>
          <w:rFonts w:cstheme="minorHAnsi"/>
          <w:vertAlign w:val="superscript"/>
        </w:rPr>
        <w:footnoteReference w:id="38"/>
      </w:r>
      <w:r w:rsidR="00FC1A2C" w:rsidRPr="00FC1A2C">
        <w:rPr>
          <w:rFonts w:cstheme="minorHAnsi"/>
          <w:sz w:val="20"/>
        </w:rPr>
        <w:t xml:space="preserve"> </w:t>
      </w:r>
      <w:r w:rsidRPr="00A61CB9">
        <w:rPr>
          <w:rFonts w:cstheme="minorHAnsi"/>
          <w:sz w:val="20"/>
        </w:rPr>
        <w:t xml:space="preserve">Въпреки този напредък, </w:t>
      </w:r>
      <w:r w:rsidR="004F568F">
        <w:rPr>
          <w:rFonts w:cstheme="minorHAnsi"/>
          <w:sz w:val="20"/>
          <w:lang w:val="bg-BG"/>
        </w:rPr>
        <w:t>г</w:t>
      </w:r>
      <w:r w:rsidRPr="00A61CB9">
        <w:rPr>
          <w:rFonts w:cstheme="minorHAnsi"/>
          <w:sz w:val="20"/>
        </w:rPr>
        <w:t>лавният прокурор</w:t>
      </w:r>
      <w:r w:rsidR="007C6711">
        <w:rPr>
          <w:rFonts w:cstheme="minorHAnsi"/>
          <w:sz w:val="20"/>
          <w:lang w:val="bg-BG"/>
        </w:rPr>
        <w:t>, съгласно закона,</w:t>
      </w:r>
      <w:r w:rsidRPr="00A61CB9">
        <w:rPr>
          <w:rFonts w:cstheme="minorHAnsi"/>
          <w:sz w:val="20"/>
        </w:rPr>
        <w:t xml:space="preserve"> все още оказва значително влияние, тъй като </w:t>
      </w:r>
      <w:r w:rsidR="004F568F">
        <w:rPr>
          <w:rFonts w:cstheme="minorHAnsi"/>
          <w:sz w:val="20"/>
          <w:lang w:val="bg-BG"/>
        </w:rPr>
        <w:t>г</w:t>
      </w:r>
      <w:r w:rsidRPr="00A61CB9">
        <w:rPr>
          <w:rFonts w:cstheme="minorHAnsi"/>
          <w:sz w:val="20"/>
        </w:rPr>
        <w:t xml:space="preserve">лавният прокурор може да отмени или измени всяко решение, взето от който и да е прокурор, което не е </w:t>
      </w:r>
      <w:r w:rsidR="00717EF9">
        <w:rPr>
          <w:rFonts w:cstheme="minorHAnsi"/>
          <w:sz w:val="20"/>
          <w:lang w:val="bg-BG"/>
        </w:rPr>
        <w:t>било предмет на съдебен контрол</w:t>
      </w:r>
      <w:r w:rsidRPr="00A61CB9">
        <w:rPr>
          <w:rFonts w:cstheme="minorHAnsi"/>
          <w:sz w:val="20"/>
        </w:rPr>
        <w:t xml:space="preserve"> (член 139, параграф 2 от ЗСВ и член 243 </w:t>
      </w:r>
      <w:r w:rsidRPr="00A61CB9">
        <w:rPr>
          <w:rFonts w:cstheme="minorHAnsi"/>
          <w:sz w:val="20"/>
        </w:rPr>
        <w:lastRenderedPageBreak/>
        <w:t>НПК)</w:t>
      </w:r>
      <w:r w:rsidR="007C6711">
        <w:rPr>
          <w:rStyle w:val="FootnoteReference"/>
          <w:rFonts w:cstheme="minorHAnsi"/>
        </w:rPr>
        <w:footnoteReference w:id="39"/>
      </w:r>
      <w:r w:rsidRPr="00A61CB9">
        <w:rPr>
          <w:rFonts w:cstheme="minorHAnsi"/>
          <w:sz w:val="20"/>
        </w:rPr>
        <w:t xml:space="preserve">. Освен това, </w:t>
      </w:r>
      <w:r w:rsidR="004F568F">
        <w:rPr>
          <w:rFonts w:cstheme="minorHAnsi"/>
          <w:sz w:val="20"/>
          <w:lang w:val="bg-BG"/>
        </w:rPr>
        <w:t>г</w:t>
      </w:r>
      <w:r w:rsidRPr="00A61CB9">
        <w:rPr>
          <w:rFonts w:cstheme="minorHAnsi"/>
          <w:sz w:val="20"/>
        </w:rPr>
        <w:t xml:space="preserve">лавният прокурор може да </w:t>
      </w:r>
      <w:r w:rsidR="004F568F">
        <w:rPr>
          <w:rFonts w:cstheme="minorHAnsi"/>
          <w:sz w:val="20"/>
          <w:lang w:val="bg-BG"/>
        </w:rPr>
        <w:t>командирова</w:t>
      </w:r>
      <w:r w:rsidR="004F568F" w:rsidRPr="00A61CB9">
        <w:rPr>
          <w:rFonts w:cstheme="minorHAnsi"/>
          <w:sz w:val="20"/>
        </w:rPr>
        <w:t xml:space="preserve"> </w:t>
      </w:r>
      <w:r w:rsidRPr="00A61CB9">
        <w:rPr>
          <w:rFonts w:cstheme="minorHAnsi"/>
          <w:sz w:val="20"/>
        </w:rPr>
        <w:t xml:space="preserve">прокурори без тяхно съгласие за срок от 3 месеца в рамките на една календарна година и да им издаде писмени инструкции, включително по определени дела. Според доклада за върховенството на </w:t>
      </w:r>
      <w:r w:rsidR="00717EF9">
        <w:rPr>
          <w:rFonts w:cstheme="minorHAnsi"/>
          <w:sz w:val="20"/>
          <w:lang w:val="bg-BG"/>
        </w:rPr>
        <w:t>правото</w:t>
      </w:r>
      <w:r w:rsidR="00717EF9" w:rsidRPr="00A61CB9">
        <w:rPr>
          <w:rFonts w:cstheme="minorHAnsi"/>
          <w:sz w:val="20"/>
        </w:rPr>
        <w:t xml:space="preserve"> </w:t>
      </w:r>
      <w:r w:rsidRPr="00A61CB9">
        <w:rPr>
          <w:rFonts w:cstheme="minorHAnsi"/>
          <w:sz w:val="20"/>
        </w:rPr>
        <w:t xml:space="preserve">всички прокурори и следователи са </w:t>
      </w:r>
      <w:r w:rsidR="00717EF9" w:rsidRPr="00A61CB9">
        <w:rPr>
          <w:rFonts w:cstheme="minorHAnsi"/>
          <w:sz w:val="20"/>
        </w:rPr>
        <w:t xml:space="preserve">де факто </w:t>
      </w:r>
      <w:r w:rsidRPr="00A61CB9">
        <w:rPr>
          <w:rFonts w:cstheme="minorHAnsi"/>
          <w:sz w:val="20"/>
        </w:rPr>
        <w:t xml:space="preserve">подчинени на </w:t>
      </w:r>
      <w:r w:rsidR="004F568F">
        <w:rPr>
          <w:rFonts w:cstheme="minorHAnsi"/>
          <w:sz w:val="20"/>
          <w:lang w:val="bg-BG"/>
        </w:rPr>
        <w:t>г</w:t>
      </w:r>
      <w:r w:rsidRPr="00A61CB9">
        <w:rPr>
          <w:rFonts w:cstheme="minorHAnsi"/>
          <w:sz w:val="20"/>
        </w:rPr>
        <w:t>лавния прокурор</w:t>
      </w:r>
      <w:r w:rsidR="00FC1A2C" w:rsidRPr="00FC1A2C">
        <w:rPr>
          <w:rFonts w:cstheme="minorHAnsi"/>
          <w:sz w:val="20"/>
          <w:szCs w:val="20"/>
        </w:rPr>
        <w:t>.</w:t>
      </w:r>
      <w:r w:rsidR="00FC1A2C" w:rsidRPr="00FC1A2C">
        <w:rPr>
          <w:rFonts w:cstheme="minorHAnsi"/>
          <w:sz w:val="20"/>
          <w:szCs w:val="20"/>
          <w:vertAlign w:val="superscript"/>
        </w:rPr>
        <w:footnoteReference w:id="40"/>
      </w:r>
    </w:p>
    <w:p w14:paraId="59E275AE" w14:textId="77777777" w:rsidR="00FC1A2C" w:rsidRDefault="00973CA2" w:rsidP="00DD7407">
      <w:pPr>
        <w:widowControl/>
        <w:numPr>
          <w:ilvl w:val="0"/>
          <w:numId w:val="1"/>
        </w:numPr>
        <w:spacing w:before="120" w:after="120" w:line="260" w:lineRule="atLeast"/>
        <w:rPr>
          <w:rFonts w:cstheme="minorHAnsi"/>
          <w:sz w:val="20"/>
        </w:rPr>
      </w:pPr>
      <w:r w:rsidRPr="00973CA2">
        <w:rPr>
          <w:rFonts w:cstheme="minorHAnsi"/>
          <w:sz w:val="20"/>
        </w:rPr>
        <w:t>По време на виртуалн</w:t>
      </w:r>
      <w:r w:rsidR="004F568F">
        <w:rPr>
          <w:rFonts w:cstheme="minorHAnsi"/>
          <w:sz w:val="20"/>
          <w:lang w:val="bg-BG"/>
        </w:rPr>
        <w:t>ото посещение</w:t>
      </w:r>
      <w:r w:rsidRPr="00973CA2">
        <w:rPr>
          <w:rFonts w:cstheme="minorHAnsi"/>
          <w:sz w:val="20"/>
        </w:rPr>
        <w:t xml:space="preserve"> участниците в дискусиите като цяло се съгласиха, че съдиите и прокурорите са независими, въпреки че един от </w:t>
      </w:r>
      <w:r w:rsidR="00717EF9">
        <w:rPr>
          <w:rFonts w:cstheme="minorHAnsi"/>
          <w:sz w:val="20"/>
          <w:lang w:val="bg-BG"/>
        </w:rPr>
        <w:t xml:space="preserve">участниците в срещите </w:t>
      </w:r>
      <w:r w:rsidRPr="00973CA2">
        <w:rPr>
          <w:rFonts w:cstheme="minorHAnsi"/>
          <w:sz w:val="20"/>
        </w:rPr>
        <w:t>повдигна въпрос</w:t>
      </w:r>
      <w:r w:rsidR="00717EF9">
        <w:rPr>
          <w:rFonts w:cstheme="minorHAnsi"/>
          <w:sz w:val="20"/>
          <w:lang w:val="bg-BG"/>
        </w:rPr>
        <w:t>, свързан</w:t>
      </w:r>
      <w:r w:rsidRPr="00973CA2">
        <w:rPr>
          <w:rFonts w:cstheme="minorHAnsi"/>
          <w:sz w:val="20"/>
        </w:rPr>
        <w:t xml:space="preserve"> с предложени промени в законодателството, които, ако бъдат приети, биха могли да доведат до политически назначения в органа, който санкционира магистратите и </w:t>
      </w:r>
      <w:r w:rsidR="00717EF9">
        <w:rPr>
          <w:rFonts w:cstheme="minorHAnsi"/>
          <w:sz w:val="20"/>
          <w:lang w:val="bg-BG"/>
        </w:rPr>
        <w:t xml:space="preserve">би могъл да </w:t>
      </w:r>
      <w:r w:rsidRPr="00973CA2">
        <w:rPr>
          <w:rFonts w:cstheme="minorHAnsi"/>
          <w:sz w:val="20"/>
        </w:rPr>
        <w:t>създа</w:t>
      </w:r>
      <w:r w:rsidR="00717EF9">
        <w:rPr>
          <w:rFonts w:cstheme="minorHAnsi"/>
          <w:sz w:val="20"/>
          <w:lang w:val="bg-BG"/>
        </w:rPr>
        <w:t>де</w:t>
      </w:r>
      <w:r w:rsidRPr="00973CA2">
        <w:rPr>
          <w:rFonts w:cstheme="minorHAnsi"/>
          <w:sz w:val="20"/>
        </w:rPr>
        <w:t xml:space="preserve"> дългосрочен проблем за независимостта на прокуратурата. </w:t>
      </w:r>
      <w:r w:rsidR="007B2A86">
        <w:rPr>
          <w:rFonts w:cstheme="minorHAnsi"/>
          <w:sz w:val="20"/>
          <w:lang w:val="bg-BG"/>
        </w:rPr>
        <w:t>След като беше потърсена да</w:t>
      </w:r>
      <w:r w:rsidRPr="00973CA2">
        <w:rPr>
          <w:rFonts w:cstheme="minorHAnsi"/>
          <w:sz w:val="20"/>
        </w:rPr>
        <w:t xml:space="preserve"> </w:t>
      </w:r>
      <w:r w:rsidR="007B2A86">
        <w:rPr>
          <w:rFonts w:cstheme="minorHAnsi"/>
          <w:sz w:val="20"/>
          <w:lang w:val="bg-BG"/>
        </w:rPr>
        <w:t xml:space="preserve">предостави </w:t>
      </w:r>
      <w:r w:rsidRPr="00973CA2">
        <w:rPr>
          <w:rFonts w:cstheme="minorHAnsi"/>
          <w:sz w:val="20"/>
        </w:rPr>
        <w:t>разяснения по този</w:t>
      </w:r>
      <w:r w:rsidR="00717EF9">
        <w:rPr>
          <w:rFonts w:cstheme="minorHAnsi"/>
          <w:sz w:val="20"/>
          <w:lang w:val="bg-BG"/>
        </w:rPr>
        <w:t xml:space="preserve"> въпрос</w:t>
      </w:r>
      <w:r w:rsidRPr="00973CA2">
        <w:rPr>
          <w:rFonts w:cstheme="minorHAnsi"/>
          <w:sz w:val="20"/>
        </w:rPr>
        <w:t>, България заяви, че не е запозната с такива предложени промени</w:t>
      </w:r>
      <w:r w:rsidR="00FC1A2C" w:rsidRPr="00FC1A2C">
        <w:rPr>
          <w:rFonts w:cstheme="minorHAnsi"/>
          <w:sz w:val="20"/>
        </w:rPr>
        <w:t>.</w:t>
      </w:r>
    </w:p>
    <w:p w14:paraId="5FC97ED5" w14:textId="77777777" w:rsidR="00DA2CD1" w:rsidRPr="00973CA2" w:rsidRDefault="00973CA2" w:rsidP="00DA2CD1">
      <w:pPr>
        <w:pStyle w:val="Para"/>
        <w:numPr>
          <w:ilvl w:val="0"/>
          <w:numId w:val="0"/>
        </w:numPr>
        <w:rPr>
          <w:rFonts w:cstheme="minorHAnsi"/>
          <w:b/>
          <w:i/>
          <w:noProof/>
          <w:color w:val="4E81BD" w:themeColor="accent1"/>
          <w:lang w:val="bg-BG"/>
        </w:rPr>
      </w:pPr>
      <w:r>
        <w:rPr>
          <w:rFonts w:cstheme="minorHAnsi"/>
          <w:b/>
          <w:i/>
          <w:noProof/>
          <w:color w:val="4E81BD" w:themeColor="accent1"/>
          <w:lang w:val="bg-BG"/>
        </w:rPr>
        <w:t>Коментар</w:t>
      </w:r>
    </w:p>
    <w:p w14:paraId="50139D6D" w14:textId="468797EA" w:rsidR="00DA2CD1" w:rsidRPr="008C08CD" w:rsidRDefault="00973CA2" w:rsidP="008C08CD">
      <w:pPr>
        <w:pStyle w:val="Para"/>
        <w:numPr>
          <w:ilvl w:val="0"/>
          <w:numId w:val="0"/>
        </w:numPr>
        <w:rPr>
          <w:lang w:val="bg-BG"/>
        </w:rPr>
      </w:pPr>
      <w:r w:rsidRPr="008C08CD">
        <w:rPr>
          <w:rFonts w:cstheme="minorHAnsi"/>
          <w:b/>
          <w:i/>
          <w:noProof/>
          <w:lang w:val="bg-BG"/>
        </w:rPr>
        <w:t xml:space="preserve">Докато водещите </w:t>
      </w:r>
      <w:r w:rsidR="0006421B" w:rsidRPr="008C08CD">
        <w:rPr>
          <w:rFonts w:cstheme="minorHAnsi"/>
          <w:b/>
          <w:i/>
          <w:noProof/>
          <w:lang w:val="bg-BG"/>
        </w:rPr>
        <w:t>проверители</w:t>
      </w:r>
      <w:r w:rsidRPr="008C08CD">
        <w:rPr>
          <w:rFonts w:cstheme="minorHAnsi"/>
          <w:b/>
          <w:i/>
          <w:noProof/>
          <w:lang w:val="bg-BG"/>
        </w:rPr>
        <w:t xml:space="preserve"> приветстват направените от България реформи, те препоръчват </w:t>
      </w:r>
      <w:r w:rsidR="00EC229F">
        <w:rPr>
          <w:rFonts w:cstheme="minorHAnsi"/>
          <w:b/>
          <w:i/>
          <w:noProof/>
          <w:lang w:val="bg-BG"/>
        </w:rPr>
        <w:t>на Работната група да проследи тяхното прилагане, за</w:t>
      </w:r>
      <w:r w:rsidRPr="008C08CD">
        <w:rPr>
          <w:rFonts w:cstheme="minorHAnsi"/>
          <w:b/>
          <w:i/>
          <w:noProof/>
          <w:lang w:val="bg-BG"/>
        </w:rPr>
        <w:t xml:space="preserve"> да </w:t>
      </w:r>
      <w:r w:rsidR="00EC229F">
        <w:rPr>
          <w:rFonts w:cstheme="minorHAnsi"/>
          <w:b/>
          <w:i/>
          <w:noProof/>
          <w:lang w:val="bg-BG"/>
        </w:rPr>
        <w:t xml:space="preserve">се </w:t>
      </w:r>
      <w:r w:rsidRPr="008C08CD">
        <w:rPr>
          <w:rFonts w:cstheme="minorHAnsi"/>
          <w:b/>
          <w:i/>
          <w:noProof/>
          <w:lang w:val="bg-BG"/>
        </w:rPr>
        <w:t xml:space="preserve">гарантира, че прокурорите, които водят дела </w:t>
      </w:r>
      <w:r w:rsidR="00DB2FBF">
        <w:rPr>
          <w:rFonts w:cstheme="minorHAnsi"/>
          <w:b/>
          <w:i/>
          <w:noProof/>
          <w:lang w:val="bg-BG"/>
        </w:rPr>
        <w:t>з</w:t>
      </w:r>
      <w:r w:rsidRPr="008C08CD">
        <w:rPr>
          <w:rFonts w:cstheme="minorHAnsi"/>
          <w:b/>
          <w:i/>
          <w:noProof/>
          <w:lang w:val="bg-BG"/>
        </w:rPr>
        <w:t xml:space="preserve">а подкуп на </w:t>
      </w:r>
      <w:r w:rsidR="00313DCE" w:rsidRPr="008C08CD">
        <w:rPr>
          <w:rFonts w:cstheme="minorHAnsi"/>
          <w:b/>
          <w:i/>
          <w:noProof/>
          <w:lang w:val="bg-BG"/>
        </w:rPr>
        <w:t>чужди</w:t>
      </w:r>
      <w:r w:rsidRPr="008C08CD">
        <w:rPr>
          <w:rFonts w:cstheme="minorHAnsi"/>
          <w:b/>
          <w:i/>
          <w:noProof/>
          <w:lang w:val="bg-BG"/>
        </w:rPr>
        <w:t xml:space="preserve"> длъжностни лица, не са подложени на </w:t>
      </w:r>
      <w:r w:rsidR="00DB2FBF">
        <w:rPr>
          <w:rFonts w:cstheme="minorHAnsi"/>
          <w:b/>
          <w:i/>
          <w:noProof/>
          <w:lang w:val="bg-BG"/>
        </w:rPr>
        <w:t xml:space="preserve">потенциална </w:t>
      </w:r>
      <w:r w:rsidRPr="008C08CD">
        <w:rPr>
          <w:rFonts w:cstheme="minorHAnsi"/>
          <w:b/>
          <w:i/>
          <w:noProof/>
          <w:lang w:val="bg-BG"/>
        </w:rPr>
        <w:t xml:space="preserve">политическа или друга неправомерна намеса от страна на </w:t>
      </w:r>
      <w:r w:rsidR="00DB2FBF">
        <w:rPr>
          <w:rFonts w:cstheme="minorHAnsi"/>
          <w:b/>
          <w:i/>
          <w:noProof/>
          <w:lang w:val="bg-BG"/>
        </w:rPr>
        <w:t>г</w:t>
      </w:r>
      <w:r w:rsidRPr="008C08CD">
        <w:rPr>
          <w:rFonts w:cstheme="minorHAnsi"/>
          <w:b/>
          <w:i/>
          <w:noProof/>
          <w:lang w:val="bg-BG"/>
        </w:rPr>
        <w:t>лавния прокурор</w:t>
      </w:r>
      <w:r w:rsidR="00DA2CD1" w:rsidRPr="008C08CD">
        <w:rPr>
          <w:rFonts w:cstheme="minorHAnsi"/>
          <w:b/>
          <w:i/>
          <w:noProof/>
          <w:lang w:val="bg-BG"/>
        </w:rPr>
        <w:t>.</w:t>
      </w:r>
    </w:p>
    <w:p w14:paraId="1B8B3598" w14:textId="77777777" w:rsidR="00FC1A2C" w:rsidRPr="00FC1A2C" w:rsidRDefault="00EF25FD" w:rsidP="007B2A86">
      <w:pPr>
        <w:pStyle w:val="Heading4"/>
        <w:ind w:hanging="340"/>
      </w:pPr>
      <w:r w:rsidRPr="008C08CD">
        <w:rPr>
          <w:lang w:val="bg-BG"/>
        </w:rPr>
        <w:t xml:space="preserve"> </w:t>
      </w:r>
      <w:r w:rsidR="00973CA2">
        <w:rPr>
          <w:lang w:val="bg-BG"/>
        </w:rPr>
        <w:t>Източници</w:t>
      </w:r>
    </w:p>
    <w:p w14:paraId="4693B746" w14:textId="77777777" w:rsidR="00FC1A2C" w:rsidRPr="00FC1A2C" w:rsidRDefault="007B2A86" w:rsidP="00DD7407">
      <w:pPr>
        <w:widowControl/>
        <w:numPr>
          <w:ilvl w:val="0"/>
          <w:numId w:val="1"/>
        </w:numPr>
        <w:spacing w:before="120" w:after="120" w:line="260" w:lineRule="atLeast"/>
        <w:rPr>
          <w:sz w:val="20"/>
        </w:rPr>
      </w:pPr>
      <w:r>
        <w:rPr>
          <w:sz w:val="20"/>
          <w:lang w:val="bg-BG"/>
        </w:rPr>
        <w:t>По</w:t>
      </w:r>
      <w:r w:rsidRPr="00973CA2">
        <w:rPr>
          <w:sz w:val="20"/>
        </w:rPr>
        <w:t xml:space="preserve"> </w:t>
      </w:r>
      <w:r w:rsidR="00673F1F">
        <w:rPr>
          <w:sz w:val="20"/>
        </w:rPr>
        <w:t>Фаза</w:t>
      </w:r>
      <w:r w:rsidR="00973CA2" w:rsidRPr="00973CA2">
        <w:rPr>
          <w:sz w:val="20"/>
        </w:rPr>
        <w:t xml:space="preserve"> 3 Работната група препоръча на България да </w:t>
      </w:r>
      <w:r>
        <w:rPr>
          <w:sz w:val="20"/>
          <w:lang w:val="bg-BG"/>
        </w:rPr>
        <w:t>осигури</w:t>
      </w:r>
      <w:r w:rsidRPr="00973CA2">
        <w:rPr>
          <w:sz w:val="20"/>
        </w:rPr>
        <w:t xml:space="preserve"> </w:t>
      </w:r>
      <w:r w:rsidR="00973CA2" w:rsidRPr="00973CA2">
        <w:rPr>
          <w:sz w:val="20"/>
        </w:rPr>
        <w:t xml:space="preserve">адекватни човешки и финансови ресурси за разследване и наказателно преследване на </w:t>
      </w:r>
      <w:r w:rsidRPr="00973CA2">
        <w:rPr>
          <w:sz w:val="20"/>
        </w:rPr>
        <w:t xml:space="preserve">физически и юридически лица </w:t>
      </w:r>
      <w:r>
        <w:rPr>
          <w:sz w:val="20"/>
          <w:lang w:val="bg-BG"/>
        </w:rPr>
        <w:t>за</w:t>
      </w:r>
      <w:r w:rsidR="00973CA2" w:rsidRPr="00973CA2">
        <w:rPr>
          <w:sz w:val="20"/>
        </w:rPr>
        <w:t xml:space="preserve"> подкуп на </w:t>
      </w:r>
      <w:r w:rsidR="00313DCE">
        <w:rPr>
          <w:sz w:val="20"/>
        </w:rPr>
        <w:t>чужди</w:t>
      </w:r>
      <w:r w:rsidR="00973CA2" w:rsidRPr="00973CA2">
        <w:rPr>
          <w:sz w:val="20"/>
        </w:rPr>
        <w:t xml:space="preserve"> длъжностни лица, включително </w:t>
      </w:r>
      <w:r>
        <w:rPr>
          <w:sz w:val="20"/>
          <w:lang w:val="bg-BG"/>
        </w:rPr>
        <w:t>експертиза</w:t>
      </w:r>
      <w:r w:rsidR="00973CA2" w:rsidRPr="00973CA2">
        <w:rPr>
          <w:sz w:val="20"/>
        </w:rPr>
        <w:t xml:space="preserve"> в областта на съдебното </w:t>
      </w:r>
      <w:r w:rsidR="00BE0DAC">
        <w:rPr>
          <w:sz w:val="20"/>
          <w:lang w:val="bg-BG"/>
        </w:rPr>
        <w:t xml:space="preserve"> </w:t>
      </w:r>
      <w:r w:rsidR="00973CA2" w:rsidRPr="00973CA2">
        <w:rPr>
          <w:sz w:val="20"/>
        </w:rPr>
        <w:t>счетоводство и информационните технологии (</w:t>
      </w:r>
      <w:r w:rsidR="00673F1F">
        <w:rPr>
          <w:sz w:val="20"/>
        </w:rPr>
        <w:t>Фаза</w:t>
      </w:r>
      <w:r w:rsidR="00973CA2" w:rsidRPr="00973CA2">
        <w:rPr>
          <w:sz w:val="20"/>
        </w:rPr>
        <w:t xml:space="preserve"> 3, препоръка 5 (а)</w:t>
      </w:r>
      <w:r w:rsidR="00FC1A2C" w:rsidRPr="00FC1A2C">
        <w:rPr>
          <w:sz w:val="20"/>
        </w:rPr>
        <w:t xml:space="preserve">). </w:t>
      </w:r>
    </w:p>
    <w:p w14:paraId="2BEAD4F8" w14:textId="5ADBCE2A" w:rsidR="00FC1A2C" w:rsidRDefault="00A95F3E" w:rsidP="004F79B1">
      <w:pPr>
        <w:pStyle w:val="Para"/>
      </w:pPr>
      <w:r w:rsidRPr="00A95F3E">
        <w:t>По това време новосъздадения</w:t>
      </w:r>
      <w:r w:rsidR="007B2A86">
        <w:rPr>
          <w:lang w:val="bg-BG"/>
        </w:rPr>
        <w:t>т</w:t>
      </w:r>
      <w:r w:rsidRPr="00A95F3E">
        <w:t xml:space="preserve"> отдел „</w:t>
      </w:r>
      <w:r w:rsidR="007B2A86">
        <w:rPr>
          <w:lang w:val="bg-BG"/>
        </w:rPr>
        <w:t>И</w:t>
      </w:r>
      <w:r w:rsidRPr="00A95F3E">
        <w:t>кономически престъпления с особена правна и фактическа сложност</w:t>
      </w:r>
      <w:proofErr w:type="gramStart"/>
      <w:r w:rsidRPr="00A95F3E">
        <w:t xml:space="preserve">“ </w:t>
      </w:r>
      <w:r w:rsidR="00BE0DAC">
        <w:rPr>
          <w:lang w:val="bg-BG"/>
        </w:rPr>
        <w:t xml:space="preserve"> </w:t>
      </w:r>
      <w:r w:rsidRPr="00A95F3E">
        <w:t>към</w:t>
      </w:r>
      <w:proofErr w:type="gramEnd"/>
      <w:r w:rsidRPr="00A95F3E">
        <w:t xml:space="preserve"> Софийската градска прокуратура разполагаше с 31 прокурори (доклад по </w:t>
      </w:r>
      <w:r w:rsidR="00673F1F">
        <w:t>Фаза</w:t>
      </w:r>
      <w:r w:rsidRPr="00A95F3E">
        <w:t xml:space="preserve"> 3, параграф 65)</w:t>
      </w:r>
      <w:r w:rsidR="00FC1A2C" w:rsidRPr="00FC1A2C">
        <w:t xml:space="preserve"> . </w:t>
      </w:r>
      <w:r w:rsidRPr="00A95F3E">
        <w:t xml:space="preserve">При </w:t>
      </w:r>
      <w:r w:rsidR="00485404" w:rsidRPr="00A95F3E">
        <w:t>двугодишн</w:t>
      </w:r>
      <w:r w:rsidR="00485404">
        <w:rPr>
          <w:lang w:val="bg-BG"/>
        </w:rPr>
        <w:t>ия</w:t>
      </w:r>
      <w:r w:rsidR="007B2A86" w:rsidRPr="00A95F3E">
        <w:t xml:space="preserve"> </w:t>
      </w:r>
      <w:r w:rsidRPr="00A95F3E">
        <w:t>писмен</w:t>
      </w:r>
      <w:r w:rsidR="007B2A86">
        <w:rPr>
          <w:lang w:val="bg-BG"/>
        </w:rPr>
        <w:t xml:space="preserve"> </w:t>
      </w:r>
      <w:r w:rsidR="00485404">
        <w:rPr>
          <w:lang w:val="bg-BG"/>
        </w:rPr>
        <w:t>преглед</w:t>
      </w:r>
      <w:r w:rsidR="007B2A86">
        <w:rPr>
          <w:lang w:val="bg-BG"/>
        </w:rPr>
        <w:t xml:space="preserve"> на изпълнението на препоръките по фаза 3 </w:t>
      </w:r>
      <w:r w:rsidRPr="00A95F3E">
        <w:t xml:space="preserve">тази препоръка </w:t>
      </w:r>
      <w:r w:rsidR="007B2A86">
        <w:rPr>
          <w:lang w:val="bg-BG"/>
        </w:rPr>
        <w:t>беше отчетена като</w:t>
      </w:r>
      <w:r w:rsidRPr="00A95F3E">
        <w:t xml:space="preserve"> частично изпълнена поради предприетата реорганизация</w:t>
      </w:r>
      <w:r w:rsidR="000C5383">
        <w:rPr>
          <w:lang w:val="bg-BG"/>
        </w:rPr>
        <w:t xml:space="preserve"> и липсата на видими</w:t>
      </w:r>
      <w:r w:rsidRPr="00A95F3E">
        <w:t xml:space="preserve"> подобрения в качеството на </w:t>
      </w:r>
      <w:r w:rsidR="00FF7FED" w:rsidRPr="00A95F3E">
        <w:t>действителните разследвания</w:t>
      </w:r>
      <w:r w:rsidRPr="00A95F3E">
        <w:t xml:space="preserve"> и съдебни преследвания на случаи на подкуп на </w:t>
      </w:r>
      <w:r w:rsidR="00313DCE">
        <w:t>чужди</w:t>
      </w:r>
      <w:r w:rsidRPr="00A95F3E">
        <w:t xml:space="preserve"> длъжностни лица. Софийската градска прокуратура има следствен отдел с 53 следователи. </w:t>
      </w:r>
      <w:r w:rsidR="000C5383">
        <w:rPr>
          <w:lang w:val="bg-BG"/>
        </w:rPr>
        <w:t>В СГП и</w:t>
      </w:r>
      <w:r w:rsidR="000C5383" w:rsidRPr="00A95F3E">
        <w:t xml:space="preserve">ма </w:t>
      </w:r>
      <w:r w:rsidRPr="00A95F3E">
        <w:t>пет отдела</w:t>
      </w:r>
      <w:r w:rsidR="000C5383">
        <w:rPr>
          <w:lang w:val="bg-BG"/>
        </w:rPr>
        <w:t xml:space="preserve">, като </w:t>
      </w:r>
      <w:r w:rsidRPr="00A95F3E">
        <w:t xml:space="preserve">един отдел (отдел 01 Икономически) отговаря за случаи на подкуп на </w:t>
      </w:r>
      <w:r w:rsidR="00313DCE">
        <w:t>чужди</w:t>
      </w:r>
      <w:r w:rsidRPr="00A95F3E">
        <w:t xml:space="preserve"> длъжностни лица. Този отдел е разделен на три сектора, като секторът за обща икономическа престъпност отговаря за дела на подкупване на </w:t>
      </w:r>
      <w:r w:rsidR="00313DCE">
        <w:t>чужди</w:t>
      </w:r>
      <w:r w:rsidRPr="00A95F3E">
        <w:t xml:space="preserve"> длъжностни лица. В рамките на този Икономически отдел има 39 прокурори (което е увеличение с 8 в сравнение </w:t>
      </w:r>
      <w:r w:rsidR="00BE0DAC">
        <w:rPr>
          <w:lang w:val="bg-BG"/>
        </w:rPr>
        <w:t>с</w:t>
      </w:r>
      <w:r w:rsidR="00BE0DAC" w:rsidRPr="00A95F3E">
        <w:t xml:space="preserve"> </w:t>
      </w:r>
      <w:r w:rsidR="00673F1F">
        <w:t>Фаза</w:t>
      </w:r>
      <w:r w:rsidRPr="00A95F3E">
        <w:t xml:space="preserve"> 3), макар че само 17 работят в сектора за обща икономическа престъпност, който би отговарял за случаи на подкуп на </w:t>
      </w:r>
      <w:r w:rsidR="00313DCE">
        <w:t>чужди</w:t>
      </w:r>
      <w:r w:rsidRPr="00A95F3E">
        <w:t xml:space="preserve"> длъжностни лица</w:t>
      </w:r>
      <w:r w:rsidR="00FC1A2C" w:rsidRPr="00FC1A2C">
        <w:t>.</w:t>
      </w:r>
    </w:p>
    <w:p w14:paraId="6AF8EE15" w14:textId="77777777" w:rsidR="00B76886" w:rsidRPr="00FC1A2C" w:rsidRDefault="00313DCE" w:rsidP="00B76886">
      <w:pPr>
        <w:widowControl/>
        <w:spacing w:before="120" w:after="120" w:line="260" w:lineRule="atLeast"/>
        <w:rPr>
          <w:sz w:val="20"/>
        </w:rPr>
      </w:pPr>
      <w:r>
        <w:rPr>
          <w:noProof/>
          <w:sz w:val="20"/>
          <w:lang w:val="bg-BG" w:eastAsia="bg-BG"/>
        </w:rPr>
        <w:lastRenderedPageBreak/>
        <mc:AlternateContent>
          <mc:Choice Requires="wpg">
            <w:drawing>
              <wp:anchor distT="0" distB="0" distL="114300" distR="114300" simplePos="0" relativeHeight="251679744" behindDoc="0" locked="0" layoutInCell="1" allowOverlap="1" wp14:anchorId="74DC9D44" wp14:editId="4E8A27B3">
                <wp:simplePos x="0" y="0"/>
                <wp:positionH relativeFrom="column">
                  <wp:posOffset>93084</wp:posOffset>
                </wp:positionH>
                <wp:positionV relativeFrom="paragraph">
                  <wp:posOffset>85239</wp:posOffset>
                </wp:positionV>
                <wp:extent cx="5688106" cy="2124636"/>
                <wp:effectExtent l="0" t="0" r="8255" b="9525"/>
                <wp:wrapNone/>
                <wp:docPr id="15" name="Group 15"/>
                <wp:cNvGraphicFramePr/>
                <a:graphic xmlns:a="http://schemas.openxmlformats.org/drawingml/2006/main">
                  <a:graphicData uri="http://schemas.microsoft.com/office/word/2010/wordprocessingGroup">
                    <wpg:wgp>
                      <wpg:cNvGrpSpPr/>
                      <wpg:grpSpPr>
                        <a:xfrm>
                          <a:off x="0" y="0"/>
                          <a:ext cx="5688106" cy="2124636"/>
                          <a:chOff x="-1" y="0"/>
                          <a:chExt cx="5933553" cy="2124636"/>
                        </a:xfrm>
                      </wpg:grpSpPr>
                      <wps:wsp>
                        <wps:cNvPr id="2" name="Text Box 2"/>
                        <wps:cNvSpPr txBox="1"/>
                        <wps:spPr>
                          <a:xfrm>
                            <a:off x="2077817" y="0"/>
                            <a:ext cx="2467030" cy="341644"/>
                          </a:xfrm>
                          <a:prstGeom prst="rect">
                            <a:avLst/>
                          </a:prstGeom>
                          <a:solidFill>
                            <a:srgbClr val="EEF3F9"/>
                          </a:solidFill>
                          <a:ln w="6350">
                            <a:noFill/>
                          </a:ln>
                        </wps:spPr>
                        <wps:txbx>
                          <w:txbxContent>
                            <w:p w14:paraId="07DDA8B0" w14:textId="77777777" w:rsidR="001F7101" w:rsidRPr="006238D1" w:rsidRDefault="001F7101" w:rsidP="00ED3B68">
                              <w:pPr>
                                <w:jc w:val="left"/>
                                <w:rPr>
                                  <w:b/>
                                  <w:bCs/>
                                  <w:sz w:val="20"/>
                                  <w:szCs w:val="20"/>
                                  <w:lang w:val="bg-BG"/>
                                </w:rPr>
                              </w:pPr>
                              <w:r>
                                <w:rPr>
                                  <w:b/>
                                  <w:bCs/>
                                  <w:sz w:val="20"/>
                                  <w:szCs w:val="20"/>
                                  <w:lang w:val="bg-BG"/>
                                </w:rPr>
                                <w:t>Софийска г</w:t>
                              </w:r>
                              <w:r w:rsidRPr="006238D1">
                                <w:rPr>
                                  <w:b/>
                                  <w:bCs/>
                                  <w:sz w:val="20"/>
                                  <w:szCs w:val="20"/>
                                  <w:lang w:val="bg-BG"/>
                                </w:rPr>
                                <w:t xml:space="preserve">радска </w:t>
                              </w:r>
                              <w:r>
                                <w:rPr>
                                  <w:b/>
                                  <w:bCs/>
                                  <w:sz w:val="20"/>
                                  <w:szCs w:val="20"/>
                                  <w:lang w:val="bg-BG"/>
                                </w:rPr>
                                <w:t xml:space="preserve"> п</w:t>
                              </w:r>
                              <w:r w:rsidRPr="006238D1">
                                <w:rPr>
                                  <w:b/>
                                  <w:bCs/>
                                  <w:sz w:val="20"/>
                                  <w:szCs w:val="20"/>
                                  <w:lang w:val="bg-BG"/>
                                </w:rPr>
                                <w:t>рокуратура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788683" y="795297"/>
                            <a:ext cx="690998" cy="311796"/>
                          </a:xfrm>
                          <a:prstGeom prst="rect">
                            <a:avLst/>
                          </a:prstGeom>
                          <a:solidFill>
                            <a:srgbClr val="EEF3F9"/>
                          </a:solidFill>
                          <a:ln w="6350">
                            <a:noFill/>
                          </a:ln>
                        </wps:spPr>
                        <wps:txbx>
                          <w:txbxContent>
                            <w:p w14:paraId="6E348E8F"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 xml:space="preserve">Отдел 01 </w:t>
                              </w:r>
                              <w:r w:rsidRPr="006238D1">
                                <w:rPr>
                                  <w:sz w:val="11"/>
                                  <w:szCs w:val="11"/>
                                  <w:lang w:val="bg-BG"/>
                                </w:rPr>
                                <w:t>„Икономически“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637764" y="795297"/>
                            <a:ext cx="592852" cy="311796"/>
                          </a:xfrm>
                          <a:prstGeom prst="rect">
                            <a:avLst/>
                          </a:prstGeom>
                          <a:solidFill>
                            <a:srgbClr val="EEF3F9"/>
                          </a:solidFill>
                          <a:ln w="6350">
                            <a:noFill/>
                          </a:ln>
                        </wps:spPr>
                        <wps:txbx>
                          <w:txbxContent>
                            <w:p w14:paraId="55CC02E7"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Отдел 0</w:t>
                              </w:r>
                              <w:r>
                                <w:rPr>
                                  <w:b/>
                                  <w:bCs/>
                                  <w:sz w:val="11"/>
                                  <w:szCs w:val="11"/>
                                  <w:lang w:val="bg-BG"/>
                                </w:rPr>
                                <w:t>2</w:t>
                              </w:r>
                              <w:r w:rsidRPr="006238D1">
                                <w:rPr>
                                  <w:b/>
                                  <w:bCs/>
                                  <w:sz w:val="11"/>
                                  <w:szCs w:val="11"/>
                                  <w:lang w:val="bg-BG"/>
                                </w:rPr>
                                <w:t xml:space="preserve"> </w:t>
                              </w:r>
                              <w:r w:rsidRPr="006238D1">
                                <w:rPr>
                                  <w:sz w:val="11"/>
                                  <w:szCs w:val="11"/>
                                  <w:lang w:val="bg-BG"/>
                                </w:rPr>
                                <w:t>„</w:t>
                              </w:r>
                              <w:r>
                                <w:rPr>
                                  <w:sz w:val="11"/>
                                  <w:szCs w:val="11"/>
                                  <w:lang w:val="bg-BG"/>
                                </w:rPr>
                                <w:t>Криминален</w:t>
                              </w:r>
                              <w:r w:rsidRPr="006238D1">
                                <w:rPr>
                                  <w:sz w:val="11"/>
                                  <w:szCs w:val="11"/>
                                  <w:lang w:val="bg-B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2461847" y="869183"/>
                            <a:ext cx="683287" cy="1009859"/>
                          </a:xfrm>
                          <a:prstGeom prst="rect">
                            <a:avLst/>
                          </a:prstGeom>
                          <a:solidFill>
                            <a:srgbClr val="EEF3F9"/>
                          </a:solidFill>
                          <a:ln w="6350">
                            <a:noFill/>
                          </a:ln>
                        </wps:spPr>
                        <wps:txbx>
                          <w:txbxContent>
                            <w:p w14:paraId="7F1E7821" w14:textId="77777777" w:rsidR="001F7101" w:rsidRPr="00CD213C" w:rsidRDefault="001F7101" w:rsidP="00CD213C">
                              <w:pPr>
                                <w:spacing w:line="180" w:lineRule="exact"/>
                                <w:ind w:left="-144" w:right="-144"/>
                                <w:jc w:val="center"/>
                                <w:rPr>
                                  <w:b/>
                                  <w:bCs/>
                                  <w:sz w:val="12"/>
                                  <w:szCs w:val="12"/>
                                  <w:lang w:val="bg-BG"/>
                                </w:rPr>
                              </w:pPr>
                              <w:r w:rsidRPr="00CD213C">
                                <w:rPr>
                                  <w:b/>
                                  <w:bCs/>
                                  <w:sz w:val="12"/>
                                  <w:szCs w:val="12"/>
                                  <w:lang w:val="bg-BG"/>
                                </w:rPr>
                                <w:t xml:space="preserve">Отдел 03 </w:t>
                              </w:r>
                              <w:r w:rsidRPr="00CD213C">
                                <w:rPr>
                                  <w:sz w:val="12"/>
                                  <w:szCs w:val="12"/>
                                  <w:lang w:val="bg-BG"/>
                                </w:rPr>
                                <w:t>„Международен, изпълнение на наказанията и наказателно-съдебен надзор“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346101" y="869183"/>
                            <a:ext cx="683287" cy="1009859"/>
                          </a:xfrm>
                          <a:prstGeom prst="rect">
                            <a:avLst/>
                          </a:prstGeom>
                          <a:solidFill>
                            <a:srgbClr val="EEF3F9"/>
                          </a:solidFill>
                          <a:ln w="6350">
                            <a:noFill/>
                          </a:ln>
                        </wps:spPr>
                        <wps:txbx>
                          <w:txbxContent>
                            <w:p w14:paraId="6ED2D983" w14:textId="77777777" w:rsidR="001F7101" w:rsidRDefault="001F7101" w:rsidP="00CD213C">
                              <w:pPr>
                                <w:spacing w:line="180" w:lineRule="exact"/>
                                <w:ind w:left="-144" w:right="-144"/>
                                <w:jc w:val="center"/>
                                <w:rPr>
                                  <w:b/>
                                  <w:bCs/>
                                  <w:sz w:val="12"/>
                                  <w:szCs w:val="12"/>
                                  <w:lang w:val="bg-BG"/>
                                </w:rPr>
                              </w:pPr>
                              <w:r w:rsidRPr="00CD213C">
                                <w:rPr>
                                  <w:b/>
                                  <w:bCs/>
                                  <w:sz w:val="12"/>
                                  <w:szCs w:val="12"/>
                                  <w:lang w:val="bg-BG"/>
                                </w:rPr>
                                <w:t>Отдел 0</w:t>
                              </w:r>
                              <w:r>
                                <w:rPr>
                                  <w:b/>
                                  <w:bCs/>
                                  <w:sz w:val="12"/>
                                  <w:szCs w:val="12"/>
                                  <w:lang w:val="bg-BG"/>
                                </w:rPr>
                                <w:t>4</w:t>
                              </w:r>
                              <w:r w:rsidRPr="00CD213C">
                                <w:rPr>
                                  <w:b/>
                                  <w:bCs/>
                                  <w:sz w:val="12"/>
                                  <w:szCs w:val="12"/>
                                  <w:lang w:val="bg-BG"/>
                                </w:rPr>
                                <w:t xml:space="preserve"> </w:t>
                              </w:r>
                            </w:p>
                            <w:p w14:paraId="29EF6E07" w14:textId="77777777" w:rsidR="001F7101" w:rsidRPr="00CD213C" w:rsidRDefault="001F7101" w:rsidP="00CD213C">
                              <w:pPr>
                                <w:spacing w:line="180" w:lineRule="exact"/>
                                <w:ind w:left="-144" w:right="-144"/>
                                <w:jc w:val="center"/>
                                <w:rPr>
                                  <w:b/>
                                  <w:bCs/>
                                  <w:sz w:val="12"/>
                                  <w:szCs w:val="12"/>
                                  <w:lang w:val="bg-BG"/>
                                </w:rPr>
                              </w:pPr>
                              <w:r w:rsidRPr="00CD213C">
                                <w:rPr>
                                  <w:sz w:val="12"/>
                                  <w:szCs w:val="12"/>
                                  <w:lang w:val="bg-BG"/>
                                </w:rPr>
                                <w:t>„</w:t>
                              </w:r>
                              <w:r>
                                <w:rPr>
                                  <w:sz w:val="12"/>
                                  <w:szCs w:val="12"/>
                                  <w:lang w:val="bg-BG"/>
                                </w:rPr>
                                <w:t>Надзор за законност, гражданско-съдебен и административно-съдебен</w:t>
                              </w:r>
                              <w:r w:rsidRPr="00CD213C">
                                <w:rPr>
                                  <w:sz w:val="12"/>
                                  <w:szCs w:val="12"/>
                                  <w:lang w:val="bg-B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244512" y="795298"/>
                            <a:ext cx="693101" cy="311796"/>
                          </a:xfrm>
                          <a:prstGeom prst="rect">
                            <a:avLst/>
                          </a:prstGeom>
                          <a:solidFill>
                            <a:srgbClr val="EEF3F9"/>
                          </a:solidFill>
                          <a:ln w="6350">
                            <a:noFill/>
                          </a:ln>
                        </wps:spPr>
                        <wps:txbx>
                          <w:txbxContent>
                            <w:p w14:paraId="3FD90BCB"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Отдел 0</w:t>
                              </w:r>
                              <w:r>
                                <w:rPr>
                                  <w:b/>
                                  <w:bCs/>
                                  <w:sz w:val="11"/>
                                  <w:szCs w:val="11"/>
                                  <w:lang w:val="bg-BG"/>
                                </w:rPr>
                                <w:t>5</w:t>
                              </w:r>
                              <w:r w:rsidRPr="006238D1">
                                <w:rPr>
                                  <w:b/>
                                  <w:bCs/>
                                  <w:sz w:val="11"/>
                                  <w:szCs w:val="11"/>
                                  <w:lang w:val="bg-BG"/>
                                </w:rPr>
                                <w:t xml:space="preserve"> </w:t>
                              </w:r>
                              <w:r w:rsidRPr="006238D1">
                                <w:rPr>
                                  <w:sz w:val="11"/>
                                  <w:szCs w:val="11"/>
                                  <w:lang w:val="bg-BG"/>
                                </w:rPr>
                                <w:t>„</w:t>
                              </w:r>
                              <w:r>
                                <w:rPr>
                                  <w:sz w:val="11"/>
                                  <w:szCs w:val="11"/>
                                  <w:lang w:val="bg-BG"/>
                                </w:rPr>
                                <w:t>Специализиран</w:t>
                              </w:r>
                              <w:r w:rsidRPr="006238D1">
                                <w:rPr>
                                  <w:sz w:val="11"/>
                                  <w:szCs w:val="11"/>
                                  <w:lang w:val="bg-B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5064370" y="341644"/>
                            <a:ext cx="869182" cy="306475"/>
                          </a:xfrm>
                          <a:prstGeom prst="rect">
                            <a:avLst/>
                          </a:prstGeom>
                          <a:solidFill>
                            <a:srgbClr val="EEF3F9"/>
                          </a:solidFill>
                          <a:ln w="6350">
                            <a:noFill/>
                          </a:ln>
                        </wps:spPr>
                        <wps:txbx>
                          <w:txbxContent>
                            <w:p w14:paraId="7B9629A8" w14:textId="77777777" w:rsidR="001F7101" w:rsidRPr="00CD213C" w:rsidRDefault="001F7101" w:rsidP="00CD213C">
                              <w:pPr>
                                <w:spacing w:line="160" w:lineRule="exact"/>
                                <w:ind w:left="-144" w:right="-144"/>
                                <w:jc w:val="center"/>
                                <w:rPr>
                                  <w:b/>
                                  <w:bCs/>
                                  <w:sz w:val="16"/>
                                  <w:szCs w:val="16"/>
                                  <w:lang w:val="bg-BG"/>
                                </w:rPr>
                              </w:pPr>
                              <w:r w:rsidRPr="00CD213C">
                                <w:rPr>
                                  <w:b/>
                                  <w:bCs/>
                                  <w:sz w:val="16"/>
                                  <w:szCs w:val="16"/>
                                  <w:lang w:val="bg-BG"/>
                                </w:rPr>
                                <w:t>Следствен отдел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 y="1264024"/>
                            <a:ext cx="610188" cy="564776"/>
                          </a:xfrm>
                          <a:prstGeom prst="rect">
                            <a:avLst/>
                          </a:prstGeom>
                          <a:solidFill>
                            <a:srgbClr val="EEF3F9"/>
                          </a:solidFill>
                          <a:ln w="6350">
                            <a:noFill/>
                          </a:ln>
                        </wps:spPr>
                        <wps:txbx>
                          <w:txbxContent>
                            <w:p w14:paraId="208245E3" w14:textId="77777777" w:rsidR="001F7101" w:rsidRPr="00313DCE" w:rsidRDefault="001F7101" w:rsidP="00313DCE">
                              <w:pPr>
                                <w:spacing w:line="140" w:lineRule="exact"/>
                                <w:ind w:left="-144" w:right="-144"/>
                                <w:jc w:val="center"/>
                                <w:rPr>
                                  <w:b/>
                                  <w:bCs/>
                                  <w:sz w:val="13"/>
                                  <w:szCs w:val="13"/>
                                  <w:lang w:val="bg-BG"/>
                                </w:rPr>
                              </w:pPr>
                              <w:r w:rsidRPr="00313DCE">
                                <w:rPr>
                                  <w:b/>
                                  <w:bCs/>
                                  <w:sz w:val="13"/>
                                  <w:szCs w:val="13"/>
                                  <w:lang w:val="bg-BG"/>
                                </w:rPr>
                                <w:t xml:space="preserve">Сектор 01 </w:t>
                              </w:r>
                            </w:p>
                            <w:p w14:paraId="40BFE93C" w14:textId="77777777" w:rsidR="001F7101" w:rsidRPr="006238D1" w:rsidRDefault="001F7101" w:rsidP="00313DCE">
                              <w:pPr>
                                <w:spacing w:line="140" w:lineRule="exact"/>
                                <w:ind w:left="-144" w:right="-144"/>
                                <w:jc w:val="center"/>
                                <w:rPr>
                                  <w:b/>
                                  <w:bCs/>
                                  <w:sz w:val="11"/>
                                  <w:szCs w:val="11"/>
                                  <w:lang w:val="bg-BG"/>
                                </w:rPr>
                              </w:pPr>
                              <w:r w:rsidRPr="00313DCE">
                                <w:rPr>
                                  <w:sz w:val="13"/>
                                  <w:szCs w:val="13"/>
                                  <w:lang w:val="bg-BG"/>
                                </w:rPr>
                                <w:t>„Общи икономически прес</w:t>
                              </w:r>
                              <w:r>
                                <w:rPr>
                                  <w:sz w:val="13"/>
                                  <w:szCs w:val="13"/>
                                  <w:lang w:val="bg-BG"/>
                                </w:rPr>
                                <w:t>тъпл</w:t>
                              </w:r>
                              <w:r w:rsidRPr="00313DCE">
                                <w:rPr>
                                  <w:sz w:val="13"/>
                                  <w:szCs w:val="13"/>
                                  <w:lang w:val="bg-BG"/>
                                </w:rPr>
                                <w:t>ения</w:t>
                              </w:r>
                              <w:r w:rsidRPr="006238D1">
                                <w:rPr>
                                  <w:sz w:val="11"/>
                                  <w:szCs w:val="11"/>
                                  <w:lang w:val="bg-BG"/>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722301" y="1263888"/>
                            <a:ext cx="915121" cy="860748"/>
                          </a:xfrm>
                          <a:prstGeom prst="rect">
                            <a:avLst/>
                          </a:prstGeom>
                          <a:solidFill>
                            <a:srgbClr val="EEF3F9"/>
                          </a:solidFill>
                          <a:ln w="6350">
                            <a:noFill/>
                          </a:ln>
                        </wps:spPr>
                        <wps:txbx>
                          <w:txbxContent>
                            <w:p w14:paraId="0D1E85FA" w14:textId="77777777" w:rsidR="001F7101" w:rsidRPr="00313DCE" w:rsidRDefault="001F7101" w:rsidP="00313DCE">
                              <w:pPr>
                                <w:spacing w:line="140" w:lineRule="exact"/>
                                <w:ind w:left="-144" w:right="-144"/>
                                <w:jc w:val="center"/>
                                <w:rPr>
                                  <w:b/>
                                  <w:bCs/>
                                  <w:sz w:val="13"/>
                                  <w:szCs w:val="13"/>
                                  <w:lang w:val="bg-BG"/>
                                </w:rPr>
                              </w:pPr>
                              <w:r w:rsidRPr="00313DCE">
                                <w:rPr>
                                  <w:b/>
                                  <w:bCs/>
                                  <w:sz w:val="13"/>
                                  <w:szCs w:val="13"/>
                                  <w:lang w:val="bg-BG"/>
                                </w:rPr>
                                <w:t xml:space="preserve">Сектор 02 </w:t>
                              </w:r>
                            </w:p>
                            <w:p w14:paraId="670677B3" w14:textId="77777777" w:rsidR="001F7101" w:rsidRPr="00313DCE" w:rsidRDefault="001F7101" w:rsidP="00313DCE">
                              <w:pPr>
                                <w:spacing w:line="140" w:lineRule="exact"/>
                                <w:ind w:left="-144" w:right="-144"/>
                                <w:jc w:val="center"/>
                                <w:rPr>
                                  <w:b/>
                                  <w:bCs/>
                                  <w:sz w:val="13"/>
                                  <w:szCs w:val="13"/>
                                  <w:lang w:val="bg-BG"/>
                                </w:rPr>
                              </w:pPr>
                              <w:r w:rsidRPr="00313DCE">
                                <w:rPr>
                                  <w:sz w:val="13"/>
                                  <w:szCs w:val="13"/>
                                  <w:lang w:val="bg-BG"/>
                                </w:rPr>
                                <w:t>„Противодействие на престъпленията против финансовите интереси на Европейския съюз“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783326" y="1341456"/>
                            <a:ext cx="552093" cy="305810"/>
                          </a:xfrm>
                          <a:prstGeom prst="rect">
                            <a:avLst/>
                          </a:prstGeom>
                          <a:solidFill>
                            <a:srgbClr val="EEF3F9"/>
                          </a:solidFill>
                          <a:ln w="6350">
                            <a:noFill/>
                          </a:ln>
                        </wps:spPr>
                        <wps:txbx>
                          <w:txbxContent>
                            <w:p w14:paraId="4F729CCB" w14:textId="77777777" w:rsidR="001F7101" w:rsidRPr="00313DCE" w:rsidRDefault="001F7101" w:rsidP="00313DCE">
                              <w:pPr>
                                <w:spacing w:line="120" w:lineRule="exact"/>
                                <w:ind w:left="-144" w:right="-144"/>
                                <w:jc w:val="center"/>
                                <w:rPr>
                                  <w:b/>
                                  <w:bCs/>
                                  <w:sz w:val="11"/>
                                  <w:szCs w:val="11"/>
                                  <w:lang w:val="bg-BG"/>
                                </w:rPr>
                              </w:pPr>
                              <w:r w:rsidRPr="00313DCE">
                                <w:rPr>
                                  <w:b/>
                                  <w:bCs/>
                                  <w:sz w:val="11"/>
                                  <w:szCs w:val="11"/>
                                  <w:lang w:val="bg-BG"/>
                                </w:rPr>
                                <w:t xml:space="preserve">Сектор 03 </w:t>
                              </w:r>
                            </w:p>
                            <w:p w14:paraId="7AF5FA6C" w14:textId="77777777" w:rsidR="001F7101" w:rsidRPr="00313DCE" w:rsidRDefault="001F7101" w:rsidP="00313DCE">
                              <w:pPr>
                                <w:spacing w:line="120" w:lineRule="exact"/>
                                <w:ind w:left="-144" w:right="-144"/>
                                <w:jc w:val="center"/>
                                <w:rPr>
                                  <w:b/>
                                  <w:bCs/>
                                  <w:sz w:val="11"/>
                                  <w:szCs w:val="11"/>
                                  <w:lang w:val="bg-BG"/>
                                </w:rPr>
                              </w:pPr>
                              <w:r w:rsidRPr="00313DCE">
                                <w:rPr>
                                  <w:sz w:val="11"/>
                                  <w:szCs w:val="11"/>
                                  <w:lang w:val="bg-BG"/>
                                </w:rPr>
                                <w:t>„Данъчни престъпления“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left:0;text-align:left;margin-left:7.35pt;margin-top:6.7pt;width:447.9pt;height:167.3pt;z-index:251679744;mso-width-relative:margin;mso-height-relative:margin" coordorigin="" coordsize="59335,21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C1ZgQAAIwgAAAOAAAAZHJzL2Uyb0RvYy54bWzsWltv4jgUfl9p/4OV9ylxnCsqHXU7pVqp&#10;mqnUrubZhAQiJXHWNoXur9/PzgUKsw90pdGAeAm+Htufv3N8fMz1501VktdMqkLUE4deuQ7J6lTM&#10;i3oxcf56mX6KHaI0r+e8FHU2cd4y5Xy++f2363UzzjyxFOU8kwRCajVeNxNnqXUzHo1Uuswqrq5E&#10;k9WozIWsuEZWLkZzydeQXpUjz3XD0VrIeSNFmimF0i9tpXNj5ed5lupvea4yTcqJg7lp+5X2OzPf&#10;0c01Hy8kb5ZF2k2Df2AWFS9qDDqI+sI1JytZHIiqilQKJXJ9lYpqJPK8SDO7BqyGunureZBi1di1&#10;LMbrRTPABGj3cPqw2PTr65MkxRx7Fzik5hX2yA5LkAc462YxRpsH2Tw3T7IrWLQ5s95NLivzi5WQ&#10;jYX1bYA122iSojAI45i6oUNS1HnU80MWtsCnS+yO6feJOmTbMV3e910TxoKAHXQd9SOPzASH+awb&#10;sEhtgVL/D6jnJW8yi78yIHRAeT1OL2aBf4gN8VqkbCMDE9EbFAPSvlyh8AdoeW4UxTTaXXqPGUCK&#10;XAbGGsyYT0PfN8KGdfNxI5V+yERFTGLiSFDdMpC/PirdNu2bmKGVKIv5tChLm5GL2V0pySuHWtzf&#10;T9k06aS/a1bWZD1xQha4VnItTP9WdFljMgbudmkmpTezjSWIGs/E/A0wSNHqm2rSaYFZPnKln7iE&#10;gmFhMBr6Gz55KTCI6FIOWQr5z4/KTXtsJ2odsobCThz194rLzCHlnzU2OqG+bzTcZvwg8pCRuzWz&#10;3Zp6Vd0JLB68w+xs0rTXZZ/Mpai+w7bcmlFRxesUY08c3SfvdGtGYJvS7PbWNoJON1w/1s9NakQb&#10;qM0evGy+c9l0G6WxxV9FTy0+3tuvtq3pWYvblRZ5YTfTANyi2uEOmhvt/Al8h/a1dmHgO+t5DaU4&#10;hu9RHIcxxIHSURJ4SWTk8HHP+TBxkwTnhaU8pVFircSvTvnWePaIXJh/Rsz3D5hvjbDRuiOZT0MW&#10;RSHk/Qf1g8SLAxwsJ0j94fC7UP+MqD84g4PR79zBo6kPT4bGfuvkxGFCcQC8t/ox82JUG+pT103i&#10;oPdFet+yd2N+KU/Hmv3hILxw/4y4Dxdkz+GJ++P9SLPPGMjvtnebc+P+cBReuH9G3E8OuG+t8Qdc&#10;Ht/z/YDCp+ldHqtEu94+s6pxgi7PcBReqH9G1Ke45e/ZfRR1EY0jDX/ghj6LIBDk30ZvtuS3h0Hv&#10;76NtZCl1ElddeynfhiMuQZ6zCPIYQ71P/uFmdyT5u2Au9ULf9aybsCW+cYfiLsYTgPfR6cR4bLTq&#10;Qvwzi27Sw/Amij5m9SPPY523D/KzGER/d9VNKBwi3AaMyxOHbuTb+pOw+sMN6OLynJPLcxjhpMO9&#10;7kirT6OYMQ+vfCaOA5/HD7pHvj68HwSem3RPecwN8CRotOMk2D/cgS7s/znst8+6ePK2/Oie582b&#10;+m7ePoRt/0Rw8y8AAAD//wMAUEsDBBQABgAIAAAAIQBKzM6S4AAAAAkBAAAPAAAAZHJzL2Rvd25y&#10;ZXYueG1sTI9BS8NAEIXvgv9hGcGb3Y1JtY3ZlFLUUxFsBeltmkyT0OxuyG6T9N87nvQ0PN7jzfey&#10;1WRaMVDvG2c1RDMFgmzhysZWGr72bw8LED6gLbF1ljRcycMqv73JMC3daD9p2IVKcIn1KWqoQ+hS&#10;KX1Rk0E/cx1Z9k6uNxhY9pUsexy53LTyUaknabCx/KHGjjY1FefdxWh4H3Fcx9HrsD2fNtfDfv7x&#10;vY1I6/u7af0CItAU/sLwi8/okDPT0V1s6UXLOnnmJN84AcH+MlJzEEcNcbJQIPNM/l+Q/wAAAP//&#10;AwBQSwECLQAUAAYACAAAACEAtoM4kv4AAADhAQAAEwAAAAAAAAAAAAAAAAAAAAAAW0NvbnRlbnRf&#10;VHlwZXNdLnhtbFBLAQItABQABgAIAAAAIQA4/SH/1gAAAJQBAAALAAAAAAAAAAAAAAAAAC8BAABf&#10;cmVscy8ucmVsc1BLAQItABQABgAIAAAAIQCMnbC1ZgQAAIwgAAAOAAAAAAAAAAAAAAAAAC4CAABk&#10;cnMvZTJvRG9jLnhtbFBLAQItABQABgAIAAAAIQBKzM6S4AAAAAkBAAAPAAAAAAAAAAAAAAAAAMAG&#10;AABkcnMvZG93bnJldi54bWxQSwUGAAAAAAQABADzAAAAzQcAAAAA&#10;">
                <v:shapetype id="_x0000_t202" coordsize="21600,21600" o:spt="202" path="m,l,21600r21600,l21600,xe">
                  <v:stroke joinstyle="miter"/>
                  <v:path gradientshapeok="t" o:connecttype="rect"/>
                </v:shapetype>
                <v:shape id="Text Box 2" o:spid="_x0000_s1027" type="#_x0000_t202" style="position:absolute;left:20778;width:24670;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lMksEA&#10;AADaAAAADwAAAGRycy9kb3ducmV2LnhtbESPT4vCMBTE78J+h/AEb5oqsrrVKKsgeJNVD3t8NK9/&#10;aPNSktjWb2+EhT0OM/MbZrsfTCM6cr6yrGA+S0AQZ1ZXXCi4307TNQgfkDU2lknBkzzsdx+jLaba&#10;9vxD3TUUIkLYp6igDKFNpfRZSQb9zLbE0cutMxiidIXUDvsIN41cJMmnNFhxXCixpWNJWX19GAVf&#10;rqZ6ufy9HPs871YHvZrfH06pyXj43oAINIT/8F/7rBUs4H0l3gC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JTJLBAAAA2gAAAA8AAAAAAAAAAAAAAAAAmAIAAGRycy9kb3du&#10;cmV2LnhtbFBLBQYAAAAABAAEAPUAAACGAwAAAAA=&#10;" fillcolor="#eef3f9" stroked="f" strokeweight=".5pt">
                  <v:textbox>
                    <w:txbxContent>
                      <w:p w14:paraId="07DDA8B0" w14:textId="77777777" w:rsidR="001F7101" w:rsidRPr="006238D1" w:rsidRDefault="001F7101" w:rsidP="00ED3B68">
                        <w:pPr>
                          <w:jc w:val="left"/>
                          <w:rPr>
                            <w:b/>
                            <w:bCs/>
                            <w:sz w:val="20"/>
                            <w:szCs w:val="20"/>
                            <w:lang w:val="bg-BG"/>
                          </w:rPr>
                        </w:pPr>
                        <w:r>
                          <w:rPr>
                            <w:b/>
                            <w:bCs/>
                            <w:sz w:val="20"/>
                            <w:szCs w:val="20"/>
                            <w:lang w:val="bg-BG"/>
                          </w:rPr>
                          <w:t>Софийска г</w:t>
                        </w:r>
                        <w:r w:rsidRPr="006238D1">
                          <w:rPr>
                            <w:b/>
                            <w:bCs/>
                            <w:sz w:val="20"/>
                            <w:szCs w:val="20"/>
                            <w:lang w:val="bg-BG"/>
                          </w:rPr>
                          <w:t xml:space="preserve">радска </w:t>
                        </w:r>
                        <w:r>
                          <w:rPr>
                            <w:b/>
                            <w:bCs/>
                            <w:sz w:val="20"/>
                            <w:szCs w:val="20"/>
                            <w:lang w:val="bg-BG"/>
                          </w:rPr>
                          <w:t xml:space="preserve"> п</w:t>
                        </w:r>
                        <w:r w:rsidRPr="006238D1">
                          <w:rPr>
                            <w:b/>
                            <w:bCs/>
                            <w:sz w:val="20"/>
                            <w:szCs w:val="20"/>
                            <w:lang w:val="bg-BG"/>
                          </w:rPr>
                          <w:t>рокуратура</w:t>
                        </w:r>
                      </w:p>
                    </w:txbxContent>
                  </v:textbox>
                </v:shape>
                <v:shape id="Text Box 3" o:spid="_x0000_s1028" type="#_x0000_t202" style="position:absolute;left:7886;top:7952;width:6910;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XpCcIA&#10;AADaAAAADwAAAGRycy9kb3ducmV2LnhtbESPT2sCMRTE7wW/Q3iCt5q1StXVKFYQvEmthx4fm7d/&#10;2M3LksTd9dubQsHjMDO/Ybb7wTSiI+crywpm0wQEcWZ1xYWC28/pfQXCB2SNjWVS8CAP+93obYup&#10;tj1/U3cNhYgQ9ikqKENoUyl9VpJBP7UtcfRy6wyGKF0htcM+wk0jP5LkUxqsOC6U2NKxpKy+3o2C&#10;taupXix+L8c+z7vll17Obnen1GQ8HDYgAg3hFf5vn7WCOfxdiTdA7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xekJwgAAANoAAAAPAAAAAAAAAAAAAAAAAJgCAABkcnMvZG93&#10;bnJldi54bWxQSwUGAAAAAAQABAD1AAAAhwMAAAAA&#10;" fillcolor="#eef3f9" stroked="f" strokeweight=".5pt">
                  <v:textbox>
                    <w:txbxContent>
                      <w:p w14:paraId="6E348E8F"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 xml:space="preserve">Отдел 01 </w:t>
                        </w:r>
                        <w:r w:rsidRPr="006238D1">
                          <w:rPr>
                            <w:sz w:val="11"/>
                            <w:szCs w:val="11"/>
                            <w:lang w:val="bg-BG"/>
                          </w:rPr>
                          <w:t>„Икономически“</w:t>
                        </w:r>
                      </w:p>
                    </w:txbxContent>
                  </v:textbox>
                </v:shape>
                <v:shape id="Text Box 4" o:spid="_x0000_s1029" type="#_x0000_t202" style="position:absolute;left:16377;top:7952;width:5929;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xxfcIA&#10;AADaAAAADwAAAGRycy9kb3ducmV2LnhtbESPzYvCMBTE7wv7P4S34G1NXcqq1SgqLOxN/Dh4fDSv&#10;H7R5KUls63+/ERY8DjPzG2a9HU0renK+tqxgNk1AEOdW11wquF5+PhcgfEDW2FomBQ/ysN28v60x&#10;03bgE/XnUIoIYZ+hgiqELpPS5xUZ9FPbEUevsM5giNKVUjscIty08itJvqXBmuNChR0dKsqb890o&#10;WLqGmjS9HQ9DUfTzvZ7Prnen1ORj3K1ABBrDK/zf/tUKUnhei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LHF9wgAAANoAAAAPAAAAAAAAAAAAAAAAAJgCAABkcnMvZG93&#10;bnJldi54bWxQSwUGAAAAAAQABAD1AAAAhwMAAAAA&#10;" fillcolor="#eef3f9" stroked="f" strokeweight=".5pt">
                  <v:textbox>
                    <w:txbxContent>
                      <w:p w14:paraId="55CC02E7"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Отдел 0</w:t>
                        </w:r>
                        <w:r>
                          <w:rPr>
                            <w:b/>
                            <w:bCs/>
                            <w:sz w:val="11"/>
                            <w:szCs w:val="11"/>
                            <w:lang w:val="bg-BG"/>
                          </w:rPr>
                          <w:t>2</w:t>
                        </w:r>
                        <w:r w:rsidRPr="006238D1">
                          <w:rPr>
                            <w:b/>
                            <w:bCs/>
                            <w:sz w:val="11"/>
                            <w:szCs w:val="11"/>
                            <w:lang w:val="bg-BG"/>
                          </w:rPr>
                          <w:t xml:space="preserve"> </w:t>
                        </w:r>
                        <w:r w:rsidRPr="006238D1">
                          <w:rPr>
                            <w:sz w:val="11"/>
                            <w:szCs w:val="11"/>
                            <w:lang w:val="bg-BG"/>
                          </w:rPr>
                          <w:t>„</w:t>
                        </w:r>
                        <w:r>
                          <w:rPr>
                            <w:sz w:val="11"/>
                            <w:szCs w:val="11"/>
                            <w:lang w:val="bg-BG"/>
                          </w:rPr>
                          <w:t>Криминален</w:t>
                        </w:r>
                        <w:r w:rsidRPr="006238D1">
                          <w:rPr>
                            <w:sz w:val="11"/>
                            <w:szCs w:val="11"/>
                            <w:lang w:val="bg-BG"/>
                          </w:rPr>
                          <w:t>“</w:t>
                        </w:r>
                      </w:p>
                    </w:txbxContent>
                  </v:textbox>
                </v:shape>
                <v:shape id="Text Box 5" o:spid="_x0000_s1030" type="#_x0000_t202" style="position:absolute;left:24618;top:8691;width:6833;height:10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DU5sIA&#10;AADaAAAADwAAAGRycy9kb3ducmV2LnhtbESPT2sCMRTE7wW/Q3iCt5pVbNXVKCoIvZWqB4+Pzds/&#10;7OZlSeLu+u1NodDjMDO/Ybb7wTSiI+crywpm0wQEcWZ1xYWC2/X8vgLhA7LGxjIpeJKH/W70tsVU&#10;255/qLuEQkQI+xQVlCG0qZQ+K8mgn9qWOHq5dQZDlK6Q2mEf4aaR8yT5lAYrjgsltnQqKasvD6Ng&#10;7WqqF4v796nP82551MvZ7eGUmoyHwwZEoCH8h//aX1rBB/xeiT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YNTmwgAAANoAAAAPAAAAAAAAAAAAAAAAAJgCAABkcnMvZG93&#10;bnJldi54bWxQSwUGAAAAAAQABAD1AAAAhwMAAAAA&#10;" fillcolor="#eef3f9" stroked="f" strokeweight=".5pt">
                  <v:textbox>
                    <w:txbxContent>
                      <w:p w14:paraId="7F1E7821" w14:textId="77777777" w:rsidR="001F7101" w:rsidRPr="00CD213C" w:rsidRDefault="001F7101" w:rsidP="00CD213C">
                        <w:pPr>
                          <w:spacing w:line="180" w:lineRule="exact"/>
                          <w:ind w:left="-144" w:right="-144"/>
                          <w:jc w:val="center"/>
                          <w:rPr>
                            <w:b/>
                            <w:bCs/>
                            <w:sz w:val="12"/>
                            <w:szCs w:val="12"/>
                            <w:lang w:val="bg-BG"/>
                          </w:rPr>
                        </w:pPr>
                        <w:r w:rsidRPr="00CD213C">
                          <w:rPr>
                            <w:b/>
                            <w:bCs/>
                            <w:sz w:val="12"/>
                            <w:szCs w:val="12"/>
                            <w:lang w:val="bg-BG"/>
                          </w:rPr>
                          <w:t xml:space="preserve">Отдел 03 </w:t>
                        </w:r>
                        <w:r w:rsidRPr="00CD213C">
                          <w:rPr>
                            <w:sz w:val="12"/>
                            <w:szCs w:val="12"/>
                            <w:lang w:val="bg-BG"/>
                          </w:rPr>
                          <w:t>„Международен, изпълнение на наказанията и наказателно-съдебен надзор“</w:t>
                        </w:r>
                      </w:p>
                    </w:txbxContent>
                  </v:textbox>
                </v:shape>
                <v:shape id="Text Box 8" o:spid="_x0000_s1031" type="#_x0000_t202" style="position:absolute;left:33461;top:8691;width:6832;height:10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F7eL4A&#10;AADaAAAADwAAAGRycy9kb3ducmV2LnhtbERPy4rCMBTdD8w/hCu4G1NFfFSjjILgTka7cHlpbh+0&#10;uSlJbDt/P1kIszyc9/44mlb05HxtWcF8loAgzq2uuVSQPS5fGxA+IGtsLZOCX/JwPHx+7DHVduAf&#10;6u+hFDGEfYoKqhC6VEqfV2TQz2xHHLnCOoMhQldK7XCI4aaViyRZSYM1x4YKOzpXlDf3l1GwdQ01&#10;y+Xzdh6Kol+f9HqevZxS08n4vQMRaAz/4rf7qhXErfFKvAHy8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he3i+AAAA2gAAAA8AAAAAAAAAAAAAAAAAmAIAAGRycy9kb3ducmV2&#10;LnhtbFBLBQYAAAAABAAEAPUAAACDAwAAAAA=&#10;" fillcolor="#eef3f9" stroked="f" strokeweight=".5pt">
                  <v:textbox>
                    <w:txbxContent>
                      <w:p w14:paraId="6ED2D983" w14:textId="77777777" w:rsidR="001F7101" w:rsidRDefault="001F7101" w:rsidP="00CD213C">
                        <w:pPr>
                          <w:spacing w:line="180" w:lineRule="exact"/>
                          <w:ind w:left="-144" w:right="-144"/>
                          <w:jc w:val="center"/>
                          <w:rPr>
                            <w:b/>
                            <w:bCs/>
                            <w:sz w:val="12"/>
                            <w:szCs w:val="12"/>
                            <w:lang w:val="bg-BG"/>
                          </w:rPr>
                        </w:pPr>
                        <w:r w:rsidRPr="00CD213C">
                          <w:rPr>
                            <w:b/>
                            <w:bCs/>
                            <w:sz w:val="12"/>
                            <w:szCs w:val="12"/>
                            <w:lang w:val="bg-BG"/>
                          </w:rPr>
                          <w:t>Отдел 0</w:t>
                        </w:r>
                        <w:r>
                          <w:rPr>
                            <w:b/>
                            <w:bCs/>
                            <w:sz w:val="12"/>
                            <w:szCs w:val="12"/>
                            <w:lang w:val="bg-BG"/>
                          </w:rPr>
                          <w:t>4</w:t>
                        </w:r>
                        <w:r w:rsidRPr="00CD213C">
                          <w:rPr>
                            <w:b/>
                            <w:bCs/>
                            <w:sz w:val="12"/>
                            <w:szCs w:val="12"/>
                            <w:lang w:val="bg-BG"/>
                          </w:rPr>
                          <w:t xml:space="preserve"> </w:t>
                        </w:r>
                      </w:p>
                      <w:p w14:paraId="29EF6E07" w14:textId="77777777" w:rsidR="001F7101" w:rsidRPr="00CD213C" w:rsidRDefault="001F7101" w:rsidP="00CD213C">
                        <w:pPr>
                          <w:spacing w:line="180" w:lineRule="exact"/>
                          <w:ind w:left="-144" w:right="-144"/>
                          <w:jc w:val="center"/>
                          <w:rPr>
                            <w:b/>
                            <w:bCs/>
                            <w:sz w:val="12"/>
                            <w:szCs w:val="12"/>
                            <w:lang w:val="bg-BG"/>
                          </w:rPr>
                        </w:pPr>
                        <w:r w:rsidRPr="00CD213C">
                          <w:rPr>
                            <w:sz w:val="12"/>
                            <w:szCs w:val="12"/>
                            <w:lang w:val="bg-BG"/>
                          </w:rPr>
                          <w:t>„</w:t>
                        </w:r>
                        <w:r>
                          <w:rPr>
                            <w:sz w:val="12"/>
                            <w:szCs w:val="12"/>
                            <w:lang w:val="bg-BG"/>
                          </w:rPr>
                          <w:t>Надзор за законност, гражданско-съдебен и административно-съдебен</w:t>
                        </w:r>
                        <w:r w:rsidRPr="00CD213C">
                          <w:rPr>
                            <w:sz w:val="12"/>
                            <w:szCs w:val="12"/>
                            <w:lang w:val="bg-BG"/>
                          </w:rPr>
                          <w:t>“</w:t>
                        </w:r>
                      </w:p>
                    </w:txbxContent>
                  </v:textbox>
                </v:shape>
                <v:shape id="Text Box 9" o:spid="_x0000_s1032" type="#_x0000_t202" style="position:absolute;left:42445;top:7952;width:6931;height:3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3e48EA&#10;AADaAAAADwAAAGRycy9kb3ducmV2LnhtbESPT4vCMBTE7wt+h/AEb2uqyKrVKCoI3pZVDx4fzesf&#10;2ryUJLb125uFhT0OM78ZZrsfTCM6cr6yrGA2TUAQZ1ZXXCi4386fKxA+IGtsLJOCF3nY70YfW0y1&#10;7fmHumsoRCxhn6KCMoQ2ldJnJRn0U9sSRy+3zmCI0hVSO+xjuWnkPEm+pMGK40KJLZ1Kyurr0yhY&#10;u5rqxeLxferzvFse9XJ2fzqlJuPhsAERaAj/4T/6oiMHv1fiDZC7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t3uPBAAAA2gAAAA8AAAAAAAAAAAAAAAAAmAIAAGRycy9kb3du&#10;cmV2LnhtbFBLBQYAAAAABAAEAPUAAACGAwAAAAA=&#10;" fillcolor="#eef3f9" stroked="f" strokeweight=".5pt">
                  <v:textbox>
                    <w:txbxContent>
                      <w:p w14:paraId="3FD90BCB" w14:textId="77777777" w:rsidR="001F7101" w:rsidRPr="006238D1" w:rsidRDefault="001F7101" w:rsidP="00CD213C">
                        <w:pPr>
                          <w:spacing w:line="140" w:lineRule="exact"/>
                          <w:ind w:left="-144" w:right="-144"/>
                          <w:jc w:val="center"/>
                          <w:rPr>
                            <w:b/>
                            <w:bCs/>
                            <w:sz w:val="11"/>
                            <w:szCs w:val="11"/>
                            <w:lang w:val="bg-BG"/>
                          </w:rPr>
                        </w:pPr>
                        <w:r w:rsidRPr="006238D1">
                          <w:rPr>
                            <w:b/>
                            <w:bCs/>
                            <w:sz w:val="11"/>
                            <w:szCs w:val="11"/>
                            <w:lang w:val="bg-BG"/>
                          </w:rPr>
                          <w:t>Отдел 0</w:t>
                        </w:r>
                        <w:r>
                          <w:rPr>
                            <w:b/>
                            <w:bCs/>
                            <w:sz w:val="11"/>
                            <w:szCs w:val="11"/>
                            <w:lang w:val="bg-BG"/>
                          </w:rPr>
                          <w:t>5</w:t>
                        </w:r>
                        <w:r w:rsidRPr="006238D1">
                          <w:rPr>
                            <w:b/>
                            <w:bCs/>
                            <w:sz w:val="11"/>
                            <w:szCs w:val="11"/>
                            <w:lang w:val="bg-BG"/>
                          </w:rPr>
                          <w:t xml:space="preserve"> </w:t>
                        </w:r>
                        <w:r w:rsidRPr="006238D1">
                          <w:rPr>
                            <w:sz w:val="11"/>
                            <w:szCs w:val="11"/>
                            <w:lang w:val="bg-BG"/>
                          </w:rPr>
                          <w:t>„</w:t>
                        </w:r>
                        <w:r>
                          <w:rPr>
                            <w:sz w:val="11"/>
                            <w:szCs w:val="11"/>
                            <w:lang w:val="bg-BG"/>
                          </w:rPr>
                          <w:t>Специализиран</w:t>
                        </w:r>
                        <w:r w:rsidRPr="006238D1">
                          <w:rPr>
                            <w:sz w:val="11"/>
                            <w:szCs w:val="11"/>
                            <w:lang w:val="bg-BG"/>
                          </w:rPr>
                          <w:t>“</w:t>
                        </w:r>
                      </w:p>
                    </w:txbxContent>
                  </v:textbox>
                </v:shape>
                <v:shape id="Text Box 10" o:spid="_x0000_s1033" type="#_x0000_t202" style="position:absolute;left:50643;top:3416;width:8692;height:3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iLsMA&#10;AADbAAAADwAAAGRycy9kb3ducmV2LnhtbESPT2vDMAzF74N9B6PBbqvTUtYuq1vWwqC3sTaHHUWs&#10;/CGxHGw3yb79dCjsJvGe3vtpd5hdr0YKsfVsYLnIQBGX3rZcGyiuny9bUDEhW+w9k4FfinDYPz7s&#10;MLd+4m8aL6lWEsIxRwNNSkOudSwbchgXfiAWrfLBYZI11NoGnCTc9XqVZa/aYcvS0OBAp4bK7nJz&#10;Bt5CR916/fN1mqpq3BztZlncgjHPT/PHO6hEc/o336/PVvCFXn6RA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NiLsMAAADbAAAADwAAAAAAAAAAAAAAAACYAgAAZHJzL2Rv&#10;d25yZXYueG1sUEsFBgAAAAAEAAQA9QAAAIgDAAAAAA==&#10;" fillcolor="#eef3f9" stroked="f" strokeweight=".5pt">
                  <v:textbox>
                    <w:txbxContent>
                      <w:p w14:paraId="7B9629A8" w14:textId="77777777" w:rsidR="001F7101" w:rsidRPr="00CD213C" w:rsidRDefault="001F7101" w:rsidP="00CD213C">
                        <w:pPr>
                          <w:spacing w:line="160" w:lineRule="exact"/>
                          <w:ind w:left="-144" w:right="-144"/>
                          <w:jc w:val="center"/>
                          <w:rPr>
                            <w:b/>
                            <w:bCs/>
                            <w:sz w:val="16"/>
                            <w:szCs w:val="16"/>
                            <w:lang w:val="bg-BG"/>
                          </w:rPr>
                        </w:pPr>
                        <w:r w:rsidRPr="00CD213C">
                          <w:rPr>
                            <w:b/>
                            <w:bCs/>
                            <w:sz w:val="16"/>
                            <w:szCs w:val="16"/>
                            <w:lang w:val="bg-BG"/>
                          </w:rPr>
                          <w:t>Следствен отдел</w:t>
                        </w:r>
                      </w:p>
                    </w:txbxContent>
                  </v:textbox>
                </v:shape>
                <v:shape id="Text Box 12" o:spid="_x0000_s1034" type="#_x0000_t202" style="position:absolute;top:12640;width:6101;height:5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Zwr8A&#10;AADbAAAADwAAAGRycy9kb3ducmV2LnhtbERPS4vCMBC+C/sfwgjeNFVkdatRVkHwJqse9jg00wdt&#10;JiWJbf33RljY23x8z9nuB9OIjpyvLCuYzxIQxJnVFRcK7rfTdA3CB2SNjWVS8CQP+93HaIuptj3/&#10;UHcNhYgh7FNUUIbQplL6rCSDfmZb4sjl1hkMEbpCaod9DDeNXCTJpzRYcWwosaVjSVl9fRgFX66m&#10;ern8vRz7PO9WB72a3x9Oqcl4+N6ACDSEf/Gf+6zj/AW8f4kHyN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LVnCvwAAANsAAAAPAAAAAAAAAAAAAAAAAJgCAABkcnMvZG93bnJl&#10;di54bWxQSwUGAAAAAAQABAD1AAAAhAMAAAAA&#10;" fillcolor="#eef3f9" stroked="f" strokeweight=".5pt">
                  <v:textbox>
                    <w:txbxContent>
                      <w:p w14:paraId="208245E3" w14:textId="77777777" w:rsidR="001F7101" w:rsidRPr="00313DCE" w:rsidRDefault="001F7101" w:rsidP="00313DCE">
                        <w:pPr>
                          <w:spacing w:line="140" w:lineRule="exact"/>
                          <w:ind w:left="-144" w:right="-144"/>
                          <w:jc w:val="center"/>
                          <w:rPr>
                            <w:b/>
                            <w:bCs/>
                            <w:sz w:val="13"/>
                            <w:szCs w:val="13"/>
                            <w:lang w:val="bg-BG"/>
                          </w:rPr>
                        </w:pPr>
                        <w:r w:rsidRPr="00313DCE">
                          <w:rPr>
                            <w:b/>
                            <w:bCs/>
                            <w:sz w:val="13"/>
                            <w:szCs w:val="13"/>
                            <w:lang w:val="bg-BG"/>
                          </w:rPr>
                          <w:t xml:space="preserve">Сектор 01 </w:t>
                        </w:r>
                      </w:p>
                      <w:p w14:paraId="40BFE93C" w14:textId="77777777" w:rsidR="001F7101" w:rsidRPr="006238D1" w:rsidRDefault="001F7101" w:rsidP="00313DCE">
                        <w:pPr>
                          <w:spacing w:line="140" w:lineRule="exact"/>
                          <w:ind w:left="-144" w:right="-144"/>
                          <w:jc w:val="center"/>
                          <w:rPr>
                            <w:b/>
                            <w:bCs/>
                            <w:sz w:val="11"/>
                            <w:szCs w:val="11"/>
                            <w:lang w:val="bg-BG"/>
                          </w:rPr>
                        </w:pPr>
                        <w:r w:rsidRPr="00313DCE">
                          <w:rPr>
                            <w:sz w:val="13"/>
                            <w:szCs w:val="13"/>
                            <w:lang w:val="bg-BG"/>
                          </w:rPr>
                          <w:t>„Общи икономически прес</w:t>
                        </w:r>
                        <w:r>
                          <w:rPr>
                            <w:sz w:val="13"/>
                            <w:szCs w:val="13"/>
                            <w:lang w:val="bg-BG"/>
                          </w:rPr>
                          <w:t>тъпл</w:t>
                        </w:r>
                        <w:r w:rsidRPr="00313DCE">
                          <w:rPr>
                            <w:sz w:val="13"/>
                            <w:szCs w:val="13"/>
                            <w:lang w:val="bg-BG"/>
                          </w:rPr>
                          <w:t>ения</w:t>
                        </w:r>
                        <w:r w:rsidRPr="006238D1">
                          <w:rPr>
                            <w:sz w:val="11"/>
                            <w:szCs w:val="11"/>
                            <w:lang w:val="bg-BG"/>
                          </w:rPr>
                          <w:t>“</w:t>
                        </w:r>
                      </w:p>
                    </w:txbxContent>
                  </v:textbox>
                </v:shape>
                <v:shape id="Text Box 13" o:spid="_x0000_s1035" type="#_x0000_t202" style="position:absolute;left:7223;top:12638;width:9151;height:8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H8WcAA&#10;AADbAAAADwAAAGRycy9kb3ducmV2LnhtbERPS4vCMBC+L/gfwgje1tRVVq1GcQXBm6zrYY9DM33Q&#10;ZlKS2NZ/bxYWvM3H95ztfjCN6Mj5yrKC2TQBQZxZXXGh4PZzel+B8AFZY2OZFDzIw343ettiqm3P&#10;39RdQyFiCPsUFZQhtKmUPivJoJ/aljhyuXUGQ4SukNphH8NNIz+S5FMarDg2lNjSsaSsvt6NgrWr&#10;qV4sfi/HPs+75Zdezm53p9RkPBw2IAIN4SX+d591nD+Hv1/iA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H8WcAAAADbAAAADwAAAAAAAAAAAAAAAACYAgAAZHJzL2Rvd25y&#10;ZXYueG1sUEsFBgAAAAAEAAQA9QAAAIUDAAAAAA==&#10;" fillcolor="#eef3f9" stroked="f" strokeweight=".5pt">
                  <v:textbox>
                    <w:txbxContent>
                      <w:p w14:paraId="0D1E85FA" w14:textId="77777777" w:rsidR="001F7101" w:rsidRPr="00313DCE" w:rsidRDefault="001F7101" w:rsidP="00313DCE">
                        <w:pPr>
                          <w:spacing w:line="140" w:lineRule="exact"/>
                          <w:ind w:left="-144" w:right="-144"/>
                          <w:jc w:val="center"/>
                          <w:rPr>
                            <w:b/>
                            <w:bCs/>
                            <w:sz w:val="13"/>
                            <w:szCs w:val="13"/>
                            <w:lang w:val="bg-BG"/>
                          </w:rPr>
                        </w:pPr>
                        <w:r w:rsidRPr="00313DCE">
                          <w:rPr>
                            <w:b/>
                            <w:bCs/>
                            <w:sz w:val="13"/>
                            <w:szCs w:val="13"/>
                            <w:lang w:val="bg-BG"/>
                          </w:rPr>
                          <w:t xml:space="preserve">Сектор 02 </w:t>
                        </w:r>
                      </w:p>
                      <w:p w14:paraId="670677B3" w14:textId="77777777" w:rsidR="001F7101" w:rsidRPr="00313DCE" w:rsidRDefault="001F7101" w:rsidP="00313DCE">
                        <w:pPr>
                          <w:spacing w:line="140" w:lineRule="exact"/>
                          <w:ind w:left="-144" w:right="-144"/>
                          <w:jc w:val="center"/>
                          <w:rPr>
                            <w:b/>
                            <w:bCs/>
                            <w:sz w:val="13"/>
                            <w:szCs w:val="13"/>
                            <w:lang w:val="bg-BG"/>
                          </w:rPr>
                        </w:pPr>
                        <w:r w:rsidRPr="00313DCE">
                          <w:rPr>
                            <w:sz w:val="13"/>
                            <w:szCs w:val="13"/>
                            <w:lang w:val="bg-BG"/>
                          </w:rPr>
                          <w:t>„Противодействие на престъпленията против финансовите интереси на Европейския съюз“</w:t>
                        </w:r>
                      </w:p>
                    </w:txbxContent>
                  </v:textbox>
                </v:shape>
                <v:shape id="Text Box 14" o:spid="_x0000_s1036" type="#_x0000_t202" style="position:absolute;left:17833;top:13414;width:5521;height:3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hkLcEA&#10;AADbAAAADwAAAGRycy9kb3ducmV2LnhtbERPS2vCQBC+F/oflil4qxslaJu6CSoIvZWqhx6H7ORB&#10;srNhd03iv+8WhN7m43vOrphNL0ZyvrWsYLVMQBCXVrdcK7heTq9vIHxA1thbJgV38lDkz087zLSd&#10;+JvGc6hFDGGfoYImhCGT0pcNGfRLOxBHrrLOYIjQ1VI7nGK46eU6STbSYMuxocGBjg2V3flmFLy7&#10;jro0/fk6TlU1bg96u7renFKLl3n/ASLQHP7FD/enjvNT+PslHi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IZC3BAAAA2wAAAA8AAAAAAAAAAAAAAAAAmAIAAGRycy9kb3du&#10;cmV2LnhtbFBLBQYAAAAABAAEAPUAAACGAwAAAAA=&#10;" fillcolor="#eef3f9" stroked="f" strokeweight=".5pt">
                  <v:textbox>
                    <w:txbxContent>
                      <w:p w14:paraId="4F729CCB" w14:textId="77777777" w:rsidR="001F7101" w:rsidRPr="00313DCE" w:rsidRDefault="001F7101" w:rsidP="00313DCE">
                        <w:pPr>
                          <w:spacing w:line="120" w:lineRule="exact"/>
                          <w:ind w:left="-144" w:right="-144"/>
                          <w:jc w:val="center"/>
                          <w:rPr>
                            <w:b/>
                            <w:bCs/>
                            <w:sz w:val="11"/>
                            <w:szCs w:val="11"/>
                            <w:lang w:val="bg-BG"/>
                          </w:rPr>
                        </w:pPr>
                        <w:r w:rsidRPr="00313DCE">
                          <w:rPr>
                            <w:b/>
                            <w:bCs/>
                            <w:sz w:val="11"/>
                            <w:szCs w:val="11"/>
                            <w:lang w:val="bg-BG"/>
                          </w:rPr>
                          <w:t xml:space="preserve">Сектор 03 </w:t>
                        </w:r>
                      </w:p>
                      <w:p w14:paraId="7AF5FA6C" w14:textId="77777777" w:rsidR="001F7101" w:rsidRPr="00313DCE" w:rsidRDefault="001F7101" w:rsidP="00313DCE">
                        <w:pPr>
                          <w:spacing w:line="120" w:lineRule="exact"/>
                          <w:ind w:left="-144" w:right="-144"/>
                          <w:jc w:val="center"/>
                          <w:rPr>
                            <w:b/>
                            <w:bCs/>
                            <w:sz w:val="11"/>
                            <w:szCs w:val="11"/>
                            <w:lang w:val="bg-BG"/>
                          </w:rPr>
                        </w:pPr>
                        <w:r w:rsidRPr="00313DCE">
                          <w:rPr>
                            <w:sz w:val="11"/>
                            <w:szCs w:val="11"/>
                            <w:lang w:val="bg-BG"/>
                          </w:rPr>
                          <w:t>„Данъчни престъпления“</w:t>
                        </w:r>
                      </w:p>
                    </w:txbxContent>
                  </v:textbox>
                </v:shape>
              </v:group>
            </w:pict>
          </mc:Fallback>
        </mc:AlternateContent>
      </w:r>
      <w:r w:rsidR="00BD4340">
        <w:rPr>
          <w:noProof/>
          <w:sz w:val="20"/>
          <w:lang w:val="bg-BG" w:eastAsia="bg-BG"/>
        </w:rPr>
        <w:drawing>
          <wp:inline distT="0" distB="0" distL="0" distR="0" wp14:anchorId="2521CA62" wp14:editId="1C5DC89A">
            <wp:extent cx="5865087" cy="248539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5592" cy="2485607"/>
                    </a:xfrm>
                    <a:prstGeom prst="rect">
                      <a:avLst/>
                    </a:prstGeom>
                    <a:noFill/>
                  </pic:spPr>
                </pic:pic>
              </a:graphicData>
            </a:graphic>
          </wp:inline>
        </w:drawing>
      </w:r>
    </w:p>
    <w:p w14:paraId="6AD27A1C" w14:textId="77777777" w:rsidR="0090720B" w:rsidRPr="0090720B" w:rsidRDefault="0090720B" w:rsidP="00CD48B4">
      <w:pPr>
        <w:widowControl/>
        <w:spacing w:before="120" w:after="120" w:line="260" w:lineRule="atLeast"/>
        <w:rPr>
          <w:sz w:val="20"/>
          <w:lang w:val="bg-BG"/>
        </w:rPr>
      </w:pPr>
      <w:r w:rsidRPr="0090720B">
        <w:rPr>
          <w:sz w:val="20"/>
        </w:rPr>
        <w:t>113. Според информацията, предоставена от България след виртуалното</w:t>
      </w:r>
      <w:r>
        <w:rPr>
          <w:sz w:val="20"/>
        </w:rPr>
        <w:t xml:space="preserve"> </w:t>
      </w:r>
      <w:r w:rsidRPr="0090720B">
        <w:rPr>
          <w:sz w:val="20"/>
        </w:rPr>
        <w:t>посещение, има 28 окръжни прокуратури (плюс специализирана прокуратура и 3 военни окръжни прокуратури). Към август 2021 г. в окръжните прокуратури е имало 332 прокурори и 323 следователи и</w:t>
      </w:r>
      <w:r>
        <w:rPr>
          <w:sz w:val="20"/>
        </w:rPr>
        <w:t xml:space="preserve"> 49 следователи в </w:t>
      </w:r>
      <w:r w:rsidRPr="000C5383">
        <w:rPr>
          <w:sz w:val="20"/>
        </w:rPr>
        <w:t>Н</w:t>
      </w:r>
      <w:r w:rsidRPr="000C5383">
        <w:rPr>
          <w:sz w:val="20"/>
          <w:lang w:val="bg-BG"/>
        </w:rPr>
        <w:t>ационалната следствена служба</w:t>
      </w:r>
      <w:r w:rsidRPr="000C5383">
        <w:rPr>
          <w:sz w:val="20"/>
        </w:rPr>
        <w:t>,</w:t>
      </w:r>
      <w:r w:rsidRPr="0090720B">
        <w:rPr>
          <w:sz w:val="20"/>
        </w:rPr>
        <w:t xml:space="preserve"> като се отбелязва, че никой от тях н</w:t>
      </w:r>
      <w:r>
        <w:rPr>
          <w:sz w:val="20"/>
        </w:rPr>
        <w:t xml:space="preserve">е е специализиран в подкупите </w:t>
      </w:r>
      <w:r>
        <w:rPr>
          <w:sz w:val="20"/>
          <w:lang w:val="bg-BG"/>
        </w:rPr>
        <w:t>на чужди длъжностни лица.</w:t>
      </w:r>
    </w:p>
    <w:p w14:paraId="27A38653" w14:textId="77777777" w:rsidR="00FC1A2C" w:rsidRPr="000C5383" w:rsidRDefault="00313DCE" w:rsidP="00FC1A2C">
      <w:pPr>
        <w:widowControl/>
        <w:spacing w:before="120" w:after="120" w:line="260" w:lineRule="atLeast"/>
        <w:rPr>
          <w:b/>
          <w:i/>
          <w:color w:val="4E81BD" w:themeColor="accent1"/>
          <w:sz w:val="20"/>
          <w:lang w:val="bg-BG"/>
        </w:rPr>
      </w:pPr>
      <w:r w:rsidRPr="000C5383">
        <w:rPr>
          <w:b/>
          <w:i/>
          <w:color w:val="4E81BD" w:themeColor="accent1"/>
          <w:sz w:val="20"/>
          <w:lang w:val="bg-BG"/>
        </w:rPr>
        <w:t>Коментар</w:t>
      </w:r>
    </w:p>
    <w:p w14:paraId="4764E542" w14:textId="77777777" w:rsidR="00FC1A2C" w:rsidRPr="000C5383" w:rsidRDefault="00313DCE" w:rsidP="00FC1A2C">
      <w:pPr>
        <w:widowControl/>
        <w:spacing w:before="120" w:after="120" w:line="260" w:lineRule="atLeast"/>
        <w:rPr>
          <w:sz w:val="20"/>
          <w:lang w:val="bg-BG"/>
        </w:rPr>
      </w:pPr>
      <w:r w:rsidRPr="000C5383">
        <w:rPr>
          <w:b/>
          <w:i/>
          <w:sz w:val="20"/>
          <w:lang w:val="bg-BG"/>
        </w:rPr>
        <w:t xml:space="preserve">Тъй като </w:t>
      </w:r>
      <w:r w:rsidR="003D50A6" w:rsidRPr="000C5383">
        <w:rPr>
          <w:b/>
          <w:i/>
          <w:sz w:val="20"/>
          <w:lang w:val="bg-BG"/>
        </w:rPr>
        <w:t>след</w:t>
      </w:r>
      <w:r w:rsidRPr="000C5383">
        <w:rPr>
          <w:b/>
          <w:i/>
          <w:sz w:val="20"/>
          <w:lang w:val="bg-BG"/>
        </w:rPr>
        <w:t xml:space="preserve"> </w:t>
      </w:r>
      <w:r w:rsidR="00673F1F" w:rsidRPr="000C5383">
        <w:rPr>
          <w:b/>
          <w:i/>
          <w:sz w:val="20"/>
          <w:lang w:val="bg-BG"/>
        </w:rPr>
        <w:t>Фаза</w:t>
      </w:r>
      <w:r w:rsidRPr="000C5383">
        <w:rPr>
          <w:b/>
          <w:i/>
          <w:sz w:val="20"/>
          <w:lang w:val="bg-BG"/>
        </w:rPr>
        <w:t xml:space="preserve"> 3 няма нови приключени дела за подкупване на чужди длъжностни лица, България не може да демонстрира подобрения в качеството на действителните разследвания и наказателни преследвания, а водещите </w:t>
      </w:r>
      <w:r w:rsidR="0006421B" w:rsidRPr="000C5383">
        <w:rPr>
          <w:b/>
          <w:i/>
          <w:sz w:val="20"/>
          <w:lang w:val="bg-BG"/>
        </w:rPr>
        <w:t>проверители</w:t>
      </w:r>
      <w:r w:rsidRPr="000C5383">
        <w:rPr>
          <w:b/>
          <w:i/>
          <w:sz w:val="20"/>
          <w:lang w:val="bg-BG"/>
        </w:rPr>
        <w:t xml:space="preserve"> считат, че препоръка 5 (а) по </w:t>
      </w:r>
      <w:r w:rsidR="00673F1F" w:rsidRPr="000C5383">
        <w:rPr>
          <w:b/>
          <w:i/>
          <w:sz w:val="20"/>
          <w:lang w:val="bg-BG"/>
        </w:rPr>
        <w:t>Фаза</w:t>
      </w:r>
      <w:r w:rsidRPr="000C5383">
        <w:rPr>
          <w:b/>
          <w:i/>
          <w:sz w:val="20"/>
          <w:lang w:val="bg-BG"/>
        </w:rPr>
        <w:t xml:space="preserve"> 3 все още е изпълнена само частично</w:t>
      </w:r>
      <w:r w:rsidR="00FC1A2C" w:rsidRPr="000C5383">
        <w:rPr>
          <w:b/>
          <w:i/>
          <w:sz w:val="20"/>
          <w:lang w:val="bg-BG"/>
        </w:rPr>
        <w:t>.</w:t>
      </w:r>
      <w:r w:rsidR="0090720B" w:rsidRPr="000C5383">
        <w:rPr>
          <w:b/>
          <w:i/>
          <w:sz w:val="20"/>
          <w:lang w:val="bg-BG"/>
        </w:rPr>
        <w:t xml:space="preserve"> Поради тази причина водещите оценители повтарят тази препоръка.</w:t>
      </w:r>
    </w:p>
    <w:p w14:paraId="04BBFD48" w14:textId="77777777" w:rsidR="00FC1A2C" w:rsidRPr="000C5383" w:rsidRDefault="00313DCE" w:rsidP="00A50C6B">
      <w:pPr>
        <w:pStyle w:val="Heading4"/>
        <w:ind w:hanging="340"/>
      </w:pPr>
      <w:r w:rsidRPr="000C5383">
        <w:rPr>
          <w:lang w:val="bg-BG"/>
        </w:rPr>
        <w:t>Обучение</w:t>
      </w:r>
    </w:p>
    <w:p w14:paraId="3AF060A3" w14:textId="77777777" w:rsidR="00FC1A2C" w:rsidRPr="00FC1A2C" w:rsidRDefault="00EC2E26" w:rsidP="00211753">
      <w:pPr>
        <w:pStyle w:val="Para"/>
        <w:numPr>
          <w:ilvl w:val="0"/>
          <w:numId w:val="32"/>
        </w:numPr>
      </w:pPr>
      <w:r w:rsidRPr="000C5383">
        <w:t xml:space="preserve">По </w:t>
      </w:r>
      <w:r w:rsidR="00673F1F" w:rsidRPr="000C5383">
        <w:t>Фаза</w:t>
      </w:r>
      <w:r w:rsidRPr="000C5383">
        <w:t xml:space="preserve"> 3 Рабо</w:t>
      </w:r>
      <w:r w:rsidRPr="00485404">
        <w:t>тната група препоръча да се осигури допълнително обучение относно престъплението за подкупване на чужди длъжностни лица, корпоративната отговорност за такова престъпление, разследването на физически и юридически лица за такива престъпления и санкциите за п</w:t>
      </w:r>
      <w:r w:rsidRPr="000C5383">
        <w:t>одкупване на чужди длъжностни лица, включително конфискация (препоръка 5 (b)). При</w:t>
      </w:r>
      <w:r w:rsidR="00211753" w:rsidRPr="000C5383">
        <w:rPr>
          <w:lang w:val="bg-BG"/>
        </w:rPr>
        <w:t xml:space="preserve"> </w:t>
      </w:r>
      <w:r w:rsidRPr="000C5383">
        <w:t xml:space="preserve">двугодишното писмено проследяване </w:t>
      </w:r>
      <w:r w:rsidR="00211753" w:rsidRPr="000C5383">
        <w:rPr>
          <w:lang w:val="bg-BG"/>
        </w:rPr>
        <w:t xml:space="preserve">на </w:t>
      </w:r>
      <w:r w:rsidR="00211753" w:rsidRPr="000C5383">
        <w:t xml:space="preserve">изпълнението на препоръките </w:t>
      </w:r>
      <w:r w:rsidR="00211753" w:rsidRPr="000C5383">
        <w:rPr>
          <w:lang w:val="bg-BG"/>
        </w:rPr>
        <w:t>по</w:t>
      </w:r>
      <w:r w:rsidR="00211753" w:rsidRPr="000C5383">
        <w:t xml:space="preserve"> фаза 3 </w:t>
      </w:r>
      <w:r w:rsidRPr="000C5383">
        <w:t xml:space="preserve">тази препоръка </w:t>
      </w:r>
      <w:r w:rsidR="00211753" w:rsidRPr="000C5383">
        <w:rPr>
          <w:lang w:val="bg-BG"/>
        </w:rPr>
        <w:t>беше отчетена като</w:t>
      </w:r>
      <w:r w:rsidRPr="000C5383">
        <w:t xml:space="preserve"> напълно изпълнена. Водещите </w:t>
      </w:r>
      <w:r w:rsidR="0006421B" w:rsidRPr="000C5383">
        <w:t>проверители</w:t>
      </w:r>
      <w:r w:rsidRPr="000C5383">
        <w:t xml:space="preserve"> обаче отбелязват, че обучението е непрекъснато изискване и България е заявила, че действията по обучението, свързани с разследването на корупционни престъпления, се провеждат ежегодно в рамките на Националния институт на правосъдието (НИП), част от вътрешния календар за обучение или обучение, осигурено от международните учебни заведения. Те също така отбелязват, че се провежда обучение относно прането на пари и киберпрестъпленията</w:t>
      </w:r>
      <w:r w:rsidR="00FC1A2C" w:rsidRPr="000C5383">
        <w:t xml:space="preserve">. </w:t>
      </w:r>
      <w:r w:rsidRPr="000C5383">
        <w:t>Освен това задължителното първоначално обучение</w:t>
      </w:r>
      <w:r w:rsidRPr="00EC2E26">
        <w:t xml:space="preserve"> на НИП за младши съдии, прокурори и следователи и непрекъснатото обучение за магистрати включва темата „Подкупване на чужди длъжностни лица“</w:t>
      </w:r>
      <w:r w:rsidR="00FC1A2C" w:rsidRPr="00FC1A2C">
        <w:t>.</w:t>
      </w:r>
    </w:p>
    <w:p w14:paraId="32B830DF" w14:textId="1B557B6A" w:rsidR="00FC1A2C" w:rsidRPr="00FC1A2C" w:rsidRDefault="00EC2E26" w:rsidP="00DD7407">
      <w:pPr>
        <w:widowControl/>
        <w:numPr>
          <w:ilvl w:val="0"/>
          <w:numId w:val="1"/>
        </w:numPr>
        <w:spacing w:before="120" w:after="120" w:line="260" w:lineRule="atLeast"/>
        <w:rPr>
          <w:sz w:val="20"/>
        </w:rPr>
      </w:pPr>
      <w:r w:rsidRPr="00EC2E26">
        <w:rPr>
          <w:sz w:val="20"/>
        </w:rPr>
        <w:t xml:space="preserve">От гледна точка на ефективността и предоставянето на адекватна </w:t>
      </w:r>
      <w:r w:rsidR="00A50C6B">
        <w:rPr>
          <w:sz w:val="20"/>
          <w:lang w:val="bg-BG"/>
        </w:rPr>
        <w:t>експертиза</w:t>
      </w:r>
      <w:r w:rsidRPr="00EC2E26">
        <w:rPr>
          <w:sz w:val="20"/>
        </w:rPr>
        <w:t xml:space="preserve"> в съдилищата, България заявява, че НИП следва хоризонтален подход, интегриращ темата „Подкупване на чужди длъжностни лица“ в програмите на различни обучения по наказателно право</w:t>
      </w:r>
      <w:r w:rsidR="00FC1A2C" w:rsidRPr="00FC1A2C">
        <w:rPr>
          <w:sz w:val="20"/>
        </w:rPr>
        <w:t xml:space="preserve">. </w:t>
      </w:r>
      <w:r w:rsidR="00DF5BB4" w:rsidRPr="00DF5BB4">
        <w:rPr>
          <w:sz w:val="20"/>
        </w:rPr>
        <w:t xml:space="preserve">Темата е включена и в обученията </w:t>
      </w:r>
      <w:r w:rsidR="00A50C6B">
        <w:rPr>
          <w:sz w:val="20"/>
          <w:lang w:val="bg-BG"/>
        </w:rPr>
        <w:t>по</w:t>
      </w:r>
      <w:r w:rsidR="00DF5BB4" w:rsidRPr="00DF5BB4">
        <w:rPr>
          <w:sz w:val="20"/>
        </w:rPr>
        <w:t xml:space="preserve"> международно сътрудничество по наказателни въпроси, защита на финансовите интереси на ЕС, </w:t>
      </w:r>
      <w:r w:rsidR="00A50C6B">
        <w:rPr>
          <w:sz w:val="20"/>
          <w:lang w:val="bg-BG"/>
        </w:rPr>
        <w:t>изпиране</w:t>
      </w:r>
      <w:r w:rsidR="00DF5BB4" w:rsidRPr="00DF5BB4">
        <w:rPr>
          <w:sz w:val="20"/>
        </w:rPr>
        <w:t xml:space="preserve"> на пари, измами, организирана престъпност, общи икономически и данъчни престъпления, документирани престъпления, прилагане на Европейската заповед за разследване </w:t>
      </w:r>
      <w:r w:rsidR="00211753">
        <w:rPr>
          <w:sz w:val="20"/>
          <w:lang w:val="bg-BG"/>
        </w:rPr>
        <w:t xml:space="preserve">(ЕЗР) </w:t>
      </w:r>
      <w:r w:rsidR="00DF5BB4" w:rsidRPr="00DF5BB4">
        <w:rPr>
          <w:sz w:val="20"/>
        </w:rPr>
        <w:t>и Европейска заповед за арест</w:t>
      </w:r>
      <w:r w:rsidR="00211753">
        <w:rPr>
          <w:sz w:val="20"/>
          <w:lang w:val="bg-BG"/>
        </w:rPr>
        <w:t xml:space="preserve"> (ЕЗА)</w:t>
      </w:r>
      <w:r w:rsidR="00DF5BB4" w:rsidRPr="00DF5BB4">
        <w:rPr>
          <w:sz w:val="20"/>
        </w:rPr>
        <w:t xml:space="preserve">. В </w:t>
      </w:r>
      <w:r w:rsidR="00DF5BB4" w:rsidRPr="00DF5BB4">
        <w:rPr>
          <w:sz w:val="20"/>
        </w:rPr>
        <w:lastRenderedPageBreak/>
        <w:t>допълнение, темата „Подкупване на чужди длъжностни лица“е част от програмите за обучение на обученията, посветени на различните подходи и методи на доказване в наказателното производство</w:t>
      </w:r>
      <w:r w:rsidR="00FC1A2C" w:rsidRPr="00FC1A2C">
        <w:rPr>
          <w:sz w:val="20"/>
        </w:rPr>
        <w:t xml:space="preserve">. </w:t>
      </w:r>
      <w:r w:rsidR="00DF5BB4" w:rsidRPr="00DF5BB4">
        <w:rPr>
          <w:sz w:val="20"/>
        </w:rPr>
        <w:t xml:space="preserve">Освен това България заявява, че обученията по тези теми се провеждат в смесени групи с участието на съдии, прокурори, следователи и служители с разследващи функции на Министерството на вътрешните работи. Като част от първоначалната квалификация на новоназначени прокурори в </w:t>
      </w:r>
      <w:r w:rsidR="00D0481A">
        <w:rPr>
          <w:sz w:val="20"/>
          <w:lang w:val="bg-BG"/>
        </w:rPr>
        <w:t>окръжните</w:t>
      </w:r>
      <w:r w:rsidR="00DF5BB4" w:rsidRPr="00DF5BB4">
        <w:rPr>
          <w:sz w:val="20"/>
        </w:rPr>
        <w:t xml:space="preserve"> прокуратури, темата „Подкупване на чужди длъжностни лица“ беше включена в 4 обучения</w:t>
      </w:r>
      <w:r w:rsidR="00957F80">
        <w:rPr>
          <w:sz w:val="20"/>
          <w:lang w:val="bg-BG"/>
        </w:rPr>
        <w:t xml:space="preserve"> през 2011-2020 г. </w:t>
      </w:r>
      <w:r w:rsidR="00DF5BB4" w:rsidRPr="00DF5BB4">
        <w:rPr>
          <w:sz w:val="20"/>
        </w:rPr>
        <w:t>с участието на 82 прокурори</w:t>
      </w:r>
      <w:r w:rsidR="00FC1A2C" w:rsidRPr="00FC1A2C">
        <w:rPr>
          <w:sz w:val="20"/>
        </w:rPr>
        <w:t>.</w:t>
      </w:r>
    </w:p>
    <w:p w14:paraId="5F37A4D1" w14:textId="77777777" w:rsidR="00FC1A2C" w:rsidRPr="00FC1A2C" w:rsidRDefault="00DF5BB4" w:rsidP="00DD7407">
      <w:pPr>
        <w:widowControl/>
        <w:numPr>
          <w:ilvl w:val="0"/>
          <w:numId w:val="1"/>
        </w:numPr>
        <w:spacing w:before="120" w:after="120" w:line="260" w:lineRule="atLeast"/>
        <w:rPr>
          <w:sz w:val="20"/>
        </w:rPr>
      </w:pPr>
      <w:r w:rsidRPr="00DF5BB4">
        <w:rPr>
          <w:sz w:val="20"/>
        </w:rPr>
        <w:t>България предоставя следната статистика, в периода 2011-2020 г., в рамките на непрекъснатото обучение на магистрати, 1 080 съдии</w:t>
      </w:r>
      <w:r w:rsidR="00FC1A2C" w:rsidRPr="00FC1A2C">
        <w:rPr>
          <w:sz w:val="20"/>
        </w:rPr>
        <w:t xml:space="preserve"> </w:t>
      </w:r>
      <w:r w:rsidRPr="00DF5BB4">
        <w:rPr>
          <w:sz w:val="20"/>
        </w:rPr>
        <w:t xml:space="preserve">са участвали в 93 преки и онлайн обучения, в които </w:t>
      </w:r>
      <w:r w:rsidR="00360854">
        <w:rPr>
          <w:sz w:val="20"/>
          <w:lang w:val="bg-BG"/>
        </w:rPr>
        <w:t>е била</w:t>
      </w:r>
      <w:r w:rsidRPr="00DF5BB4">
        <w:rPr>
          <w:sz w:val="20"/>
        </w:rPr>
        <w:t xml:space="preserve"> повдигната темата „Подкупване на чужди длъжностни лица“. През тези обучения са преминали 877 прокурори, 239 следователи, 179 служители на МВР и 16 служители на Държавна агенция „Национална сигурност</w:t>
      </w:r>
      <w:r w:rsidR="008B3863">
        <w:rPr>
          <w:sz w:val="20"/>
          <w:lang w:val="bg-BG"/>
        </w:rPr>
        <w:t>“</w:t>
      </w:r>
      <w:r w:rsidR="00FC1A2C" w:rsidRPr="00FC1A2C">
        <w:rPr>
          <w:sz w:val="20"/>
        </w:rPr>
        <w:t>.</w:t>
      </w:r>
    </w:p>
    <w:p w14:paraId="74BABC8A" w14:textId="0E3CB412" w:rsidR="00A648F5" w:rsidRPr="008B3863" w:rsidRDefault="00DF5BB4" w:rsidP="008B3863">
      <w:pPr>
        <w:widowControl/>
        <w:numPr>
          <w:ilvl w:val="0"/>
          <w:numId w:val="1"/>
        </w:numPr>
        <w:spacing w:before="120" w:after="120" w:line="260" w:lineRule="atLeast"/>
        <w:rPr>
          <w:sz w:val="20"/>
        </w:rPr>
      </w:pPr>
      <w:r w:rsidRPr="00DF5BB4">
        <w:rPr>
          <w:sz w:val="20"/>
        </w:rPr>
        <w:t xml:space="preserve">България не е присъствала на много от неофициалните срещи на Работната група на служителите на реда през последните няколко години. Когато провеждането на тази среща беше споменато пред следователи и </w:t>
      </w:r>
      <w:r w:rsidRPr="008B3863">
        <w:rPr>
          <w:sz w:val="20"/>
        </w:rPr>
        <w:t xml:space="preserve">прокурори по време </w:t>
      </w:r>
      <w:r w:rsidR="00AA690B" w:rsidRPr="008B3863">
        <w:rPr>
          <w:sz w:val="20"/>
        </w:rPr>
        <w:t>на виртуалното</w:t>
      </w:r>
      <w:r w:rsidR="00CD1C55">
        <w:rPr>
          <w:sz w:val="20"/>
        </w:rPr>
        <w:t xml:space="preserve"> посещение</w:t>
      </w:r>
      <w:r w:rsidRPr="008B3863">
        <w:rPr>
          <w:sz w:val="20"/>
        </w:rPr>
        <w:t>, те споделиха, че не са били осведомени за това, но следователите коментираха, че това е нещо, на което биха искали да присъстват</w:t>
      </w:r>
      <w:r w:rsidR="00FC1A2C" w:rsidRPr="008B3863">
        <w:rPr>
          <w:sz w:val="20"/>
        </w:rPr>
        <w:t>.</w:t>
      </w:r>
      <w:r w:rsidR="00A648F5" w:rsidRPr="008B3863">
        <w:rPr>
          <w:sz w:val="20"/>
        </w:rPr>
        <w:t xml:space="preserve"> </w:t>
      </w:r>
    </w:p>
    <w:p w14:paraId="3ADFF970" w14:textId="65DC2602" w:rsidR="00FC1A2C" w:rsidRPr="00367B42" w:rsidRDefault="00351194" w:rsidP="00DD7407">
      <w:pPr>
        <w:widowControl/>
        <w:numPr>
          <w:ilvl w:val="0"/>
          <w:numId w:val="1"/>
        </w:numPr>
        <w:spacing w:before="120" w:after="120" w:line="260" w:lineRule="atLeast"/>
        <w:rPr>
          <w:sz w:val="20"/>
          <w:lang w:val="bg-BG"/>
        </w:rPr>
      </w:pPr>
      <w:r w:rsidRPr="00351194">
        <w:rPr>
          <w:sz w:val="20"/>
        </w:rPr>
        <w:t xml:space="preserve">По отношение на повишаването на осведомеността, </w:t>
      </w:r>
      <w:r w:rsidR="00360854">
        <w:rPr>
          <w:sz w:val="20"/>
          <w:lang w:val="bg-BG"/>
        </w:rPr>
        <w:t>п</w:t>
      </w:r>
      <w:r w:rsidRPr="00351194">
        <w:rPr>
          <w:sz w:val="20"/>
        </w:rPr>
        <w:t xml:space="preserve">репоръка 8 (а) </w:t>
      </w:r>
      <w:r w:rsidR="00360854">
        <w:rPr>
          <w:sz w:val="20"/>
          <w:lang w:val="bg-BG"/>
        </w:rPr>
        <w:t xml:space="preserve">от доклада по </w:t>
      </w:r>
      <w:r w:rsidR="00360854">
        <w:rPr>
          <w:sz w:val="20"/>
        </w:rPr>
        <w:t>Фаза</w:t>
      </w:r>
      <w:r w:rsidR="00360854" w:rsidRPr="00351194">
        <w:rPr>
          <w:sz w:val="20"/>
        </w:rPr>
        <w:t xml:space="preserve"> 3 </w:t>
      </w:r>
      <w:r w:rsidRPr="00351194">
        <w:rPr>
          <w:sz w:val="20"/>
        </w:rPr>
        <w:t xml:space="preserve">за изрично разглеждане на борбата с подкупване на чужди длъжностни лица в международните търговски сделки в нейната политика за борба с корупцията е </w:t>
      </w:r>
      <w:r w:rsidR="00360854">
        <w:rPr>
          <w:sz w:val="20"/>
          <w:lang w:val="bg-BG"/>
        </w:rPr>
        <w:t xml:space="preserve">изпълнена. </w:t>
      </w:r>
      <w:r w:rsidRPr="00367B42">
        <w:rPr>
          <w:sz w:val="20"/>
          <w:lang w:val="bg-BG"/>
        </w:rPr>
        <w:t>Националната стратегия за борба с корупцията 2021-2027 г. се позовава на Конвенцията за борба с подкупите и съдържа специфичен приоритет 7, озаглавен „Навременна реакция на необходимостта от актуализиране на антикорупционните мерки, включени в Националната стратегия за предотвратяване и противодействие на корупцията, включително в отговор на препоръки, направени от международни институции“</w:t>
      </w:r>
      <w:r w:rsidR="00360854">
        <w:rPr>
          <w:sz w:val="20"/>
          <w:lang w:val="bg-BG"/>
        </w:rPr>
        <w:t xml:space="preserve"> и</w:t>
      </w:r>
      <w:r w:rsidR="00500062">
        <w:rPr>
          <w:sz w:val="20"/>
          <w:lang w:val="bg-BG"/>
        </w:rPr>
        <w:t xml:space="preserve"> </w:t>
      </w:r>
      <w:r w:rsidRPr="00367B42">
        <w:rPr>
          <w:sz w:val="20"/>
          <w:lang w:val="bg-BG"/>
        </w:rPr>
        <w:t>предвижда периодично актуализиране на стратегията, за да се вземат предвид тези препоръки</w:t>
      </w:r>
      <w:r w:rsidR="00A42E53" w:rsidRPr="00367B42">
        <w:rPr>
          <w:sz w:val="20"/>
          <w:lang w:val="bg-BG"/>
        </w:rPr>
        <w:t xml:space="preserve">. </w:t>
      </w:r>
    </w:p>
    <w:p w14:paraId="3D71088B" w14:textId="77777777" w:rsidR="00FC1A2C" w:rsidRPr="00351194" w:rsidRDefault="00351194" w:rsidP="00FC1A2C">
      <w:pPr>
        <w:widowControl/>
        <w:spacing w:before="120" w:after="120"/>
        <w:ind w:right="-58"/>
        <w:rPr>
          <w:rFonts w:cstheme="minorHAnsi"/>
          <w:b/>
          <w:i/>
          <w:noProof/>
          <w:color w:val="4E81BD" w:themeColor="accent1"/>
          <w:sz w:val="20"/>
          <w:lang w:val="bg-BG"/>
        </w:rPr>
      </w:pPr>
      <w:r>
        <w:rPr>
          <w:rFonts w:cstheme="minorHAnsi"/>
          <w:b/>
          <w:i/>
          <w:noProof/>
          <w:color w:val="4E81BD" w:themeColor="accent1"/>
          <w:sz w:val="20"/>
          <w:lang w:val="bg-BG"/>
        </w:rPr>
        <w:t>Коментар</w:t>
      </w:r>
    </w:p>
    <w:p w14:paraId="34618195" w14:textId="77777777" w:rsidR="0006421B" w:rsidRPr="008C08CD" w:rsidRDefault="0006421B" w:rsidP="0006421B">
      <w:pPr>
        <w:pStyle w:val="Commentary"/>
        <w:rPr>
          <w:lang w:val="bg-BG"/>
        </w:rPr>
      </w:pPr>
      <w:r w:rsidRPr="008C08CD">
        <w:rPr>
          <w:lang w:val="bg-BG"/>
        </w:rPr>
        <w:t>Водещите проверители по</w:t>
      </w:r>
      <w:r w:rsidR="00360854">
        <w:rPr>
          <w:lang w:val="bg-BG"/>
        </w:rPr>
        <w:t>здравяват</w:t>
      </w:r>
      <w:r w:rsidRPr="008C08CD">
        <w:rPr>
          <w:lang w:val="bg-BG"/>
        </w:rPr>
        <w:t xml:space="preserve"> България за текущото обучение, предоставено на служителите на правоохранителните органи </w:t>
      </w:r>
      <w:r w:rsidR="003D50A6">
        <w:rPr>
          <w:lang w:val="bg-BG"/>
        </w:rPr>
        <w:t>след</w:t>
      </w:r>
      <w:r w:rsidRPr="008C08CD">
        <w:rPr>
          <w:lang w:val="bg-BG"/>
        </w:rPr>
        <w:t xml:space="preserve"> </w:t>
      </w:r>
      <w:r w:rsidR="00673F1F" w:rsidRPr="008C08CD">
        <w:rPr>
          <w:lang w:val="bg-BG"/>
        </w:rPr>
        <w:t>Фаза</w:t>
      </w:r>
      <w:r w:rsidRPr="008C08CD">
        <w:rPr>
          <w:lang w:val="bg-BG"/>
        </w:rPr>
        <w:t xml:space="preserve"> 3. Въпреки това, без реални разследвания и </w:t>
      </w:r>
      <w:r w:rsidR="00360854">
        <w:rPr>
          <w:lang w:val="bg-BG"/>
        </w:rPr>
        <w:t>наказателни</w:t>
      </w:r>
      <w:r w:rsidR="00360854" w:rsidRPr="008C08CD">
        <w:rPr>
          <w:lang w:val="bg-BG"/>
        </w:rPr>
        <w:t xml:space="preserve"> </w:t>
      </w:r>
      <w:r w:rsidRPr="008C08CD">
        <w:rPr>
          <w:lang w:val="bg-BG"/>
        </w:rPr>
        <w:t>преследвания за подкупване на чужди длъжностни лица, не е възможно да се прецени напълно дали това обучение е ефективно.</w:t>
      </w:r>
    </w:p>
    <w:p w14:paraId="1BB4F6BD" w14:textId="77777777" w:rsidR="008F0851" w:rsidRPr="008C08CD" w:rsidRDefault="0006421B" w:rsidP="0006421B">
      <w:pPr>
        <w:pStyle w:val="Commentary"/>
        <w:rPr>
          <w:lang w:val="bg-BG"/>
        </w:rPr>
      </w:pPr>
      <w:r w:rsidRPr="008C08CD">
        <w:rPr>
          <w:lang w:val="bg-BG"/>
        </w:rPr>
        <w:t xml:space="preserve">Що се отнася до системните последващи действия за наблюдение и насърчаване на пълното прилагане на Конвенцията, водещите проверители приветстват желанието, изразено от следователите по време на </w:t>
      </w:r>
      <w:r w:rsidR="00CD1C55">
        <w:rPr>
          <w:lang w:val="bg-BG"/>
        </w:rPr>
        <w:t>виртуалното посещение</w:t>
      </w:r>
      <w:r w:rsidRPr="008C08CD">
        <w:rPr>
          <w:lang w:val="bg-BG"/>
        </w:rPr>
        <w:t xml:space="preserve">, да се ангажират по-тясно с Работната група и по-специално </w:t>
      </w:r>
      <w:r w:rsidR="00360854">
        <w:rPr>
          <w:lang w:val="bg-BG"/>
        </w:rPr>
        <w:t>със срещите</w:t>
      </w:r>
      <w:r w:rsidRPr="008C08CD">
        <w:rPr>
          <w:lang w:val="bg-BG"/>
        </w:rPr>
        <w:t xml:space="preserve"> на </w:t>
      </w:r>
      <w:r w:rsidR="00360854">
        <w:rPr>
          <w:lang w:val="bg-BG"/>
        </w:rPr>
        <w:t>представителите</w:t>
      </w:r>
      <w:r w:rsidRPr="008C08CD">
        <w:rPr>
          <w:lang w:val="bg-BG"/>
        </w:rPr>
        <w:t xml:space="preserve"> на правоприлагащите органи. Ето защо водещите проверители препоръчват България да вземе активно участие в различните заседания на Работната група и да разпространява информация на национално ниво до съответните органи и заинтересованите страни относно прилагането на Конвенцията и </w:t>
      </w:r>
      <w:r w:rsidR="009B6F7B">
        <w:rPr>
          <w:lang w:val="bg-BG"/>
        </w:rPr>
        <w:t>дейността</w:t>
      </w:r>
      <w:r w:rsidRPr="008C08CD">
        <w:rPr>
          <w:lang w:val="bg-BG"/>
        </w:rPr>
        <w:t xml:space="preserve"> на Работната група, като например Матрицата на делата. Водещите проверители вземат под внимание Националната стратегия за борба с корупцията 2021-2027 г. и насърчават България</w:t>
      </w:r>
      <w:r w:rsidR="009B6F7B">
        <w:rPr>
          <w:lang w:val="bg-BG"/>
        </w:rPr>
        <w:t>, посредством Националния съвет по антикорупционни политики, спешно</w:t>
      </w:r>
      <w:r w:rsidRPr="008C08CD">
        <w:rPr>
          <w:lang w:val="bg-BG"/>
        </w:rPr>
        <w:t xml:space="preserve"> да даде приоритет на изпълнението на препоръките на Работната група</w:t>
      </w:r>
      <w:r w:rsidR="008F0851" w:rsidRPr="008C08CD">
        <w:rPr>
          <w:lang w:val="bg-BG"/>
        </w:rPr>
        <w:t>.</w:t>
      </w:r>
    </w:p>
    <w:p w14:paraId="086A80B0" w14:textId="53A4ACB0" w:rsidR="00FC1A2C" w:rsidRPr="008C08CD" w:rsidRDefault="003E3F0A" w:rsidP="00EF25FD">
      <w:pPr>
        <w:pStyle w:val="Heading3"/>
        <w:numPr>
          <w:ilvl w:val="0"/>
          <w:numId w:val="0"/>
        </w:numPr>
        <w:rPr>
          <w:lang w:val="bg-BG"/>
        </w:rPr>
      </w:pPr>
      <w:r>
        <w:rPr>
          <w:lang w:val="en-US"/>
        </w:rPr>
        <w:t>(</w:t>
      </w:r>
      <w:r>
        <w:rPr>
          <w:lang w:val="bg-BG"/>
        </w:rPr>
        <w:t>г</w:t>
      </w:r>
      <w:r>
        <w:rPr>
          <w:lang w:val="en-US"/>
        </w:rPr>
        <w:t>)</w:t>
      </w:r>
      <w:r w:rsidR="00EF25FD">
        <w:rPr>
          <w:lang w:val="bg-BG"/>
        </w:rPr>
        <w:t xml:space="preserve"> </w:t>
      </w:r>
      <w:r w:rsidR="0006421B" w:rsidRPr="008C08CD">
        <w:rPr>
          <w:lang w:val="bg-BG"/>
        </w:rPr>
        <w:t>Приключване на дело за подкупване на чужди длъжностни лица</w:t>
      </w:r>
    </w:p>
    <w:p w14:paraId="78D7931C" w14:textId="77777777" w:rsidR="00FC1A2C" w:rsidRPr="00FC1A2C" w:rsidRDefault="007C21ED" w:rsidP="00DD7407">
      <w:pPr>
        <w:widowControl/>
        <w:numPr>
          <w:ilvl w:val="0"/>
          <w:numId w:val="1"/>
        </w:numPr>
        <w:spacing w:before="120" w:after="120" w:line="260" w:lineRule="atLeast"/>
        <w:rPr>
          <w:sz w:val="20"/>
        </w:rPr>
      </w:pPr>
      <w:r w:rsidRPr="008C08CD">
        <w:rPr>
          <w:sz w:val="20"/>
          <w:lang w:val="bg-BG"/>
        </w:rPr>
        <w:t xml:space="preserve">След получаване на попълнените преписки, прокурорът може да реши да прекрати или спре наказателното производство. Основанията за прекратяване включват, че предполагаемото </w:t>
      </w:r>
      <w:r w:rsidRPr="008C08CD">
        <w:rPr>
          <w:sz w:val="20"/>
          <w:lang w:val="bg-BG"/>
        </w:rPr>
        <w:lastRenderedPageBreak/>
        <w:t xml:space="preserve">деяние не е извършено или не е нарушение, или изтичането на давностен срок. Когато делото бъде прекратено, препис от постановлението за прекратяване на наказателното производство се изпраща на обвиняемия, на пострадалия или неговите наследници, или на ощетеното юридическо лице, които могат да обжалват постановлението пред съответния първоинстанционен съд в седемдневен срок от получаването на преписа (член 243, параграф 4 </w:t>
      </w:r>
      <w:r>
        <w:rPr>
          <w:sz w:val="20"/>
          <w:lang w:val="bg-BG"/>
        </w:rPr>
        <w:t xml:space="preserve">от </w:t>
      </w:r>
      <w:r w:rsidRPr="008C08CD">
        <w:rPr>
          <w:sz w:val="20"/>
          <w:lang w:val="bg-BG"/>
        </w:rPr>
        <w:t xml:space="preserve">НПК). Съдът разглежда делото еднолично в закрито заседание не по-късно от един месец от постъпване на делото, като се произнася по обосноваността и законосъобразността на постановлението за прекратяване на наказателното производство. </w:t>
      </w:r>
      <w:r w:rsidRPr="007C21ED">
        <w:rPr>
          <w:sz w:val="20"/>
        </w:rPr>
        <w:t>Прокурорът може да обжалва това решение</w:t>
      </w:r>
      <w:r w:rsidR="00FC1A2C" w:rsidRPr="00FC1A2C">
        <w:rPr>
          <w:sz w:val="20"/>
        </w:rPr>
        <w:t>.</w:t>
      </w:r>
    </w:p>
    <w:p w14:paraId="01339BB3" w14:textId="026837DD" w:rsidR="00FC1A2C" w:rsidRPr="008C08CD" w:rsidRDefault="007C21ED" w:rsidP="00DD7407">
      <w:pPr>
        <w:widowControl/>
        <w:numPr>
          <w:ilvl w:val="0"/>
          <w:numId w:val="1"/>
        </w:numPr>
        <w:spacing w:before="120" w:after="120" w:line="260" w:lineRule="atLeast"/>
        <w:rPr>
          <w:sz w:val="20"/>
          <w:lang w:val="bg-BG"/>
        </w:rPr>
      </w:pPr>
      <w:r w:rsidRPr="007C21ED">
        <w:rPr>
          <w:sz w:val="20"/>
        </w:rPr>
        <w:t>Прокурорът трябва да спре производството при определени обстоятелства, например подсъдимият страда от тежко заболяване, като разглеждането на делото в отсъствие на подсъдимия би възпрепятствало разкриването на обективната истина или когато извършителят на престъплението не е разкрит (член 24</w:t>
      </w:r>
      <w:r w:rsidR="009B6F7B">
        <w:rPr>
          <w:sz w:val="20"/>
          <w:lang w:val="bg-BG"/>
        </w:rPr>
        <w:t>4</w:t>
      </w:r>
      <w:r w:rsidRPr="007C21ED">
        <w:rPr>
          <w:sz w:val="20"/>
        </w:rPr>
        <w:t xml:space="preserve"> от НПК). Отново, когато това е така, прокурорът трябва да уведоми страните и това може да бъде обжалвано пред съда. </w:t>
      </w:r>
      <w:r w:rsidR="009B6F7B">
        <w:rPr>
          <w:sz w:val="20"/>
          <w:lang w:val="bg-BG"/>
        </w:rPr>
        <w:t>Спряното</w:t>
      </w:r>
      <w:r w:rsidR="009B6F7B" w:rsidRPr="007C21ED">
        <w:rPr>
          <w:sz w:val="20"/>
        </w:rPr>
        <w:t xml:space="preserve"> </w:t>
      </w:r>
      <w:r w:rsidRPr="007C21ED">
        <w:rPr>
          <w:sz w:val="20"/>
        </w:rPr>
        <w:t>производство може да бъде възобновено, след като причината за спирането бъде отстранена</w:t>
      </w:r>
      <w:r w:rsidR="00FC1A2C" w:rsidRPr="00FC1A2C">
        <w:rPr>
          <w:sz w:val="20"/>
        </w:rPr>
        <w:t>.</w:t>
      </w:r>
      <w:r w:rsidR="009B6F7B" w:rsidRPr="009B6F7B">
        <w:rPr>
          <w:sz w:val="20"/>
          <w:lang w:val="bg-BG"/>
        </w:rPr>
        <w:t xml:space="preserve"> </w:t>
      </w:r>
      <w:r w:rsidR="009B6F7B">
        <w:rPr>
          <w:sz w:val="20"/>
          <w:lang w:val="bg-BG"/>
        </w:rPr>
        <w:t>След</w:t>
      </w:r>
      <w:r w:rsidR="009B6F7B" w:rsidRPr="008C08CD">
        <w:rPr>
          <w:sz w:val="20"/>
          <w:lang w:val="bg-BG"/>
        </w:rPr>
        <w:t xml:space="preserve"> Фаза 3 не са прекрат</w:t>
      </w:r>
      <w:r w:rsidR="009B6F7B">
        <w:rPr>
          <w:sz w:val="20"/>
          <w:lang w:val="bg-BG"/>
        </w:rPr>
        <w:t>явани</w:t>
      </w:r>
      <w:r w:rsidR="009B6F7B" w:rsidRPr="008C08CD">
        <w:rPr>
          <w:sz w:val="20"/>
          <w:lang w:val="bg-BG"/>
        </w:rPr>
        <w:t xml:space="preserve"> дела за подкуп на чужди длъжностни лица</w:t>
      </w:r>
      <w:r w:rsidR="009B6F7B">
        <w:rPr>
          <w:sz w:val="20"/>
          <w:lang w:val="bg-BG"/>
        </w:rPr>
        <w:t>.</w:t>
      </w:r>
    </w:p>
    <w:p w14:paraId="58ECD00B" w14:textId="77777777" w:rsidR="00FC1A2C" w:rsidRPr="004D277E" w:rsidRDefault="004D277E" w:rsidP="00FC1A2C">
      <w:pPr>
        <w:widowControl/>
        <w:spacing w:before="120" w:after="120" w:line="260" w:lineRule="atLeast"/>
        <w:rPr>
          <w:b/>
          <w:i/>
          <w:color w:val="4E81BD" w:themeColor="accent1"/>
          <w:sz w:val="20"/>
          <w:lang w:val="bg-BG"/>
        </w:rPr>
      </w:pPr>
      <w:r>
        <w:rPr>
          <w:b/>
          <w:i/>
          <w:color w:val="4E81BD" w:themeColor="accent1"/>
          <w:sz w:val="20"/>
          <w:lang w:val="bg-BG"/>
        </w:rPr>
        <w:t>Коментар</w:t>
      </w:r>
    </w:p>
    <w:p w14:paraId="0FF61712" w14:textId="7333C916" w:rsidR="003D3F12" w:rsidRPr="008C08CD" w:rsidRDefault="004D277E" w:rsidP="00FC1A2C">
      <w:pPr>
        <w:widowControl/>
        <w:spacing w:before="120" w:after="120" w:line="260" w:lineRule="atLeast"/>
        <w:rPr>
          <w:b/>
          <w:i/>
          <w:sz w:val="20"/>
          <w:lang w:val="bg-BG"/>
        </w:rPr>
      </w:pPr>
      <w:r w:rsidRPr="008C08CD">
        <w:rPr>
          <w:b/>
          <w:i/>
          <w:sz w:val="20"/>
          <w:lang w:val="bg-BG"/>
        </w:rPr>
        <w:t>Водещите проверители препоръчват на Работната група да проследи причините за прекратяване на дела за подкуп на чужди длъжностни лица с развитието на практиката</w:t>
      </w:r>
      <w:r w:rsidR="00FC1A2C" w:rsidRPr="008C08CD">
        <w:rPr>
          <w:b/>
          <w:i/>
          <w:sz w:val="20"/>
          <w:lang w:val="bg-BG"/>
        </w:rPr>
        <w:t>.</w:t>
      </w:r>
    </w:p>
    <w:p w14:paraId="6EDFB9E5" w14:textId="77777777" w:rsidR="00FC1A2C" w:rsidRPr="008C08CD" w:rsidRDefault="004D277E" w:rsidP="008C08CD">
      <w:pPr>
        <w:pStyle w:val="Heading2"/>
        <w:numPr>
          <w:ilvl w:val="1"/>
          <w:numId w:val="33"/>
        </w:numPr>
        <w:rPr>
          <w:lang w:val="bg-BG"/>
        </w:rPr>
      </w:pPr>
      <w:r w:rsidRPr="008C08CD">
        <w:rPr>
          <w:lang w:val="bg-BG"/>
        </w:rPr>
        <w:t>Взаимна правна помощ и екстрадиция по дела за подкуп на чужди длъжностни лица</w:t>
      </w:r>
    </w:p>
    <w:p w14:paraId="17EB746A" w14:textId="24B64CDA" w:rsidR="00C821DF" w:rsidRPr="008C08CD" w:rsidRDefault="001B00B5" w:rsidP="006A7E1F">
      <w:pPr>
        <w:pStyle w:val="Para"/>
        <w:rPr>
          <w:lang w:val="bg-BG"/>
        </w:rPr>
      </w:pPr>
      <w:r w:rsidRPr="008C08CD">
        <w:rPr>
          <w:lang w:val="bg-BG"/>
        </w:rPr>
        <w:t xml:space="preserve">В България Конвенцията се разглежда като „секторен“ международен акт, който осигурява основа за взаимна правна помощ (ВПП) и екстрадиция за случаи, попадащи в обхвата на Конвенцията. </w:t>
      </w:r>
      <w:r w:rsidR="006A7E1F" w:rsidRPr="008C08CD">
        <w:rPr>
          <w:lang w:val="bg-BG"/>
        </w:rPr>
        <w:t>В съответствие с член 5, параграф 4 от Конституцията на България, Конвенцията е част от националното законодателство и България прилага пряко член 10 от Конвенцията.</w:t>
      </w:r>
      <w:r w:rsidR="006A7E1F">
        <w:rPr>
          <w:lang w:val="bg-BG"/>
        </w:rPr>
        <w:t xml:space="preserve"> </w:t>
      </w:r>
      <w:r w:rsidRPr="008C08CD">
        <w:rPr>
          <w:lang w:val="bg-BG"/>
        </w:rPr>
        <w:t>България е страна по Европейската конвенция за взаимопомощ по наказателни дела</w:t>
      </w:r>
      <w:r w:rsidR="00DD72F7">
        <w:rPr>
          <w:lang w:val="bg-BG"/>
        </w:rPr>
        <w:t>, както</w:t>
      </w:r>
      <w:r w:rsidRPr="008C08CD">
        <w:rPr>
          <w:lang w:val="bg-BG"/>
        </w:rPr>
        <w:t xml:space="preserve"> и</w:t>
      </w:r>
      <w:r w:rsidR="00DD72F7">
        <w:rPr>
          <w:lang w:val="bg-BG"/>
        </w:rPr>
        <w:t xml:space="preserve"> по Допълнителния протокол и </w:t>
      </w:r>
      <w:r w:rsidRPr="008C08CD">
        <w:rPr>
          <w:lang w:val="bg-BG"/>
        </w:rPr>
        <w:t>Втория протокол по Конвенцията, Конвенцията за взаимопомощ по н</w:t>
      </w:r>
      <w:r w:rsidR="005C30BF" w:rsidRPr="008C08CD">
        <w:rPr>
          <w:lang w:val="bg-BG"/>
        </w:rPr>
        <w:t>аказателни дела между държавите</w:t>
      </w:r>
      <w:r w:rsidRPr="008C08CD">
        <w:rPr>
          <w:lang w:val="bg-BG"/>
        </w:rPr>
        <w:t>-членки на Европейския съюз, Конвенцията на ООН срещу корупцията (КСКООН) и Конвенцията на ООН срещу транснационалната организирана престъпност и е сключила няколко двустранни договора за екстрадиция и ВПП</w:t>
      </w:r>
      <w:r w:rsidR="00C821DF" w:rsidRPr="008C08CD">
        <w:rPr>
          <w:lang w:val="bg-BG"/>
        </w:rPr>
        <w:t>.</w:t>
      </w:r>
      <w:r w:rsidR="00C821DF" w:rsidRPr="003627A1">
        <w:rPr>
          <w:vertAlign w:val="superscript"/>
        </w:rPr>
        <w:footnoteReference w:id="41"/>
      </w:r>
    </w:p>
    <w:p w14:paraId="3EDDC17A" w14:textId="77777777" w:rsidR="00C821DF" w:rsidRPr="008C08CD" w:rsidRDefault="001B00B5" w:rsidP="00C821DF">
      <w:pPr>
        <w:pStyle w:val="Para"/>
        <w:rPr>
          <w:lang w:val="bg-BG"/>
        </w:rPr>
      </w:pPr>
      <w:r w:rsidRPr="008C08CD">
        <w:rPr>
          <w:lang w:val="bg-BG"/>
        </w:rPr>
        <w:t xml:space="preserve">В предишните си оценки за България Работната група не беше в състояние да оцени изпълнението на международните задължения за сътрудничество съгласно Конвенцията на практика при липса на искания за ВПП, свързани със случаи на подкуп на чужди длъжностни лица (доклад по </w:t>
      </w:r>
      <w:r w:rsidR="00673F1F" w:rsidRPr="008C08CD">
        <w:rPr>
          <w:lang w:val="bg-BG"/>
        </w:rPr>
        <w:t>Фаза</w:t>
      </w:r>
      <w:r w:rsidRPr="008C08CD">
        <w:rPr>
          <w:lang w:val="bg-BG"/>
        </w:rPr>
        <w:t xml:space="preserve"> 3, параграф 97). Поради това Работната група препоръча България да бъде по-активна при търсене на ВПП (препоръка 5 (</w:t>
      </w:r>
      <w:r w:rsidR="001B6694" w:rsidRPr="00367B42">
        <w:rPr>
          <w:lang w:val="bg-BG"/>
        </w:rPr>
        <w:t>в</w:t>
      </w:r>
      <w:r w:rsidRPr="008C08CD">
        <w:rPr>
          <w:lang w:val="bg-BG"/>
        </w:rPr>
        <w:t xml:space="preserve">)), но България не е предоставила допълнителна информация, която да демонстрира изпълнението на тази препоръка по </w:t>
      </w:r>
      <w:r w:rsidR="00673F1F" w:rsidRPr="008C08CD">
        <w:rPr>
          <w:lang w:val="bg-BG"/>
        </w:rPr>
        <w:t>Фаза</w:t>
      </w:r>
      <w:r w:rsidR="00C821DF" w:rsidRPr="008C08CD">
        <w:rPr>
          <w:lang w:val="bg-BG"/>
        </w:rPr>
        <w:t xml:space="preserve"> 4.</w:t>
      </w:r>
    </w:p>
    <w:p w14:paraId="5C543D49" w14:textId="77777777" w:rsidR="00C821DF" w:rsidRPr="003627A1" w:rsidRDefault="001B00B5" w:rsidP="00050641">
      <w:pPr>
        <w:pStyle w:val="Heading3"/>
      </w:pPr>
      <w:r>
        <w:rPr>
          <w:lang w:val="bg-BG"/>
        </w:rPr>
        <w:t>Взаимна правна помощ</w:t>
      </w:r>
      <w:r w:rsidR="00C821DF" w:rsidRPr="003627A1">
        <w:t xml:space="preserve"> (</w:t>
      </w:r>
      <w:r>
        <w:rPr>
          <w:lang w:val="bg-BG"/>
        </w:rPr>
        <w:t>ВПП</w:t>
      </w:r>
      <w:r w:rsidR="00C821DF" w:rsidRPr="003627A1">
        <w:t>)</w:t>
      </w:r>
    </w:p>
    <w:p w14:paraId="26BFFCCD" w14:textId="77777777" w:rsidR="00C821DF" w:rsidRPr="003627A1" w:rsidRDefault="001B00B5" w:rsidP="00C821DF">
      <w:pPr>
        <w:pStyle w:val="Heading4"/>
      </w:pPr>
      <w:r w:rsidRPr="001B00B5">
        <w:t>Институционални разпоредби и законодателна рамка</w:t>
      </w:r>
    </w:p>
    <w:p w14:paraId="2E5211CD" w14:textId="77777777" w:rsidR="00C821DF" w:rsidRPr="003627A1" w:rsidRDefault="00982B44" w:rsidP="00C821DF">
      <w:pPr>
        <w:pStyle w:val="Para"/>
      </w:pPr>
      <w:r w:rsidRPr="00982B44">
        <w:t xml:space="preserve">Българската правна и институционална рамка за ВПП не се е променила </w:t>
      </w:r>
      <w:r w:rsidR="00635BB3">
        <w:rPr>
          <w:lang w:val="bg-BG"/>
        </w:rPr>
        <w:t>след</w:t>
      </w:r>
      <w:r w:rsidRPr="00982B44">
        <w:t xml:space="preserve"> </w:t>
      </w:r>
      <w:r w:rsidR="00673F1F">
        <w:t>Фаза</w:t>
      </w:r>
      <w:r w:rsidRPr="00982B44">
        <w:t xml:space="preserve"> 3. Централният орган за ВПП в България е МП. ВПП се извършва съгласно глава 36 от НПК, въз </w:t>
      </w:r>
      <w:r w:rsidRPr="00982B44">
        <w:lastRenderedPageBreak/>
        <w:t xml:space="preserve">основа на </w:t>
      </w:r>
      <w:r w:rsidR="006A7E1F">
        <w:rPr>
          <w:lang w:val="bg-BG"/>
        </w:rPr>
        <w:t xml:space="preserve">международни </w:t>
      </w:r>
      <w:r w:rsidRPr="00982B44">
        <w:t xml:space="preserve">договори или, при липса на </w:t>
      </w:r>
      <w:r w:rsidR="006A7E1F">
        <w:rPr>
          <w:lang w:val="bg-BG"/>
        </w:rPr>
        <w:t xml:space="preserve">международен </w:t>
      </w:r>
      <w:r w:rsidRPr="00982B44">
        <w:t xml:space="preserve">договор, въз основа на </w:t>
      </w:r>
      <w:r w:rsidR="006A7E1F">
        <w:rPr>
          <w:lang w:val="bg-BG"/>
        </w:rPr>
        <w:t>взаимност</w:t>
      </w:r>
      <w:r w:rsidRPr="00982B44">
        <w:t>. Не се изисква двойна</w:t>
      </w:r>
      <w:r w:rsidR="006A7E1F">
        <w:rPr>
          <w:lang w:val="bg-BG"/>
        </w:rPr>
        <w:t xml:space="preserve"> наказуемост</w:t>
      </w:r>
      <w:r w:rsidRPr="00982B44">
        <w:t xml:space="preserve"> за ВПП</w:t>
      </w:r>
      <w:r w:rsidR="00C821DF" w:rsidRPr="003627A1">
        <w:t xml:space="preserve">. </w:t>
      </w:r>
    </w:p>
    <w:p w14:paraId="1D81AA56" w14:textId="77777777" w:rsidR="00C821DF" w:rsidRPr="003627A1" w:rsidRDefault="006A7E1F" w:rsidP="00C821DF">
      <w:pPr>
        <w:pStyle w:val="Para"/>
      </w:pPr>
      <w:r>
        <w:rPr>
          <w:lang w:val="bg-BG"/>
        </w:rPr>
        <w:t>П</w:t>
      </w:r>
      <w:r w:rsidRPr="00982B44">
        <w:t xml:space="preserve">о време на  </w:t>
      </w:r>
      <w:r w:rsidR="00CD1C55">
        <w:t>виртуалното посещение</w:t>
      </w:r>
      <w:r>
        <w:rPr>
          <w:lang w:val="bg-BG"/>
        </w:rPr>
        <w:t xml:space="preserve"> беше съобщено, че</w:t>
      </w:r>
      <w:r w:rsidRPr="00982B44">
        <w:t xml:space="preserve"> </w:t>
      </w:r>
      <w:r w:rsidR="00982B44" w:rsidRPr="00982B44">
        <w:t>роля</w:t>
      </w:r>
      <w:r>
        <w:rPr>
          <w:lang w:val="bg-BG"/>
        </w:rPr>
        <w:t>та</w:t>
      </w:r>
      <w:r w:rsidR="00982B44" w:rsidRPr="00982B44">
        <w:t xml:space="preserve"> на Министерството на правосъдието като централен орган </w:t>
      </w:r>
      <w:r>
        <w:rPr>
          <w:lang w:val="bg-BG"/>
        </w:rPr>
        <w:t>е доста ограничена</w:t>
      </w:r>
      <w:r w:rsidR="00982B44" w:rsidRPr="00982B44">
        <w:t xml:space="preserve">, а именно </w:t>
      </w:r>
      <w:r>
        <w:rPr>
          <w:lang w:val="bg-BG"/>
        </w:rPr>
        <w:t xml:space="preserve">се състои в </w:t>
      </w:r>
      <w:r w:rsidR="00982B44" w:rsidRPr="00982B44">
        <w:t>проверка на входящите и изходящите искания за спазване на съответния договор или практика и предоставяне на методическа помощ на запитващите органи, но не и проверка на съдържанието на искането</w:t>
      </w:r>
      <w:r w:rsidR="00C821DF" w:rsidRPr="003627A1">
        <w:t xml:space="preserve">. </w:t>
      </w:r>
      <w:r w:rsidR="00C821DF">
        <w:t xml:space="preserve"> </w:t>
      </w:r>
    </w:p>
    <w:p w14:paraId="127055F3" w14:textId="77777777" w:rsidR="00C821DF" w:rsidRPr="00500062" w:rsidRDefault="00982B44" w:rsidP="00C821DF">
      <w:pPr>
        <w:pStyle w:val="Para"/>
      </w:pPr>
      <w:r w:rsidRPr="00982B44">
        <w:t xml:space="preserve">Международният отдел на ВКП има функционална компетентност по отношение на </w:t>
      </w:r>
      <w:r w:rsidR="006A7E1F">
        <w:rPr>
          <w:lang w:val="bg-BG"/>
        </w:rPr>
        <w:t>молби</w:t>
      </w:r>
      <w:r w:rsidR="006A7E1F" w:rsidRPr="00982B44">
        <w:t xml:space="preserve"> </w:t>
      </w:r>
      <w:r w:rsidRPr="00982B44">
        <w:t xml:space="preserve">за ВПП от и към страни извън ЕС. За входящи искания ВКП получава искането от Министерството на правосъдието и след това възлага изпълнението му на компетентната прокуратура, </w:t>
      </w:r>
      <w:r w:rsidR="006A7E1F">
        <w:rPr>
          <w:lang w:val="bg-BG"/>
        </w:rPr>
        <w:t xml:space="preserve">като </w:t>
      </w:r>
      <w:r w:rsidRPr="00982B44">
        <w:t>предоставя инструкции за изпълнението, или изпълнява сам</w:t>
      </w:r>
      <w:r w:rsidR="006A7E1F">
        <w:rPr>
          <w:lang w:val="bg-BG"/>
        </w:rPr>
        <w:t>а</w:t>
      </w:r>
      <w:r w:rsidRPr="00982B44">
        <w:t xml:space="preserve"> искане</w:t>
      </w:r>
      <w:r w:rsidR="006A7E1F">
        <w:rPr>
          <w:lang w:val="bg-BG"/>
        </w:rPr>
        <w:t>то</w:t>
      </w:r>
      <w:r w:rsidRPr="00982B44">
        <w:t xml:space="preserve">. Изпълнената </w:t>
      </w:r>
      <w:r w:rsidR="006A7E1F">
        <w:rPr>
          <w:lang w:val="bg-BG"/>
        </w:rPr>
        <w:t>молба</w:t>
      </w:r>
      <w:r w:rsidR="006A7E1F" w:rsidRPr="00982B44">
        <w:t xml:space="preserve"> </w:t>
      </w:r>
      <w:r w:rsidRPr="00982B44">
        <w:t xml:space="preserve">след това се изпраща до молещата държава от ВКП чрез Министерството на правосъдието. Обратният процес се следва за изходящи </w:t>
      </w:r>
      <w:r w:rsidR="00E7681D">
        <w:rPr>
          <w:lang w:val="bg-BG"/>
        </w:rPr>
        <w:t>молби</w:t>
      </w:r>
      <w:r w:rsidRPr="00982B44">
        <w:t xml:space="preserve">, а именно компетентната прокуратура изпраща проекта на </w:t>
      </w:r>
      <w:r w:rsidR="00E7681D">
        <w:rPr>
          <w:lang w:val="bg-BG"/>
        </w:rPr>
        <w:t>молба</w:t>
      </w:r>
      <w:r w:rsidRPr="00982B44">
        <w:t xml:space="preserve"> до международния отдел на ВКП, който след това проверява съдържанието и финализира искането, преди то да бъде изпратено до държава извън ЕС чрез Министерството на правосъдието. Следва по-рационализиран процес за </w:t>
      </w:r>
      <w:r w:rsidR="00E7681D">
        <w:rPr>
          <w:lang w:val="bg-BG"/>
        </w:rPr>
        <w:t>молби</w:t>
      </w:r>
      <w:r w:rsidRPr="00982B44">
        <w:t xml:space="preserve"> за ВПП от и към държави от ЕС, за които компетентните прокуратури могат да изпълняват и изискват ВПП директно и независимо, включително във връзка </w:t>
      </w:r>
      <w:r w:rsidRPr="00500062">
        <w:t xml:space="preserve">с </w:t>
      </w:r>
      <w:r w:rsidR="00E7681D" w:rsidRPr="00500062">
        <w:rPr>
          <w:lang w:val="bg-BG"/>
        </w:rPr>
        <w:t>молби</w:t>
      </w:r>
      <w:r w:rsidRPr="00C94DBE">
        <w:t>, попадащи в обхвата на Конвенцията</w:t>
      </w:r>
      <w:r w:rsidR="00C821DF" w:rsidRPr="00C94DBE">
        <w:t xml:space="preserve">. </w:t>
      </w:r>
      <w:r w:rsidR="00E7681D" w:rsidRPr="00500062">
        <w:rPr>
          <w:lang w:val="bg-BG"/>
        </w:rPr>
        <w:t>М</w:t>
      </w:r>
      <w:r w:rsidRPr="00500062">
        <w:t xml:space="preserve">еждународният отдел на ВПП и/или Министерството на правосъдието </w:t>
      </w:r>
      <w:r w:rsidR="00E7681D" w:rsidRPr="00500062">
        <w:rPr>
          <w:lang w:val="bg-BG"/>
        </w:rPr>
        <w:t xml:space="preserve">не трябва </w:t>
      </w:r>
      <w:r w:rsidRPr="00500062">
        <w:t xml:space="preserve">да бъдат информирани </w:t>
      </w:r>
      <w:r w:rsidR="00E7681D" w:rsidRPr="00500062">
        <w:rPr>
          <w:lang w:val="bg-BG"/>
        </w:rPr>
        <w:t>в тези случаи, като е налице директна комуникация между съдебните органи на молещата и изпълняващата държави на ЕС</w:t>
      </w:r>
      <w:r w:rsidR="00C821DF" w:rsidRPr="00500062">
        <w:t xml:space="preserve">. </w:t>
      </w:r>
    </w:p>
    <w:p w14:paraId="1AA4BF64" w14:textId="77777777" w:rsidR="00C821DF" w:rsidRPr="003627A1" w:rsidRDefault="00982B44" w:rsidP="008B3863">
      <w:pPr>
        <w:pStyle w:val="Heading4"/>
        <w:ind w:left="720" w:hanging="720"/>
      </w:pPr>
      <w:bookmarkStart w:id="25" w:name="_Toc35616853"/>
      <w:bookmarkStart w:id="26" w:name="_Toc42087180"/>
      <w:bookmarkStart w:id="27" w:name="_Toc70968524"/>
      <w:r w:rsidRPr="00982B44">
        <w:t>ВПП в ненаказателни производства срещу юридически лица</w:t>
      </w:r>
      <w:bookmarkEnd w:id="25"/>
      <w:bookmarkEnd w:id="26"/>
      <w:bookmarkEnd w:id="27"/>
    </w:p>
    <w:p w14:paraId="3D4F1FB1" w14:textId="77777777" w:rsidR="00C821DF" w:rsidRPr="003627A1" w:rsidRDefault="003D50A6" w:rsidP="00C821DF">
      <w:pPr>
        <w:pStyle w:val="Para"/>
      </w:pPr>
      <w:r w:rsidRPr="003D50A6">
        <w:t xml:space="preserve">България докладва, че е в състояние да изпълни исканията за правна помощ съгласно Конвенцията (или други многостранни договори, по които е страна) към чуждестранни органи за </w:t>
      </w:r>
      <w:r w:rsidR="002F3EDA">
        <w:rPr>
          <w:lang w:val="bg-BG"/>
        </w:rPr>
        <w:t>целите на</w:t>
      </w:r>
      <w:r w:rsidRPr="003D50A6">
        <w:t xml:space="preserve"> административни или ненаказателни </w:t>
      </w:r>
      <w:r w:rsidR="002F3EDA">
        <w:rPr>
          <w:lang w:val="bg-BG"/>
        </w:rPr>
        <w:t>дела</w:t>
      </w:r>
      <w:r w:rsidR="002F3EDA">
        <w:rPr>
          <w:b/>
          <w:i/>
          <w:lang w:val="bg-BG"/>
        </w:rPr>
        <w:t xml:space="preserve"> и че не изисква двойна наказуемост</w:t>
      </w:r>
      <w:r w:rsidR="00C821DF" w:rsidRPr="003627A1">
        <w:t xml:space="preserve">. </w:t>
      </w:r>
      <w:r w:rsidRPr="003D50A6">
        <w:t xml:space="preserve">Например, това могат да бъдат искания за информация относно транзакциите по банкови сметки и писмени доказателства за собственост, разпределение на представителна власт и правна форма на дружества или други юридически лица. България обаче не е получавала никакви искания за ВПП относно юридически лица </w:t>
      </w:r>
      <w:r w:rsidR="00635BB3">
        <w:rPr>
          <w:lang w:val="bg-BG"/>
        </w:rPr>
        <w:t>след</w:t>
      </w:r>
      <w:r w:rsidRPr="003D50A6">
        <w:t xml:space="preserve"> </w:t>
      </w:r>
      <w:r w:rsidR="00673F1F">
        <w:t>Фаза</w:t>
      </w:r>
      <w:r w:rsidR="00C821DF" w:rsidRPr="003627A1">
        <w:t xml:space="preserve"> 3.</w:t>
      </w:r>
    </w:p>
    <w:p w14:paraId="1F7FA444" w14:textId="77777777" w:rsidR="00C821DF" w:rsidRPr="003627A1" w:rsidRDefault="001530E7" w:rsidP="008B3863">
      <w:pPr>
        <w:pStyle w:val="Heading4"/>
        <w:ind w:hanging="250"/>
      </w:pPr>
      <w:bookmarkStart w:id="28" w:name="_Toc70968525"/>
      <w:r w:rsidRPr="001530E7">
        <w:t xml:space="preserve">Разкриване на </w:t>
      </w:r>
      <w:r>
        <w:rPr>
          <w:lang w:val="bg-BG"/>
        </w:rPr>
        <w:t xml:space="preserve">случаи на </w:t>
      </w:r>
      <w:r w:rsidRPr="001530E7">
        <w:t>подкупване на чужди длъжностни лица чрез ВПП</w:t>
      </w:r>
      <w:bookmarkEnd w:id="28"/>
    </w:p>
    <w:p w14:paraId="7ECD8BCE" w14:textId="77777777" w:rsidR="00C821DF" w:rsidRPr="003627A1" w:rsidRDefault="001530E7" w:rsidP="002F3EDA">
      <w:pPr>
        <w:pStyle w:val="Para"/>
        <w:rPr>
          <w:lang w:val="en"/>
        </w:rPr>
      </w:pPr>
      <w:r w:rsidRPr="001530E7">
        <w:t xml:space="preserve">България отбеляза, че входящите искания за ВПП и </w:t>
      </w:r>
      <w:r w:rsidR="002F3EDA">
        <w:rPr>
          <w:lang w:val="bg-BG"/>
        </w:rPr>
        <w:t>ЕЗР</w:t>
      </w:r>
      <w:r w:rsidRPr="001530E7">
        <w:t xml:space="preserve"> могат също да се използват като източници на информация за правоприлагащите органи. Същото важи и за данните и информацията, получени във връзка с международно институционално взаимодействие и сътрудничество по наказателни дела. Съвместни разследващи екипи могат да бъдат създадени заедно с компетентни съдебни органи от други държави чрез Евроюст.</w:t>
      </w:r>
      <w:r w:rsidR="002F3EDA" w:rsidRPr="002F3EDA">
        <w:t xml:space="preserve"> </w:t>
      </w:r>
      <w:r w:rsidR="002F3EDA">
        <w:rPr>
          <w:lang w:val="bg-BG"/>
        </w:rPr>
        <w:t>След</w:t>
      </w:r>
      <w:r w:rsidR="002F3EDA" w:rsidRPr="002F3EDA">
        <w:t xml:space="preserve"> фаза 3 България е </w:t>
      </w:r>
      <w:r w:rsidR="002F3EDA">
        <w:rPr>
          <w:lang w:val="bg-BG"/>
        </w:rPr>
        <w:t>разк</w:t>
      </w:r>
      <w:r w:rsidR="002F3EDA" w:rsidRPr="002F3EDA">
        <w:t xml:space="preserve">рила един случай чрез </w:t>
      </w:r>
      <w:r w:rsidR="002F3EDA">
        <w:rPr>
          <w:lang w:val="bg-BG"/>
        </w:rPr>
        <w:t xml:space="preserve">молба </w:t>
      </w:r>
      <w:r w:rsidR="002F3EDA">
        <w:t xml:space="preserve">за </w:t>
      </w:r>
      <w:r w:rsidR="002F3EDA">
        <w:rPr>
          <w:lang w:val="bg-BG"/>
        </w:rPr>
        <w:t>ВПП</w:t>
      </w:r>
      <w:r w:rsidR="002F3EDA">
        <w:t xml:space="preserve">, споменатият по-горе </w:t>
      </w:r>
      <w:r w:rsidR="002F3EDA" w:rsidRPr="00572912">
        <w:rPr>
          <w:b/>
        </w:rPr>
        <w:t xml:space="preserve">случай </w:t>
      </w:r>
      <w:r w:rsidR="00BD756F" w:rsidRPr="00572912">
        <w:rPr>
          <w:b/>
          <w:lang w:val="bg-BG"/>
        </w:rPr>
        <w:t xml:space="preserve">с Европейски </w:t>
      </w:r>
      <w:r w:rsidR="00BD756F" w:rsidRPr="00572912">
        <w:rPr>
          <w:b/>
        </w:rPr>
        <w:t>фондове</w:t>
      </w:r>
      <w:r w:rsidR="002F3EDA" w:rsidRPr="002F3EDA">
        <w:t>.</w:t>
      </w:r>
    </w:p>
    <w:p w14:paraId="2E796C80" w14:textId="77777777" w:rsidR="00C821DF" w:rsidRPr="003627A1" w:rsidRDefault="001530E7" w:rsidP="008B3863">
      <w:pPr>
        <w:pStyle w:val="Heading4"/>
        <w:ind w:left="720" w:hanging="720"/>
      </w:pPr>
      <w:bookmarkStart w:id="29" w:name="_Toc35616856"/>
      <w:bookmarkStart w:id="30" w:name="_Toc42087182"/>
      <w:bookmarkStart w:id="31" w:name="_Toc70968526"/>
      <w:r w:rsidRPr="001530E7">
        <w:t>Входящи и изходящи искове по дела за подкупване на чужди длъжностни лица</w:t>
      </w:r>
      <w:bookmarkEnd w:id="29"/>
      <w:bookmarkEnd w:id="30"/>
      <w:bookmarkEnd w:id="31"/>
      <w:r w:rsidR="00C821DF" w:rsidRPr="003627A1">
        <w:t xml:space="preserve"> </w:t>
      </w:r>
    </w:p>
    <w:p w14:paraId="03443E59" w14:textId="793F4DCA" w:rsidR="00C821DF" w:rsidRPr="00572912" w:rsidRDefault="001530E7" w:rsidP="00C821DF">
      <w:pPr>
        <w:pStyle w:val="Para"/>
        <w:rPr>
          <w:lang w:val="bg-BG"/>
        </w:rPr>
      </w:pPr>
      <w:r w:rsidRPr="001530E7">
        <w:t xml:space="preserve">Според регистъра на международния отдел на ВКП през 2013-2020 г. няма регистрирани входящи или изходящи искове за взаимна правна помощ въз основа на Конвенцията. Освен това нямаше искания за правна помощ от или към страни, които не са страни по Конвенцията, във връзка с разследването на подкупване на чужди длъжностни лица. </w:t>
      </w:r>
      <w:r w:rsidR="00BD756F">
        <w:rPr>
          <w:lang w:val="bg-BG"/>
        </w:rPr>
        <w:t xml:space="preserve">СГП направи преглед на </w:t>
      </w:r>
      <w:r w:rsidRPr="00572912">
        <w:rPr>
          <w:lang w:val="bg-BG"/>
        </w:rPr>
        <w:t xml:space="preserve">девет регистрирани </w:t>
      </w:r>
      <w:r w:rsidR="00BD756F">
        <w:rPr>
          <w:lang w:val="bg-BG"/>
        </w:rPr>
        <w:t xml:space="preserve">молби </w:t>
      </w:r>
      <w:r w:rsidRPr="00572912">
        <w:rPr>
          <w:lang w:val="bg-BG"/>
        </w:rPr>
        <w:t xml:space="preserve"> </w:t>
      </w:r>
      <w:r w:rsidR="00BD756F">
        <w:rPr>
          <w:lang w:val="bg-BG"/>
        </w:rPr>
        <w:t>на основание</w:t>
      </w:r>
      <w:r w:rsidRPr="00572912">
        <w:rPr>
          <w:lang w:val="bg-BG"/>
        </w:rPr>
        <w:t xml:space="preserve"> на КСКООН, но те не засягат подкупване на чужди длъжностни лица</w:t>
      </w:r>
      <w:r w:rsidR="00C821DF" w:rsidRPr="00572912">
        <w:rPr>
          <w:lang w:val="bg-BG"/>
        </w:rPr>
        <w:t>.</w:t>
      </w:r>
    </w:p>
    <w:p w14:paraId="6C18999F" w14:textId="77777777" w:rsidR="00C821DF" w:rsidRPr="003627A1" w:rsidRDefault="001530E7" w:rsidP="008B3863">
      <w:pPr>
        <w:pStyle w:val="Heading4"/>
        <w:ind w:left="810" w:hanging="810"/>
      </w:pPr>
      <w:bookmarkStart w:id="32" w:name="_Toc35616855"/>
      <w:r>
        <w:rPr>
          <w:lang w:val="bg-BG"/>
        </w:rPr>
        <w:lastRenderedPageBreak/>
        <w:t xml:space="preserve">ВПП </w:t>
      </w:r>
      <w:r w:rsidR="005101FC">
        <w:rPr>
          <w:lang w:val="bg-BG"/>
        </w:rPr>
        <w:t>на практика</w:t>
      </w:r>
      <w:r w:rsidR="00C821DF" w:rsidRPr="003627A1">
        <w:t xml:space="preserve"> </w:t>
      </w:r>
      <w:bookmarkEnd w:id="32"/>
    </w:p>
    <w:p w14:paraId="06CA58EF" w14:textId="77777777" w:rsidR="00C821DF" w:rsidRPr="00DA134C" w:rsidRDefault="00947A2E" w:rsidP="00C821DF">
      <w:pPr>
        <w:pStyle w:val="Para"/>
        <w:rPr>
          <w:color w:val="000000"/>
        </w:rPr>
      </w:pPr>
      <w:r w:rsidRPr="00947A2E">
        <w:rPr>
          <w:lang w:val="en-US"/>
        </w:rPr>
        <w:t xml:space="preserve">По </w:t>
      </w:r>
      <w:r w:rsidR="00673F1F">
        <w:rPr>
          <w:lang w:val="en-US"/>
        </w:rPr>
        <w:t>Фаза</w:t>
      </w:r>
      <w:r w:rsidRPr="00947A2E">
        <w:rPr>
          <w:lang w:val="en-US"/>
        </w:rPr>
        <w:t xml:space="preserve"> 4 членовете на Работната група бяха консултирани относно техния опит в международното сътрудничество с България във връзка с подк</w:t>
      </w:r>
      <w:r w:rsidR="008B3863">
        <w:rPr>
          <w:lang w:val="en-US"/>
        </w:rPr>
        <w:t>упване на чужди длъжностни лица</w:t>
      </w:r>
      <w:r w:rsidRPr="00947A2E">
        <w:rPr>
          <w:lang w:val="en-US"/>
        </w:rPr>
        <w:t>. Секретариатът получи информация от 4 от 44 -те членове на Работната група и ограничен</w:t>
      </w:r>
      <w:r w:rsidR="008B3863">
        <w:rPr>
          <w:lang w:val="bg-BG"/>
        </w:rPr>
        <w:t>ия</w:t>
      </w:r>
      <w:r w:rsidRPr="00947A2E">
        <w:rPr>
          <w:lang w:val="en-US"/>
        </w:rPr>
        <w:t xml:space="preserve"> </w:t>
      </w:r>
      <w:r w:rsidR="008B3863">
        <w:rPr>
          <w:lang w:val="bg-BG"/>
        </w:rPr>
        <w:t>обем</w:t>
      </w:r>
      <w:r w:rsidRPr="00947A2E">
        <w:rPr>
          <w:lang w:val="en-US"/>
        </w:rPr>
        <w:t xml:space="preserve"> на предоставена</w:t>
      </w:r>
      <w:r w:rsidR="008B3863">
        <w:rPr>
          <w:lang w:val="bg-BG"/>
        </w:rPr>
        <w:t>та</w:t>
      </w:r>
      <w:r w:rsidRPr="00947A2E">
        <w:rPr>
          <w:lang w:val="en-US"/>
        </w:rPr>
        <w:t xml:space="preserve"> информация не позволява задълбочена оценка на българската практика. </w:t>
      </w:r>
    </w:p>
    <w:p w14:paraId="1BC29015" w14:textId="77777777" w:rsidR="00DA134C" w:rsidRPr="00DA134C" w:rsidRDefault="00947A2E" w:rsidP="00DA134C">
      <w:pPr>
        <w:pStyle w:val="Para"/>
        <w:rPr>
          <w:color w:val="000000"/>
        </w:rPr>
      </w:pPr>
      <w:r w:rsidRPr="00947A2E">
        <w:rPr>
          <w:color w:val="000000"/>
        </w:rPr>
        <w:t xml:space="preserve">По отношение на сроковете за изпълнение на </w:t>
      </w:r>
      <w:r w:rsidR="00BD756F">
        <w:rPr>
          <w:color w:val="000000"/>
          <w:lang w:val="bg-BG"/>
        </w:rPr>
        <w:t>молбите</w:t>
      </w:r>
      <w:r w:rsidRPr="00947A2E">
        <w:rPr>
          <w:color w:val="000000"/>
        </w:rPr>
        <w:t xml:space="preserve"> за ВПП, МП докладва, че има вътрешен срок от седем дни за обработка, </w:t>
      </w:r>
      <w:r w:rsidR="00BD756F">
        <w:rPr>
          <w:color w:val="000000"/>
          <w:lang w:val="bg-BG"/>
        </w:rPr>
        <w:t>като са възможни и</w:t>
      </w:r>
      <w:r w:rsidRPr="00947A2E">
        <w:rPr>
          <w:color w:val="000000"/>
        </w:rPr>
        <w:t>по-кратки срокове в случай на приоритет. Според статистиката, предоставена от Министерството на правосъдието относно исканията, които се основават на КСКООН, повечето искания са свързани с разследващи действия и средно са били необходими два месеца за изпълнение на тези</w:t>
      </w:r>
      <w:r w:rsidR="00BD756F">
        <w:rPr>
          <w:color w:val="000000"/>
          <w:lang w:val="bg-BG"/>
        </w:rPr>
        <w:t xml:space="preserve"> молби</w:t>
      </w:r>
      <w:r w:rsidRPr="00947A2E">
        <w:rPr>
          <w:color w:val="000000"/>
        </w:rPr>
        <w:t xml:space="preserve">, </w:t>
      </w:r>
      <w:r w:rsidR="00BD756F">
        <w:rPr>
          <w:color w:val="000000"/>
          <w:lang w:val="bg-BG"/>
        </w:rPr>
        <w:t xml:space="preserve">с </w:t>
      </w:r>
      <w:r w:rsidRPr="00947A2E">
        <w:rPr>
          <w:color w:val="000000"/>
        </w:rPr>
        <w:t>които</w:t>
      </w:r>
      <w:r w:rsidR="00BD756F">
        <w:rPr>
          <w:color w:val="000000"/>
          <w:lang w:val="bg-BG"/>
        </w:rPr>
        <w:t xml:space="preserve"> се</w:t>
      </w:r>
      <w:r w:rsidRPr="00947A2E">
        <w:rPr>
          <w:color w:val="000000"/>
        </w:rPr>
        <w:t xml:space="preserve"> иска разпит на свидетели и събиране на информация. Изпълнението на няколко </w:t>
      </w:r>
      <w:r w:rsidR="00BD756F">
        <w:rPr>
          <w:color w:val="000000"/>
          <w:lang w:val="bg-BG"/>
        </w:rPr>
        <w:t>молби</w:t>
      </w:r>
      <w:r w:rsidRPr="00947A2E">
        <w:rPr>
          <w:color w:val="000000"/>
        </w:rPr>
        <w:t xml:space="preserve"> е отнело четири до пет месеца, </w:t>
      </w:r>
      <w:r w:rsidR="00BD756F">
        <w:rPr>
          <w:color w:val="000000"/>
          <w:lang w:val="bg-BG"/>
        </w:rPr>
        <w:t>тъй като</w:t>
      </w:r>
      <w:r w:rsidRPr="00947A2E">
        <w:rPr>
          <w:color w:val="000000"/>
        </w:rPr>
        <w:t xml:space="preserve"> е включвало множество разследващи действия, като например идентифициране на имущество, както и мерки за </w:t>
      </w:r>
      <w:r w:rsidR="0064621E">
        <w:rPr>
          <w:color w:val="000000"/>
        </w:rPr>
        <w:t>отнемане</w:t>
      </w:r>
      <w:r w:rsidRPr="00947A2E">
        <w:rPr>
          <w:color w:val="000000"/>
        </w:rPr>
        <w:t xml:space="preserve"> или конфискация</w:t>
      </w:r>
      <w:r w:rsidR="00DA134C" w:rsidRPr="00DA134C">
        <w:rPr>
          <w:color w:val="000000"/>
        </w:rPr>
        <w:t xml:space="preserve">. </w:t>
      </w:r>
    </w:p>
    <w:p w14:paraId="121E4581" w14:textId="77777777" w:rsidR="00C821DF" w:rsidRPr="003627A1" w:rsidRDefault="00947A2E" w:rsidP="00C821DF">
      <w:pPr>
        <w:pStyle w:val="Heading3"/>
        <w:rPr>
          <w:rFonts w:eastAsia="SimSun"/>
        </w:rPr>
      </w:pPr>
      <w:bookmarkStart w:id="33" w:name="_Toc35616861"/>
      <w:r>
        <w:rPr>
          <w:lang w:val="bg-BG"/>
        </w:rPr>
        <w:t>Екстрадиция</w:t>
      </w:r>
    </w:p>
    <w:p w14:paraId="2E5D3178" w14:textId="77777777" w:rsidR="00C821DF" w:rsidRPr="003627A1" w:rsidRDefault="00947A2E" w:rsidP="008B3863">
      <w:pPr>
        <w:pStyle w:val="Heading4"/>
        <w:ind w:left="720" w:hanging="720"/>
        <w:rPr>
          <w:rFonts w:eastAsia="SimSun"/>
        </w:rPr>
      </w:pPr>
      <w:bookmarkStart w:id="34" w:name="_Toc42087187"/>
      <w:bookmarkStart w:id="35" w:name="_Toc70968530"/>
      <w:r w:rsidRPr="00947A2E">
        <w:t>Законодателна рамка за екстрадиция</w:t>
      </w:r>
      <w:bookmarkEnd w:id="33"/>
      <w:bookmarkEnd w:id="34"/>
      <w:bookmarkEnd w:id="35"/>
      <w:r w:rsidR="00C821DF" w:rsidRPr="003627A1">
        <w:t xml:space="preserve"> </w:t>
      </w:r>
    </w:p>
    <w:p w14:paraId="483F86A2" w14:textId="77777777" w:rsidR="00C821DF" w:rsidRPr="003627A1" w:rsidRDefault="005101FC" w:rsidP="00C821DF">
      <w:pPr>
        <w:pStyle w:val="Para"/>
      </w:pPr>
      <w:r w:rsidRPr="005101FC">
        <w:t>България може да осигури екстрадиция при липса на договор въз основа на реципрочност. Екстрадицията се урежда от Закона за екстрадицията и Европейската заповед за арест (</w:t>
      </w:r>
      <w:r w:rsidR="00BD756F">
        <w:rPr>
          <w:lang w:val="bg-BG"/>
        </w:rPr>
        <w:t>ЗЕ</w:t>
      </w:r>
      <w:r w:rsidRPr="005101FC">
        <w:t xml:space="preserve">ЕЗА), който изисква двойна престъпност и че поведението в основата му се наказва с най -малко една година лишаване от свобода (член 5, параграф 1 от </w:t>
      </w:r>
      <w:r w:rsidR="00BD756F">
        <w:rPr>
          <w:lang w:val="bg-BG"/>
        </w:rPr>
        <w:t>ЗЕ</w:t>
      </w:r>
      <w:r w:rsidRPr="005101FC">
        <w:t>ЕЗА)</w:t>
      </w:r>
      <w:r w:rsidR="00C821DF" w:rsidRPr="003627A1">
        <w:t xml:space="preserve">. </w:t>
      </w:r>
    </w:p>
    <w:p w14:paraId="481CDDFA" w14:textId="77777777" w:rsidR="00C821DF" w:rsidRPr="003627A1" w:rsidRDefault="005101FC" w:rsidP="008B3863">
      <w:pPr>
        <w:pStyle w:val="Heading4"/>
        <w:ind w:left="720" w:hanging="720"/>
      </w:pPr>
      <w:bookmarkStart w:id="36" w:name="_Toc35616862"/>
      <w:bookmarkStart w:id="37" w:name="_Toc42087188"/>
      <w:bookmarkStart w:id="38" w:name="_Toc70968531"/>
      <w:r w:rsidRPr="005101FC">
        <w:t>Екстрадиция на граждани</w:t>
      </w:r>
      <w:bookmarkEnd w:id="36"/>
      <w:bookmarkEnd w:id="37"/>
      <w:bookmarkEnd w:id="38"/>
    </w:p>
    <w:p w14:paraId="167C9398" w14:textId="77777777" w:rsidR="00C821DF" w:rsidRPr="008B3863" w:rsidRDefault="005101FC" w:rsidP="00C821DF">
      <w:pPr>
        <w:pStyle w:val="Para"/>
      </w:pPr>
      <w:r w:rsidRPr="008B3863">
        <w:t>Член 10, параграф 3 от Конвенцията изисква страните да гарантират, че могат или да екстрадират своите граждани, или да ги преследват за подкупване на чужди длъжностни лица, а когато дадена страна отказва екстрадиция, тъй като дадено лице е нейн гражданин, тя трябва да предаде делото на прокуратурата си</w:t>
      </w:r>
      <w:r w:rsidR="00C821DF" w:rsidRPr="008B3863">
        <w:t xml:space="preserve">. </w:t>
      </w:r>
    </w:p>
    <w:p w14:paraId="4436E48B" w14:textId="77777777" w:rsidR="00C821DF" w:rsidRPr="008B3863" w:rsidRDefault="005101FC" w:rsidP="00C821DF">
      <w:pPr>
        <w:pStyle w:val="Para"/>
      </w:pPr>
      <w:r w:rsidRPr="008B3863">
        <w:t>България не екстрадира своите граждани в държави извън ЕС, освен ако изрично не е предвидено друго (член 6, параграф 1 от</w:t>
      </w:r>
      <w:r w:rsidR="00B62E0D" w:rsidRPr="008B3863">
        <w:rPr>
          <w:lang w:val="bg-BG"/>
        </w:rPr>
        <w:t xml:space="preserve"> ЗЕ</w:t>
      </w:r>
      <w:r w:rsidRPr="008B3863">
        <w:t xml:space="preserve">EЗА). България отбелязва, че във всеки случай тя ще назначи наказателно разследване и преследване на своите граждани, когато има доказателства, че са подкупили чуждо длъжностно лице (не се изисква двойна </w:t>
      </w:r>
      <w:r w:rsidR="00B62E0D" w:rsidRPr="008B3863">
        <w:rPr>
          <w:lang w:val="bg-BG"/>
        </w:rPr>
        <w:t>наказуемост</w:t>
      </w:r>
      <w:r w:rsidRPr="008B3863">
        <w:t>)</w:t>
      </w:r>
      <w:r w:rsidR="00C821DF" w:rsidRPr="008B3863">
        <w:t>.</w:t>
      </w:r>
    </w:p>
    <w:p w14:paraId="08EA766D" w14:textId="77777777" w:rsidR="00C821DF" w:rsidRPr="008B3863" w:rsidRDefault="005101FC" w:rsidP="008B3863">
      <w:pPr>
        <w:pStyle w:val="Heading4"/>
        <w:ind w:left="720" w:hanging="720"/>
      </w:pPr>
      <w:r w:rsidRPr="008B3863">
        <w:rPr>
          <w:lang w:val="bg-BG"/>
        </w:rPr>
        <w:t>Екстрадиция на практика</w:t>
      </w:r>
      <w:r w:rsidR="00C821DF" w:rsidRPr="008B3863">
        <w:t xml:space="preserve"> </w:t>
      </w:r>
    </w:p>
    <w:p w14:paraId="25CDE37B" w14:textId="77777777" w:rsidR="00C821DF" w:rsidRPr="008B3863" w:rsidRDefault="00DD3994" w:rsidP="00C821DF">
      <w:pPr>
        <w:pStyle w:val="Para"/>
        <w:rPr>
          <w:lang w:val="bg-BG"/>
        </w:rPr>
      </w:pPr>
      <w:r w:rsidRPr="008B3863">
        <w:t xml:space="preserve">След </w:t>
      </w:r>
      <w:r w:rsidR="00673F1F" w:rsidRPr="008B3863">
        <w:t>Фаза</w:t>
      </w:r>
      <w:r w:rsidRPr="008B3863">
        <w:t xml:space="preserve"> 3 има два случая, в които българските власти са арестували граждани на страни по Конвенцията съгласно уведомленията на Интерпол във връзка с искания за екстрадиция, свързани с обвинения за подкуп на чуждо длъжностно лице. И в двата случая тяхната екстрадиция е поискана от страни, които не са страни по Конвенцията, и тя е била отхвърлена от България (обсъдено в параграф</w:t>
      </w:r>
      <w:r w:rsidR="00C821DF" w:rsidRPr="008B3863">
        <w:t xml:space="preserve"> </w:t>
      </w:r>
      <w:r w:rsidR="00B62E0D" w:rsidRPr="008B3863">
        <w:rPr>
          <w:lang w:val="bg-BG"/>
        </w:rPr>
        <w:t>26</w:t>
      </w:r>
      <w:r w:rsidR="00C821DF" w:rsidRPr="008B3863">
        <w:t xml:space="preserve"> </w:t>
      </w:r>
      <w:r w:rsidRPr="008B3863">
        <w:t>по-горе</w:t>
      </w:r>
      <w:r w:rsidR="00C821DF" w:rsidRPr="008B3863">
        <w:t xml:space="preserve">). </w:t>
      </w:r>
    </w:p>
    <w:p w14:paraId="669C9BC8" w14:textId="77777777" w:rsidR="00B62E0D" w:rsidRPr="008C08CD" w:rsidRDefault="00B62E0D" w:rsidP="00B62E0D">
      <w:pPr>
        <w:pStyle w:val="Para"/>
        <w:rPr>
          <w:lang w:val="bg-BG"/>
        </w:rPr>
      </w:pPr>
      <w:r w:rsidRPr="008C08CD">
        <w:rPr>
          <w:lang w:val="bg-BG"/>
        </w:rPr>
        <w:t>По отношение на сроковете за изпълнение на искания за екстрадиция, МП съобщи, че те се проверяват и изпра</w:t>
      </w:r>
      <w:r>
        <w:rPr>
          <w:lang w:val="bg-BG"/>
        </w:rPr>
        <w:t>щат</w:t>
      </w:r>
      <w:r w:rsidRPr="008C08CD">
        <w:rPr>
          <w:lang w:val="bg-BG"/>
        </w:rPr>
        <w:t xml:space="preserve"> в същия ден или най</w:t>
      </w:r>
      <w:r>
        <w:rPr>
          <w:lang w:val="bg-BG"/>
        </w:rPr>
        <w:t xml:space="preserve"> </w:t>
      </w:r>
      <w:r w:rsidRPr="008C08CD">
        <w:rPr>
          <w:lang w:val="bg-BG"/>
        </w:rPr>
        <w:t>-</w:t>
      </w:r>
      <w:r>
        <w:rPr>
          <w:lang w:val="bg-BG"/>
        </w:rPr>
        <w:t xml:space="preserve"> </w:t>
      </w:r>
      <w:r w:rsidRPr="008C08CD">
        <w:rPr>
          <w:lang w:val="bg-BG"/>
        </w:rPr>
        <w:t>късно в рамките на 24 часа.</w:t>
      </w:r>
    </w:p>
    <w:p w14:paraId="2111270B" w14:textId="33FE9893" w:rsidR="00C821DF" w:rsidRDefault="00DD3994" w:rsidP="00C821DF">
      <w:pPr>
        <w:pStyle w:val="Para"/>
        <w:rPr>
          <w:lang w:val="bg-BG"/>
        </w:rPr>
      </w:pPr>
      <w:r w:rsidRPr="008C08CD">
        <w:rPr>
          <w:lang w:val="bg-BG"/>
        </w:rPr>
        <w:t>Неотдавнашно решение на Съда на Европейския съюз (СЕС)</w:t>
      </w:r>
      <w:r w:rsidR="001D7DAE">
        <w:rPr>
          <w:rStyle w:val="FootnoteReference"/>
        </w:rPr>
        <w:footnoteReference w:id="42"/>
      </w:r>
      <w:r w:rsidRPr="008C08CD">
        <w:rPr>
          <w:lang w:val="bg-BG"/>
        </w:rPr>
        <w:t xml:space="preserve"> реши, че ЕЗА, издадени от българските прокурори, нарушават защитата, предоставена на подсъдимите, тъй като българското законодателство не изисква </w:t>
      </w:r>
      <w:r w:rsidR="00B62E0D">
        <w:rPr>
          <w:lang w:val="bg-BG"/>
        </w:rPr>
        <w:t xml:space="preserve">съдебен контрол на </w:t>
      </w:r>
      <w:r w:rsidRPr="008C08CD">
        <w:rPr>
          <w:lang w:val="bg-BG"/>
        </w:rPr>
        <w:t xml:space="preserve">ЕЗА, преди те да бъдат изпълнени. </w:t>
      </w:r>
      <w:r w:rsidRPr="008C08CD">
        <w:rPr>
          <w:lang w:val="bg-BG"/>
        </w:rPr>
        <w:lastRenderedPageBreak/>
        <w:t xml:space="preserve">Следователно издирваните лица не могат да се защитят </w:t>
      </w:r>
      <w:r w:rsidR="00CA4AB4">
        <w:rPr>
          <w:lang w:val="bg-BG"/>
        </w:rPr>
        <w:t xml:space="preserve">пред съда </w:t>
      </w:r>
      <w:r w:rsidRPr="008C08CD">
        <w:rPr>
          <w:lang w:val="bg-BG"/>
        </w:rPr>
        <w:t xml:space="preserve">срещу никакви обвинения, докато не бъдат екстрадирани обратно в България. По време на </w:t>
      </w:r>
      <w:r w:rsidR="00CD1C55">
        <w:rPr>
          <w:lang w:val="bg-BG"/>
        </w:rPr>
        <w:t>виртуалното посещение</w:t>
      </w:r>
      <w:r w:rsidRPr="008C08CD">
        <w:rPr>
          <w:lang w:val="bg-BG"/>
        </w:rPr>
        <w:t xml:space="preserve"> България съобщи, че е създала Работна група с участници от академичните среди, юридическата професия, ВКП, Министерството на вътрешните работи и съдилищата, за да прецени дали националното законодателство трябва да бъде изменено в светлината на това Решение на СЕС</w:t>
      </w:r>
      <w:r w:rsidR="00C821DF" w:rsidRPr="008C08CD">
        <w:rPr>
          <w:lang w:val="bg-BG"/>
        </w:rPr>
        <w:t xml:space="preserve">. </w:t>
      </w:r>
    </w:p>
    <w:p w14:paraId="49301FC3" w14:textId="709727AC" w:rsidR="00264FF9" w:rsidRDefault="00264FF9" w:rsidP="003E3F0A">
      <w:pPr>
        <w:pStyle w:val="Heading3"/>
        <w:rPr>
          <w:lang w:val="bg-BG"/>
        </w:rPr>
      </w:pPr>
      <w:r>
        <w:rPr>
          <w:lang w:val="bg-BG"/>
        </w:rPr>
        <w:t>Система за управление на ВПП и искания за екстрадиция</w:t>
      </w:r>
    </w:p>
    <w:p w14:paraId="0E577EB9" w14:textId="18F5EDCF" w:rsidR="00C94DBE" w:rsidRPr="00C94DBE" w:rsidRDefault="00C94DBE" w:rsidP="00C94DBE">
      <w:pPr>
        <w:pStyle w:val="Para"/>
        <w:rPr>
          <w:lang w:val="bg-BG"/>
        </w:rPr>
      </w:pPr>
      <w:r w:rsidRPr="00C94DBE">
        <w:rPr>
          <w:lang w:val="bg-BG"/>
        </w:rPr>
        <w:t>Всички молби за ВПП се проследяват чрез регистъра на международния отдел на ВКП и Единната информационна система на прокуратурата (ЕИС). През 2019 г. Министерството на правосъдието разработи нова система за управление на делата, за да улесни проследяването на молбите за ВПП и екстрадиция, да позволи обмена на електронна кореспонденция и да ускори обмена на информация. Системата подрежда данни в зависимост от вида на исканията (ВПП, екстра</w:t>
      </w:r>
      <w:r>
        <w:rPr>
          <w:lang w:val="bg-BG"/>
        </w:rPr>
        <w:t>диция и др.), по държава и кой</w:t>
      </w:r>
      <w:r w:rsidRPr="00C94DBE">
        <w:rPr>
          <w:lang w:val="bg-BG"/>
        </w:rPr>
        <w:t xml:space="preserve"> бълга</w:t>
      </w:r>
      <w:r>
        <w:rPr>
          <w:lang w:val="bg-BG"/>
        </w:rPr>
        <w:t>рски орган търси помощ. В случаи</w:t>
      </w:r>
      <w:r w:rsidRPr="00C94DBE">
        <w:rPr>
          <w:lang w:val="bg-BG"/>
        </w:rPr>
        <w:t xml:space="preserve"> на искания от държави извън ЕС данните могат да включват правното основание за отправяне на молбата (например международни конвенции). В системата обаче не може да се търси по конкретен вид престъпление. България докладва за обширни дискусии за това как да се разширят функционалностите на тази система, като се има предвид необходимостта да се постигне баланс между това каква информация се изисква и това, което може да бъде извлечено бързо. Беше отбелязано също, че за искания съгласно рамката на ЕС за взаимно признаване съществува задължение за събиране на повече информация. </w:t>
      </w:r>
    </w:p>
    <w:p w14:paraId="2A138D3D" w14:textId="77777777" w:rsidR="00C821DF" w:rsidRPr="00DD3994" w:rsidRDefault="00DD3994" w:rsidP="00C821DF">
      <w:pPr>
        <w:tabs>
          <w:tab w:val="num" w:pos="720"/>
        </w:tabs>
        <w:spacing w:before="120" w:after="120" w:line="260" w:lineRule="atLeast"/>
        <w:rPr>
          <w:rFonts w:ascii="Arial" w:eastAsia="Arial" w:hAnsi="Arial"/>
          <w:b/>
          <w:i/>
          <w:color w:val="4E81BD"/>
          <w:sz w:val="20"/>
          <w:lang w:val="bg-BG"/>
        </w:rPr>
      </w:pPr>
      <w:r>
        <w:rPr>
          <w:rFonts w:ascii="Arial" w:eastAsia="Arial" w:hAnsi="Arial"/>
          <w:b/>
          <w:i/>
          <w:color w:val="4E81BD"/>
          <w:sz w:val="20"/>
          <w:lang w:val="bg-BG"/>
        </w:rPr>
        <w:t>Коментар</w:t>
      </w:r>
    </w:p>
    <w:p w14:paraId="4B1E387F" w14:textId="382CAFDD" w:rsidR="00DD3994" w:rsidRPr="008C08CD" w:rsidRDefault="00DD3994" w:rsidP="00DD3994">
      <w:pPr>
        <w:spacing w:before="120" w:after="120" w:line="260" w:lineRule="atLeast"/>
        <w:rPr>
          <w:rFonts w:ascii="Arial" w:eastAsia="Arial" w:hAnsi="Arial"/>
          <w:b/>
          <w:i/>
          <w:color w:val="000000"/>
          <w:sz w:val="20"/>
          <w:lang w:val="bg-BG"/>
        </w:rPr>
      </w:pPr>
      <w:r w:rsidRPr="008C08CD">
        <w:rPr>
          <w:rFonts w:ascii="Arial" w:eastAsia="Arial" w:hAnsi="Arial"/>
          <w:b/>
          <w:i/>
          <w:color w:val="000000"/>
          <w:sz w:val="20"/>
          <w:lang w:val="bg-BG"/>
        </w:rPr>
        <w:t xml:space="preserve">Водещите проверители приветстват усилията след </w:t>
      </w:r>
      <w:r w:rsidR="00673F1F" w:rsidRPr="008C08CD">
        <w:rPr>
          <w:rFonts w:ascii="Arial" w:eastAsia="Arial" w:hAnsi="Arial"/>
          <w:b/>
          <w:i/>
          <w:color w:val="000000"/>
          <w:sz w:val="20"/>
          <w:lang w:val="bg-BG"/>
        </w:rPr>
        <w:t>Фаза</w:t>
      </w:r>
      <w:r w:rsidRPr="008C08CD">
        <w:rPr>
          <w:rFonts w:ascii="Arial" w:eastAsia="Arial" w:hAnsi="Arial"/>
          <w:b/>
          <w:i/>
          <w:color w:val="000000"/>
          <w:sz w:val="20"/>
          <w:lang w:val="bg-BG"/>
        </w:rPr>
        <w:t xml:space="preserve"> 3 за разработване на системи за управление на дела за искания за международно сътрудничество. Те обаче продължават да бъдат обезпокоени от липсата на подробни статистически данни за международното сътрудничество и считат, че препоръка 5 (</w:t>
      </w:r>
      <w:r w:rsidR="00CA4AB4">
        <w:rPr>
          <w:rFonts w:ascii="Arial" w:eastAsia="Arial" w:hAnsi="Arial"/>
          <w:b/>
          <w:i/>
          <w:color w:val="000000"/>
          <w:sz w:val="20"/>
          <w:lang w:val="bg-BG"/>
        </w:rPr>
        <w:t>в</w:t>
      </w:r>
      <w:r w:rsidRPr="008C08CD">
        <w:rPr>
          <w:rFonts w:ascii="Arial" w:eastAsia="Arial" w:hAnsi="Arial"/>
          <w:b/>
          <w:i/>
          <w:color w:val="000000"/>
          <w:sz w:val="20"/>
          <w:lang w:val="bg-BG"/>
        </w:rPr>
        <w:t xml:space="preserve">) </w:t>
      </w:r>
      <w:r w:rsidR="00CA4AB4">
        <w:rPr>
          <w:rFonts w:ascii="Arial" w:eastAsia="Arial" w:hAnsi="Arial"/>
          <w:b/>
          <w:i/>
          <w:color w:val="000000"/>
          <w:sz w:val="20"/>
          <w:lang w:val="bg-BG"/>
        </w:rPr>
        <w:t>от</w:t>
      </w:r>
      <w:r w:rsidRPr="008C08CD">
        <w:rPr>
          <w:rFonts w:ascii="Arial" w:eastAsia="Arial" w:hAnsi="Arial"/>
          <w:b/>
          <w:i/>
          <w:color w:val="000000"/>
          <w:sz w:val="20"/>
          <w:lang w:val="bg-BG"/>
        </w:rPr>
        <w:t xml:space="preserve"> </w:t>
      </w:r>
      <w:r w:rsidR="00673F1F" w:rsidRPr="008C08CD">
        <w:rPr>
          <w:rFonts w:ascii="Arial" w:eastAsia="Arial" w:hAnsi="Arial"/>
          <w:b/>
          <w:i/>
          <w:color w:val="000000"/>
          <w:sz w:val="20"/>
          <w:lang w:val="bg-BG"/>
        </w:rPr>
        <w:t>Фаза</w:t>
      </w:r>
      <w:r w:rsidRPr="008C08CD">
        <w:rPr>
          <w:rFonts w:ascii="Arial" w:eastAsia="Arial" w:hAnsi="Arial"/>
          <w:b/>
          <w:i/>
          <w:color w:val="000000"/>
          <w:sz w:val="20"/>
          <w:lang w:val="bg-BG"/>
        </w:rPr>
        <w:t xml:space="preserve"> 3 остава неизпълнен</w:t>
      </w:r>
      <w:r w:rsidR="00CA4AB4">
        <w:rPr>
          <w:rFonts w:ascii="Arial" w:eastAsia="Arial" w:hAnsi="Arial"/>
          <w:b/>
          <w:i/>
          <w:color w:val="000000"/>
          <w:sz w:val="20"/>
          <w:lang w:val="bg-BG"/>
        </w:rPr>
        <w:t>а</w:t>
      </w:r>
      <w:r w:rsidRPr="008C08CD">
        <w:rPr>
          <w:rFonts w:ascii="Arial" w:eastAsia="Arial" w:hAnsi="Arial"/>
          <w:b/>
          <w:i/>
          <w:color w:val="000000"/>
          <w:sz w:val="20"/>
          <w:lang w:val="bg-BG"/>
        </w:rPr>
        <w:t>. Следователно водещите проверители отново повтарят тази препоръка и също така препоръчват на България: а) да поддържа подробна статистика за исканията за международно сътрудничество</w:t>
      </w:r>
      <w:r w:rsidR="005F281C" w:rsidRPr="00572912">
        <w:rPr>
          <w:rFonts w:ascii="Arial" w:eastAsia="Arial" w:hAnsi="Arial"/>
          <w:b/>
          <w:i/>
          <w:color w:val="000000"/>
          <w:sz w:val="20"/>
          <w:lang w:val="bg-BG"/>
        </w:rPr>
        <w:t xml:space="preserve"> </w:t>
      </w:r>
      <w:r w:rsidR="005F281C">
        <w:rPr>
          <w:rFonts w:ascii="Arial" w:eastAsia="Arial" w:hAnsi="Arial"/>
          <w:b/>
          <w:i/>
          <w:color w:val="000000"/>
          <w:sz w:val="20"/>
          <w:lang w:val="bg-BG"/>
        </w:rPr>
        <w:t>за подкуп на чужди длъжностни лица</w:t>
      </w:r>
      <w:r w:rsidRPr="008C08CD">
        <w:rPr>
          <w:rFonts w:ascii="Arial" w:eastAsia="Arial" w:hAnsi="Arial"/>
          <w:b/>
          <w:i/>
          <w:color w:val="000000"/>
          <w:sz w:val="20"/>
          <w:lang w:val="bg-BG"/>
        </w:rPr>
        <w:t>, включително престъпление</w:t>
      </w:r>
      <w:r w:rsidR="00CA4AB4">
        <w:rPr>
          <w:rFonts w:ascii="Arial" w:eastAsia="Arial" w:hAnsi="Arial"/>
          <w:b/>
          <w:i/>
          <w:color w:val="000000"/>
          <w:sz w:val="20"/>
          <w:lang w:val="bg-BG"/>
        </w:rPr>
        <w:t>т</w:t>
      </w:r>
      <w:r w:rsidR="005F281C">
        <w:rPr>
          <w:rFonts w:ascii="Arial" w:eastAsia="Arial" w:hAnsi="Arial"/>
          <w:b/>
          <w:i/>
          <w:color w:val="000000"/>
          <w:sz w:val="20"/>
          <w:lang w:val="bg-BG"/>
        </w:rPr>
        <w:t>о</w:t>
      </w:r>
      <w:r w:rsidR="00CA4AB4">
        <w:rPr>
          <w:rFonts w:ascii="Arial" w:eastAsia="Arial" w:hAnsi="Arial"/>
          <w:b/>
          <w:i/>
          <w:color w:val="000000"/>
          <w:sz w:val="20"/>
          <w:lang w:val="bg-BG"/>
        </w:rPr>
        <w:t>, във връзка с което се отправя искането</w:t>
      </w:r>
      <w:r w:rsidRPr="008C08CD">
        <w:rPr>
          <w:rFonts w:ascii="Arial" w:eastAsia="Arial" w:hAnsi="Arial"/>
          <w:b/>
          <w:i/>
          <w:color w:val="000000"/>
          <w:sz w:val="20"/>
          <w:lang w:val="bg-BG"/>
        </w:rPr>
        <w:t>, времето, необходимо за изпълнение, и естеството на търсената помощ; и б) да използват активно неформални средства за международно сътрудничество</w:t>
      </w:r>
      <w:r w:rsidR="005F281C">
        <w:rPr>
          <w:rFonts w:ascii="Arial" w:eastAsia="Arial" w:hAnsi="Arial"/>
          <w:b/>
          <w:i/>
          <w:color w:val="000000"/>
          <w:sz w:val="20"/>
          <w:lang w:val="bg-BG"/>
        </w:rPr>
        <w:t xml:space="preserve"> </w:t>
      </w:r>
      <w:r w:rsidR="005F281C" w:rsidRPr="005F281C">
        <w:rPr>
          <w:rFonts w:ascii="Arial" w:eastAsia="Arial" w:hAnsi="Arial"/>
          <w:b/>
          <w:i/>
          <w:color w:val="000000"/>
          <w:sz w:val="20"/>
          <w:lang w:val="bg-BG"/>
        </w:rPr>
        <w:t>за подкуп на чужди длъжностни лица</w:t>
      </w:r>
      <w:r w:rsidRPr="008C08CD">
        <w:rPr>
          <w:rFonts w:ascii="Arial" w:eastAsia="Arial" w:hAnsi="Arial"/>
          <w:b/>
          <w:i/>
          <w:color w:val="000000"/>
          <w:sz w:val="20"/>
          <w:lang w:val="bg-BG"/>
        </w:rPr>
        <w:t xml:space="preserve">, включително чрез ангажиране със срещата на </w:t>
      </w:r>
      <w:r w:rsidR="00CA4AB4">
        <w:rPr>
          <w:rFonts w:ascii="Arial" w:eastAsia="Arial" w:hAnsi="Arial"/>
          <w:b/>
          <w:i/>
          <w:color w:val="000000"/>
          <w:sz w:val="20"/>
          <w:lang w:val="bg-BG"/>
        </w:rPr>
        <w:t>представителите</w:t>
      </w:r>
      <w:r w:rsidR="00CA4AB4" w:rsidRPr="008C08CD">
        <w:rPr>
          <w:rFonts w:ascii="Arial" w:eastAsia="Arial" w:hAnsi="Arial"/>
          <w:b/>
          <w:i/>
          <w:color w:val="000000"/>
          <w:sz w:val="20"/>
          <w:lang w:val="bg-BG"/>
        </w:rPr>
        <w:t xml:space="preserve"> </w:t>
      </w:r>
      <w:r w:rsidRPr="008C08CD">
        <w:rPr>
          <w:rFonts w:ascii="Arial" w:eastAsia="Arial" w:hAnsi="Arial"/>
          <w:b/>
          <w:i/>
          <w:color w:val="000000"/>
          <w:sz w:val="20"/>
          <w:lang w:val="bg-BG"/>
        </w:rPr>
        <w:t>на правоприлагащите органи.</w:t>
      </w:r>
    </w:p>
    <w:p w14:paraId="616A4A15" w14:textId="621578EB" w:rsidR="00C821DF" w:rsidRPr="008C08CD" w:rsidRDefault="00DD3994" w:rsidP="00DD3994">
      <w:pPr>
        <w:spacing w:before="120" w:after="120" w:line="260" w:lineRule="atLeast"/>
        <w:rPr>
          <w:rFonts w:ascii="Arial" w:eastAsia="Arial" w:hAnsi="Arial"/>
          <w:b/>
          <w:i/>
          <w:color w:val="000000"/>
          <w:sz w:val="20"/>
          <w:lang w:val="bg-BG"/>
        </w:rPr>
      </w:pPr>
      <w:r w:rsidRPr="008C08CD">
        <w:rPr>
          <w:rFonts w:ascii="Arial" w:eastAsia="Arial" w:hAnsi="Arial"/>
          <w:b/>
          <w:i/>
          <w:color w:val="000000"/>
          <w:sz w:val="20"/>
          <w:lang w:val="bg-BG"/>
        </w:rPr>
        <w:t xml:space="preserve">Водещите проверители също препоръчват Работната група да проследи влиянието на решението на Съда на ЕС върху </w:t>
      </w:r>
      <w:r w:rsidR="00287324">
        <w:rPr>
          <w:rFonts w:ascii="Arial" w:eastAsia="Arial" w:hAnsi="Arial"/>
          <w:b/>
          <w:i/>
          <w:color w:val="000000"/>
          <w:sz w:val="20"/>
          <w:lang w:val="bg-BG"/>
        </w:rPr>
        <w:t xml:space="preserve">екстрадиционната  </w:t>
      </w:r>
      <w:r w:rsidRPr="008C08CD">
        <w:rPr>
          <w:rFonts w:ascii="Arial" w:eastAsia="Arial" w:hAnsi="Arial"/>
          <w:b/>
          <w:i/>
          <w:color w:val="000000"/>
          <w:sz w:val="20"/>
          <w:lang w:val="bg-BG"/>
        </w:rPr>
        <w:t xml:space="preserve">рамка </w:t>
      </w:r>
      <w:r w:rsidR="00287324">
        <w:rPr>
          <w:rFonts w:ascii="Arial" w:eastAsia="Arial" w:hAnsi="Arial"/>
          <w:b/>
          <w:i/>
          <w:color w:val="000000"/>
          <w:sz w:val="20"/>
          <w:lang w:val="bg-BG"/>
        </w:rPr>
        <w:t>в</w:t>
      </w:r>
      <w:r w:rsidRPr="008C08CD">
        <w:rPr>
          <w:rFonts w:ascii="Arial" w:eastAsia="Arial" w:hAnsi="Arial"/>
          <w:b/>
          <w:i/>
          <w:color w:val="000000"/>
          <w:sz w:val="20"/>
          <w:lang w:val="bg-BG"/>
        </w:rPr>
        <w:t xml:space="preserve"> България</w:t>
      </w:r>
      <w:r w:rsidR="00C821DF" w:rsidRPr="008C08CD">
        <w:rPr>
          <w:rFonts w:ascii="Arial" w:eastAsia="Arial" w:hAnsi="Arial"/>
          <w:b/>
          <w:i/>
          <w:color w:val="000000"/>
          <w:sz w:val="20"/>
          <w:lang w:val="bg-BG"/>
        </w:rPr>
        <w:t>.</w:t>
      </w:r>
    </w:p>
    <w:p w14:paraId="45A901B0" w14:textId="77777777" w:rsidR="00DD7407" w:rsidRPr="008C08CD" w:rsidRDefault="00DD7407" w:rsidP="005330C7">
      <w:pPr>
        <w:pStyle w:val="Commentary"/>
        <w:rPr>
          <w:lang w:val="bg-BG"/>
        </w:rPr>
      </w:pPr>
    </w:p>
    <w:p w14:paraId="7FB292A7" w14:textId="77777777" w:rsidR="0047749A" w:rsidRPr="008C08CD" w:rsidRDefault="0047749A">
      <w:pPr>
        <w:widowControl/>
        <w:spacing w:after="200" w:line="276" w:lineRule="auto"/>
        <w:jc w:val="left"/>
        <w:rPr>
          <w:color w:val="000000" w:themeColor="text1"/>
          <w:sz w:val="20"/>
          <w:lang w:val="bg-BG"/>
        </w:rPr>
      </w:pPr>
    </w:p>
    <w:p w14:paraId="00B10915" w14:textId="77777777" w:rsidR="0047749A" w:rsidRPr="0047749A" w:rsidRDefault="00B777FA" w:rsidP="008C08CD">
      <w:pPr>
        <w:pStyle w:val="Heading1"/>
        <w:framePr w:wrap="notBeside" w:x="1381" w:y="107"/>
        <w:numPr>
          <w:ilvl w:val="0"/>
          <w:numId w:val="0"/>
        </w:numPr>
        <w:ind w:left="1077" w:hanging="964"/>
      </w:pPr>
      <w:r>
        <w:rPr>
          <w:lang w:val="bg-BG"/>
        </w:rPr>
        <w:lastRenderedPageBreak/>
        <w:t>В</w:t>
      </w:r>
      <w:r w:rsidR="0047749A" w:rsidRPr="0047749A">
        <w:t xml:space="preserve">. </w:t>
      </w:r>
      <w:r w:rsidR="00714FCD" w:rsidRPr="00714FCD">
        <w:t>Отговорност на юридически</w:t>
      </w:r>
      <w:r w:rsidR="008B3863">
        <w:rPr>
          <w:lang w:val="bg-BG"/>
        </w:rPr>
        <w:t>те</w:t>
      </w:r>
      <w:r w:rsidR="00714FCD" w:rsidRPr="00714FCD">
        <w:t xml:space="preserve"> лица</w:t>
      </w:r>
    </w:p>
    <w:p w14:paraId="22B61A36" w14:textId="77777777" w:rsidR="0047749A" w:rsidRPr="008A4290" w:rsidRDefault="00714FCD" w:rsidP="00EC2390">
      <w:pPr>
        <w:pStyle w:val="Heading2"/>
        <w:numPr>
          <w:ilvl w:val="1"/>
          <w:numId w:val="11"/>
        </w:numPr>
      </w:pPr>
      <w:r w:rsidRPr="00714FCD">
        <w:t>Обхват на отговорност</w:t>
      </w:r>
      <w:bookmarkStart w:id="39" w:name="_Hlk79219202"/>
      <w:r w:rsidR="004B6537">
        <w:rPr>
          <w:lang w:val="bg-BG"/>
        </w:rPr>
        <w:t>та на юридическите лица</w:t>
      </w:r>
      <w:r w:rsidRPr="00714FCD">
        <w:t xml:space="preserve"> за подкуп на чужди длъжностни лица</w:t>
      </w:r>
      <w:bookmarkEnd w:id="39"/>
      <w:r w:rsidRPr="00714FCD">
        <w:t xml:space="preserve"> и свързани с </w:t>
      </w:r>
      <w:r w:rsidR="004B6537">
        <w:rPr>
          <w:lang w:val="bg-BG"/>
        </w:rPr>
        <w:t xml:space="preserve">него </w:t>
      </w:r>
      <w:r w:rsidRPr="00714FCD">
        <w:t>престъпления</w:t>
      </w:r>
    </w:p>
    <w:p w14:paraId="3F184A35" w14:textId="4A42B9CF" w:rsidR="0047749A" w:rsidRPr="0047749A" w:rsidRDefault="00736142" w:rsidP="0047749A">
      <w:pPr>
        <w:pStyle w:val="Para"/>
      </w:pPr>
      <w:r w:rsidRPr="00736142">
        <w:t xml:space="preserve">Както наказателната (чл. 35, ал. 1 от НК), така и административната </w:t>
      </w:r>
      <w:r w:rsidR="00D55F42" w:rsidRPr="00736142">
        <w:t xml:space="preserve">отговорност </w:t>
      </w:r>
      <w:r w:rsidRPr="00736142">
        <w:t>(чл. 24, ал. 1 ЗАНН) в България имат личен характер. Юридическите лица с</w:t>
      </w:r>
      <w:r w:rsidR="00DA1B15">
        <w:rPr>
          <w:lang w:val="bg-BG"/>
        </w:rPr>
        <w:t>е</w:t>
      </w:r>
      <w:r w:rsidRPr="00736142">
        <w:t xml:space="preserve"> санкционира</w:t>
      </w:r>
      <w:r w:rsidR="00DA1B15">
        <w:rPr>
          <w:lang w:val="bg-BG"/>
        </w:rPr>
        <w:t>т,</w:t>
      </w:r>
      <w:r w:rsidRPr="00736142">
        <w:t xml:space="preserve"> защото „са се обогатили или биха се обогатили</w:t>
      </w:r>
      <w:r w:rsidR="00E33597" w:rsidRPr="00736142">
        <w:t>“</w:t>
      </w:r>
      <w:r w:rsidR="00E33597">
        <w:rPr>
          <w:lang w:val="bg-BG"/>
        </w:rPr>
        <w:t>от</w:t>
      </w:r>
      <w:r w:rsidRPr="00736142">
        <w:t xml:space="preserve"> престъпление, включително от подкуп на чужди длъжностни лица, извършено от физическо лице (член 83а, параграф 1 от ЗАНН)</w:t>
      </w:r>
      <w:r w:rsidR="00DA1B15">
        <w:rPr>
          <w:rStyle w:val="FootnoteReference"/>
        </w:rPr>
        <w:footnoteReference w:id="43"/>
      </w:r>
      <w:r w:rsidRPr="00736142">
        <w:t>. Следователно прилагането на санкции е обвързано с изискването физическо лице да е извършило престъпление. Глава 4 от ЗАНН (членове 83 и 83а-83</w:t>
      </w:r>
      <w:r w:rsidR="00DA1B15">
        <w:rPr>
          <w:lang w:val="bg-BG"/>
        </w:rPr>
        <w:t>ж</w:t>
      </w:r>
      <w:r w:rsidRPr="00736142">
        <w:t>) предоставя основната правна рамка за санкциониране на юридически лица в България. За всички въпроси, които не са обхванати от глава</w:t>
      </w:r>
      <w:r w:rsidR="00DA1B15">
        <w:rPr>
          <w:lang w:val="bg-BG"/>
        </w:rPr>
        <w:t xml:space="preserve"> 4</w:t>
      </w:r>
      <w:r w:rsidRPr="00736142">
        <w:t>, член 83</w:t>
      </w:r>
      <w:r w:rsidR="00DA1B15">
        <w:rPr>
          <w:lang w:val="bg-BG"/>
        </w:rPr>
        <w:t>ж</w:t>
      </w:r>
      <w:r w:rsidRPr="00736142">
        <w:t xml:space="preserve"> от ЗАНН предвижда, че те трябва да бъдат третирани в съответствие с НПК</w:t>
      </w:r>
      <w:r w:rsidR="0047749A" w:rsidRPr="0047749A">
        <w:t>.</w:t>
      </w:r>
    </w:p>
    <w:p w14:paraId="21E3A843" w14:textId="77777777" w:rsidR="0047749A" w:rsidRPr="0047749A" w:rsidRDefault="00736142" w:rsidP="0047749A">
      <w:pPr>
        <w:pStyle w:val="Para"/>
      </w:pPr>
      <w:r w:rsidRPr="00736142">
        <w:t xml:space="preserve">По </w:t>
      </w:r>
      <w:r w:rsidR="00673F1F">
        <w:t>Фаза</w:t>
      </w:r>
      <w:r w:rsidRPr="00736142">
        <w:t xml:space="preserve"> 3 Работната група препоръча на България да промени съществено ЗАНН, за да отстрани много законодателни недостатъци, включително по отношение на автономната отговорност на юридическите лица, компетентността да</w:t>
      </w:r>
      <w:r w:rsidR="00D55F42">
        <w:rPr>
          <w:lang w:val="bg-BG"/>
        </w:rPr>
        <w:t xml:space="preserve"> се</w:t>
      </w:r>
      <w:r w:rsidRPr="00736142">
        <w:t xml:space="preserve"> започне производство срещу юридически лица, наличието на инструменти за разследване в про</w:t>
      </w:r>
      <w:r w:rsidR="00D55F42">
        <w:t>изводства срещу юридически лица</w:t>
      </w:r>
      <w:r w:rsidRPr="00736142">
        <w:t xml:space="preserve"> и съдебни</w:t>
      </w:r>
      <w:r w:rsidR="00D55F42">
        <w:rPr>
          <w:lang w:val="bg-BG"/>
        </w:rPr>
        <w:t>те</w:t>
      </w:r>
      <w:r w:rsidRPr="00736142">
        <w:t xml:space="preserve"> производства срещу юридически лица. ЗАНН е подложен на изменения след </w:t>
      </w:r>
      <w:r w:rsidR="00673F1F">
        <w:t>Фаза</w:t>
      </w:r>
      <w:r w:rsidRPr="00736142">
        <w:t xml:space="preserve"> 3, като най -важното за целите на тази оценка се </w:t>
      </w:r>
      <w:r w:rsidR="00DA1B15">
        <w:rPr>
          <w:lang w:val="bg-BG"/>
        </w:rPr>
        <w:t>въвежда</w:t>
      </w:r>
      <w:r w:rsidR="00DA1B15" w:rsidRPr="00736142">
        <w:t xml:space="preserve"> </w:t>
      </w:r>
      <w:r w:rsidRPr="00736142">
        <w:t>с изменение</w:t>
      </w:r>
      <w:r w:rsidR="00D55F42">
        <w:rPr>
          <w:lang w:val="bg-BG"/>
        </w:rPr>
        <w:t xml:space="preserve"> в</w:t>
      </w:r>
      <w:r w:rsidRPr="00736142">
        <w:t xml:space="preserve"> ДВ 81/2015</w:t>
      </w:r>
      <w:r w:rsidR="0047749A" w:rsidRPr="0047749A">
        <w:t>.</w:t>
      </w:r>
    </w:p>
    <w:p w14:paraId="35BADBC5" w14:textId="77777777" w:rsidR="0047749A" w:rsidRPr="0047749A" w:rsidRDefault="001B4DE2" w:rsidP="0047749A">
      <w:pPr>
        <w:pStyle w:val="Para"/>
      </w:pPr>
      <w:r w:rsidRPr="001B4DE2">
        <w:t xml:space="preserve">Както е описано по-долу, повечето от опасенията, изразени от Работната група по </w:t>
      </w:r>
      <w:r w:rsidR="00673F1F">
        <w:t>Фаза</w:t>
      </w:r>
      <w:r w:rsidRPr="001B4DE2">
        <w:t xml:space="preserve"> 3, остават валидни и по </w:t>
      </w:r>
      <w:r w:rsidR="00673F1F">
        <w:t>Фаза</w:t>
      </w:r>
      <w:r w:rsidRPr="001B4DE2">
        <w:t xml:space="preserve"> 4. Все още има много несигурност сред българските власти относно начина на прилагане на правната рамка за санкциониране на юридически лица и значителни процесуални пречки мо</w:t>
      </w:r>
      <w:r w:rsidR="00DA1B15">
        <w:rPr>
          <w:lang w:val="bg-BG"/>
        </w:rPr>
        <w:t>гат</w:t>
      </w:r>
      <w:r w:rsidRPr="001B4DE2">
        <w:t xml:space="preserve"> неоправдано да огранич</w:t>
      </w:r>
      <w:r w:rsidR="00DA1B15">
        <w:rPr>
          <w:lang w:val="bg-BG"/>
        </w:rPr>
        <w:t>ат</w:t>
      </w:r>
      <w:r w:rsidRPr="001B4DE2">
        <w:t xml:space="preserve"> възможността на България да започне и да води производство срещу юридически лица. Промяната на позицията на България след </w:t>
      </w:r>
      <w:r w:rsidR="00673F1F">
        <w:t>Фаза</w:t>
      </w:r>
      <w:r w:rsidRPr="001B4DE2">
        <w:t xml:space="preserve"> 3 по два въпроса, обсъдени по-долу, засилва идеята, че правната рамка за санкциониране на юридически лица </w:t>
      </w:r>
      <w:r w:rsidR="00463F82">
        <w:rPr>
          <w:lang w:val="bg-BG"/>
        </w:rPr>
        <w:t>заслужава</w:t>
      </w:r>
      <w:r w:rsidRPr="001B4DE2">
        <w:t xml:space="preserve"> спешно изясняване</w:t>
      </w:r>
      <w:r w:rsidR="0047749A" w:rsidRPr="0047749A">
        <w:t>.</w:t>
      </w:r>
    </w:p>
    <w:p w14:paraId="5C8DEEB4" w14:textId="77777777" w:rsidR="0047749A" w:rsidRPr="001B4DE2" w:rsidRDefault="001B4DE2" w:rsidP="005330C7">
      <w:pPr>
        <w:pStyle w:val="Commentary"/>
        <w:rPr>
          <w:noProof/>
          <w:color w:val="4E81BD" w:themeColor="accent1"/>
          <w:lang w:val="bg-BG"/>
        </w:rPr>
      </w:pPr>
      <w:r>
        <w:rPr>
          <w:noProof/>
          <w:color w:val="4E81BD" w:themeColor="accent1"/>
          <w:lang w:val="bg-BG"/>
        </w:rPr>
        <w:t>Коментар</w:t>
      </w:r>
    </w:p>
    <w:p w14:paraId="4C0B5CEF" w14:textId="77777777" w:rsidR="0047749A" w:rsidRPr="00AB0320" w:rsidRDefault="001B4DE2" w:rsidP="005330C7">
      <w:pPr>
        <w:pStyle w:val="Commentary"/>
        <w:rPr>
          <w:noProof/>
          <w:lang w:val="bg-BG"/>
        </w:rPr>
      </w:pPr>
      <w:r w:rsidRPr="00D55F42">
        <w:rPr>
          <w:noProof/>
          <w:lang w:val="bg-BG"/>
        </w:rPr>
        <w:t>Водещите проверители смятат, че България н</w:t>
      </w:r>
      <w:r w:rsidR="00D55F42" w:rsidRPr="00D55F42">
        <w:rPr>
          <w:noProof/>
          <w:lang w:val="bg-BG"/>
        </w:rPr>
        <w:t xml:space="preserve">яма ефективна правна рамка за </w:t>
      </w:r>
      <w:r w:rsidR="00D55F42">
        <w:rPr>
          <w:noProof/>
          <w:lang w:val="bg-BG"/>
        </w:rPr>
        <w:t>подвеждането</w:t>
      </w:r>
      <w:r w:rsidRPr="00D55F42">
        <w:rPr>
          <w:noProof/>
          <w:lang w:val="bg-BG"/>
        </w:rPr>
        <w:t xml:space="preserve"> на юридически лица под отговорност за подкуп на чужди длъжностни лица или свързани с </w:t>
      </w:r>
      <w:r w:rsidR="00D55F42">
        <w:rPr>
          <w:noProof/>
          <w:lang w:val="bg-BG"/>
        </w:rPr>
        <w:t>него</w:t>
      </w:r>
      <w:r w:rsidRPr="00D55F42">
        <w:rPr>
          <w:noProof/>
          <w:lang w:val="bg-BG"/>
        </w:rPr>
        <w:t xml:space="preserve"> престъпления. </w:t>
      </w:r>
      <w:r w:rsidRPr="00AB0320">
        <w:rPr>
          <w:noProof/>
          <w:lang w:val="bg-BG"/>
        </w:rPr>
        <w:t xml:space="preserve">Както е обсъдено по-долу, тя не предвижда ефективна юрисдикционна база за започване на производство срещу юридически лица, </w:t>
      </w:r>
      <w:r w:rsidR="00DA1B15">
        <w:rPr>
          <w:noProof/>
          <w:lang w:val="bg-BG"/>
        </w:rPr>
        <w:t xml:space="preserve">неоправдано </w:t>
      </w:r>
      <w:r w:rsidRPr="00AB0320">
        <w:rPr>
          <w:noProof/>
          <w:lang w:val="bg-BG"/>
        </w:rPr>
        <w:t xml:space="preserve">ограничава производството до случаи, в които физическото лице извършител е преследвано или осъдено, и създава сериозни пречки пред ефективното санкциониране на юридически лица за подкупване на чужди длъжностни лица. Следователно водещите проверители препоръчват на България да реформира правната си рамка, за да установи отговорност и санкциониране на юридически лица за </w:t>
      </w:r>
      <w:r w:rsidRPr="00AB0320">
        <w:rPr>
          <w:noProof/>
          <w:lang w:val="bg-BG"/>
        </w:rPr>
        <w:lastRenderedPageBreak/>
        <w:t xml:space="preserve">подкуп на чужди длъжностни лица в съответствие с член 2 от Конвенцията и приложение </w:t>
      </w:r>
      <w:r w:rsidRPr="001B4DE2">
        <w:rPr>
          <w:noProof/>
          <w:lang w:val="en"/>
        </w:rPr>
        <w:t>I</w:t>
      </w:r>
      <w:r w:rsidR="008A2473">
        <w:rPr>
          <w:noProof/>
          <w:lang w:val="bg-BG"/>
        </w:rPr>
        <w:t>.</w:t>
      </w:r>
      <w:r w:rsidRPr="001B4DE2">
        <w:rPr>
          <w:noProof/>
          <w:lang w:val="en"/>
        </w:rPr>
        <w:t>B</w:t>
      </w:r>
      <w:r w:rsidRPr="00AB0320">
        <w:rPr>
          <w:noProof/>
          <w:lang w:val="bg-BG"/>
        </w:rPr>
        <w:t xml:space="preserve"> от Препоръката за борба с подкупите от 2009 г</w:t>
      </w:r>
      <w:r w:rsidR="0047749A" w:rsidRPr="00AB0320">
        <w:rPr>
          <w:noProof/>
          <w:lang w:val="bg-BG"/>
        </w:rPr>
        <w:t>.</w:t>
      </w:r>
    </w:p>
    <w:p w14:paraId="6AF92C17" w14:textId="3381F6CA" w:rsidR="0047749A" w:rsidRPr="00AB0320" w:rsidRDefault="007A0D8C" w:rsidP="0047749A">
      <w:pPr>
        <w:pStyle w:val="Heading3"/>
        <w:rPr>
          <w:lang w:val="bg-BG"/>
        </w:rPr>
      </w:pPr>
      <w:r>
        <w:rPr>
          <w:lang w:val="bg-BG"/>
        </w:rPr>
        <w:t>Аспекти</w:t>
      </w:r>
      <w:r w:rsidR="008D68BC" w:rsidRPr="00AB0320">
        <w:rPr>
          <w:lang w:val="bg-BG"/>
        </w:rPr>
        <w:t xml:space="preserve"> на отговорност</w:t>
      </w:r>
      <w:r>
        <w:rPr>
          <w:lang w:val="bg-BG"/>
        </w:rPr>
        <w:t>та</w:t>
      </w:r>
      <w:r w:rsidR="008D68BC" w:rsidRPr="00AB0320">
        <w:rPr>
          <w:lang w:val="bg-BG"/>
        </w:rPr>
        <w:t xml:space="preserve"> на юридически лица, </w:t>
      </w:r>
      <w:r w:rsidR="000945CB">
        <w:rPr>
          <w:lang w:val="bg-BG"/>
        </w:rPr>
        <w:t>които изискват проследяване от Работната група</w:t>
      </w:r>
    </w:p>
    <w:p w14:paraId="741D6471" w14:textId="77777777" w:rsidR="0047749A" w:rsidRPr="008B3863" w:rsidRDefault="008D68BC" w:rsidP="0047749A">
      <w:pPr>
        <w:pStyle w:val="Heading4"/>
        <w:rPr>
          <w:lang w:val="en"/>
        </w:rPr>
      </w:pPr>
      <w:r w:rsidRPr="008B3863">
        <w:rPr>
          <w:lang w:val="en"/>
        </w:rPr>
        <w:t xml:space="preserve">Стандарт за отговорност </w:t>
      </w:r>
    </w:p>
    <w:p w14:paraId="26A32715" w14:textId="60FCE582" w:rsidR="0047749A" w:rsidRPr="008B3863" w:rsidRDefault="008D68BC" w:rsidP="0047749A">
      <w:pPr>
        <w:pStyle w:val="Para"/>
        <w:rPr>
          <w:lang w:val="x-none"/>
        </w:rPr>
      </w:pPr>
      <w:r w:rsidRPr="008B3863">
        <w:t xml:space="preserve">Стандартът </w:t>
      </w:r>
      <w:r w:rsidR="00F30BC1">
        <w:rPr>
          <w:lang w:val="bg-BG"/>
        </w:rPr>
        <w:t>з</w:t>
      </w:r>
      <w:r w:rsidRPr="008B3863">
        <w:t xml:space="preserve">а отговорност </w:t>
      </w:r>
      <w:r w:rsidR="00287324">
        <w:rPr>
          <w:lang w:val="bg-BG"/>
        </w:rPr>
        <w:t>не се е променил</w:t>
      </w:r>
      <w:r w:rsidRPr="008B3863">
        <w:t xml:space="preserve"> </w:t>
      </w:r>
      <w:r w:rsidR="00287324">
        <w:rPr>
          <w:lang w:val="bg-BG"/>
        </w:rPr>
        <w:t>след</w:t>
      </w:r>
      <w:r w:rsidRPr="008B3863">
        <w:t xml:space="preserve"> </w:t>
      </w:r>
      <w:r w:rsidR="00673F1F" w:rsidRPr="008B3863">
        <w:t>Фаза</w:t>
      </w:r>
      <w:r w:rsidRPr="008B3863">
        <w:t xml:space="preserve"> 3. Съгласно чл</w:t>
      </w:r>
      <w:r w:rsidR="00EA40A9">
        <w:rPr>
          <w:lang w:val="bg-BG"/>
        </w:rPr>
        <w:t>.</w:t>
      </w:r>
      <w:r w:rsidRPr="008B3863">
        <w:t xml:space="preserve"> 83а, </w:t>
      </w:r>
      <w:r w:rsidR="005107CB">
        <w:rPr>
          <w:lang w:val="bg-BG"/>
        </w:rPr>
        <w:t>ал.</w:t>
      </w:r>
      <w:r w:rsidRPr="008B3863">
        <w:t xml:space="preserve"> 1 от ЗАНН, юридическо лице може да бъде </w:t>
      </w:r>
      <w:r w:rsidR="00463F82" w:rsidRPr="008B3863">
        <w:rPr>
          <w:lang w:val="bg-BG"/>
        </w:rPr>
        <w:t>санкционирано</w:t>
      </w:r>
      <w:r w:rsidRPr="008B3863">
        <w:t>, когато</w:t>
      </w:r>
      <w:r w:rsidR="00EA40A9">
        <w:rPr>
          <w:lang w:val="bg-BG"/>
        </w:rPr>
        <w:t xml:space="preserve"> е извършен</w:t>
      </w:r>
      <w:r w:rsidRPr="008B3863">
        <w:t xml:space="preserve"> подкуп на чужди длъжностни лица от</w:t>
      </w:r>
      <w:r w:rsidR="0047749A" w:rsidRPr="008B3863">
        <w:t>:</w:t>
      </w:r>
    </w:p>
    <w:p w14:paraId="5C1F16FC" w14:textId="77777777" w:rsidR="0061454B" w:rsidRDefault="0061454B" w:rsidP="0061454B">
      <w:pPr>
        <w:pStyle w:val="ListParagraph"/>
        <w:widowControl/>
        <w:spacing w:before="120" w:after="120" w:line="260" w:lineRule="atLeast"/>
        <w:ind w:left="1287"/>
        <w:rPr>
          <w:color w:val="000000" w:themeColor="text1"/>
          <w:sz w:val="20"/>
          <w:lang w:val="bg-BG"/>
        </w:rPr>
      </w:pPr>
      <w:r>
        <w:rPr>
          <w:color w:val="000000" w:themeColor="text1"/>
          <w:sz w:val="20"/>
          <w:lang w:val="bg-BG"/>
        </w:rPr>
        <w:t xml:space="preserve">а. </w:t>
      </w:r>
      <w:proofErr w:type="gramStart"/>
      <w:r w:rsidR="005630D3" w:rsidRPr="0061454B">
        <w:rPr>
          <w:color w:val="000000" w:themeColor="text1"/>
          <w:sz w:val="20"/>
        </w:rPr>
        <w:t>лице</w:t>
      </w:r>
      <w:proofErr w:type="gramEnd"/>
      <w:r w:rsidR="005630D3" w:rsidRPr="0061454B">
        <w:rPr>
          <w:color w:val="000000" w:themeColor="text1"/>
          <w:sz w:val="20"/>
        </w:rPr>
        <w:t>, овластено да формира волята на юридическото лице;</w:t>
      </w:r>
    </w:p>
    <w:p w14:paraId="2FC1B0E4" w14:textId="77777777" w:rsidR="0061454B" w:rsidRPr="0061454B" w:rsidRDefault="0061454B" w:rsidP="0061454B">
      <w:pPr>
        <w:pStyle w:val="ListParagraph"/>
        <w:widowControl/>
        <w:spacing w:before="120" w:after="120" w:line="260" w:lineRule="atLeast"/>
        <w:ind w:left="1287"/>
        <w:rPr>
          <w:color w:val="000000" w:themeColor="text1"/>
          <w:sz w:val="20"/>
          <w:lang w:val="bg-BG"/>
        </w:rPr>
      </w:pPr>
      <w:r>
        <w:rPr>
          <w:color w:val="000000" w:themeColor="text1"/>
          <w:sz w:val="20"/>
          <w:lang w:val="bg-BG"/>
        </w:rPr>
        <w:t xml:space="preserve">б. </w:t>
      </w:r>
      <w:r w:rsidR="005630D3" w:rsidRPr="0061454B">
        <w:rPr>
          <w:color w:val="000000" w:themeColor="text1"/>
          <w:sz w:val="20"/>
          <w:lang w:val="bg-BG"/>
        </w:rPr>
        <w:t>лице, представляващо юридическото лице;</w:t>
      </w:r>
    </w:p>
    <w:p w14:paraId="34ABF185" w14:textId="77777777" w:rsidR="0061454B" w:rsidRPr="0061454B" w:rsidRDefault="0061454B" w:rsidP="0061454B">
      <w:pPr>
        <w:pStyle w:val="ListParagraph"/>
        <w:widowControl/>
        <w:spacing w:before="120" w:after="120" w:line="260" w:lineRule="atLeast"/>
        <w:ind w:left="1287"/>
        <w:rPr>
          <w:color w:val="000000" w:themeColor="text1"/>
          <w:sz w:val="20"/>
          <w:lang w:val="bg-BG"/>
        </w:rPr>
      </w:pPr>
      <w:r w:rsidRPr="0061454B">
        <w:rPr>
          <w:color w:val="000000" w:themeColor="text1"/>
          <w:sz w:val="20"/>
          <w:lang w:val="bg-BG"/>
        </w:rPr>
        <w:t xml:space="preserve">в. </w:t>
      </w:r>
      <w:r w:rsidR="005630D3" w:rsidRPr="0061454B">
        <w:rPr>
          <w:color w:val="000000" w:themeColor="text1"/>
          <w:sz w:val="20"/>
          <w:lang w:val="bg-BG"/>
        </w:rPr>
        <w:t>лице, избрано в контролен или надзорен орган на юридическото лице, или</w:t>
      </w:r>
    </w:p>
    <w:p w14:paraId="435D5B3A" w14:textId="77777777" w:rsidR="0047749A" w:rsidRPr="0061454B" w:rsidRDefault="0061454B" w:rsidP="0061454B">
      <w:pPr>
        <w:pStyle w:val="ListParagraph"/>
        <w:widowControl/>
        <w:spacing w:before="120" w:after="120" w:line="260" w:lineRule="atLeast"/>
        <w:ind w:left="1287"/>
        <w:rPr>
          <w:color w:val="000000" w:themeColor="text1"/>
          <w:sz w:val="20"/>
          <w:lang w:val="bg-BG"/>
        </w:rPr>
      </w:pPr>
      <w:r w:rsidRPr="0061454B">
        <w:rPr>
          <w:color w:val="000000" w:themeColor="text1"/>
          <w:sz w:val="20"/>
          <w:lang w:val="bg-BG"/>
        </w:rPr>
        <w:t xml:space="preserve">г. </w:t>
      </w:r>
      <w:r w:rsidR="005630D3" w:rsidRPr="0061454B">
        <w:rPr>
          <w:color w:val="000000" w:themeColor="text1"/>
          <w:sz w:val="20"/>
          <w:lang w:val="bg-BG"/>
        </w:rPr>
        <w:t>работник или служител, на който юридическото лице е възложило определена работа, когато престъплението е извършено при или по повод изпълнението на тази работа</w:t>
      </w:r>
      <w:r w:rsidR="0047749A" w:rsidRPr="0061454B">
        <w:rPr>
          <w:color w:val="000000" w:themeColor="text1"/>
          <w:sz w:val="20"/>
          <w:lang w:val="bg-BG"/>
        </w:rPr>
        <w:t xml:space="preserve">. </w:t>
      </w:r>
    </w:p>
    <w:p w14:paraId="6F8186BA" w14:textId="00338F55" w:rsidR="0047749A" w:rsidRDefault="008D68BC" w:rsidP="0047749A">
      <w:pPr>
        <w:pStyle w:val="Para"/>
        <w:rPr>
          <w:lang w:val="bg-BG"/>
        </w:rPr>
      </w:pPr>
      <w:r w:rsidRPr="0061454B">
        <w:rPr>
          <w:lang w:val="bg-BG"/>
        </w:rPr>
        <w:t xml:space="preserve">По </w:t>
      </w:r>
      <w:r w:rsidR="00673F1F" w:rsidRPr="0061454B">
        <w:rPr>
          <w:lang w:val="bg-BG"/>
        </w:rPr>
        <w:t>Фаза</w:t>
      </w:r>
      <w:r w:rsidRPr="0061454B">
        <w:rPr>
          <w:lang w:val="bg-BG"/>
        </w:rPr>
        <w:t xml:space="preserve"> 4 България </w:t>
      </w:r>
      <w:r w:rsidR="00463F82" w:rsidRPr="008B3863">
        <w:rPr>
          <w:lang w:val="bg-BG"/>
        </w:rPr>
        <w:t xml:space="preserve">заяви, </w:t>
      </w:r>
      <w:r w:rsidR="0061454B" w:rsidRPr="008B3863">
        <w:rPr>
          <w:lang w:val="bg-BG"/>
        </w:rPr>
        <w:t xml:space="preserve">че </w:t>
      </w:r>
      <w:r w:rsidR="0061454B" w:rsidRPr="0061454B">
        <w:rPr>
          <w:lang w:val="bg-BG"/>
        </w:rPr>
        <w:t>юридически</w:t>
      </w:r>
      <w:r w:rsidRPr="0061454B">
        <w:rPr>
          <w:lang w:val="bg-BG"/>
        </w:rPr>
        <w:t xml:space="preserve"> лица</w:t>
      </w:r>
      <w:r w:rsidR="00463F82" w:rsidRPr="008B3863">
        <w:rPr>
          <w:lang w:val="bg-BG"/>
        </w:rPr>
        <w:t xml:space="preserve"> са били</w:t>
      </w:r>
      <w:r w:rsidRPr="0061454B">
        <w:rPr>
          <w:lang w:val="bg-BG"/>
        </w:rPr>
        <w:t xml:space="preserve"> </w:t>
      </w:r>
      <w:r w:rsidR="00463F82" w:rsidRPr="008B3863">
        <w:rPr>
          <w:lang w:val="bg-BG"/>
        </w:rPr>
        <w:t>санкционирани</w:t>
      </w:r>
      <w:r w:rsidR="00463F82" w:rsidRPr="0061454B">
        <w:rPr>
          <w:lang w:val="bg-BG"/>
        </w:rPr>
        <w:t xml:space="preserve"> </w:t>
      </w:r>
      <w:r w:rsidRPr="0061454B">
        <w:rPr>
          <w:lang w:val="bg-BG"/>
        </w:rPr>
        <w:t xml:space="preserve">за икономически престъпления, </w:t>
      </w:r>
      <w:r w:rsidR="00277C23">
        <w:rPr>
          <w:lang w:val="bg-BG"/>
        </w:rPr>
        <w:t xml:space="preserve">но не и за подкуп на чужди длъжностни лица, </w:t>
      </w:r>
      <w:r w:rsidRPr="0061454B">
        <w:rPr>
          <w:lang w:val="bg-BG"/>
        </w:rPr>
        <w:t>извършени от лица, посочени в категории а) до в).</w:t>
      </w:r>
    </w:p>
    <w:p w14:paraId="550E6BD2" w14:textId="276578C7" w:rsidR="00741360" w:rsidRPr="00572912" w:rsidRDefault="00741360" w:rsidP="00572912">
      <w:pPr>
        <w:pStyle w:val="Para"/>
        <w:numPr>
          <w:ilvl w:val="0"/>
          <w:numId w:val="0"/>
        </w:numPr>
        <w:rPr>
          <w:b/>
          <w:lang w:val="bg-BG"/>
        </w:rPr>
      </w:pPr>
      <w:r w:rsidRPr="00572912">
        <w:rPr>
          <w:b/>
          <w:lang w:val="bg-BG"/>
        </w:rPr>
        <w:t>Коментар</w:t>
      </w:r>
    </w:p>
    <w:p w14:paraId="7AD72E2D" w14:textId="60FD9427" w:rsidR="00741360" w:rsidRPr="00C925EC" w:rsidRDefault="00741360" w:rsidP="00572912">
      <w:pPr>
        <w:pStyle w:val="Para"/>
        <w:numPr>
          <w:ilvl w:val="0"/>
          <w:numId w:val="0"/>
        </w:numPr>
        <w:rPr>
          <w:lang w:val="bg-BG"/>
        </w:rPr>
      </w:pPr>
      <w:r w:rsidRPr="00572912">
        <w:rPr>
          <w:b/>
          <w:lang w:val="bg-BG"/>
        </w:rPr>
        <w:t xml:space="preserve">При липсата на </w:t>
      </w:r>
      <w:r w:rsidR="00287324">
        <w:rPr>
          <w:b/>
          <w:lang w:val="bg-BG"/>
        </w:rPr>
        <w:t>приключили</w:t>
      </w:r>
      <w:r w:rsidRPr="00572912">
        <w:rPr>
          <w:b/>
          <w:lang w:val="bg-BG"/>
        </w:rPr>
        <w:t xml:space="preserve"> дела за подкуп на чужди длъжностни лица, водещите оценители не могат да преценят как </w:t>
      </w:r>
      <w:r w:rsidR="00F30BC1" w:rsidRPr="00572912">
        <w:rPr>
          <w:b/>
          <w:lang w:val="bg-BG"/>
        </w:rPr>
        <w:t>се прилага стандарта за отговорност</w:t>
      </w:r>
      <w:r w:rsidR="001A07AC" w:rsidRPr="00572912">
        <w:rPr>
          <w:b/>
          <w:lang w:val="bg-BG"/>
        </w:rPr>
        <w:t xml:space="preserve"> на юридическите лица на практика и препоръчват Работната група да проследи дали стандартът е достатъчно широк, за да покрие </w:t>
      </w:r>
      <w:r w:rsidR="00C925EC" w:rsidRPr="00572912">
        <w:rPr>
          <w:b/>
          <w:lang w:val="bg-BG"/>
        </w:rPr>
        <w:t>голямото разнообразие от системи</w:t>
      </w:r>
      <w:r w:rsidR="00287324">
        <w:rPr>
          <w:b/>
          <w:lang w:val="bg-BG"/>
        </w:rPr>
        <w:t xml:space="preserve"> за вземане на решения</w:t>
      </w:r>
      <w:r w:rsidR="00C925EC" w:rsidRPr="00572912">
        <w:rPr>
          <w:b/>
          <w:lang w:val="bg-BG"/>
        </w:rPr>
        <w:t xml:space="preserve"> в юридическите лица.</w:t>
      </w:r>
      <w:r w:rsidR="00C925EC">
        <w:rPr>
          <w:lang w:val="bg-BG"/>
        </w:rPr>
        <w:t xml:space="preserve"> </w:t>
      </w:r>
    </w:p>
    <w:p w14:paraId="571A726C" w14:textId="77777777" w:rsidR="0047749A" w:rsidRPr="007308BB" w:rsidRDefault="008D68BC" w:rsidP="0047749A">
      <w:pPr>
        <w:pStyle w:val="Heading4"/>
        <w:rPr>
          <w:lang w:val="en"/>
        </w:rPr>
      </w:pPr>
      <w:r w:rsidRPr="007308BB">
        <w:rPr>
          <w:lang w:val="en"/>
        </w:rPr>
        <w:t xml:space="preserve">Отговорност на </w:t>
      </w:r>
      <w:r w:rsidR="00463F82" w:rsidRPr="007308BB">
        <w:rPr>
          <w:lang w:val="bg-BG"/>
        </w:rPr>
        <w:t>правоприемника</w:t>
      </w:r>
      <w:r w:rsidR="00463F82" w:rsidRPr="007308BB">
        <w:rPr>
          <w:lang w:val="en"/>
        </w:rPr>
        <w:t xml:space="preserve"> </w:t>
      </w:r>
    </w:p>
    <w:p w14:paraId="2CA485F5" w14:textId="2125EEE0" w:rsidR="0047749A" w:rsidRPr="00824967" w:rsidRDefault="008D68BC" w:rsidP="0047749A">
      <w:pPr>
        <w:pStyle w:val="Para"/>
        <w:rPr>
          <w:lang w:val="en-US"/>
        </w:rPr>
      </w:pPr>
      <w:r w:rsidRPr="007308BB">
        <w:t xml:space="preserve">Работната група отбеляза </w:t>
      </w:r>
      <w:r w:rsidR="005107CB">
        <w:rPr>
          <w:lang w:val="bg-BG"/>
        </w:rPr>
        <w:t xml:space="preserve">при </w:t>
      </w:r>
      <w:r w:rsidRPr="007308BB">
        <w:t>предишни</w:t>
      </w:r>
      <w:r w:rsidR="005107CB">
        <w:rPr>
          <w:lang w:val="bg-BG"/>
        </w:rPr>
        <w:t>те</w:t>
      </w:r>
      <w:r w:rsidRPr="007308BB">
        <w:t xml:space="preserve"> оценки, че отговорността на </w:t>
      </w:r>
      <w:r w:rsidR="007C1F9A" w:rsidRPr="007308BB">
        <w:rPr>
          <w:lang w:val="bg-BG"/>
        </w:rPr>
        <w:t>правоприемниците</w:t>
      </w:r>
      <w:r w:rsidRPr="007308BB">
        <w:t xml:space="preserve"> може да попречи на компаниите да избягат от отговорност чрез корпоративна реорганизация. България наскоро въве</w:t>
      </w:r>
      <w:r w:rsidR="00DA5E4F">
        <w:t>де чл</w:t>
      </w:r>
      <w:r w:rsidR="00DA5E4F">
        <w:rPr>
          <w:lang w:val="bg-BG"/>
        </w:rPr>
        <w:t>.</w:t>
      </w:r>
      <w:r w:rsidRPr="007308BB">
        <w:t xml:space="preserve"> 83, </w:t>
      </w:r>
      <w:r w:rsidR="005107CB">
        <w:rPr>
          <w:lang w:val="bg-BG"/>
        </w:rPr>
        <w:t>ал.</w:t>
      </w:r>
      <w:r w:rsidRPr="007308BB">
        <w:t xml:space="preserve"> 3 и 4 от ЗАНН, които позволяват на българските власти в случаите на правоприемство (сливане, придобиване или разделяне) да продължат производството срещу правоприемника (правоприемниците). Наложен</w:t>
      </w:r>
      <w:r w:rsidR="009B6920" w:rsidRPr="007308BB">
        <w:rPr>
          <w:lang w:val="bg-BG"/>
        </w:rPr>
        <w:t>а</w:t>
      </w:r>
      <w:r w:rsidRPr="007308BB">
        <w:t xml:space="preserve"> </w:t>
      </w:r>
      <w:r w:rsidR="009B6920" w:rsidRPr="007308BB">
        <w:rPr>
          <w:lang w:val="bg-BG"/>
        </w:rPr>
        <w:t>санкция</w:t>
      </w:r>
      <w:r w:rsidRPr="007308BB">
        <w:t xml:space="preserve"> срещу юридическо лице може да бъде изпълнен</w:t>
      </w:r>
      <w:r w:rsidR="00DA5E4F">
        <w:rPr>
          <w:lang w:val="bg-BG"/>
        </w:rPr>
        <w:t>а</w:t>
      </w:r>
      <w:r w:rsidRPr="007308BB">
        <w:t xml:space="preserve"> и срещу </w:t>
      </w:r>
      <w:r w:rsidR="009B6920" w:rsidRPr="007308BB">
        <w:rPr>
          <w:lang w:val="bg-BG"/>
        </w:rPr>
        <w:t>правоприемника</w:t>
      </w:r>
      <w:r w:rsidR="009B6920" w:rsidRPr="007308BB">
        <w:t xml:space="preserve"> </w:t>
      </w:r>
      <w:r w:rsidRPr="007308BB">
        <w:t>(</w:t>
      </w:r>
      <w:r w:rsidR="009B6920" w:rsidRPr="007308BB">
        <w:rPr>
          <w:lang w:val="bg-BG"/>
        </w:rPr>
        <w:t>правоприемниците</w:t>
      </w:r>
      <w:r w:rsidRPr="007308BB">
        <w:t>). Измененията влизат в сила през декември 2021 г. Чл</w:t>
      </w:r>
      <w:r w:rsidR="005107CB">
        <w:rPr>
          <w:lang w:val="bg-BG"/>
        </w:rPr>
        <w:t>.</w:t>
      </w:r>
      <w:r w:rsidRPr="007308BB">
        <w:t xml:space="preserve"> 83</w:t>
      </w:r>
      <w:r w:rsidR="00981139" w:rsidRPr="007308BB">
        <w:rPr>
          <w:lang w:val="bg-BG"/>
        </w:rPr>
        <w:t>г</w:t>
      </w:r>
      <w:r w:rsidRPr="007308BB">
        <w:t xml:space="preserve">, </w:t>
      </w:r>
      <w:r w:rsidR="005107CB">
        <w:rPr>
          <w:lang w:val="bg-BG"/>
        </w:rPr>
        <w:t>ал.</w:t>
      </w:r>
      <w:r w:rsidRPr="007308BB">
        <w:t xml:space="preserve"> </w:t>
      </w:r>
      <w:r w:rsidR="009B6920" w:rsidRPr="007308BB">
        <w:rPr>
          <w:lang w:val="bg-BG"/>
        </w:rPr>
        <w:t>1, т</w:t>
      </w:r>
      <w:r w:rsidR="005107CB">
        <w:rPr>
          <w:lang w:val="bg-BG"/>
        </w:rPr>
        <w:t>.</w:t>
      </w:r>
      <w:r w:rsidR="009B6920" w:rsidRPr="007308BB">
        <w:rPr>
          <w:lang w:val="bg-BG"/>
        </w:rPr>
        <w:t xml:space="preserve"> </w:t>
      </w:r>
      <w:r w:rsidRPr="007308BB">
        <w:t>2 от ЗАНН предвижда допълнително прекратяване на производството след разпускане на юридическо лице поради ликвидация или несъстоятелност, но не е ясно дали производството също ще бъде прекратено, ако юридическо</w:t>
      </w:r>
      <w:r w:rsidR="00644C07">
        <w:rPr>
          <w:lang w:val="bg-BG"/>
        </w:rPr>
        <w:t>то</w:t>
      </w:r>
      <w:r w:rsidRPr="007308BB">
        <w:t xml:space="preserve"> лице се разпуска по други причини (например директорите доброволно разпускат дружеството)</w:t>
      </w:r>
      <w:r w:rsidR="0047749A" w:rsidRPr="007308BB">
        <w:t xml:space="preserve">. </w:t>
      </w:r>
      <w:r w:rsidRPr="007308BB">
        <w:t>България</w:t>
      </w:r>
      <w:r w:rsidR="009B6920" w:rsidRPr="007308BB">
        <w:rPr>
          <w:lang w:val="bg-BG"/>
        </w:rPr>
        <w:t xml:space="preserve"> също отбеляза, че</w:t>
      </w:r>
      <w:r w:rsidR="007C1F9A" w:rsidRPr="007308BB">
        <w:rPr>
          <w:lang w:val="bg-BG"/>
        </w:rPr>
        <w:t xml:space="preserve"> </w:t>
      </w:r>
      <w:r w:rsidRPr="007308BB">
        <w:t xml:space="preserve">прокуратурата </w:t>
      </w:r>
      <w:r w:rsidR="009B6920" w:rsidRPr="007308BB">
        <w:rPr>
          <w:lang w:val="bg-BG"/>
        </w:rPr>
        <w:t xml:space="preserve">не </w:t>
      </w:r>
      <w:r w:rsidRPr="007308BB">
        <w:t>може да предотврати разпускане</w:t>
      </w:r>
      <w:r w:rsidR="009B6920" w:rsidRPr="007308BB">
        <w:rPr>
          <w:lang w:val="bg-BG"/>
        </w:rPr>
        <w:t>т</w:t>
      </w:r>
      <w:r w:rsidRPr="007308BB">
        <w:t xml:space="preserve">о на дружеството, ако </w:t>
      </w:r>
      <w:r w:rsidR="009B6920" w:rsidRPr="007308BB">
        <w:rPr>
          <w:lang w:val="bg-BG"/>
        </w:rPr>
        <w:t>санкционното</w:t>
      </w:r>
      <w:r w:rsidR="009B6920" w:rsidRPr="007308BB">
        <w:t xml:space="preserve"> </w:t>
      </w:r>
      <w:r w:rsidRPr="007308BB">
        <w:t>производство</w:t>
      </w:r>
      <w:r w:rsidR="00644C07">
        <w:rPr>
          <w:lang w:val="bg-BG"/>
        </w:rPr>
        <w:t xml:space="preserve"> е висящо</w:t>
      </w:r>
      <w:r w:rsidR="0047749A" w:rsidRPr="007308BB">
        <w:t>.</w:t>
      </w:r>
    </w:p>
    <w:p w14:paraId="4749BED2" w14:textId="77777777" w:rsidR="00824967" w:rsidRPr="007308BB" w:rsidRDefault="00824967" w:rsidP="00824967">
      <w:pPr>
        <w:pStyle w:val="Para"/>
        <w:numPr>
          <w:ilvl w:val="0"/>
          <w:numId w:val="0"/>
        </w:numPr>
        <w:rPr>
          <w:lang w:val="en-US"/>
        </w:rPr>
      </w:pPr>
    </w:p>
    <w:p w14:paraId="3EB3D0FC" w14:textId="1662E3DC" w:rsidR="0047749A" w:rsidRPr="008D68BC" w:rsidRDefault="008D68BC" w:rsidP="005330C7">
      <w:pPr>
        <w:pStyle w:val="Commentary"/>
        <w:rPr>
          <w:noProof/>
          <w:color w:val="4E81BD" w:themeColor="accent1"/>
          <w:lang w:val="bg-BG"/>
        </w:rPr>
      </w:pPr>
      <w:r>
        <w:rPr>
          <w:noProof/>
          <w:color w:val="4E81BD" w:themeColor="accent1"/>
          <w:lang w:val="bg-BG"/>
        </w:rPr>
        <w:t>Коментар</w:t>
      </w:r>
    </w:p>
    <w:p w14:paraId="13652A3E" w14:textId="4D07D446" w:rsidR="0047749A" w:rsidRPr="00AC2DC8" w:rsidRDefault="00981139" w:rsidP="005330C7">
      <w:pPr>
        <w:pStyle w:val="Commentary"/>
        <w:rPr>
          <w:lang w:val="bg-BG"/>
        </w:rPr>
      </w:pPr>
      <w:r w:rsidRPr="00AC2DC8">
        <w:rPr>
          <w:lang w:val="bg-BG"/>
        </w:rPr>
        <w:t>Водещите проверители приветстват България за въвеждането на чл</w:t>
      </w:r>
      <w:r w:rsidR="00AC2DC8">
        <w:rPr>
          <w:lang w:val="bg-BG"/>
        </w:rPr>
        <w:t>. 83, ал.</w:t>
      </w:r>
      <w:r w:rsidRPr="00AC2DC8">
        <w:rPr>
          <w:lang w:val="bg-BG"/>
        </w:rPr>
        <w:t xml:space="preserve"> 3 и 4 от ЗАНН относно отговорността на </w:t>
      </w:r>
      <w:r w:rsidR="009B6920">
        <w:rPr>
          <w:lang w:val="bg-BG"/>
        </w:rPr>
        <w:t xml:space="preserve">правоприемниците </w:t>
      </w:r>
      <w:r w:rsidRPr="00AC2DC8">
        <w:rPr>
          <w:lang w:val="bg-BG"/>
        </w:rPr>
        <w:t xml:space="preserve">и препоръчват на Работната група да проследи прилагането </w:t>
      </w:r>
      <w:r w:rsidR="009B6920">
        <w:rPr>
          <w:lang w:val="bg-BG"/>
        </w:rPr>
        <w:t xml:space="preserve">на тези разпоредби </w:t>
      </w:r>
      <w:r w:rsidRPr="00AC2DC8">
        <w:rPr>
          <w:lang w:val="bg-BG"/>
        </w:rPr>
        <w:t xml:space="preserve"> на практика</w:t>
      </w:r>
      <w:r w:rsidR="0047749A" w:rsidRPr="00AC2DC8">
        <w:rPr>
          <w:lang w:val="bg-BG"/>
        </w:rPr>
        <w:t>.</w:t>
      </w:r>
    </w:p>
    <w:p w14:paraId="2B124612" w14:textId="77777777" w:rsidR="0047749A" w:rsidRPr="0047749A" w:rsidRDefault="00981139" w:rsidP="0047749A">
      <w:pPr>
        <w:pStyle w:val="Heading3"/>
      </w:pPr>
      <w:r w:rsidRPr="00981139">
        <w:lastRenderedPageBreak/>
        <w:t>Производства срещу юридически лица</w:t>
      </w:r>
    </w:p>
    <w:p w14:paraId="7716E732" w14:textId="77777777" w:rsidR="0047749A" w:rsidRPr="0047749A" w:rsidRDefault="00981139" w:rsidP="0047749A">
      <w:pPr>
        <w:pStyle w:val="Para"/>
        <w:rPr>
          <w:rFonts w:cstheme="minorHAnsi"/>
        </w:rPr>
      </w:pPr>
      <w:r w:rsidRPr="00981139">
        <w:t xml:space="preserve">Производството срещу юридически лица в България може да започне след подаване на </w:t>
      </w:r>
      <w:r w:rsidR="00611177">
        <w:rPr>
          <w:lang w:val="bg-BG"/>
        </w:rPr>
        <w:t>мотивирано</w:t>
      </w:r>
      <w:r w:rsidRPr="00981139">
        <w:t xml:space="preserve"> предложение от прокурора до компетентния съд след повдигане на обвинение срещу физическо лице (чл 83б (1.1) от ЗАНН) или, при липса на обвинителен акт, в изброените изключителни случаи</w:t>
      </w:r>
      <w:r w:rsidR="003E4EA1">
        <w:rPr>
          <w:lang w:val="bg-BG"/>
        </w:rPr>
        <w:t xml:space="preserve"> (напр. амнистия, смърт, разстройство на съзнанието)</w:t>
      </w:r>
      <w:r w:rsidRPr="00981139">
        <w:t xml:space="preserve"> (чл</w:t>
      </w:r>
      <w:r w:rsidR="00F6116C">
        <w:rPr>
          <w:lang w:val="bg-BG"/>
        </w:rPr>
        <w:t>.</w:t>
      </w:r>
      <w:r w:rsidRPr="00981139">
        <w:t xml:space="preserve"> 83б, </w:t>
      </w:r>
      <w:r w:rsidR="00F6116C">
        <w:rPr>
          <w:lang w:val="bg-BG"/>
        </w:rPr>
        <w:t>ал.</w:t>
      </w:r>
      <w:r w:rsidRPr="00981139">
        <w:t xml:space="preserve"> 1.2 от ЗАНН). </w:t>
      </w:r>
      <w:r w:rsidR="004B4A4A">
        <w:rPr>
          <w:lang w:val="bg-BG"/>
        </w:rPr>
        <w:t>Мотивираното</w:t>
      </w:r>
      <w:r w:rsidR="003E4EA1">
        <w:rPr>
          <w:lang w:val="bg-BG"/>
        </w:rPr>
        <w:t xml:space="preserve"> п</w:t>
      </w:r>
      <w:r w:rsidRPr="00981139">
        <w:t xml:space="preserve">редложение на прокурора трябва да включва, наред с други изисквания, описание на престъплението, личните данни на физическото лице (лица), </w:t>
      </w:r>
      <w:r w:rsidRPr="00572912">
        <w:rPr>
          <w:b/>
        </w:rPr>
        <w:t>обвинено</w:t>
      </w:r>
      <w:r w:rsidR="003E4EA1" w:rsidRPr="00572912">
        <w:rPr>
          <w:b/>
          <w:lang w:val="bg-BG"/>
        </w:rPr>
        <w:t>(и)</w:t>
      </w:r>
      <w:r w:rsidRPr="00572912">
        <w:rPr>
          <w:b/>
        </w:rPr>
        <w:t xml:space="preserve"> или осъдено</w:t>
      </w:r>
      <w:r w:rsidR="003E4EA1" w:rsidRPr="00572912">
        <w:rPr>
          <w:b/>
          <w:lang w:val="bg-BG"/>
        </w:rPr>
        <w:t>(и)</w:t>
      </w:r>
      <w:r w:rsidRPr="00981139">
        <w:t xml:space="preserve"> за престъплението, наличието на причинно-следствена връзка между престъплението и </w:t>
      </w:r>
      <w:r w:rsidR="004B4A4A">
        <w:rPr>
          <w:lang w:val="bg-BG"/>
        </w:rPr>
        <w:t>облагата</w:t>
      </w:r>
      <w:r w:rsidRPr="00981139">
        <w:t xml:space="preserve"> за юридическото лице, вида и размера на об</w:t>
      </w:r>
      <w:r w:rsidR="003E4EA1">
        <w:rPr>
          <w:lang w:val="bg-BG"/>
        </w:rPr>
        <w:t>лагата</w:t>
      </w:r>
      <w:r w:rsidRPr="00981139">
        <w:t xml:space="preserve"> за юридическото лице (член 83б, параграф 2 ЗАНН</w:t>
      </w:r>
      <w:r w:rsidR="0047749A" w:rsidRPr="0047749A">
        <w:rPr>
          <w:rFonts w:cstheme="minorHAnsi"/>
        </w:rPr>
        <w:t>.</w:t>
      </w:r>
    </w:p>
    <w:p w14:paraId="44B04E05" w14:textId="77777777" w:rsidR="0047749A" w:rsidRPr="0047749A" w:rsidRDefault="00DC6D67" w:rsidP="007C1F9A">
      <w:pPr>
        <w:pStyle w:val="Heading4"/>
        <w:ind w:left="720" w:hanging="720"/>
        <w:rPr>
          <w:lang w:val="en"/>
        </w:rPr>
      </w:pPr>
      <w:r>
        <w:rPr>
          <w:lang w:val="bg-BG"/>
        </w:rPr>
        <w:t xml:space="preserve">Компетентност </w:t>
      </w:r>
      <w:r w:rsidR="00981139" w:rsidRPr="00981139">
        <w:rPr>
          <w:lang w:val="en"/>
        </w:rPr>
        <w:t>за започване на производство срещу юридически лица</w:t>
      </w:r>
    </w:p>
    <w:p w14:paraId="3AADDC2D" w14:textId="1100A2D3" w:rsidR="0047749A" w:rsidRPr="0047749A" w:rsidRDefault="00981139" w:rsidP="00BC45B7">
      <w:pPr>
        <w:pStyle w:val="Para"/>
        <w:rPr>
          <w:lang w:val="en"/>
        </w:rPr>
      </w:pPr>
      <w:r w:rsidRPr="00981139">
        <w:rPr>
          <w:lang w:val="en"/>
        </w:rPr>
        <w:t xml:space="preserve">По </w:t>
      </w:r>
      <w:r w:rsidR="00673F1F">
        <w:rPr>
          <w:lang w:val="en"/>
        </w:rPr>
        <w:t>Фаза</w:t>
      </w:r>
      <w:r w:rsidRPr="00981139">
        <w:rPr>
          <w:lang w:val="en"/>
        </w:rPr>
        <w:t xml:space="preserve"> 3 България </w:t>
      </w:r>
      <w:r w:rsidR="001B2DBC">
        <w:rPr>
          <w:lang w:val="bg-BG"/>
        </w:rPr>
        <w:t>заяви</w:t>
      </w:r>
      <w:r w:rsidRPr="00981139">
        <w:rPr>
          <w:lang w:val="en"/>
        </w:rPr>
        <w:t>, че чл</w:t>
      </w:r>
      <w:r w:rsidR="001B2DBC">
        <w:rPr>
          <w:lang w:val="bg-BG"/>
        </w:rPr>
        <w:t xml:space="preserve">. </w:t>
      </w:r>
      <w:r w:rsidRPr="00981139">
        <w:rPr>
          <w:lang w:val="en"/>
        </w:rPr>
        <w:t>4 от ЗАНН предоставя юрисдикци</w:t>
      </w:r>
      <w:r w:rsidR="001B2DBC">
        <w:rPr>
          <w:lang w:val="bg-BG"/>
        </w:rPr>
        <w:t>я</w:t>
      </w:r>
      <w:r w:rsidRPr="00981139">
        <w:rPr>
          <w:lang w:val="en"/>
        </w:rPr>
        <w:t xml:space="preserve"> за </w:t>
      </w:r>
      <w:r w:rsidR="00DC6D67">
        <w:rPr>
          <w:lang w:val="bg-BG"/>
        </w:rPr>
        <w:t>иницииране</w:t>
      </w:r>
      <w:r w:rsidRPr="00981139">
        <w:rPr>
          <w:lang w:val="en"/>
        </w:rPr>
        <w:t xml:space="preserve"> на производств</w:t>
      </w:r>
      <w:r w:rsidR="00DC6D67">
        <w:rPr>
          <w:lang w:val="bg-BG"/>
        </w:rPr>
        <w:t>а</w:t>
      </w:r>
      <w:r w:rsidRPr="00981139">
        <w:rPr>
          <w:lang w:val="en"/>
        </w:rPr>
        <w:t xml:space="preserve"> сре</w:t>
      </w:r>
      <w:r w:rsidR="001B2DBC">
        <w:rPr>
          <w:lang w:val="en"/>
        </w:rPr>
        <w:t>щу юридически лица. Ч</w:t>
      </w:r>
      <w:r w:rsidR="001B2DBC">
        <w:rPr>
          <w:lang w:val="bg-BG"/>
        </w:rPr>
        <w:t>л.</w:t>
      </w:r>
      <w:r w:rsidRPr="00981139">
        <w:rPr>
          <w:lang w:val="en"/>
        </w:rPr>
        <w:t xml:space="preserve"> 4 от ЗАНН изисква административното нарушение да бъде извършено на българска територия или от български гражданин, а нарушението да бъде наказуемо съгласно българското национално законодателство и да засяга интересите на българската държава. </w:t>
      </w:r>
      <w:r w:rsidR="003E4EA1">
        <w:rPr>
          <w:lang w:val="bg-BG"/>
        </w:rPr>
        <w:t>На т</w:t>
      </w:r>
      <w:r w:rsidR="001B2DBC">
        <w:rPr>
          <w:lang w:val="bg-BG"/>
        </w:rPr>
        <w:t>ова основание</w:t>
      </w:r>
      <w:r w:rsidR="003E4EA1">
        <w:rPr>
          <w:lang w:val="bg-BG"/>
        </w:rPr>
        <w:t xml:space="preserve"> </w:t>
      </w:r>
      <w:r w:rsidRPr="00981139">
        <w:rPr>
          <w:lang w:val="en"/>
        </w:rPr>
        <w:t>Работната група изрази загриженост, че</w:t>
      </w:r>
      <w:r w:rsidR="001B2DBC">
        <w:rPr>
          <w:lang w:val="bg-BG"/>
        </w:rPr>
        <w:t xml:space="preserve"> е спорно дали</w:t>
      </w:r>
      <w:r w:rsidRPr="00981139">
        <w:rPr>
          <w:lang w:val="en"/>
        </w:rPr>
        <w:t xml:space="preserve"> подкупване</w:t>
      </w:r>
      <w:r w:rsidR="001B2DBC">
        <w:rPr>
          <w:lang w:val="bg-BG"/>
        </w:rPr>
        <w:t>то</w:t>
      </w:r>
      <w:r w:rsidRPr="00981139">
        <w:rPr>
          <w:lang w:val="en"/>
        </w:rPr>
        <w:t xml:space="preserve"> на чужди длъжностни лица може да засегне „интересите на българската държава“, като се има предвид, че чужд</w:t>
      </w:r>
      <w:r w:rsidR="003E4EA1">
        <w:rPr>
          <w:lang w:val="bg-BG"/>
        </w:rPr>
        <w:t>о</w:t>
      </w:r>
      <w:r w:rsidRPr="00981139">
        <w:rPr>
          <w:lang w:val="en"/>
        </w:rPr>
        <w:t>, а не българско</w:t>
      </w:r>
      <w:r w:rsidR="00287324">
        <w:rPr>
          <w:lang w:val="bg-BG"/>
        </w:rPr>
        <w:t>,</w:t>
      </w:r>
      <w:r w:rsidRPr="00981139">
        <w:rPr>
          <w:lang w:val="en"/>
        </w:rPr>
        <w:t xml:space="preserve"> </w:t>
      </w:r>
      <w:r w:rsidR="003E4EA1">
        <w:rPr>
          <w:lang w:val="bg-BG"/>
        </w:rPr>
        <w:t>длъжностно ли</w:t>
      </w:r>
      <w:r w:rsidR="00C423E9">
        <w:rPr>
          <w:lang w:val="bg-BG"/>
        </w:rPr>
        <w:t>це</w:t>
      </w:r>
      <w:r w:rsidRPr="00981139">
        <w:rPr>
          <w:lang w:val="en"/>
        </w:rPr>
        <w:t xml:space="preserve"> взима подкуп</w:t>
      </w:r>
      <w:r w:rsidR="001B2DBC">
        <w:rPr>
          <w:lang w:val="bg-BG"/>
        </w:rPr>
        <w:t>а</w:t>
      </w:r>
      <w:r w:rsidRPr="00981139">
        <w:rPr>
          <w:lang w:val="en"/>
        </w:rPr>
        <w:t>. Т</w:t>
      </w:r>
      <w:r w:rsidR="00C423E9">
        <w:rPr>
          <w:lang w:val="bg-BG"/>
        </w:rPr>
        <w:t>я</w:t>
      </w:r>
      <w:r w:rsidRPr="00981139">
        <w:rPr>
          <w:lang w:val="en"/>
        </w:rPr>
        <w:t xml:space="preserve"> също така </w:t>
      </w:r>
      <w:r w:rsidR="00C423E9">
        <w:rPr>
          <w:lang w:val="bg-BG"/>
        </w:rPr>
        <w:t>изрази притеснение</w:t>
      </w:r>
      <w:r w:rsidRPr="00981139">
        <w:rPr>
          <w:lang w:val="en"/>
        </w:rPr>
        <w:t>, че България н</w:t>
      </w:r>
      <w:r w:rsidR="00C423E9">
        <w:rPr>
          <w:lang w:val="bg-BG"/>
        </w:rPr>
        <w:t xml:space="preserve">е би </w:t>
      </w:r>
      <w:r w:rsidR="00356C08">
        <w:rPr>
          <w:lang w:val="bg-BG"/>
        </w:rPr>
        <w:t xml:space="preserve">могла </w:t>
      </w:r>
      <w:r w:rsidR="00356C08">
        <w:rPr>
          <w:lang w:val="en"/>
        </w:rPr>
        <w:t>да</w:t>
      </w:r>
      <w:r w:rsidR="001B2DBC">
        <w:rPr>
          <w:lang w:val="en"/>
        </w:rPr>
        <w:t xml:space="preserve"> </w:t>
      </w:r>
      <w:r w:rsidR="00DC6D67">
        <w:rPr>
          <w:lang w:val="bg-BG"/>
        </w:rPr>
        <w:t>разполага с</w:t>
      </w:r>
      <w:r w:rsidR="001B2DBC">
        <w:rPr>
          <w:lang w:val="en"/>
        </w:rPr>
        <w:t xml:space="preserve"> </w:t>
      </w:r>
      <w:r w:rsidR="001B2DBC" w:rsidRPr="00DC6D67">
        <w:rPr>
          <w:lang w:val="en"/>
        </w:rPr>
        <w:t>юрисдикция</w:t>
      </w:r>
      <w:r w:rsidR="001B2DBC">
        <w:rPr>
          <w:lang w:val="en"/>
        </w:rPr>
        <w:t xml:space="preserve"> </w:t>
      </w:r>
      <w:r w:rsidR="001B2DBC">
        <w:rPr>
          <w:lang w:val="bg-BG"/>
        </w:rPr>
        <w:t>за</w:t>
      </w:r>
      <w:r w:rsidR="001B2DBC">
        <w:rPr>
          <w:lang w:val="en"/>
        </w:rPr>
        <w:t xml:space="preserve"> </w:t>
      </w:r>
      <w:r w:rsidR="00DC6D67">
        <w:rPr>
          <w:lang w:val="bg-BG"/>
        </w:rPr>
        <w:t>стартиране</w:t>
      </w:r>
      <w:r w:rsidR="001B2DBC">
        <w:rPr>
          <w:lang w:val="en"/>
        </w:rPr>
        <w:t xml:space="preserve"> на</w:t>
      </w:r>
      <w:r w:rsidRPr="00981139">
        <w:rPr>
          <w:lang w:val="en"/>
        </w:rPr>
        <w:t xml:space="preserve"> производство срещу българско юридическо лице, ако някой от </w:t>
      </w:r>
      <w:r w:rsidR="00C423E9">
        <w:rPr>
          <w:lang w:val="bg-BG"/>
        </w:rPr>
        <w:t>неговит</w:t>
      </w:r>
      <w:r w:rsidR="00C423E9" w:rsidRPr="00981139">
        <w:rPr>
          <w:lang w:val="en"/>
        </w:rPr>
        <w:t xml:space="preserve">е </w:t>
      </w:r>
      <w:r w:rsidRPr="00981139">
        <w:rPr>
          <w:lang w:val="en"/>
        </w:rPr>
        <w:t xml:space="preserve">служители, които не са български </w:t>
      </w:r>
      <w:r w:rsidR="00C423E9">
        <w:rPr>
          <w:lang w:val="bg-BG"/>
        </w:rPr>
        <w:t>граждани</w:t>
      </w:r>
      <w:r w:rsidRPr="00981139">
        <w:rPr>
          <w:lang w:val="en"/>
        </w:rPr>
        <w:t xml:space="preserve">, </w:t>
      </w:r>
      <w:r w:rsidR="00C423E9">
        <w:rPr>
          <w:lang w:val="bg-BG"/>
        </w:rPr>
        <w:t>подкупи</w:t>
      </w:r>
      <w:r w:rsidR="00601C5B" w:rsidRPr="00601C5B">
        <w:rPr>
          <w:lang w:val="en"/>
        </w:rPr>
        <w:t xml:space="preserve"> чужд</w:t>
      </w:r>
      <w:r w:rsidR="00C423E9">
        <w:rPr>
          <w:lang w:val="bg-BG"/>
        </w:rPr>
        <w:t>о</w:t>
      </w:r>
      <w:r w:rsidR="00601C5B" w:rsidRPr="00601C5B">
        <w:rPr>
          <w:lang w:val="en"/>
        </w:rPr>
        <w:t xml:space="preserve"> длъжностн</w:t>
      </w:r>
      <w:r w:rsidR="00C423E9">
        <w:rPr>
          <w:lang w:val="bg-BG"/>
        </w:rPr>
        <w:t>о</w:t>
      </w:r>
      <w:r w:rsidR="00601C5B" w:rsidRPr="00601C5B">
        <w:rPr>
          <w:lang w:val="en"/>
        </w:rPr>
        <w:t xml:space="preserve"> лиц</w:t>
      </w:r>
      <w:r w:rsidR="00C423E9">
        <w:rPr>
          <w:lang w:val="bg-BG"/>
        </w:rPr>
        <w:t>е в чужбина</w:t>
      </w:r>
      <w:r w:rsidRPr="00981139">
        <w:rPr>
          <w:lang w:val="en"/>
        </w:rPr>
        <w:t>. Освен това т</w:t>
      </w:r>
      <w:r w:rsidR="00C423E9">
        <w:rPr>
          <w:lang w:val="bg-BG"/>
        </w:rPr>
        <w:t>я</w:t>
      </w:r>
      <w:r w:rsidRPr="00981139">
        <w:rPr>
          <w:lang w:val="en"/>
        </w:rPr>
        <w:t xml:space="preserve"> установи, че </w:t>
      </w:r>
      <w:r w:rsidR="00C423E9">
        <w:rPr>
          <w:lang w:val="bg-BG"/>
        </w:rPr>
        <w:t>липсват</w:t>
      </w:r>
      <w:r w:rsidRPr="00981139">
        <w:rPr>
          <w:lang w:val="en"/>
        </w:rPr>
        <w:t xml:space="preserve"> гаранции, които да гарантират, че производството срещу юридически лица няма да бъде повлияно от </w:t>
      </w:r>
      <w:r w:rsidR="00465548">
        <w:rPr>
          <w:lang w:val="bg-BG"/>
        </w:rPr>
        <w:t xml:space="preserve">„съображенията“, забранени в </w:t>
      </w:r>
      <w:r w:rsidRPr="00981139">
        <w:rPr>
          <w:lang w:val="en"/>
        </w:rPr>
        <w:t>чл</w:t>
      </w:r>
      <w:r w:rsidR="00DC6D67">
        <w:rPr>
          <w:lang w:val="bg-BG"/>
        </w:rPr>
        <w:t xml:space="preserve">. </w:t>
      </w:r>
      <w:r w:rsidRPr="00981139">
        <w:rPr>
          <w:lang w:val="en"/>
        </w:rPr>
        <w:t>5 от Конвенцията и може да бъде пренебрегнато при оценката на „интересите на българската държава</w:t>
      </w:r>
      <w:r w:rsidR="00465548">
        <w:rPr>
          <w:lang w:val="en"/>
        </w:rPr>
        <w:t>”</w:t>
      </w:r>
      <w:r w:rsidR="00465548">
        <w:rPr>
          <w:lang w:val="bg-BG"/>
        </w:rPr>
        <w:t xml:space="preserve"> </w:t>
      </w:r>
      <w:r w:rsidR="00465548" w:rsidRPr="00981139">
        <w:rPr>
          <w:lang w:val="en"/>
        </w:rPr>
        <w:t>съгласно</w:t>
      </w:r>
      <w:r w:rsidRPr="00981139">
        <w:rPr>
          <w:lang w:val="en"/>
        </w:rPr>
        <w:t xml:space="preserve"> тази разпоредба. </w:t>
      </w:r>
      <w:r w:rsidR="00465548">
        <w:rPr>
          <w:lang w:val="bg-BG"/>
        </w:rPr>
        <w:t>Следователно, т</w:t>
      </w:r>
      <w:r w:rsidR="00E01F99">
        <w:rPr>
          <w:lang w:val="bg-BG"/>
        </w:rPr>
        <w:t>я</w:t>
      </w:r>
      <w:r w:rsidRPr="00981139">
        <w:rPr>
          <w:lang w:val="en"/>
        </w:rPr>
        <w:t xml:space="preserve"> стигнадо заключението, че чл</w:t>
      </w:r>
      <w:r w:rsidR="00465548">
        <w:rPr>
          <w:lang w:val="bg-BG"/>
        </w:rPr>
        <w:t>.</w:t>
      </w:r>
      <w:r w:rsidRPr="00981139">
        <w:rPr>
          <w:lang w:val="en"/>
        </w:rPr>
        <w:t xml:space="preserve"> 4 от ЗАНН не предвижда ефективн</w:t>
      </w:r>
      <w:r w:rsidR="00C423E9">
        <w:rPr>
          <w:lang w:val="bg-BG"/>
        </w:rPr>
        <w:t>о</w:t>
      </w:r>
      <w:r w:rsidRPr="00981139">
        <w:rPr>
          <w:lang w:val="en"/>
        </w:rPr>
        <w:t xml:space="preserve"> юрисдикционн</w:t>
      </w:r>
      <w:r w:rsidR="002B08EF">
        <w:rPr>
          <w:lang w:val="bg-BG"/>
        </w:rPr>
        <w:t>о основание</w:t>
      </w:r>
      <w:r w:rsidRPr="00981139">
        <w:rPr>
          <w:lang w:val="en"/>
        </w:rPr>
        <w:t xml:space="preserve"> за започване на производство срещу юридически лица и препоръча </w:t>
      </w:r>
      <w:r w:rsidR="00C423E9">
        <w:rPr>
          <w:lang w:val="bg-BG"/>
        </w:rPr>
        <w:t xml:space="preserve">на </w:t>
      </w:r>
      <w:r w:rsidRPr="00981139">
        <w:rPr>
          <w:lang w:val="en"/>
        </w:rPr>
        <w:t>Б</w:t>
      </w:r>
      <w:r w:rsidR="00465548">
        <w:rPr>
          <w:lang w:val="en"/>
        </w:rPr>
        <w:t>ългария да измени съответно чл</w:t>
      </w:r>
      <w:r w:rsidR="00465548">
        <w:rPr>
          <w:lang w:val="bg-BG"/>
        </w:rPr>
        <w:t>.</w:t>
      </w:r>
      <w:r w:rsidRPr="00981139">
        <w:rPr>
          <w:lang w:val="en"/>
        </w:rPr>
        <w:t xml:space="preserve"> 4 от ЗАНН (препоръки 2 (а) и 2 (б) (i)</w:t>
      </w:r>
      <w:r w:rsidR="00877688">
        <w:rPr>
          <w:lang w:val="bg-BG"/>
        </w:rPr>
        <w:t xml:space="preserve"> (първа част)</w:t>
      </w:r>
      <w:r w:rsidRPr="00981139">
        <w:rPr>
          <w:lang w:val="en"/>
        </w:rPr>
        <w:t>). Двугодишният писмен доклад</w:t>
      </w:r>
      <w:r w:rsidR="00C423E9">
        <w:rPr>
          <w:lang w:val="bg-BG"/>
        </w:rPr>
        <w:t xml:space="preserve"> за </w:t>
      </w:r>
      <w:r w:rsidR="00465548">
        <w:rPr>
          <w:lang w:val="bg-BG"/>
        </w:rPr>
        <w:t>проследяване</w:t>
      </w:r>
      <w:r w:rsidR="00C423E9">
        <w:rPr>
          <w:lang w:val="bg-BG"/>
        </w:rPr>
        <w:t xml:space="preserve"> на изпълнението на препоръките от доклада по фаза </w:t>
      </w:r>
      <w:r w:rsidR="005176DC">
        <w:rPr>
          <w:lang w:val="bg-BG"/>
        </w:rPr>
        <w:t xml:space="preserve">3 </w:t>
      </w:r>
      <w:r w:rsidR="005176DC" w:rsidRPr="00981139">
        <w:rPr>
          <w:lang w:val="en"/>
        </w:rPr>
        <w:t>установи</w:t>
      </w:r>
      <w:r w:rsidRPr="00981139">
        <w:rPr>
          <w:lang w:val="en"/>
        </w:rPr>
        <w:t>, че България не е изпълнила препоръките</w:t>
      </w:r>
      <w:r w:rsidR="0047749A" w:rsidRPr="0047749A">
        <w:t>.</w:t>
      </w:r>
    </w:p>
    <w:p w14:paraId="3AE47354" w14:textId="3D08BA56" w:rsidR="006929AC" w:rsidRPr="002169C4" w:rsidRDefault="00FA0331" w:rsidP="002169C4">
      <w:pPr>
        <w:pStyle w:val="Para"/>
        <w:rPr>
          <w:lang w:val="bg-BG"/>
        </w:rPr>
      </w:pPr>
      <w:r>
        <w:rPr>
          <w:lang w:val="bg-BG"/>
        </w:rPr>
        <w:t>Въпреки това, п</w:t>
      </w:r>
      <w:r w:rsidR="002B08EF" w:rsidRPr="002B08EF">
        <w:t xml:space="preserve">о </w:t>
      </w:r>
      <w:r w:rsidR="00673F1F">
        <w:t>Фаза</w:t>
      </w:r>
      <w:r w:rsidR="002B08EF" w:rsidRPr="002B08EF">
        <w:t xml:space="preserve"> 4 </w:t>
      </w:r>
      <w:r w:rsidR="00C423E9">
        <w:rPr>
          <w:lang w:val="bg-BG"/>
        </w:rPr>
        <w:t xml:space="preserve">обаче </w:t>
      </w:r>
      <w:r w:rsidR="002B08EF" w:rsidRPr="002B08EF">
        <w:t xml:space="preserve">България </w:t>
      </w:r>
      <w:r>
        <w:rPr>
          <w:lang w:val="bg-BG"/>
        </w:rPr>
        <w:t>промени</w:t>
      </w:r>
      <w:r w:rsidRPr="002B08EF">
        <w:t xml:space="preserve"> </w:t>
      </w:r>
      <w:r w:rsidR="002B08EF" w:rsidRPr="002B08EF">
        <w:t xml:space="preserve">позицията си </w:t>
      </w:r>
      <w:r w:rsidR="00C423E9">
        <w:rPr>
          <w:lang w:val="bg-BG"/>
        </w:rPr>
        <w:t>от</w:t>
      </w:r>
      <w:r w:rsidR="002B08EF" w:rsidRPr="002B08EF">
        <w:t xml:space="preserve"> </w:t>
      </w:r>
      <w:r w:rsidR="00673F1F">
        <w:t>Фаза</w:t>
      </w:r>
      <w:r w:rsidR="002B08EF" w:rsidRPr="002B08EF">
        <w:t xml:space="preserve"> 3. Тя посоч</w:t>
      </w:r>
      <w:r w:rsidR="00C423E9">
        <w:rPr>
          <w:lang w:val="bg-BG"/>
        </w:rPr>
        <w:t>и</w:t>
      </w:r>
      <w:r w:rsidR="002B08EF" w:rsidRPr="002B08EF">
        <w:t>, че чл</w:t>
      </w:r>
      <w:r w:rsidR="005176DC">
        <w:rPr>
          <w:lang w:val="bg-BG"/>
        </w:rPr>
        <w:t>.</w:t>
      </w:r>
      <w:r w:rsidR="002B08EF" w:rsidRPr="002B08EF">
        <w:t xml:space="preserve"> 4 от ЗАНН не се прилага за юридически лица, а по-скоро предоставя юрисдикци</w:t>
      </w:r>
      <w:r w:rsidR="005176DC">
        <w:rPr>
          <w:lang w:val="bg-BG"/>
        </w:rPr>
        <w:t>я</w:t>
      </w:r>
      <w:r w:rsidR="002B08EF" w:rsidRPr="002B08EF">
        <w:t xml:space="preserve"> за започване на</w:t>
      </w:r>
      <w:r w:rsidR="0047749A" w:rsidRPr="0047749A">
        <w:t xml:space="preserve"> </w:t>
      </w:r>
      <w:r w:rsidR="002B08EF" w:rsidRPr="002B08EF">
        <w:rPr>
          <w:i/>
        </w:rPr>
        <w:t>административно производство срещу физически лица</w:t>
      </w:r>
      <w:r w:rsidR="0047749A" w:rsidRPr="0047749A">
        <w:t xml:space="preserve">. </w:t>
      </w:r>
      <w:r w:rsidR="00C423E9">
        <w:rPr>
          <w:lang w:val="bg-BG"/>
        </w:rPr>
        <w:t>Университетски преподавател</w:t>
      </w:r>
      <w:r w:rsidR="005176DC">
        <w:t xml:space="preserve"> при виртуалн</w:t>
      </w:r>
      <w:r w:rsidR="005176DC">
        <w:rPr>
          <w:lang w:val="bg-BG"/>
        </w:rPr>
        <w:t>ото</w:t>
      </w:r>
      <w:r w:rsidR="005176DC" w:rsidRPr="002169C4">
        <w:rPr>
          <w:lang w:val="bg-BG"/>
        </w:rPr>
        <w:t xml:space="preserve"> посещение</w:t>
      </w:r>
      <w:r w:rsidR="001E059E">
        <w:rPr>
          <w:lang w:val="bg-BG"/>
        </w:rPr>
        <w:t xml:space="preserve"> се съгласи и</w:t>
      </w:r>
      <w:r w:rsidR="002B08EF" w:rsidRPr="002169C4">
        <w:rPr>
          <w:lang w:val="bg-BG"/>
        </w:rPr>
        <w:t xml:space="preserve"> обясни, че ЗАНН първоначално е бил приет, за да </w:t>
      </w:r>
      <w:r w:rsidR="006929AC" w:rsidRPr="002169C4">
        <w:rPr>
          <w:lang w:val="bg-BG"/>
        </w:rPr>
        <w:t>уреди</w:t>
      </w:r>
      <w:r w:rsidR="002B08EF" w:rsidRPr="002169C4">
        <w:rPr>
          <w:lang w:val="bg-BG"/>
        </w:rPr>
        <w:t xml:space="preserve"> отговорността на физическите лица за административни нарушения, и едва по-късно, през 2005 г., </w:t>
      </w:r>
      <w:r w:rsidR="006929AC" w:rsidRPr="002169C4">
        <w:rPr>
          <w:lang w:val="bg-BG"/>
        </w:rPr>
        <w:t xml:space="preserve">след изразените притеснения на Работната група по фаза 2 относно липсата на отговорност на юридическите лица в страната, </w:t>
      </w:r>
      <w:r w:rsidR="002B08EF" w:rsidRPr="002169C4">
        <w:rPr>
          <w:lang w:val="bg-BG"/>
        </w:rPr>
        <w:t xml:space="preserve">България е добавила глава 4 за юридически лица. Тогава възниква въпросът коя правна рамка предоставя </w:t>
      </w:r>
      <w:r w:rsidR="00465548" w:rsidRPr="002169C4">
        <w:rPr>
          <w:lang w:val="bg-BG"/>
        </w:rPr>
        <w:t>компетентност</w:t>
      </w:r>
      <w:r w:rsidR="002B08EF" w:rsidRPr="002169C4">
        <w:rPr>
          <w:lang w:val="bg-BG"/>
        </w:rPr>
        <w:t xml:space="preserve"> за започване на производство срещу юридически лица. </w:t>
      </w:r>
    </w:p>
    <w:p w14:paraId="69293435" w14:textId="77777777" w:rsidR="0047749A" w:rsidRPr="008C08CD" w:rsidRDefault="002B08EF" w:rsidP="00421E21">
      <w:pPr>
        <w:pStyle w:val="Para"/>
        <w:rPr>
          <w:lang w:val="bg-BG"/>
        </w:rPr>
      </w:pPr>
      <w:r w:rsidRPr="008C08CD">
        <w:rPr>
          <w:lang w:val="bg-BG"/>
        </w:rPr>
        <w:t xml:space="preserve">Представителите на ВКП по време на </w:t>
      </w:r>
      <w:r w:rsidR="00356C08">
        <w:rPr>
          <w:lang w:val="bg-BG"/>
        </w:rPr>
        <w:t>виртуалното посещение</w:t>
      </w:r>
      <w:r w:rsidRPr="008C08CD">
        <w:rPr>
          <w:lang w:val="bg-BG"/>
        </w:rPr>
        <w:t xml:space="preserve"> </w:t>
      </w:r>
      <w:r w:rsidR="00356C08">
        <w:rPr>
          <w:lang w:val="bg-BG"/>
        </w:rPr>
        <w:t>изразиха твърдение</w:t>
      </w:r>
      <w:r w:rsidRPr="008C08CD">
        <w:rPr>
          <w:lang w:val="bg-BG"/>
        </w:rPr>
        <w:t>, че това ще бъде Н</w:t>
      </w:r>
      <w:r w:rsidR="006929AC">
        <w:rPr>
          <w:lang w:val="bg-BG"/>
        </w:rPr>
        <w:t>аказателния кодекс и п</w:t>
      </w:r>
      <w:r w:rsidRPr="008C08CD">
        <w:rPr>
          <w:lang w:val="bg-BG"/>
        </w:rPr>
        <w:t>оради субсидиарния характер на производството срещу юридически лица, България може да използва чл</w:t>
      </w:r>
      <w:r w:rsidR="00356C08">
        <w:rPr>
          <w:lang w:val="bg-BG"/>
        </w:rPr>
        <w:t>.</w:t>
      </w:r>
      <w:r w:rsidRPr="008C08CD">
        <w:rPr>
          <w:lang w:val="bg-BG"/>
        </w:rPr>
        <w:t xml:space="preserve"> 3-6 от НК, които определят нейната </w:t>
      </w:r>
      <w:r w:rsidR="00F941A8">
        <w:rPr>
          <w:lang w:val="bg-BG"/>
        </w:rPr>
        <w:t>юрисдикция</w:t>
      </w:r>
      <w:r w:rsidRPr="008C08CD">
        <w:rPr>
          <w:lang w:val="bg-BG"/>
        </w:rPr>
        <w:t xml:space="preserve"> над физически</w:t>
      </w:r>
      <w:r w:rsidR="00F941A8">
        <w:rPr>
          <w:lang w:val="bg-BG"/>
        </w:rPr>
        <w:t>те</w:t>
      </w:r>
      <w:r w:rsidRPr="008C08CD">
        <w:rPr>
          <w:lang w:val="bg-BG"/>
        </w:rPr>
        <w:t xml:space="preserve"> лица</w:t>
      </w:r>
      <w:r w:rsidR="006929AC" w:rsidRPr="008C08CD">
        <w:rPr>
          <w:lang w:val="bg-BG"/>
        </w:rPr>
        <w:t xml:space="preserve"> </w:t>
      </w:r>
      <w:r w:rsidR="006929AC">
        <w:rPr>
          <w:lang w:val="bg-BG"/>
        </w:rPr>
        <w:t xml:space="preserve">въз основа на </w:t>
      </w:r>
      <w:r w:rsidR="006307FF">
        <w:rPr>
          <w:lang w:val="bg-BG"/>
        </w:rPr>
        <w:t>националния</w:t>
      </w:r>
      <w:r w:rsidR="006929AC">
        <w:rPr>
          <w:lang w:val="bg-BG"/>
        </w:rPr>
        <w:t xml:space="preserve"> и териториалния принцип</w:t>
      </w:r>
      <w:r w:rsidRPr="008C08CD">
        <w:rPr>
          <w:lang w:val="bg-BG"/>
        </w:rPr>
        <w:t xml:space="preserve">. Въпреки това, </w:t>
      </w:r>
      <w:r w:rsidR="00421E21">
        <w:rPr>
          <w:lang w:val="bg-BG"/>
        </w:rPr>
        <w:t xml:space="preserve">въз основата на този аргумент, </w:t>
      </w:r>
      <w:r w:rsidRPr="008C08CD">
        <w:rPr>
          <w:lang w:val="bg-BG"/>
        </w:rPr>
        <w:t xml:space="preserve">когато България не е в състояние да упражнява </w:t>
      </w:r>
      <w:r w:rsidR="00421E21">
        <w:rPr>
          <w:lang w:val="bg-BG"/>
        </w:rPr>
        <w:t xml:space="preserve">наказателна </w:t>
      </w:r>
      <w:r w:rsidRPr="008C08CD">
        <w:rPr>
          <w:lang w:val="bg-BG"/>
        </w:rPr>
        <w:t xml:space="preserve">юрисдикция над физическото лице, тя </w:t>
      </w:r>
      <w:r w:rsidR="00421E21">
        <w:rPr>
          <w:lang w:val="bg-BG"/>
        </w:rPr>
        <w:t>също няма да</w:t>
      </w:r>
      <w:r w:rsidRPr="008C08CD">
        <w:rPr>
          <w:lang w:val="bg-BG"/>
        </w:rPr>
        <w:t xml:space="preserve"> може да предприеме действия и срещу участващото юридическо лице. Също така е под въпрос дали съгласно тези разпоредби България може да предприеме действия срещу българско юридическо лице, което използва лица, който не са </w:t>
      </w:r>
      <w:r w:rsidR="00421E21">
        <w:rPr>
          <w:lang w:val="bg-BG"/>
        </w:rPr>
        <w:t xml:space="preserve">български </w:t>
      </w:r>
      <w:r w:rsidRPr="008C08CD">
        <w:rPr>
          <w:lang w:val="bg-BG"/>
        </w:rPr>
        <w:t>граждани</w:t>
      </w:r>
      <w:r w:rsidR="00421E21">
        <w:rPr>
          <w:lang w:val="bg-BG"/>
        </w:rPr>
        <w:t>,</w:t>
      </w:r>
      <w:r w:rsidRPr="008C08CD">
        <w:rPr>
          <w:lang w:val="bg-BG"/>
        </w:rPr>
        <w:t xml:space="preserve"> за </w:t>
      </w:r>
      <w:r w:rsidR="00601C5B" w:rsidRPr="008C08CD">
        <w:rPr>
          <w:lang w:val="bg-BG"/>
        </w:rPr>
        <w:t>подкупването на чужди длъжностни лица</w:t>
      </w:r>
      <w:r w:rsidRPr="008C08CD">
        <w:rPr>
          <w:lang w:val="bg-BG"/>
        </w:rPr>
        <w:t xml:space="preserve"> от не</w:t>
      </w:r>
      <w:r w:rsidR="00421E21">
        <w:rPr>
          <w:lang w:val="bg-BG"/>
        </w:rPr>
        <w:t>гово</w:t>
      </w:r>
      <w:r w:rsidRPr="008C08CD">
        <w:rPr>
          <w:lang w:val="bg-BG"/>
        </w:rPr>
        <w:t xml:space="preserve"> име</w:t>
      </w:r>
      <w:r w:rsidR="007F603B">
        <w:rPr>
          <w:lang w:val="bg-BG"/>
        </w:rPr>
        <w:t xml:space="preserve"> в чужбина</w:t>
      </w:r>
      <w:r w:rsidR="0047749A" w:rsidRPr="008C08CD">
        <w:rPr>
          <w:lang w:val="bg-BG"/>
        </w:rPr>
        <w:t>.</w:t>
      </w:r>
      <w:r w:rsidR="00421E21">
        <w:rPr>
          <w:lang w:val="bg-BG"/>
        </w:rPr>
        <w:t xml:space="preserve"> </w:t>
      </w:r>
      <w:r w:rsidR="00421E21" w:rsidRPr="00421E21">
        <w:rPr>
          <w:lang w:val="bg-BG"/>
        </w:rPr>
        <w:lastRenderedPageBreak/>
        <w:t xml:space="preserve">Работната група също така отбелязва, че в </w:t>
      </w:r>
      <w:r w:rsidR="00421E21" w:rsidRPr="00572912">
        <w:rPr>
          <w:b/>
          <w:lang w:val="bg-BG"/>
        </w:rPr>
        <w:t>случай Б</w:t>
      </w:r>
      <w:r w:rsidR="00421E21">
        <w:rPr>
          <w:lang w:val="bg-BG"/>
        </w:rPr>
        <w:t xml:space="preserve"> (посочен в параграф 23 по-горе) България не е започнала</w:t>
      </w:r>
      <w:r w:rsidR="00421E21" w:rsidRPr="00421E21">
        <w:rPr>
          <w:lang w:val="bg-BG"/>
        </w:rPr>
        <w:t xml:space="preserve"> разследване, тъй като</w:t>
      </w:r>
      <w:r w:rsidR="00421E21">
        <w:rPr>
          <w:lang w:val="bg-BG"/>
        </w:rPr>
        <w:t xml:space="preserve"> няма доказателства за престъпление</w:t>
      </w:r>
      <w:r w:rsidR="00421E21" w:rsidRPr="00421E21">
        <w:rPr>
          <w:lang w:val="bg-BG"/>
        </w:rPr>
        <w:t xml:space="preserve"> от български гражданин, въпреки твърденията за участие на български компании.</w:t>
      </w:r>
    </w:p>
    <w:p w14:paraId="5166D2EA" w14:textId="77777777" w:rsidR="0047749A" w:rsidRPr="00572912" w:rsidRDefault="002B08EF" w:rsidP="00572912">
      <w:pPr>
        <w:pStyle w:val="Para"/>
        <w:numPr>
          <w:ilvl w:val="0"/>
          <w:numId w:val="0"/>
        </w:numPr>
        <w:rPr>
          <w:noProof/>
          <w:color w:val="000000" w:themeColor="text1"/>
          <w:lang w:val="bg-BG"/>
        </w:rPr>
      </w:pPr>
      <w:r w:rsidRPr="00572912">
        <w:rPr>
          <w:b/>
          <w:i/>
          <w:noProof/>
          <w:color w:val="000000" w:themeColor="text1"/>
          <w:lang w:val="bg-BG"/>
        </w:rPr>
        <w:t>Коментар</w:t>
      </w:r>
    </w:p>
    <w:p w14:paraId="70B63FEF" w14:textId="5EFAEB61" w:rsidR="00421E21" w:rsidRDefault="002B08EF" w:rsidP="005330C7">
      <w:pPr>
        <w:pStyle w:val="Commentary"/>
        <w:rPr>
          <w:noProof/>
          <w:lang w:val="bg-BG"/>
        </w:rPr>
      </w:pPr>
      <w:r w:rsidRPr="008C08CD">
        <w:rPr>
          <w:noProof/>
          <w:lang w:val="bg-BG"/>
        </w:rPr>
        <w:t xml:space="preserve">С оглед на разясненията, предоставени от България по </w:t>
      </w:r>
      <w:r w:rsidR="00673F1F" w:rsidRPr="008C08CD">
        <w:rPr>
          <w:noProof/>
          <w:lang w:val="bg-BG"/>
        </w:rPr>
        <w:t>Фаза</w:t>
      </w:r>
      <w:r w:rsidRPr="008C08CD">
        <w:rPr>
          <w:noProof/>
          <w:lang w:val="bg-BG"/>
        </w:rPr>
        <w:t xml:space="preserve"> 4, водещите проверители считат, че </w:t>
      </w:r>
      <w:r w:rsidR="007F603B">
        <w:rPr>
          <w:noProof/>
          <w:lang w:val="bg-BG"/>
        </w:rPr>
        <w:t xml:space="preserve">притесненията от фаза 3 относно член 5 </w:t>
      </w:r>
      <w:r w:rsidR="00E01F99">
        <w:rPr>
          <w:noProof/>
          <w:lang w:val="bg-BG"/>
        </w:rPr>
        <w:t xml:space="preserve">от Конвенцията </w:t>
      </w:r>
      <w:r w:rsidR="007F603B">
        <w:rPr>
          <w:noProof/>
          <w:lang w:val="bg-BG"/>
        </w:rPr>
        <w:t>и юрид</w:t>
      </w:r>
      <w:r w:rsidR="009E1EB7">
        <w:rPr>
          <w:noProof/>
          <w:lang w:val="bg-BG"/>
        </w:rPr>
        <w:t>ическите лица вече са отпаднали</w:t>
      </w:r>
      <w:r w:rsidRPr="008C08CD">
        <w:rPr>
          <w:noProof/>
          <w:lang w:val="bg-BG"/>
        </w:rPr>
        <w:t xml:space="preserve">. </w:t>
      </w:r>
    </w:p>
    <w:p w14:paraId="1ABFA75E" w14:textId="77777777" w:rsidR="0047749A" w:rsidRPr="008C08CD" w:rsidRDefault="002B08EF" w:rsidP="005330C7">
      <w:pPr>
        <w:pStyle w:val="Commentary"/>
        <w:rPr>
          <w:noProof/>
          <w:lang w:val="bg-BG"/>
        </w:rPr>
      </w:pPr>
      <w:r w:rsidRPr="008C08CD">
        <w:rPr>
          <w:noProof/>
          <w:lang w:val="bg-BG"/>
        </w:rPr>
        <w:t xml:space="preserve">Водещите проверители обаче остават сериозно загрижени, че българската правна рамка не </w:t>
      </w:r>
      <w:r w:rsidR="007F603B">
        <w:rPr>
          <w:noProof/>
          <w:lang w:val="bg-BG"/>
        </w:rPr>
        <w:t xml:space="preserve">е ясна по отношение на въпроса </w:t>
      </w:r>
      <w:r w:rsidR="009E1EB7">
        <w:rPr>
          <w:noProof/>
          <w:lang w:val="bg-BG"/>
        </w:rPr>
        <w:t>за компетентността</w:t>
      </w:r>
      <w:r w:rsidRPr="008C08CD">
        <w:rPr>
          <w:noProof/>
          <w:lang w:val="bg-BG"/>
        </w:rPr>
        <w:t xml:space="preserve"> за </w:t>
      </w:r>
      <w:r w:rsidR="009E1EB7">
        <w:rPr>
          <w:noProof/>
          <w:lang w:val="bg-BG"/>
        </w:rPr>
        <w:t>иницииране</w:t>
      </w:r>
      <w:r w:rsidRPr="008C08CD">
        <w:rPr>
          <w:noProof/>
          <w:lang w:val="bg-BG"/>
        </w:rPr>
        <w:t xml:space="preserve"> на производства срещу юридически лица. </w:t>
      </w:r>
      <w:r w:rsidR="007F603B">
        <w:rPr>
          <w:noProof/>
          <w:lang w:val="bg-BG"/>
        </w:rPr>
        <w:t>Те считат, че същестуващата рамка не и</w:t>
      </w:r>
      <w:r w:rsidR="009E1EB7">
        <w:rPr>
          <w:noProof/>
          <w:lang w:val="bg-BG"/>
        </w:rPr>
        <w:t xml:space="preserve">зглежда да предоставя ефективно правно основание </w:t>
      </w:r>
      <w:r w:rsidR="007F603B">
        <w:rPr>
          <w:noProof/>
          <w:lang w:val="bg-BG"/>
        </w:rPr>
        <w:t xml:space="preserve">за започване на производство </w:t>
      </w:r>
      <w:r w:rsidR="007F603B" w:rsidRPr="008C08CD">
        <w:rPr>
          <w:noProof/>
          <w:lang w:val="bg-BG"/>
        </w:rPr>
        <w:t xml:space="preserve">за подкупване на чужди длъжностни лица </w:t>
      </w:r>
      <w:r w:rsidR="007F603B">
        <w:rPr>
          <w:noProof/>
          <w:lang w:val="bg-BG"/>
        </w:rPr>
        <w:t xml:space="preserve">при липса на юрисдикция спрямо физическия извършител. </w:t>
      </w:r>
      <w:r w:rsidRPr="008C08CD">
        <w:rPr>
          <w:noProof/>
          <w:lang w:val="bg-BG"/>
        </w:rPr>
        <w:t xml:space="preserve">Затова те препоръчват на България да промени законодателството си, за да предостави юрисдикция за започване на производства срещу български </w:t>
      </w:r>
      <w:r w:rsidR="009E1EB7">
        <w:rPr>
          <w:noProof/>
          <w:lang w:val="bg-BG"/>
        </w:rPr>
        <w:t>юридически лица</w:t>
      </w:r>
      <w:r w:rsidRPr="008C08CD">
        <w:rPr>
          <w:noProof/>
          <w:lang w:val="bg-BG"/>
        </w:rPr>
        <w:t xml:space="preserve"> за подкуп на чужди длъжностни лица, включително когато юридическото лице използва чужди граждани за </w:t>
      </w:r>
      <w:r w:rsidR="004C29D3" w:rsidRPr="008C08CD">
        <w:rPr>
          <w:noProof/>
          <w:lang w:val="bg-BG"/>
        </w:rPr>
        <w:t>подкуп на чужди длъжностни лица</w:t>
      </w:r>
      <w:r w:rsidRPr="008C08CD">
        <w:rPr>
          <w:noProof/>
          <w:lang w:val="bg-BG"/>
        </w:rPr>
        <w:t xml:space="preserve"> от нейно име</w:t>
      </w:r>
      <w:r w:rsidR="007F603B">
        <w:rPr>
          <w:noProof/>
          <w:lang w:val="bg-BG"/>
        </w:rPr>
        <w:t xml:space="preserve"> в чужбина</w:t>
      </w:r>
      <w:r w:rsidR="0047749A" w:rsidRPr="008C08CD">
        <w:rPr>
          <w:noProof/>
          <w:lang w:val="bg-BG"/>
        </w:rPr>
        <w:t>.</w:t>
      </w:r>
    </w:p>
    <w:p w14:paraId="45847839" w14:textId="77777777" w:rsidR="0047749A" w:rsidRPr="008C08CD" w:rsidRDefault="002B08EF" w:rsidP="007C1F9A">
      <w:pPr>
        <w:pStyle w:val="Heading4"/>
        <w:ind w:left="720" w:hanging="720"/>
        <w:rPr>
          <w:lang w:val="bg-BG"/>
        </w:rPr>
      </w:pPr>
      <w:r w:rsidRPr="008C08CD">
        <w:rPr>
          <w:lang w:val="bg-BG"/>
        </w:rPr>
        <w:t>Независимост на производството срещу юридически лица</w:t>
      </w:r>
    </w:p>
    <w:p w14:paraId="0604E998" w14:textId="560FC13F" w:rsidR="0047749A" w:rsidRPr="008C08CD" w:rsidRDefault="007D5E5F" w:rsidP="00BC45B7">
      <w:pPr>
        <w:pStyle w:val="Para"/>
        <w:rPr>
          <w:rFonts w:cstheme="minorHAnsi"/>
          <w:b/>
          <w:u w:val="single"/>
          <w:lang w:val="bg-BG"/>
        </w:rPr>
      </w:pPr>
      <w:r>
        <w:rPr>
          <w:lang w:val="bg-BG"/>
        </w:rPr>
        <w:t>По</w:t>
      </w:r>
      <w:r w:rsidR="00544049" w:rsidRPr="008C08CD">
        <w:rPr>
          <w:lang w:val="bg-BG"/>
        </w:rPr>
        <w:t xml:space="preserve"> </w:t>
      </w:r>
      <w:r w:rsidR="00673F1F" w:rsidRPr="008C08CD">
        <w:rPr>
          <w:lang w:val="bg-BG"/>
        </w:rPr>
        <w:t>Фаза</w:t>
      </w:r>
      <w:r w:rsidR="00544049" w:rsidRPr="008C08CD">
        <w:rPr>
          <w:lang w:val="bg-BG"/>
        </w:rPr>
        <w:t xml:space="preserve"> 3 Работната група установи, че производството срещу юридически лица е ограничено до случаи, в които физическото лице, извършило престъплението, е дадено под съд или</w:t>
      </w:r>
      <w:r w:rsidR="003A3A2E">
        <w:rPr>
          <w:lang w:val="bg-BG"/>
        </w:rPr>
        <w:t xml:space="preserve"> е</w:t>
      </w:r>
      <w:r w:rsidR="00544049" w:rsidRPr="008C08CD">
        <w:rPr>
          <w:lang w:val="bg-BG"/>
        </w:rPr>
        <w:t xml:space="preserve"> осъдено. Както е обяснено по-горе, производството срещу юридически лица може да започне </w:t>
      </w:r>
      <w:r w:rsidR="003A3A2E">
        <w:rPr>
          <w:lang w:val="bg-BG"/>
        </w:rPr>
        <w:t>при</w:t>
      </w:r>
      <w:r w:rsidR="00544049" w:rsidRPr="008C08CD">
        <w:rPr>
          <w:lang w:val="bg-BG"/>
        </w:rPr>
        <w:t xml:space="preserve"> </w:t>
      </w:r>
      <w:r w:rsidR="002D503C">
        <w:rPr>
          <w:lang w:val="bg-BG"/>
        </w:rPr>
        <w:t>внасянето на мотивирано предложение от страна на прокурора в съда</w:t>
      </w:r>
      <w:r w:rsidR="003A3A2E">
        <w:rPr>
          <w:lang w:val="bg-BG"/>
        </w:rPr>
        <w:t xml:space="preserve"> </w:t>
      </w:r>
      <w:r w:rsidR="002D503C">
        <w:rPr>
          <w:lang w:val="bg-BG"/>
        </w:rPr>
        <w:t>след внасяне</w:t>
      </w:r>
      <w:r w:rsidR="003A3A2E">
        <w:rPr>
          <w:lang w:val="bg-BG"/>
        </w:rPr>
        <w:t>то</w:t>
      </w:r>
      <w:r w:rsidR="002D503C">
        <w:rPr>
          <w:lang w:val="bg-BG"/>
        </w:rPr>
        <w:t xml:space="preserve"> на </w:t>
      </w:r>
      <w:r w:rsidR="00544049" w:rsidRPr="008C08CD">
        <w:rPr>
          <w:lang w:val="bg-BG"/>
        </w:rPr>
        <w:t>обвинителен акт и в изброени изключителни случаи при липса на обвинителен акт. Работната група изрази загриженост, че чл</w:t>
      </w:r>
      <w:r>
        <w:rPr>
          <w:lang w:val="bg-BG"/>
        </w:rPr>
        <w:t>. 83б, ал.</w:t>
      </w:r>
      <w:r w:rsidR="00544049" w:rsidRPr="008C08CD">
        <w:rPr>
          <w:lang w:val="bg-BG"/>
        </w:rPr>
        <w:t>1</w:t>
      </w:r>
      <w:r>
        <w:rPr>
          <w:lang w:val="bg-BG"/>
        </w:rPr>
        <w:t>, т.</w:t>
      </w:r>
      <w:r w:rsidR="00544049" w:rsidRPr="008C08CD">
        <w:rPr>
          <w:lang w:val="bg-BG"/>
        </w:rPr>
        <w:t>2 от ЗАНН изброява</w:t>
      </w:r>
      <w:r>
        <w:rPr>
          <w:lang w:val="bg-BG"/>
        </w:rPr>
        <w:t xml:space="preserve"> само четири от тези изключения</w:t>
      </w:r>
      <w:r w:rsidR="00544049" w:rsidRPr="008C08CD">
        <w:rPr>
          <w:lang w:val="bg-BG"/>
        </w:rPr>
        <w:t xml:space="preserve"> и препоръча България да гарантира, че нейната рамка не изключва неправомерно производства срещу юридически лица (препоръка 2 (в) </w:t>
      </w:r>
      <w:r w:rsidR="002D503C">
        <w:rPr>
          <w:lang w:val="bg-BG"/>
        </w:rPr>
        <w:t>втора част</w:t>
      </w:r>
      <w:r w:rsidR="00544049" w:rsidRPr="008C08CD">
        <w:rPr>
          <w:lang w:val="bg-BG"/>
        </w:rPr>
        <w:t xml:space="preserve">). Двугодишният писмен  доклад </w:t>
      </w:r>
      <w:r w:rsidR="002D503C">
        <w:rPr>
          <w:lang w:val="bg-BG"/>
        </w:rPr>
        <w:t xml:space="preserve">за преглед на изпълнението на препоръките от доклада по фаза 3 </w:t>
      </w:r>
      <w:r w:rsidR="00544049" w:rsidRPr="008C08CD">
        <w:rPr>
          <w:lang w:val="bg-BG"/>
        </w:rPr>
        <w:t>установи, че България не е изпълнила препоръката. През 2015 г. България измени чл</w:t>
      </w:r>
      <w:r>
        <w:rPr>
          <w:lang w:val="bg-BG"/>
        </w:rPr>
        <w:t>.</w:t>
      </w:r>
      <w:r w:rsidR="00544049" w:rsidRPr="008C08CD">
        <w:rPr>
          <w:lang w:val="bg-BG"/>
        </w:rPr>
        <w:t xml:space="preserve"> 83б, </w:t>
      </w:r>
      <w:r>
        <w:rPr>
          <w:lang w:val="bg-BG"/>
        </w:rPr>
        <w:t>ал.</w:t>
      </w:r>
      <w:r w:rsidR="00544049" w:rsidRPr="008C08CD">
        <w:rPr>
          <w:lang w:val="bg-BG"/>
        </w:rPr>
        <w:t xml:space="preserve"> 1</w:t>
      </w:r>
      <w:r>
        <w:rPr>
          <w:lang w:val="bg-BG"/>
        </w:rPr>
        <w:t>, т</w:t>
      </w:r>
      <w:r w:rsidR="00544049" w:rsidRPr="008C08CD">
        <w:rPr>
          <w:lang w:val="bg-BG"/>
        </w:rPr>
        <w:t>.</w:t>
      </w:r>
      <w:r>
        <w:rPr>
          <w:lang w:val="bg-BG"/>
        </w:rPr>
        <w:t xml:space="preserve"> </w:t>
      </w:r>
      <w:r w:rsidR="00544049" w:rsidRPr="008C08CD">
        <w:rPr>
          <w:lang w:val="bg-BG"/>
        </w:rPr>
        <w:t>2 от ЗАНН, за да въведе допълнителни изключени</w:t>
      </w:r>
      <w:r>
        <w:rPr>
          <w:lang w:val="bg-BG"/>
        </w:rPr>
        <w:t>я</w:t>
      </w:r>
      <w:r w:rsidR="00544049" w:rsidRPr="008C08CD">
        <w:rPr>
          <w:lang w:val="bg-BG"/>
        </w:rPr>
        <w:t xml:space="preserve">. Въпреки че това изменение е приветствано, разпоредбата все още не обхваща изчерпателно всички случаи, в които прокуратурата не може да повдигне обвинение срещу физическо лице или по друг начин реши да спре или прекрати </w:t>
      </w:r>
      <w:r w:rsidR="00A921AC">
        <w:rPr>
          <w:lang w:val="bg-BG"/>
        </w:rPr>
        <w:t xml:space="preserve">наказателното </w:t>
      </w:r>
      <w:r w:rsidR="00544049" w:rsidRPr="008C08CD">
        <w:rPr>
          <w:lang w:val="bg-BG"/>
        </w:rPr>
        <w:t>производството (например</w:t>
      </w:r>
      <w:r w:rsidR="00392710">
        <w:rPr>
          <w:lang w:val="bg-BG"/>
        </w:rPr>
        <w:t>,</w:t>
      </w:r>
      <w:r w:rsidR="00544049" w:rsidRPr="008C08CD">
        <w:rPr>
          <w:lang w:val="bg-BG"/>
        </w:rPr>
        <w:t xml:space="preserve"> физическото лице е преследвано или е осъждано в чужбина)</w:t>
      </w:r>
      <w:r w:rsidR="0047749A" w:rsidRPr="008C08CD">
        <w:rPr>
          <w:rFonts w:cstheme="minorHAnsi"/>
          <w:lang w:val="bg-BG"/>
        </w:rPr>
        <w:t>.</w:t>
      </w:r>
    </w:p>
    <w:p w14:paraId="05821941" w14:textId="77777777" w:rsidR="0047749A" w:rsidRPr="008C08CD" w:rsidRDefault="00544049" w:rsidP="002A05D6">
      <w:pPr>
        <w:pStyle w:val="Para"/>
        <w:rPr>
          <w:b/>
          <w:u w:val="single"/>
          <w:lang w:val="bg-BG"/>
        </w:rPr>
      </w:pPr>
      <w:r w:rsidRPr="008C08CD">
        <w:rPr>
          <w:rFonts w:cstheme="minorHAnsi"/>
          <w:lang w:val="bg-BG"/>
        </w:rPr>
        <w:t xml:space="preserve">Освен това, както беше обсъдено по-горе, за да представят </w:t>
      </w:r>
      <w:r w:rsidR="00611177">
        <w:rPr>
          <w:rFonts w:cstheme="minorHAnsi"/>
          <w:lang w:val="bg-BG"/>
        </w:rPr>
        <w:t>мотивирано</w:t>
      </w:r>
      <w:r w:rsidRPr="008C08CD">
        <w:rPr>
          <w:rFonts w:cstheme="minorHAnsi"/>
          <w:lang w:val="bg-BG"/>
        </w:rPr>
        <w:t xml:space="preserve"> предложение за започване на производство срещу юридическо лице, прокурорите трябва да идентифицират едно или повече физически лица, обвинени или осъдени за престъплението, и да установят причинно-следствена връзка между престъплението и </w:t>
      </w:r>
      <w:r w:rsidR="00611177">
        <w:rPr>
          <w:rFonts w:cstheme="minorHAnsi"/>
          <w:lang w:val="bg-BG"/>
        </w:rPr>
        <w:t>облагата</w:t>
      </w:r>
      <w:r w:rsidR="00611177" w:rsidRPr="008C08CD">
        <w:rPr>
          <w:rFonts w:cstheme="minorHAnsi"/>
          <w:lang w:val="bg-BG"/>
        </w:rPr>
        <w:t xml:space="preserve"> </w:t>
      </w:r>
      <w:r w:rsidRPr="008C08CD">
        <w:rPr>
          <w:rFonts w:cstheme="minorHAnsi"/>
          <w:lang w:val="bg-BG"/>
        </w:rPr>
        <w:t>за юридическо</w:t>
      </w:r>
      <w:r w:rsidR="00611177">
        <w:rPr>
          <w:rFonts w:cstheme="minorHAnsi"/>
          <w:lang w:val="bg-BG"/>
        </w:rPr>
        <w:t>то</w:t>
      </w:r>
      <w:r w:rsidRPr="008C08CD">
        <w:rPr>
          <w:rFonts w:cstheme="minorHAnsi"/>
          <w:lang w:val="bg-BG"/>
        </w:rPr>
        <w:t xml:space="preserve"> лице. С други думи, на практика е необходимо предварително или едновременно преследване на физическо лице. Това може да се окаже много трудно за прокурорите, когато разследват сложни и децентрализирани корпоративни структури с разпръснати процеси на вземане на решения. По-важното е, че тези изисквания биха били в противоречие с Приложение </w:t>
      </w:r>
      <w:r w:rsidRPr="00544049">
        <w:rPr>
          <w:rFonts w:cstheme="minorHAnsi"/>
        </w:rPr>
        <w:t>I</w:t>
      </w:r>
      <w:r w:rsidR="007D430A">
        <w:rPr>
          <w:rFonts w:cstheme="minorHAnsi"/>
          <w:lang w:val="bg-BG"/>
        </w:rPr>
        <w:t>.</w:t>
      </w:r>
      <w:r w:rsidRPr="00544049">
        <w:rPr>
          <w:rFonts w:cstheme="minorHAnsi"/>
        </w:rPr>
        <w:t>B</w:t>
      </w:r>
      <w:r w:rsidRPr="008C08CD">
        <w:rPr>
          <w:rFonts w:cstheme="minorHAnsi"/>
          <w:lang w:val="bg-BG"/>
        </w:rPr>
        <w:t xml:space="preserve"> на Препоръката от 2009 г., което конкретно предвижда, че системите на държавите-членки за отговорност на юридическите лица не трябва да се ограничават до случаите, когато физическото лице, извършило престъплението, е </w:t>
      </w:r>
      <w:r w:rsidR="00F73CC9">
        <w:rPr>
          <w:rFonts w:cstheme="minorHAnsi"/>
          <w:lang w:val="bg-BG"/>
        </w:rPr>
        <w:t>разследвано</w:t>
      </w:r>
      <w:r w:rsidRPr="008C08CD">
        <w:rPr>
          <w:rFonts w:cstheme="minorHAnsi"/>
          <w:lang w:val="bg-BG"/>
        </w:rPr>
        <w:t xml:space="preserve"> или осъдено</w:t>
      </w:r>
      <w:r w:rsidR="0047749A" w:rsidRPr="008C08CD">
        <w:rPr>
          <w:lang w:val="bg-BG"/>
        </w:rPr>
        <w:t xml:space="preserve">. </w:t>
      </w:r>
    </w:p>
    <w:p w14:paraId="6B0F8C75" w14:textId="77777777" w:rsidR="0047749A" w:rsidRPr="00056AC5" w:rsidRDefault="00544049" w:rsidP="00056AC5">
      <w:pPr>
        <w:pStyle w:val="Para"/>
        <w:rPr>
          <w:lang w:val="bg-BG"/>
        </w:rPr>
      </w:pPr>
      <w:r w:rsidRPr="008C08CD">
        <w:rPr>
          <w:lang w:val="bg-BG"/>
        </w:rPr>
        <w:t xml:space="preserve">Няколко съдебни решения предвиждат, че производството срещу юридически лица има </w:t>
      </w:r>
      <w:r w:rsidRPr="00572912">
        <w:rPr>
          <w:b/>
          <w:i/>
          <w:lang w:val="bg-BG"/>
        </w:rPr>
        <w:t>субсидиарен характер</w:t>
      </w:r>
      <w:r w:rsidRPr="008C08CD">
        <w:rPr>
          <w:lang w:val="bg-BG"/>
        </w:rPr>
        <w:t>, без обаче да изяснява</w:t>
      </w:r>
      <w:r w:rsidR="00056AC5">
        <w:rPr>
          <w:lang w:val="bg-BG"/>
        </w:rPr>
        <w:t>т</w:t>
      </w:r>
      <w:r w:rsidRPr="008C08CD">
        <w:rPr>
          <w:lang w:val="bg-BG"/>
        </w:rPr>
        <w:t xml:space="preserve"> дали те могат да започнат при липса на </w:t>
      </w:r>
      <w:r w:rsidRPr="008C08CD">
        <w:rPr>
          <w:lang w:val="bg-BG"/>
        </w:rPr>
        <w:lastRenderedPageBreak/>
        <w:t>наказателно производство срещу физически лица</w:t>
      </w:r>
      <w:r w:rsidR="0047749A" w:rsidRPr="008C08CD">
        <w:rPr>
          <w:lang w:val="bg-BG"/>
        </w:rPr>
        <w:t>.</w:t>
      </w:r>
      <w:r w:rsidR="0047749A" w:rsidRPr="0047749A">
        <w:rPr>
          <w:vertAlign w:val="superscript"/>
        </w:rPr>
        <w:footnoteReference w:id="44"/>
      </w:r>
      <w:r w:rsidR="0047749A" w:rsidRPr="008C08CD">
        <w:rPr>
          <w:lang w:val="bg-BG"/>
        </w:rPr>
        <w:t xml:space="preserve"> </w:t>
      </w:r>
      <w:r w:rsidRPr="008C08CD">
        <w:rPr>
          <w:lang w:val="bg-BG"/>
        </w:rPr>
        <w:t>Дискусията с участници</w:t>
      </w:r>
      <w:r w:rsidR="00056AC5">
        <w:rPr>
          <w:lang w:val="bg-BG"/>
        </w:rPr>
        <w:t xml:space="preserve"> </w:t>
      </w:r>
      <w:r w:rsidRPr="008C08CD">
        <w:rPr>
          <w:lang w:val="bg-BG"/>
        </w:rPr>
        <w:t xml:space="preserve">по време на </w:t>
      </w:r>
      <w:r w:rsidR="00056AC5">
        <w:rPr>
          <w:lang w:val="bg-BG"/>
        </w:rPr>
        <w:t>виртуалното посещение</w:t>
      </w:r>
      <w:r w:rsidRPr="00056AC5">
        <w:rPr>
          <w:lang w:val="bg-BG"/>
        </w:rPr>
        <w:t xml:space="preserve"> също не хвърли светлина по темата. Представителите на ВКП бяха на мнение, че това по принцип е възможно. Представители на МП и Софийска градска прокуратура отбелязаха, че на практика поне би било необходимо прокурорите да идентифицират </w:t>
      </w:r>
      <w:r w:rsidR="00611177" w:rsidRPr="00056AC5">
        <w:rPr>
          <w:lang w:val="bg-BG"/>
        </w:rPr>
        <w:t xml:space="preserve">физическия </w:t>
      </w:r>
      <w:r w:rsidRPr="00056AC5">
        <w:rPr>
          <w:lang w:val="bg-BG"/>
        </w:rPr>
        <w:t>извършител</w:t>
      </w:r>
      <w:r w:rsidR="00611177" w:rsidRPr="00056AC5">
        <w:rPr>
          <w:lang w:val="bg-BG"/>
        </w:rPr>
        <w:t xml:space="preserve"> на престъплението</w:t>
      </w:r>
      <w:r w:rsidRPr="00056AC5">
        <w:rPr>
          <w:lang w:val="bg-BG"/>
        </w:rPr>
        <w:t>. Никой от представителите обаче не мож</w:t>
      </w:r>
      <w:r w:rsidR="002E1674" w:rsidRPr="00056AC5">
        <w:rPr>
          <w:lang w:val="bg-BG"/>
        </w:rPr>
        <w:t>а</w:t>
      </w:r>
      <w:r w:rsidR="009731E3">
        <w:rPr>
          <w:lang w:val="bg-BG"/>
        </w:rPr>
        <w:t xml:space="preserve"> да даде примери от </w:t>
      </w:r>
      <w:r w:rsidR="002E1674" w:rsidRPr="00056AC5">
        <w:rPr>
          <w:lang w:val="bg-BG"/>
        </w:rPr>
        <w:t>практика</w:t>
      </w:r>
      <w:r w:rsidR="009731E3">
        <w:rPr>
          <w:lang w:val="bg-BG"/>
        </w:rPr>
        <w:t xml:space="preserve">та, в които </w:t>
      </w:r>
      <w:r w:rsidRPr="00056AC5">
        <w:rPr>
          <w:lang w:val="bg-BG"/>
        </w:rPr>
        <w:t xml:space="preserve">са наложени </w:t>
      </w:r>
      <w:r w:rsidR="002E1674" w:rsidRPr="00056AC5">
        <w:rPr>
          <w:lang w:val="bg-BG"/>
        </w:rPr>
        <w:t xml:space="preserve">санкции на </w:t>
      </w:r>
      <w:r w:rsidRPr="00056AC5">
        <w:rPr>
          <w:lang w:val="bg-BG"/>
        </w:rPr>
        <w:t>юридически лица при липса на предварително наказателно преследване или осъждане на физическо лице</w:t>
      </w:r>
      <w:r w:rsidR="0047749A" w:rsidRPr="00056AC5">
        <w:rPr>
          <w:rFonts w:cstheme="minorHAnsi"/>
          <w:lang w:val="bg-BG"/>
        </w:rPr>
        <w:t>.</w:t>
      </w:r>
    </w:p>
    <w:p w14:paraId="4E8C4709" w14:textId="77777777" w:rsidR="0047749A" w:rsidRPr="00544049" w:rsidRDefault="00544049" w:rsidP="005330C7">
      <w:pPr>
        <w:pStyle w:val="Commentary"/>
        <w:rPr>
          <w:noProof/>
          <w:color w:val="4E81BD" w:themeColor="accent1"/>
          <w:lang w:val="bg-BG"/>
        </w:rPr>
      </w:pPr>
      <w:r>
        <w:rPr>
          <w:noProof/>
          <w:color w:val="4E81BD" w:themeColor="accent1"/>
          <w:lang w:val="bg-BG"/>
        </w:rPr>
        <w:t>Коментар</w:t>
      </w:r>
    </w:p>
    <w:p w14:paraId="768DF8B6" w14:textId="77777777" w:rsidR="0047749A" w:rsidRPr="008C08CD" w:rsidRDefault="00544049" w:rsidP="005330C7">
      <w:pPr>
        <w:pStyle w:val="Commentary"/>
        <w:rPr>
          <w:noProof/>
          <w:lang w:val="bg-BG"/>
        </w:rPr>
      </w:pPr>
      <w:r w:rsidRPr="008C08CD">
        <w:rPr>
          <w:noProof/>
          <w:lang w:val="bg-BG"/>
        </w:rPr>
        <w:t xml:space="preserve">Водещите проверители са загрижени, че изискването прокуратурата да докаже всички елементи по член 83б, параграф 2 от ЗАНН, преди да започне производство срещу юридическо лице, може да представлява сериозна пречка за ефективното санкциониране на юридически лица за подкуп на чужди длъжностни лица. Следователно те считат, че България все още не спазва Приложение </w:t>
      </w:r>
      <w:r w:rsidRPr="00544049">
        <w:rPr>
          <w:noProof/>
          <w:lang w:val="en"/>
        </w:rPr>
        <w:t>I</w:t>
      </w:r>
      <w:r w:rsidR="002363A8">
        <w:rPr>
          <w:noProof/>
          <w:lang w:val="bg-BG"/>
        </w:rPr>
        <w:t>.</w:t>
      </w:r>
      <w:r w:rsidRPr="00544049">
        <w:rPr>
          <w:noProof/>
          <w:lang w:val="en"/>
        </w:rPr>
        <w:t>B</w:t>
      </w:r>
      <w:r w:rsidRPr="008C08CD">
        <w:rPr>
          <w:noProof/>
          <w:lang w:val="bg-BG"/>
        </w:rPr>
        <w:t xml:space="preserve"> на Препоръката от 2009 г. и че Препоръка 2 (</w:t>
      </w:r>
      <w:r w:rsidRPr="00544049">
        <w:rPr>
          <w:noProof/>
          <w:lang w:val="en"/>
        </w:rPr>
        <w:t>c</w:t>
      </w:r>
      <w:r w:rsidRPr="008C08CD">
        <w:rPr>
          <w:noProof/>
          <w:lang w:val="bg-BG"/>
        </w:rPr>
        <w:t>) (</w:t>
      </w:r>
      <w:r w:rsidR="002E1674">
        <w:rPr>
          <w:noProof/>
          <w:lang w:val="bg-BG"/>
        </w:rPr>
        <w:t>втора част</w:t>
      </w:r>
      <w:r w:rsidRPr="008C08CD">
        <w:rPr>
          <w:noProof/>
          <w:lang w:val="bg-BG"/>
        </w:rPr>
        <w:t xml:space="preserve">) по </w:t>
      </w:r>
      <w:r w:rsidR="00673F1F" w:rsidRPr="008C08CD">
        <w:rPr>
          <w:noProof/>
          <w:lang w:val="bg-BG"/>
        </w:rPr>
        <w:t>Фаза</w:t>
      </w:r>
      <w:r w:rsidRPr="008C08CD">
        <w:rPr>
          <w:noProof/>
          <w:lang w:val="bg-BG"/>
        </w:rPr>
        <w:t xml:space="preserve"> 3 </w:t>
      </w:r>
      <w:r w:rsidR="002E1674">
        <w:rPr>
          <w:noProof/>
          <w:lang w:val="bg-BG"/>
        </w:rPr>
        <w:t>остава неизпълнена</w:t>
      </w:r>
      <w:r w:rsidRPr="008C08CD">
        <w:rPr>
          <w:noProof/>
          <w:lang w:val="bg-BG"/>
        </w:rPr>
        <w:t xml:space="preserve">. Водещите проверители препоръчват на България спешно да измени съществуващата процедура и законодателство, ако е необходимо, за да гарантира, че производството срещу юридическо лице не се ограничава само до случаите, когато физическото лице, извършило престъплението, е </w:t>
      </w:r>
      <w:r w:rsidR="002363A8">
        <w:rPr>
          <w:noProof/>
          <w:lang w:val="bg-BG"/>
        </w:rPr>
        <w:t>разследвано</w:t>
      </w:r>
      <w:r w:rsidRPr="008C08CD">
        <w:rPr>
          <w:noProof/>
          <w:lang w:val="bg-BG"/>
        </w:rPr>
        <w:t xml:space="preserve"> или осъдено</w:t>
      </w:r>
      <w:r w:rsidR="0047749A" w:rsidRPr="008C08CD">
        <w:rPr>
          <w:noProof/>
          <w:lang w:val="bg-BG"/>
        </w:rPr>
        <w:t>.</w:t>
      </w:r>
    </w:p>
    <w:p w14:paraId="3F8B5328" w14:textId="77777777" w:rsidR="0047749A" w:rsidRPr="0047749A" w:rsidRDefault="00035D51" w:rsidP="002A05D6">
      <w:pPr>
        <w:pStyle w:val="Heading4"/>
        <w:rPr>
          <w:lang w:val="en"/>
        </w:rPr>
      </w:pPr>
      <w:r w:rsidRPr="00035D51">
        <w:rPr>
          <w:lang w:val="en"/>
        </w:rPr>
        <w:t>Отделни, но субсидиарни производства</w:t>
      </w:r>
    </w:p>
    <w:p w14:paraId="5F01F4E1" w14:textId="77777777" w:rsidR="0047749A" w:rsidRPr="00DE75C6" w:rsidRDefault="00FB73FC" w:rsidP="00DE75C6">
      <w:pPr>
        <w:pStyle w:val="Para"/>
        <w:rPr>
          <w:lang w:val="bg-BG"/>
        </w:rPr>
      </w:pPr>
      <w:r w:rsidRPr="00FB73FC">
        <w:t>За разлика от практиката на някои други членове на Работната група с не</w:t>
      </w:r>
      <w:r w:rsidR="002E1674">
        <w:rPr>
          <w:lang w:val="bg-BG"/>
        </w:rPr>
        <w:t>наказателна</w:t>
      </w:r>
      <w:r w:rsidRPr="00FB73FC">
        <w:t xml:space="preserve"> корпоративна отговорност, </w:t>
      </w:r>
      <w:r w:rsidR="00DE75C6">
        <w:rPr>
          <w:lang w:val="bg-BG"/>
        </w:rPr>
        <w:t>където</w:t>
      </w:r>
      <w:r w:rsidRPr="00FB73FC">
        <w:t xml:space="preserve"> наказания срещу юридически лица се налагат в хода на наказателното производство срещу физически лица</w:t>
      </w:r>
      <w:r w:rsidR="0047749A" w:rsidRPr="0047749A">
        <w:t>,</w:t>
      </w:r>
      <w:r w:rsidR="0047749A" w:rsidRPr="0047749A">
        <w:rPr>
          <w:vertAlign w:val="superscript"/>
        </w:rPr>
        <w:footnoteReference w:id="45"/>
      </w:r>
      <w:r w:rsidR="0047749A" w:rsidRPr="0047749A">
        <w:t xml:space="preserve"> </w:t>
      </w:r>
      <w:r w:rsidRPr="00FB73FC">
        <w:t xml:space="preserve">ЗАНН предвижда отделни производства за физически и юридически лица. Както бе отбелязано по </w:t>
      </w:r>
      <w:r w:rsidR="00673F1F">
        <w:t>Фаза</w:t>
      </w:r>
      <w:r w:rsidRPr="00FB73FC">
        <w:t xml:space="preserve"> 3, различни прокурори могат да отговарят за двете производства по едно и също дело, в зависимост от натовареността на прокурора, който е водил наказателното производство, и други налични прокурори.</w:t>
      </w:r>
      <w:r w:rsidR="002E1674">
        <w:rPr>
          <w:lang w:val="bg-BG"/>
        </w:rPr>
        <w:t xml:space="preserve"> Санкциите</w:t>
      </w:r>
      <w:r w:rsidRPr="008C08CD">
        <w:rPr>
          <w:lang w:val="bg-BG"/>
        </w:rPr>
        <w:t xml:space="preserve"> срещу юридически лица също ще бъдат определени в отделни съдебни производства и според </w:t>
      </w:r>
      <w:r w:rsidR="00DE75C6">
        <w:rPr>
          <w:lang w:val="bg-BG"/>
        </w:rPr>
        <w:t xml:space="preserve">становището на </w:t>
      </w:r>
      <w:r w:rsidRPr="008C08CD">
        <w:rPr>
          <w:lang w:val="bg-BG"/>
        </w:rPr>
        <w:t>представители на М</w:t>
      </w:r>
      <w:r w:rsidR="00DE75C6">
        <w:rPr>
          <w:lang w:val="bg-BG"/>
        </w:rPr>
        <w:t xml:space="preserve">П и ВКП, изразено по време на виртуалното посещение, </w:t>
      </w:r>
      <w:r w:rsidRPr="00DE75C6">
        <w:rPr>
          <w:lang w:val="bg-BG"/>
        </w:rPr>
        <w:t xml:space="preserve">няма възможност за комбиниране на двете производства. Съдиите защитиха това разделяне, </w:t>
      </w:r>
      <w:r w:rsidR="00E74984">
        <w:rPr>
          <w:lang w:val="bg-BG"/>
        </w:rPr>
        <w:t>тъй като</w:t>
      </w:r>
      <w:r w:rsidR="00A03036">
        <w:rPr>
          <w:lang w:val="bg-BG"/>
        </w:rPr>
        <w:t>,</w:t>
      </w:r>
      <w:r w:rsidRPr="00DE75C6">
        <w:rPr>
          <w:lang w:val="bg-BG"/>
        </w:rPr>
        <w:t xml:space="preserve"> наред с другото, съдебните производства срещу юридически лица са по-бързи и по-гъвкави и</w:t>
      </w:r>
      <w:r w:rsidR="00DE75C6">
        <w:rPr>
          <w:lang w:val="bg-BG"/>
        </w:rPr>
        <w:t xml:space="preserve"> могат да продължат независимо от</w:t>
      </w:r>
      <w:r w:rsidRPr="00DE75C6">
        <w:rPr>
          <w:lang w:val="bg-BG"/>
        </w:rPr>
        <w:t xml:space="preserve"> случаите, </w:t>
      </w:r>
      <w:r w:rsidR="00DE75C6">
        <w:rPr>
          <w:lang w:val="bg-BG"/>
        </w:rPr>
        <w:t>в които</w:t>
      </w:r>
      <w:r w:rsidRPr="00DE75C6">
        <w:rPr>
          <w:lang w:val="bg-BG"/>
        </w:rPr>
        <w:t xml:space="preserve"> физическото лице по-късно е оправдано</w:t>
      </w:r>
      <w:r w:rsidR="0047749A" w:rsidRPr="00DE75C6">
        <w:rPr>
          <w:lang w:val="bg-BG"/>
        </w:rPr>
        <w:t>.</w:t>
      </w:r>
    </w:p>
    <w:p w14:paraId="691C4349" w14:textId="77777777" w:rsidR="0047749A" w:rsidRPr="008C08CD" w:rsidRDefault="00FB73FC" w:rsidP="002A05D6">
      <w:pPr>
        <w:pStyle w:val="Para"/>
        <w:rPr>
          <w:szCs w:val="20"/>
          <w:lang w:val="bg-BG"/>
        </w:rPr>
      </w:pPr>
      <w:r w:rsidRPr="008C08CD">
        <w:rPr>
          <w:lang w:val="bg-BG"/>
        </w:rPr>
        <w:t>Въпреки</w:t>
      </w:r>
      <w:r w:rsidR="00E74984">
        <w:rPr>
          <w:lang w:val="bg-BG"/>
        </w:rPr>
        <w:t xml:space="preserve"> </w:t>
      </w:r>
      <w:r w:rsidRPr="008C08CD">
        <w:rPr>
          <w:lang w:val="bg-BG"/>
        </w:rPr>
        <w:t xml:space="preserve">субсидиарния характер на </w:t>
      </w:r>
      <w:r w:rsidR="002E1674">
        <w:rPr>
          <w:lang w:val="bg-BG"/>
        </w:rPr>
        <w:t>производството срещу</w:t>
      </w:r>
      <w:r w:rsidR="002E1674" w:rsidRPr="008C08CD">
        <w:rPr>
          <w:lang w:val="bg-BG"/>
        </w:rPr>
        <w:t xml:space="preserve"> </w:t>
      </w:r>
      <w:r w:rsidRPr="008C08CD">
        <w:rPr>
          <w:lang w:val="bg-BG"/>
        </w:rPr>
        <w:t>юридически</w:t>
      </w:r>
      <w:r w:rsidR="00932C2D">
        <w:rPr>
          <w:lang w:val="bg-BG"/>
        </w:rPr>
        <w:t>те</w:t>
      </w:r>
      <w:r w:rsidRPr="008C08CD">
        <w:rPr>
          <w:lang w:val="bg-BG"/>
        </w:rPr>
        <w:t xml:space="preserve"> лица, </w:t>
      </w:r>
      <w:r w:rsidR="00932C2D">
        <w:rPr>
          <w:lang w:val="bg-BG"/>
        </w:rPr>
        <w:t xml:space="preserve">доказаталества, </w:t>
      </w:r>
      <w:r w:rsidRPr="008C08CD">
        <w:rPr>
          <w:lang w:val="bg-BG"/>
        </w:rPr>
        <w:t>събрани в наказателното производство срещу физически лица</w:t>
      </w:r>
      <w:r w:rsidR="00A03036">
        <w:rPr>
          <w:lang w:val="bg-BG"/>
        </w:rPr>
        <w:t xml:space="preserve"> </w:t>
      </w:r>
      <w:r w:rsidRPr="008C08CD">
        <w:rPr>
          <w:lang w:val="bg-BG"/>
        </w:rPr>
        <w:t xml:space="preserve">могат да бъдат използвани в </w:t>
      </w:r>
      <w:r w:rsidR="00A03036">
        <w:rPr>
          <w:lang w:val="bg-BG"/>
        </w:rPr>
        <w:t xml:space="preserve">производството </w:t>
      </w:r>
      <w:r w:rsidRPr="008C08CD">
        <w:rPr>
          <w:lang w:val="bg-BG"/>
        </w:rPr>
        <w:t>с</w:t>
      </w:r>
      <w:r w:rsidR="00932C2D">
        <w:rPr>
          <w:lang w:val="bg-BG"/>
        </w:rPr>
        <w:t>рещу</w:t>
      </w:r>
      <w:r w:rsidRPr="008C08CD">
        <w:rPr>
          <w:lang w:val="bg-BG"/>
        </w:rPr>
        <w:t xml:space="preserve"> юридически лица (член 83б, параграф 2.6 от ЗАНН). България представ</w:t>
      </w:r>
      <w:r w:rsidR="00932C2D">
        <w:rPr>
          <w:lang w:val="bg-BG"/>
        </w:rPr>
        <w:t>и</w:t>
      </w:r>
      <w:r w:rsidRPr="008C08CD">
        <w:rPr>
          <w:lang w:val="bg-BG"/>
        </w:rPr>
        <w:t xml:space="preserve"> съдебни решения, които потвърждават, че „доказа</w:t>
      </w:r>
      <w:r w:rsidR="00932C2D">
        <w:rPr>
          <w:lang w:val="bg-BG"/>
        </w:rPr>
        <w:t>телстве</w:t>
      </w:r>
      <w:r w:rsidRPr="008C08CD">
        <w:rPr>
          <w:lang w:val="bg-BG"/>
        </w:rPr>
        <w:t xml:space="preserve">ната дейност на съда, </w:t>
      </w:r>
      <w:r w:rsidR="00932C2D">
        <w:rPr>
          <w:lang w:val="bg-BG"/>
        </w:rPr>
        <w:t>който се прознася по предложението на прокурора</w:t>
      </w:r>
      <w:r w:rsidRPr="008C08CD">
        <w:rPr>
          <w:lang w:val="bg-BG"/>
        </w:rPr>
        <w:t xml:space="preserve"> </w:t>
      </w:r>
      <w:r w:rsidR="00932C2D">
        <w:rPr>
          <w:lang w:val="bg-BG"/>
        </w:rPr>
        <w:t>за</w:t>
      </w:r>
      <w:r w:rsidRPr="008C08CD">
        <w:rPr>
          <w:lang w:val="bg-BG"/>
        </w:rPr>
        <w:t xml:space="preserve"> налагане на санкции на юридическо лице, не може да бъде изолирана от доказателств</w:t>
      </w:r>
      <w:r w:rsidR="00932C2D">
        <w:rPr>
          <w:lang w:val="bg-BG"/>
        </w:rPr>
        <w:t>ените материали</w:t>
      </w:r>
      <w:r w:rsidRPr="008C08CD">
        <w:rPr>
          <w:lang w:val="bg-BG"/>
        </w:rPr>
        <w:t xml:space="preserve"> по наказателно производство срещу физически лица“</w:t>
      </w:r>
      <w:r w:rsidR="0047749A" w:rsidRPr="008C08CD">
        <w:rPr>
          <w:szCs w:val="20"/>
          <w:lang w:val="bg-BG"/>
        </w:rPr>
        <w:t>.</w:t>
      </w:r>
      <w:r w:rsidR="0047749A" w:rsidRPr="0047749A">
        <w:rPr>
          <w:szCs w:val="20"/>
          <w:vertAlign w:val="superscript"/>
        </w:rPr>
        <w:footnoteReference w:id="46"/>
      </w:r>
      <w:r w:rsidR="0047749A" w:rsidRPr="008C08CD">
        <w:rPr>
          <w:szCs w:val="20"/>
          <w:lang w:val="bg-BG"/>
        </w:rPr>
        <w:t xml:space="preserve"> </w:t>
      </w:r>
      <w:r w:rsidRPr="008C08CD">
        <w:rPr>
          <w:szCs w:val="20"/>
          <w:lang w:val="bg-BG"/>
        </w:rPr>
        <w:t xml:space="preserve">По </w:t>
      </w:r>
      <w:r w:rsidR="00673F1F" w:rsidRPr="008C08CD">
        <w:rPr>
          <w:szCs w:val="20"/>
          <w:lang w:val="bg-BG"/>
        </w:rPr>
        <w:t>Фаза</w:t>
      </w:r>
      <w:r w:rsidRPr="008C08CD">
        <w:rPr>
          <w:szCs w:val="20"/>
          <w:lang w:val="bg-BG"/>
        </w:rPr>
        <w:t xml:space="preserve"> 3 България допълнително предви</w:t>
      </w:r>
      <w:r w:rsidR="00932C2D">
        <w:rPr>
          <w:szCs w:val="20"/>
          <w:lang w:val="bg-BG"/>
        </w:rPr>
        <w:t>ди</w:t>
      </w:r>
      <w:r w:rsidRPr="008C08CD">
        <w:rPr>
          <w:szCs w:val="20"/>
          <w:lang w:val="bg-BG"/>
        </w:rPr>
        <w:t>, че факти, установени от съда в наказателното про</w:t>
      </w:r>
      <w:r w:rsidR="00A03036">
        <w:rPr>
          <w:szCs w:val="20"/>
          <w:lang w:val="bg-BG"/>
        </w:rPr>
        <w:t>изводство срещу физически лица са задължителни за съда</w:t>
      </w:r>
      <w:r w:rsidRPr="008C08CD">
        <w:rPr>
          <w:szCs w:val="20"/>
          <w:lang w:val="bg-BG"/>
        </w:rPr>
        <w:t>, ко</w:t>
      </w:r>
      <w:r w:rsidR="00932C2D">
        <w:rPr>
          <w:szCs w:val="20"/>
          <w:lang w:val="bg-BG"/>
        </w:rPr>
        <w:t>й</w:t>
      </w:r>
      <w:r w:rsidRPr="008C08CD">
        <w:rPr>
          <w:szCs w:val="20"/>
          <w:lang w:val="bg-BG"/>
        </w:rPr>
        <w:t xml:space="preserve">то разглежда </w:t>
      </w:r>
      <w:r w:rsidR="00932C2D">
        <w:rPr>
          <w:szCs w:val="20"/>
          <w:lang w:val="bg-BG"/>
        </w:rPr>
        <w:t xml:space="preserve">делото </w:t>
      </w:r>
      <w:r w:rsidRPr="008C08CD">
        <w:rPr>
          <w:szCs w:val="20"/>
          <w:lang w:val="bg-BG"/>
        </w:rPr>
        <w:t xml:space="preserve">срещу юридически лица по ЗАНН. </w:t>
      </w:r>
    </w:p>
    <w:p w14:paraId="7C4E48C4" w14:textId="77777777" w:rsidR="0047749A" w:rsidRPr="00FB73FC" w:rsidRDefault="00FB73FC" w:rsidP="005330C7">
      <w:pPr>
        <w:pStyle w:val="Commentary"/>
        <w:rPr>
          <w:noProof/>
          <w:color w:val="4E81BD" w:themeColor="accent1"/>
          <w:lang w:val="bg-BG"/>
        </w:rPr>
      </w:pPr>
      <w:r>
        <w:rPr>
          <w:noProof/>
          <w:color w:val="4E81BD" w:themeColor="accent1"/>
          <w:lang w:val="bg-BG"/>
        </w:rPr>
        <w:t>Коментар</w:t>
      </w:r>
    </w:p>
    <w:p w14:paraId="624A9411" w14:textId="77777777" w:rsidR="0047749A" w:rsidRPr="008C08CD" w:rsidRDefault="00FB73FC" w:rsidP="005330C7">
      <w:pPr>
        <w:pStyle w:val="Commentary"/>
        <w:rPr>
          <w:noProof/>
          <w:lang w:val="bg-BG"/>
        </w:rPr>
      </w:pPr>
      <w:r w:rsidRPr="008C08CD">
        <w:rPr>
          <w:noProof/>
          <w:lang w:val="bg-BG"/>
        </w:rPr>
        <w:lastRenderedPageBreak/>
        <w:t>Водещите проверители препоръчват, когато е целесъобразно, България да обмисли комбинирането на производства срещу физически и юридически лица</w:t>
      </w:r>
      <w:r w:rsidR="00260478">
        <w:rPr>
          <w:noProof/>
          <w:lang w:val="bg-BG"/>
        </w:rPr>
        <w:t xml:space="preserve"> за едно и също престъпление</w:t>
      </w:r>
      <w:r w:rsidRPr="008C08CD">
        <w:rPr>
          <w:noProof/>
          <w:lang w:val="bg-BG"/>
        </w:rPr>
        <w:t>, следвайки практиката на някои други членове на Работната група с ненаказателна корпоративна отговорност</w:t>
      </w:r>
      <w:r w:rsidR="0047749A" w:rsidRPr="008C08CD">
        <w:rPr>
          <w:noProof/>
          <w:lang w:val="bg-BG"/>
        </w:rPr>
        <w:t>.</w:t>
      </w:r>
    </w:p>
    <w:p w14:paraId="621F3C98" w14:textId="77777777" w:rsidR="0047749A" w:rsidRPr="008C08CD" w:rsidRDefault="00F56270" w:rsidP="002A05D6">
      <w:pPr>
        <w:pStyle w:val="Heading4"/>
        <w:rPr>
          <w:lang w:val="bg-BG"/>
        </w:rPr>
      </w:pPr>
      <w:r>
        <w:rPr>
          <w:lang w:val="bg-BG"/>
        </w:rPr>
        <w:t>Съществуващи</w:t>
      </w:r>
      <w:r w:rsidR="00FB73FC" w:rsidRPr="008C08CD">
        <w:rPr>
          <w:lang w:val="bg-BG"/>
        </w:rPr>
        <w:t xml:space="preserve"> инструменти за разследване в производства срещу юридически лица</w:t>
      </w:r>
    </w:p>
    <w:p w14:paraId="63648D0D" w14:textId="77777777" w:rsidR="0047749A" w:rsidRPr="008C08CD" w:rsidRDefault="00FB73FC" w:rsidP="00CA7C0B">
      <w:pPr>
        <w:pStyle w:val="Para"/>
        <w:rPr>
          <w:lang w:val="bg-BG"/>
        </w:rPr>
      </w:pPr>
      <w:r w:rsidRPr="008C08CD">
        <w:rPr>
          <w:lang w:val="bg-BG"/>
        </w:rPr>
        <w:t xml:space="preserve">По </w:t>
      </w:r>
      <w:r w:rsidR="00673F1F" w:rsidRPr="008C08CD">
        <w:rPr>
          <w:lang w:val="bg-BG"/>
        </w:rPr>
        <w:t>Фаза</w:t>
      </w:r>
      <w:r w:rsidRPr="008C08CD">
        <w:rPr>
          <w:lang w:val="bg-BG"/>
        </w:rPr>
        <w:t xml:space="preserve"> 3 Работната група установи, че обхватът на средствата за разследване в производства срещу юридически лица е ограничен. По това време България посочи, че чл</w:t>
      </w:r>
      <w:r w:rsidR="00B94192">
        <w:rPr>
          <w:lang w:val="bg-BG"/>
        </w:rPr>
        <w:t>.</w:t>
      </w:r>
      <w:r w:rsidRPr="008C08CD">
        <w:rPr>
          <w:lang w:val="bg-BG"/>
        </w:rPr>
        <w:t xml:space="preserve"> 84 от ЗАНН допуска изброени инструменти, включително „ограничаване и </w:t>
      </w:r>
      <w:r w:rsidR="0064621E" w:rsidRPr="008C08CD">
        <w:rPr>
          <w:lang w:val="bg-BG"/>
        </w:rPr>
        <w:t>отнемане</w:t>
      </w:r>
      <w:r w:rsidRPr="008C08CD">
        <w:rPr>
          <w:lang w:val="bg-BG"/>
        </w:rPr>
        <w:t xml:space="preserve"> на движимо имущество“ и призоваване на свидетели, докато специални разузнавателни средства могат да се използват само срещу физически лица. Работната група препоръча на България да гарантира, че пълният набор от инструменти за разследване в НПК </w:t>
      </w:r>
      <w:r w:rsidR="007E0810">
        <w:rPr>
          <w:lang w:val="bg-BG"/>
        </w:rPr>
        <w:t>ще бъде</w:t>
      </w:r>
      <w:r w:rsidRPr="008C08CD">
        <w:rPr>
          <w:lang w:val="bg-BG"/>
        </w:rPr>
        <w:t xml:space="preserve"> достъп</w:t>
      </w:r>
      <w:r w:rsidR="007E0810">
        <w:rPr>
          <w:lang w:val="bg-BG"/>
        </w:rPr>
        <w:t>ен</w:t>
      </w:r>
      <w:r w:rsidRPr="008C08CD">
        <w:rPr>
          <w:lang w:val="bg-BG"/>
        </w:rPr>
        <w:t xml:space="preserve"> в производства ср</w:t>
      </w:r>
      <w:r w:rsidR="00B94192">
        <w:rPr>
          <w:lang w:val="bg-BG"/>
        </w:rPr>
        <w:t xml:space="preserve">ещу юридически лица (препоръка 2б, </w:t>
      </w:r>
      <w:r w:rsidR="00932C2D">
        <w:rPr>
          <w:lang w:val="bg-BG"/>
        </w:rPr>
        <w:t>втора част</w:t>
      </w:r>
      <w:r w:rsidRPr="008C08CD">
        <w:rPr>
          <w:lang w:val="bg-BG"/>
        </w:rPr>
        <w:t>), но двугодишният писмен доклад</w:t>
      </w:r>
      <w:r w:rsidR="007E0810">
        <w:rPr>
          <w:lang w:val="bg-BG"/>
        </w:rPr>
        <w:t xml:space="preserve"> за преглед на изпълнението на препоръките по фаза 3</w:t>
      </w:r>
      <w:r w:rsidRPr="008C08CD">
        <w:rPr>
          <w:lang w:val="bg-BG"/>
        </w:rPr>
        <w:t xml:space="preserve"> установи, че България не е </w:t>
      </w:r>
      <w:r w:rsidR="007E0810">
        <w:rPr>
          <w:lang w:val="bg-BG"/>
        </w:rPr>
        <w:t>изпълнила</w:t>
      </w:r>
      <w:r w:rsidRPr="008C08CD">
        <w:rPr>
          <w:lang w:val="bg-BG"/>
        </w:rPr>
        <w:t xml:space="preserve"> препоръката</w:t>
      </w:r>
      <w:r w:rsidR="0047749A" w:rsidRPr="008C08CD">
        <w:rPr>
          <w:lang w:val="bg-BG"/>
        </w:rPr>
        <w:t>.</w:t>
      </w:r>
    </w:p>
    <w:p w14:paraId="238412E7" w14:textId="546FEAB3" w:rsidR="0047749A" w:rsidRPr="008C08CD" w:rsidRDefault="007A0D99" w:rsidP="002A05D6">
      <w:pPr>
        <w:pStyle w:val="Para"/>
        <w:rPr>
          <w:lang w:val="bg-BG"/>
        </w:rPr>
      </w:pPr>
      <w:r w:rsidRPr="008C08CD">
        <w:rPr>
          <w:lang w:val="bg-BG"/>
        </w:rPr>
        <w:t xml:space="preserve">По </w:t>
      </w:r>
      <w:r w:rsidR="00673F1F" w:rsidRPr="008C08CD">
        <w:rPr>
          <w:lang w:val="bg-BG"/>
        </w:rPr>
        <w:t>Фаза</w:t>
      </w:r>
      <w:r w:rsidRPr="008C08CD">
        <w:rPr>
          <w:lang w:val="bg-BG"/>
        </w:rPr>
        <w:t xml:space="preserve"> 4 България обърна позицията си </w:t>
      </w:r>
      <w:r w:rsidR="007E0810">
        <w:rPr>
          <w:lang w:val="bg-BG"/>
        </w:rPr>
        <w:t>от</w:t>
      </w:r>
      <w:r w:rsidRPr="008C08CD">
        <w:rPr>
          <w:lang w:val="bg-BG"/>
        </w:rPr>
        <w:t xml:space="preserve"> </w:t>
      </w:r>
      <w:r w:rsidR="00673F1F" w:rsidRPr="008C08CD">
        <w:rPr>
          <w:lang w:val="bg-BG"/>
        </w:rPr>
        <w:t>Фаза</w:t>
      </w:r>
      <w:r w:rsidRPr="008C08CD">
        <w:rPr>
          <w:lang w:val="bg-BG"/>
        </w:rPr>
        <w:t xml:space="preserve"> 3. Тя  посочва, че чл</w:t>
      </w:r>
      <w:r w:rsidR="00B94192">
        <w:rPr>
          <w:lang w:val="bg-BG"/>
        </w:rPr>
        <w:t>.</w:t>
      </w:r>
      <w:r w:rsidRPr="008C08CD">
        <w:rPr>
          <w:lang w:val="bg-BG"/>
        </w:rPr>
        <w:t xml:space="preserve"> 84 от ЗАНН не се прилага за юридически лица, тъй като е включен в глава 5, а не в глава 4 от ЗАНН, която </w:t>
      </w:r>
      <w:r w:rsidR="006B3AB3">
        <w:rPr>
          <w:lang w:val="bg-BG"/>
        </w:rPr>
        <w:t>се отнася</w:t>
      </w:r>
      <w:r w:rsidRPr="008C08CD">
        <w:rPr>
          <w:lang w:val="bg-BG"/>
        </w:rPr>
        <w:t xml:space="preserve"> за юридическите лица. Вместо това България твърди, че ЗАНН мълчи по отношение на инструментите за разследване, които са налични в производствата срещу юридически лица и че въпросът ще бъде ре</w:t>
      </w:r>
      <w:r w:rsidR="00B94192">
        <w:rPr>
          <w:lang w:val="bg-BG"/>
        </w:rPr>
        <w:t>гулиран от НПК по силата на чл.</w:t>
      </w:r>
      <w:r w:rsidRPr="008C08CD">
        <w:rPr>
          <w:lang w:val="bg-BG"/>
        </w:rPr>
        <w:t xml:space="preserve"> 83ж от ЗАНН. </w:t>
      </w:r>
      <w:r w:rsidR="00932C2D">
        <w:rPr>
          <w:lang w:val="bg-BG"/>
        </w:rPr>
        <w:t>Н</w:t>
      </w:r>
      <w:r w:rsidRPr="008C08CD">
        <w:rPr>
          <w:lang w:val="bg-BG"/>
        </w:rPr>
        <w:t>апример</w:t>
      </w:r>
      <w:r w:rsidR="00B94192">
        <w:rPr>
          <w:lang w:val="bg-BG"/>
        </w:rPr>
        <w:t>,</w:t>
      </w:r>
      <w:r w:rsidRPr="008C08CD">
        <w:rPr>
          <w:lang w:val="bg-BG"/>
        </w:rPr>
        <w:t xml:space="preserve"> прокуратурата </w:t>
      </w:r>
      <w:r w:rsidR="00EE7754">
        <w:rPr>
          <w:lang w:val="bg-BG"/>
        </w:rPr>
        <w:t>би могла</w:t>
      </w:r>
      <w:r w:rsidRPr="008C08CD">
        <w:rPr>
          <w:lang w:val="bg-BG"/>
        </w:rPr>
        <w:t xml:space="preserve"> да изпълни заповед за обиск в помещенията на юридическото лице</w:t>
      </w:r>
      <w:r w:rsidR="007E0810">
        <w:rPr>
          <w:lang w:val="bg-BG"/>
        </w:rPr>
        <w:t xml:space="preserve"> по реда на чл. 160, ал.1 и чл. 162, ал.4 от НПК</w:t>
      </w:r>
      <w:r w:rsidRPr="008C08CD">
        <w:rPr>
          <w:lang w:val="bg-BG"/>
        </w:rPr>
        <w:t>, да прихване телефони, регистрирани на юридическото лице</w:t>
      </w:r>
      <w:r w:rsidR="007E0810">
        <w:rPr>
          <w:lang w:val="bg-BG"/>
        </w:rPr>
        <w:t xml:space="preserve"> по реда на чл. 159, ал. 2 и чл. 172, ал.2 от НПК, независимо от това, че, както е посочено по-долу, специални разузнавателни средства не изглежда да могат да бъдат използвани в производството срещу юридическите лица</w:t>
      </w:r>
      <w:r w:rsidRPr="008C08CD">
        <w:rPr>
          <w:lang w:val="bg-BG"/>
        </w:rPr>
        <w:t xml:space="preserve">. </w:t>
      </w:r>
      <w:r w:rsidR="00B94192">
        <w:rPr>
          <w:lang w:val="bg-BG"/>
        </w:rPr>
        <w:t>България не предостави примери за конкретни случаи, в които средства за раз</w:t>
      </w:r>
      <w:r w:rsidR="006B3AB3">
        <w:rPr>
          <w:lang w:val="bg-BG"/>
        </w:rPr>
        <w:t>с</w:t>
      </w:r>
      <w:r w:rsidR="00B94192">
        <w:rPr>
          <w:lang w:val="bg-BG"/>
        </w:rPr>
        <w:t xml:space="preserve">ледване по НПК са били използвани в производства </w:t>
      </w:r>
      <w:r w:rsidR="006B3AB3">
        <w:rPr>
          <w:lang w:val="bg-BG"/>
        </w:rPr>
        <w:t xml:space="preserve">срещу </w:t>
      </w:r>
      <w:r w:rsidR="00B94192">
        <w:rPr>
          <w:lang w:val="bg-BG"/>
        </w:rPr>
        <w:t xml:space="preserve">юридически лица. </w:t>
      </w:r>
      <w:r w:rsidRPr="008C08CD">
        <w:rPr>
          <w:lang w:val="bg-BG"/>
        </w:rPr>
        <w:t>Както бе обсъдено по-горе, доказателствата, събрани в наказателното производство срещу физически лица, могат да бъдат използвани в производството срещу юридически лица и това трябва да смекчи някои от опасенията на Работната група</w:t>
      </w:r>
      <w:r w:rsidR="0047749A" w:rsidRPr="008C08CD">
        <w:rPr>
          <w:lang w:val="bg-BG"/>
        </w:rPr>
        <w:t xml:space="preserve">. </w:t>
      </w:r>
    </w:p>
    <w:p w14:paraId="1CD5DFF8" w14:textId="77777777" w:rsidR="0047749A" w:rsidRPr="00B94192" w:rsidRDefault="007A0D99" w:rsidP="00CA7C0B">
      <w:pPr>
        <w:pStyle w:val="Para"/>
        <w:rPr>
          <w:lang w:val="bg-BG"/>
        </w:rPr>
      </w:pPr>
      <w:r w:rsidRPr="008C08CD">
        <w:rPr>
          <w:lang w:val="bg-BG"/>
        </w:rPr>
        <w:t xml:space="preserve">По време на срещата представители на МП и Софийска градска прокуратура добавиха, че въпреки че инструментите за разследване </w:t>
      </w:r>
      <w:r w:rsidR="00B94192">
        <w:rPr>
          <w:lang w:val="bg-BG"/>
        </w:rPr>
        <w:t>по</w:t>
      </w:r>
      <w:r w:rsidRPr="008C08CD">
        <w:rPr>
          <w:lang w:val="bg-BG"/>
        </w:rPr>
        <w:t xml:space="preserve"> НПК са налични в производства срещу юридически лица, специални разузнавателни средства не са. </w:t>
      </w:r>
      <w:r w:rsidRPr="00B94192">
        <w:rPr>
          <w:lang w:val="bg-BG"/>
        </w:rPr>
        <w:t xml:space="preserve">Причините за тази разлика в третирането са неразбираеми. </w:t>
      </w:r>
    </w:p>
    <w:p w14:paraId="53FDDB79" w14:textId="77777777" w:rsidR="0047749A" w:rsidRPr="007A0D99" w:rsidRDefault="007A0D99" w:rsidP="005330C7">
      <w:pPr>
        <w:pStyle w:val="Commentary"/>
        <w:rPr>
          <w:noProof/>
          <w:color w:val="4E81BD" w:themeColor="accent1"/>
          <w:lang w:val="bg-BG"/>
        </w:rPr>
      </w:pPr>
      <w:r>
        <w:rPr>
          <w:noProof/>
          <w:color w:val="4E81BD" w:themeColor="accent1"/>
          <w:lang w:val="bg-BG"/>
        </w:rPr>
        <w:t>Коментар</w:t>
      </w:r>
    </w:p>
    <w:p w14:paraId="4CD99B81" w14:textId="1BF3F53B" w:rsidR="0047749A" w:rsidRPr="008C08CD" w:rsidRDefault="007A0D99" w:rsidP="005330C7">
      <w:pPr>
        <w:pStyle w:val="Commentary"/>
        <w:rPr>
          <w:noProof/>
          <w:lang w:val="bg-BG"/>
        </w:rPr>
      </w:pPr>
      <w:r w:rsidRPr="008C08CD">
        <w:rPr>
          <w:noProof/>
          <w:lang w:val="bg-BG"/>
        </w:rPr>
        <w:t xml:space="preserve">Водещите проверители </w:t>
      </w:r>
      <w:r w:rsidR="00D16DE0">
        <w:rPr>
          <w:noProof/>
          <w:lang w:val="bg-BG"/>
        </w:rPr>
        <w:t xml:space="preserve">приемат разясненията на </w:t>
      </w:r>
      <w:r w:rsidR="00442101">
        <w:rPr>
          <w:noProof/>
          <w:lang w:val="bg-BG"/>
        </w:rPr>
        <w:t xml:space="preserve">България </w:t>
      </w:r>
      <w:r w:rsidRPr="008C08CD">
        <w:rPr>
          <w:noProof/>
          <w:lang w:val="bg-BG"/>
        </w:rPr>
        <w:t>относно наличието на инструменти за разследване в производства срещу юридически лица</w:t>
      </w:r>
      <w:r w:rsidR="00D16DE0">
        <w:rPr>
          <w:noProof/>
          <w:lang w:val="bg-BG"/>
        </w:rPr>
        <w:t>,</w:t>
      </w:r>
      <w:r w:rsidR="00442101">
        <w:rPr>
          <w:noProof/>
          <w:lang w:val="bg-BG"/>
        </w:rPr>
        <w:t xml:space="preserve"> но продължават да </w:t>
      </w:r>
      <w:r w:rsidR="00D16DE0">
        <w:rPr>
          <w:noProof/>
          <w:lang w:val="bg-BG"/>
        </w:rPr>
        <w:t xml:space="preserve">са </w:t>
      </w:r>
      <w:r w:rsidR="00442101">
        <w:rPr>
          <w:noProof/>
          <w:lang w:val="bg-BG"/>
        </w:rPr>
        <w:t>обезпокоени от невъзможността да бъде използван целия набор от инструменти за разследване в производства срещу юридически лица</w:t>
      </w:r>
      <w:r w:rsidRPr="008C08CD">
        <w:rPr>
          <w:noProof/>
          <w:lang w:val="bg-BG"/>
        </w:rPr>
        <w:t xml:space="preserve">. Те считат, че препоръка </w:t>
      </w:r>
      <w:r w:rsidR="006B3AB3">
        <w:rPr>
          <w:noProof/>
          <w:lang w:val="bg-BG"/>
        </w:rPr>
        <w:t xml:space="preserve">2 </w:t>
      </w:r>
      <w:r w:rsidRPr="008C08CD">
        <w:rPr>
          <w:noProof/>
          <w:lang w:val="bg-BG"/>
        </w:rPr>
        <w:t>(б) (</w:t>
      </w:r>
      <w:r w:rsidR="00442101">
        <w:rPr>
          <w:noProof/>
          <w:lang w:val="bg-BG"/>
        </w:rPr>
        <w:t>втора част</w:t>
      </w:r>
      <w:r w:rsidRPr="008C08CD">
        <w:rPr>
          <w:noProof/>
          <w:lang w:val="bg-BG"/>
        </w:rPr>
        <w:t xml:space="preserve">) </w:t>
      </w:r>
      <w:r w:rsidR="006B3AB3">
        <w:rPr>
          <w:noProof/>
          <w:lang w:val="bg-BG"/>
        </w:rPr>
        <w:t>от доклада по</w:t>
      </w:r>
      <w:r w:rsidR="006B3AB3" w:rsidRPr="008C08CD">
        <w:rPr>
          <w:noProof/>
          <w:lang w:val="bg-BG"/>
        </w:rPr>
        <w:t xml:space="preserve"> Фаза </w:t>
      </w:r>
      <w:r w:rsidR="006B3AB3">
        <w:rPr>
          <w:noProof/>
          <w:lang w:val="bg-BG"/>
        </w:rPr>
        <w:t xml:space="preserve">3 </w:t>
      </w:r>
      <w:r w:rsidRPr="008C08CD">
        <w:rPr>
          <w:noProof/>
          <w:lang w:val="bg-BG"/>
        </w:rPr>
        <w:t xml:space="preserve">остава неизпълнена и препоръчват на България да предприеме стъпки, за да гарантира, че пълният набор от инструменти за разследване </w:t>
      </w:r>
      <w:r w:rsidR="00B94192">
        <w:rPr>
          <w:noProof/>
          <w:lang w:val="bg-BG"/>
        </w:rPr>
        <w:t>по</w:t>
      </w:r>
      <w:r w:rsidRPr="008C08CD">
        <w:rPr>
          <w:noProof/>
          <w:lang w:val="bg-BG"/>
        </w:rPr>
        <w:t xml:space="preserve"> НПК, включително специални разузнавателни средства, </w:t>
      </w:r>
      <w:r w:rsidR="00442101">
        <w:rPr>
          <w:noProof/>
          <w:lang w:val="bg-BG"/>
        </w:rPr>
        <w:t>ще бъдат</w:t>
      </w:r>
      <w:r w:rsidRPr="008C08CD">
        <w:rPr>
          <w:noProof/>
          <w:lang w:val="bg-BG"/>
        </w:rPr>
        <w:t xml:space="preserve"> пряко достъпни в производства срещу юридически лица</w:t>
      </w:r>
      <w:r w:rsidR="0047749A" w:rsidRPr="008C08CD">
        <w:rPr>
          <w:noProof/>
          <w:lang w:val="bg-BG"/>
        </w:rPr>
        <w:t>.</w:t>
      </w:r>
    </w:p>
    <w:p w14:paraId="532F88F1" w14:textId="77777777" w:rsidR="0047749A" w:rsidRPr="0047749A" w:rsidRDefault="007A0D99" w:rsidP="002A05D6">
      <w:pPr>
        <w:pStyle w:val="Heading4"/>
        <w:rPr>
          <w:lang w:val="en"/>
        </w:rPr>
      </w:pPr>
      <w:r w:rsidRPr="007A0D99">
        <w:rPr>
          <w:lang w:val="en"/>
        </w:rPr>
        <w:t>Съдебни производства срещу юридически лица</w:t>
      </w:r>
    </w:p>
    <w:p w14:paraId="61A560A9" w14:textId="7913A216" w:rsidR="0047749A" w:rsidRPr="0047749A" w:rsidRDefault="007A0D99" w:rsidP="002A05D6">
      <w:pPr>
        <w:pStyle w:val="Para"/>
        <w:rPr>
          <w:b/>
          <w:u w:val="single"/>
        </w:rPr>
      </w:pPr>
      <w:r w:rsidRPr="007A0D99">
        <w:t xml:space="preserve">През </w:t>
      </w:r>
      <w:r w:rsidR="00442101">
        <w:rPr>
          <w:lang w:val="bg-BG"/>
        </w:rPr>
        <w:t>202</w:t>
      </w:r>
      <w:r w:rsidR="004A3939">
        <w:rPr>
          <w:lang w:val="bg-BG"/>
        </w:rPr>
        <w:t xml:space="preserve">0 </w:t>
      </w:r>
      <w:r w:rsidRPr="007A0D99">
        <w:t xml:space="preserve">г. България измени член 83б, </w:t>
      </w:r>
      <w:r w:rsidR="00B94192">
        <w:rPr>
          <w:lang w:val="bg-BG"/>
        </w:rPr>
        <w:t>ал.</w:t>
      </w:r>
      <w:r w:rsidRPr="007A0D99">
        <w:t xml:space="preserve"> 1 от ЗАНН, за да изясни, че компетентният съд за разглеждане на производства срещу юридически </w:t>
      </w:r>
      <w:r w:rsidRPr="00142DBC">
        <w:t>лица е</w:t>
      </w:r>
      <w:r w:rsidR="0047749A" w:rsidRPr="00142DBC">
        <w:t xml:space="preserve"> </w:t>
      </w:r>
      <w:r w:rsidR="00142DBC">
        <w:rPr>
          <w:lang w:val="bg-BG"/>
        </w:rPr>
        <w:t>о</w:t>
      </w:r>
      <w:r w:rsidRPr="00142DBC">
        <w:rPr>
          <w:lang w:val="bg-BG"/>
        </w:rPr>
        <w:t>кръжният</w:t>
      </w:r>
      <w:r w:rsidR="0047749A" w:rsidRPr="0047749A">
        <w:t xml:space="preserve"> </w:t>
      </w:r>
      <w:r w:rsidRPr="007A0D99">
        <w:t>съд</w:t>
      </w:r>
      <w:r w:rsidR="00142DBC">
        <w:rPr>
          <w:lang w:val="bg-BG"/>
        </w:rPr>
        <w:t xml:space="preserve"> по местоизвършване на </w:t>
      </w:r>
      <w:r w:rsidRPr="007A0D99">
        <w:t>престъплението. В случаите, когато юридическото лице не е регистрирано в България</w:t>
      </w:r>
      <w:r w:rsidR="00B94192">
        <w:rPr>
          <w:lang w:val="bg-BG"/>
        </w:rPr>
        <w:t xml:space="preserve"> </w:t>
      </w:r>
      <w:r w:rsidR="00CB3FE9">
        <w:rPr>
          <w:lang w:val="bg-BG"/>
        </w:rPr>
        <w:t xml:space="preserve">и </w:t>
      </w:r>
      <w:r w:rsidR="00CB3FE9" w:rsidRPr="007A0D99">
        <w:lastRenderedPageBreak/>
        <w:t>престъплението</w:t>
      </w:r>
      <w:r w:rsidRPr="007A0D99">
        <w:t xml:space="preserve"> е извършено на територията на България, компетентният съд, който трябва гледа делото, ще бъде Софийският градски съд. По този начин България </w:t>
      </w:r>
      <w:r w:rsidR="00142DBC">
        <w:rPr>
          <w:lang w:val="bg-BG"/>
        </w:rPr>
        <w:t>отразява</w:t>
      </w:r>
      <w:r w:rsidRPr="007A0D99">
        <w:t xml:space="preserve"> препоръка 2 (в) (</w:t>
      </w:r>
      <w:r w:rsidR="00142DBC">
        <w:rPr>
          <w:lang w:val="bg-BG"/>
        </w:rPr>
        <w:t>първа част</w:t>
      </w:r>
      <w:r w:rsidRPr="007A0D99">
        <w:t>)</w:t>
      </w:r>
      <w:r w:rsidR="00142DBC">
        <w:rPr>
          <w:lang w:val="bg-BG"/>
        </w:rPr>
        <w:t xml:space="preserve"> от доклада по</w:t>
      </w:r>
      <w:r w:rsidR="00142DBC" w:rsidRPr="007A0D99">
        <w:t xml:space="preserve"> </w:t>
      </w:r>
      <w:r w:rsidR="00142DBC">
        <w:t>Фаза</w:t>
      </w:r>
      <w:r w:rsidR="00142DBC" w:rsidRPr="007A0D99">
        <w:t xml:space="preserve"> 3, </w:t>
      </w:r>
      <w:r w:rsidRPr="007A0D99">
        <w:t>за да гарантира, че има ясна процесуална рамка, която идентифицира съда, компетентен да разглежда производства срещу юридически лица. Българските</w:t>
      </w:r>
      <w:r w:rsidR="00CB3FE9">
        <w:t xml:space="preserve"> власти по време на виртуалн</w:t>
      </w:r>
      <w:r w:rsidR="00CB3FE9">
        <w:rPr>
          <w:lang w:val="bg-BG"/>
        </w:rPr>
        <w:t xml:space="preserve">ото посещение </w:t>
      </w:r>
      <w:r w:rsidRPr="007A0D99">
        <w:t>допълниха, че делото ще се разглежда от наказателния отдел на окръжния съд. Както бе обсъдено по-горе, по едно и също дело се провеждат отделни съдебни производства за физически и юридически лица</w:t>
      </w:r>
      <w:r w:rsidR="00CB3FE9">
        <w:rPr>
          <w:lang w:val="bg-BG"/>
        </w:rPr>
        <w:t>.</w:t>
      </w:r>
    </w:p>
    <w:p w14:paraId="207A2ECE" w14:textId="26BA2B64" w:rsidR="0047749A" w:rsidRPr="00356025" w:rsidRDefault="00166FFB" w:rsidP="00142DBC">
      <w:pPr>
        <w:pStyle w:val="Para"/>
        <w:rPr>
          <w:lang w:val="bg-BG"/>
        </w:rPr>
      </w:pPr>
      <w:r w:rsidRPr="00166FFB">
        <w:t xml:space="preserve">Съдебното производство срещу юридическо лице може да започне едва след като </w:t>
      </w:r>
      <w:r w:rsidR="004B1783">
        <w:rPr>
          <w:lang w:val="bg-BG"/>
        </w:rPr>
        <w:t>юридическорто лице</w:t>
      </w:r>
      <w:r w:rsidRPr="00166FFB">
        <w:t xml:space="preserve"> бъде </w:t>
      </w:r>
      <w:r w:rsidR="00142DBC">
        <w:rPr>
          <w:lang w:val="bg-BG"/>
        </w:rPr>
        <w:t>редовно</w:t>
      </w:r>
      <w:r w:rsidR="004B1783" w:rsidRPr="004B1783">
        <w:t xml:space="preserve"> </w:t>
      </w:r>
      <w:r w:rsidR="004B1783" w:rsidRPr="00166FFB">
        <w:t>призован</w:t>
      </w:r>
      <w:r w:rsidR="004B1783">
        <w:rPr>
          <w:lang w:val="bg-BG"/>
        </w:rPr>
        <w:t>о</w:t>
      </w:r>
      <w:r w:rsidR="00142DBC" w:rsidRPr="00142DBC">
        <w:rPr>
          <w:lang w:val="bg-BG"/>
        </w:rPr>
        <w:t>. Според България връчването на призовки на юридическо лице се извършва срещу подпис на длъжностното лице, натоварено с приемането на документ</w:t>
      </w:r>
      <w:r w:rsidR="00356025">
        <w:rPr>
          <w:lang w:val="bg-BG"/>
        </w:rPr>
        <w:t>и (чл.</w:t>
      </w:r>
      <w:r w:rsidR="00142DBC">
        <w:rPr>
          <w:lang w:val="bg-BG"/>
        </w:rPr>
        <w:t xml:space="preserve"> 180, ал. 5 Н</w:t>
      </w:r>
      <w:r w:rsidR="00142DBC" w:rsidRPr="00142DBC">
        <w:rPr>
          <w:lang w:val="bg-BG"/>
        </w:rPr>
        <w:t xml:space="preserve">ПК) или </w:t>
      </w:r>
      <w:r w:rsidR="004A3939">
        <w:rPr>
          <w:lang w:val="bg-BG"/>
        </w:rPr>
        <w:t xml:space="preserve"> след юни 2021 г.  </w:t>
      </w:r>
      <w:r w:rsidR="00142DBC" w:rsidRPr="00142DBC">
        <w:rPr>
          <w:lang w:val="bg-BG"/>
        </w:rPr>
        <w:t>чрез електронно връчване на документи, като</w:t>
      </w:r>
      <w:r w:rsidR="00142DBC">
        <w:rPr>
          <w:lang w:val="bg-BG"/>
        </w:rPr>
        <w:t xml:space="preserve"> призовката е надлежно връчена</w:t>
      </w:r>
      <w:r w:rsidR="00142DBC" w:rsidRPr="00142DBC">
        <w:rPr>
          <w:lang w:val="bg-BG"/>
        </w:rPr>
        <w:t xml:space="preserve"> при изтеглянето на тези докум</w:t>
      </w:r>
      <w:r w:rsidR="00142DBC">
        <w:rPr>
          <w:lang w:val="bg-BG"/>
        </w:rPr>
        <w:t>енти ( чл</w:t>
      </w:r>
      <w:r w:rsidR="00356025">
        <w:rPr>
          <w:lang w:val="bg-BG"/>
        </w:rPr>
        <w:t>.</w:t>
      </w:r>
      <w:r w:rsidR="00142DBC">
        <w:rPr>
          <w:lang w:val="bg-BG"/>
        </w:rPr>
        <w:t xml:space="preserve"> 180, ал. 8 от Н</w:t>
      </w:r>
      <w:r w:rsidR="00142DBC" w:rsidRPr="00142DBC">
        <w:rPr>
          <w:lang w:val="bg-BG"/>
        </w:rPr>
        <w:t>ПК).</w:t>
      </w:r>
      <w:r w:rsidR="004A3939">
        <w:rPr>
          <w:lang w:val="bg-BG"/>
        </w:rPr>
        <w:t xml:space="preserve"> Все пак когато документите не бъдат изтеглени в рамките на  7 дни, тогава </w:t>
      </w:r>
      <w:r w:rsidR="006B3AB3">
        <w:rPr>
          <w:lang w:val="bg-BG"/>
        </w:rPr>
        <w:t xml:space="preserve">връчването на призовката </w:t>
      </w:r>
      <w:r w:rsidR="004A3939">
        <w:rPr>
          <w:lang w:val="bg-BG"/>
        </w:rPr>
        <w:t xml:space="preserve">се извършва </w:t>
      </w:r>
      <w:r w:rsidR="006B3AB3">
        <w:rPr>
          <w:lang w:val="bg-BG"/>
        </w:rPr>
        <w:t>по общия ред</w:t>
      </w:r>
      <w:r w:rsidR="004A3939">
        <w:rPr>
          <w:lang w:val="bg-BG"/>
        </w:rPr>
        <w:t xml:space="preserve">. </w:t>
      </w:r>
      <w:r w:rsidR="00142DBC" w:rsidRPr="00142DBC">
        <w:rPr>
          <w:lang w:val="bg-BG"/>
        </w:rPr>
        <w:t>Когато ю</w:t>
      </w:r>
      <w:r w:rsidR="00142DBC">
        <w:rPr>
          <w:lang w:val="bg-BG"/>
        </w:rPr>
        <w:t>ридическото лице е било редовно</w:t>
      </w:r>
      <w:r w:rsidR="00142DBC" w:rsidRPr="00142DBC">
        <w:rPr>
          <w:lang w:val="bg-BG"/>
        </w:rPr>
        <w:t xml:space="preserve"> призовано, неявяването на негов представител не възпрепятства разглеждането на делот</w:t>
      </w:r>
      <w:r w:rsidR="00142DBC">
        <w:rPr>
          <w:lang w:val="bg-BG"/>
        </w:rPr>
        <w:t>о (чл</w:t>
      </w:r>
      <w:r w:rsidR="00356025">
        <w:rPr>
          <w:lang w:val="bg-BG"/>
        </w:rPr>
        <w:t>.</w:t>
      </w:r>
      <w:r w:rsidR="00142DBC">
        <w:rPr>
          <w:lang w:val="bg-BG"/>
        </w:rPr>
        <w:t xml:space="preserve"> 83г, параграф 4 от ЗАНН</w:t>
      </w:r>
      <w:r w:rsidR="00142DBC" w:rsidRPr="00142DBC">
        <w:rPr>
          <w:lang w:val="bg-BG"/>
        </w:rPr>
        <w:t>).</w:t>
      </w:r>
      <w:r w:rsidR="0047749A" w:rsidRPr="008C08CD">
        <w:rPr>
          <w:lang w:val="bg-BG"/>
        </w:rPr>
        <w:t xml:space="preserve"> </w:t>
      </w:r>
      <w:r w:rsidR="00142DBC">
        <w:rPr>
          <w:lang w:val="bg-BG"/>
        </w:rPr>
        <w:t xml:space="preserve">Въпреки това, </w:t>
      </w:r>
      <w:r w:rsidRPr="008C08CD">
        <w:rPr>
          <w:lang w:val="bg-BG"/>
        </w:rPr>
        <w:t xml:space="preserve">според представителите на Софийска градска прокуратура е имало поне един случай, в който едноличният собственик и представител на юридическо лице е избягало в чужбина, </w:t>
      </w:r>
      <w:r w:rsidR="0018472C">
        <w:rPr>
          <w:lang w:val="bg-BG"/>
        </w:rPr>
        <w:t>веоятно за да избегне приемането на призовката и</w:t>
      </w:r>
      <w:r w:rsidRPr="008C08CD">
        <w:rPr>
          <w:lang w:val="bg-BG"/>
        </w:rPr>
        <w:t xml:space="preserve">да възпрепятства производството. </w:t>
      </w:r>
      <w:r w:rsidRPr="00356025">
        <w:rPr>
          <w:lang w:val="bg-BG"/>
        </w:rPr>
        <w:t xml:space="preserve">Това може да представлява значителна </w:t>
      </w:r>
      <w:r w:rsidR="004427AD">
        <w:rPr>
          <w:lang w:val="bg-BG"/>
        </w:rPr>
        <w:t>празнота</w:t>
      </w:r>
      <w:r w:rsidRPr="00356025">
        <w:rPr>
          <w:lang w:val="bg-BG"/>
        </w:rPr>
        <w:t xml:space="preserve"> в българската рамка</w:t>
      </w:r>
      <w:r w:rsidR="0047749A" w:rsidRPr="00356025">
        <w:rPr>
          <w:lang w:val="bg-BG"/>
        </w:rPr>
        <w:t>.</w:t>
      </w:r>
    </w:p>
    <w:p w14:paraId="0A624E89" w14:textId="77777777" w:rsidR="0047749A" w:rsidRPr="00166FFB" w:rsidRDefault="00166FFB" w:rsidP="005330C7">
      <w:pPr>
        <w:pStyle w:val="Commentary"/>
        <w:rPr>
          <w:noProof/>
          <w:color w:val="4E81BD" w:themeColor="accent1"/>
          <w:lang w:val="bg-BG"/>
        </w:rPr>
      </w:pPr>
      <w:r>
        <w:rPr>
          <w:noProof/>
          <w:color w:val="4E81BD" w:themeColor="accent1"/>
          <w:lang w:val="bg-BG"/>
        </w:rPr>
        <w:t>Коментар</w:t>
      </w:r>
    </w:p>
    <w:p w14:paraId="786B8BFF" w14:textId="1AA7336D" w:rsidR="0047749A" w:rsidRPr="004427AD" w:rsidRDefault="00035D2B" w:rsidP="005330C7">
      <w:pPr>
        <w:pStyle w:val="Commentary"/>
        <w:rPr>
          <w:noProof/>
          <w:lang w:val="bg-BG"/>
        </w:rPr>
      </w:pPr>
      <w:r w:rsidRPr="008C08CD">
        <w:rPr>
          <w:noProof/>
          <w:lang w:val="bg-BG"/>
        </w:rPr>
        <w:t xml:space="preserve">Водещите проверители приветстват изменението на член 83б, </w:t>
      </w:r>
      <w:r w:rsidR="004427AD">
        <w:rPr>
          <w:noProof/>
          <w:lang w:val="bg-BG"/>
        </w:rPr>
        <w:t>ал.</w:t>
      </w:r>
      <w:r w:rsidRPr="008C08CD">
        <w:rPr>
          <w:noProof/>
          <w:lang w:val="bg-BG"/>
        </w:rPr>
        <w:t xml:space="preserve"> 1 от ЗАНН, за да </w:t>
      </w:r>
      <w:r w:rsidR="004427AD">
        <w:rPr>
          <w:noProof/>
          <w:lang w:val="bg-BG"/>
        </w:rPr>
        <w:t xml:space="preserve">се </w:t>
      </w:r>
      <w:r w:rsidRPr="008C08CD">
        <w:rPr>
          <w:noProof/>
          <w:lang w:val="bg-BG"/>
        </w:rPr>
        <w:t>определ</w:t>
      </w:r>
      <w:r w:rsidR="004427AD">
        <w:rPr>
          <w:noProof/>
          <w:lang w:val="bg-BG"/>
        </w:rPr>
        <w:t>и</w:t>
      </w:r>
      <w:r w:rsidRPr="008C08CD">
        <w:rPr>
          <w:noProof/>
          <w:lang w:val="bg-BG"/>
        </w:rPr>
        <w:t xml:space="preserve"> съда, компетентен да разглежда производства срещу юридически лица, и считат, че препоръка 2 (</w:t>
      </w:r>
      <w:r w:rsidRPr="00035D2B">
        <w:rPr>
          <w:noProof/>
          <w:lang w:val="en"/>
        </w:rPr>
        <w:t>c</w:t>
      </w:r>
      <w:r w:rsidRPr="008C08CD">
        <w:rPr>
          <w:noProof/>
          <w:lang w:val="bg-BG"/>
        </w:rPr>
        <w:t>) (</w:t>
      </w:r>
      <w:r w:rsidR="004427AD">
        <w:rPr>
          <w:noProof/>
          <w:lang w:val="bg-BG"/>
        </w:rPr>
        <w:t>първа част</w:t>
      </w:r>
      <w:r w:rsidRPr="008C08CD">
        <w:rPr>
          <w:noProof/>
          <w:lang w:val="bg-BG"/>
        </w:rPr>
        <w:t xml:space="preserve">) </w:t>
      </w:r>
      <w:r w:rsidR="004427AD">
        <w:rPr>
          <w:noProof/>
          <w:lang w:val="bg-BG"/>
        </w:rPr>
        <w:t xml:space="preserve">от доклада </w:t>
      </w:r>
      <w:r w:rsidRPr="008C08CD">
        <w:rPr>
          <w:noProof/>
          <w:lang w:val="bg-BG"/>
        </w:rPr>
        <w:t xml:space="preserve">по </w:t>
      </w:r>
      <w:r w:rsidR="00673F1F" w:rsidRPr="008C08CD">
        <w:rPr>
          <w:noProof/>
          <w:lang w:val="bg-BG"/>
        </w:rPr>
        <w:t>Фаза</w:t>
      </w:r>
      <w:r w:rsidRPr="008C08CD">
        <w:rPr>
          <w:noProof/>
          <w:lang w:val="bg-BG"/>
        </w:rPr>
        <w:t xml:space="preserve"> 3 е изпълнена. Водещите проверители обаче изразяват загриженост относно</w:t>
      </w:r>
      <w:r w:rsidR="004A3939">
        <w:rPr>
          <w:noProof/>
          <w:lang w:val="bg-BG"/>
        </w:rPr>
        <w:t xml:space="preserve"> ограничените случаи, в които </w:t>
      </w:r>
      <w:r w:rsidR="0018472C">
        <w:rPr>
          <w:noProof/>
          <w:lang w:val="bg-BG"/>
        </w:rPr>
        <w:t xml:space="preserve">представителят на юридическото лице се счита за редовно </w:t>
      </w:r>
      <w:r w:rsidR="004E06F4">
        <w:rPr>
          <w:noProof/>
          <w:lang w:val="bg-BG"/>
        </w:rPr>
        <w:t>призовава</w:t>
      </w:r>
      <w:r w:rsidR="0018472C">
        <w:rPr>
          <w:noProof/>
          <w:lang w:val="bg-BG"/>
        </w:rPr>
        <w:t>н,</w:t>
      </w:r>
      <w:r w:rsidR="004E06F4">
        <w:rPr>
          <w:noProof/>
          <w:lang w:val="bg-BG"/>
        </w:rPr>
        <w:t xml:space="preserve"> </w:t>
      </w:r>
      <w:r w:rsidRPr="008C08CD">
        <w:rPr>
          <w:noProof/>
          <w:lang w:val="bg-BG"/>
        </w:rPr>
        <w:t xml:space="preserve">преди съдебното производство да </w:t>
      </w:r>
      <w:r w:rsidR="0018472C">
        <w:rPr>
          <w:noProof/>
          <w:lang w:val="bg-BG"/>
        </w:rPr>
        <w:t xml:space="preserve">може да </w:t>
      </w:r>
      <w:r w:rsidRPr="008C08CD">
        <w:rPr>
          <w:noProof/>
          <w:lang w:val="bg-BG"/>
        </w:rPr>
        <w:t>започне</w:t>
      </w:r>
      <w:r w:rsidR="004E06F4">
        <w:rPr>
          <w:noProof/>
          <w:lang w:val="bg-BG"/>
        </w:rPr>
        <w:t xml:space="preserve"> и препоръчват </w:t>
      </w:r>
      <w:r w:rsidR="0018472C">
        <w:rPr>
          <w:noProof/>
          <w:lang w:val="bg-BG"/>
        </w:rPr>
        <w:t xml:space="preserve">на </w:t>
      </w:r>
      <w:r w:rsidR="004E06F4">
        <w:rPr>
          <w:noProof/>
          <w:lang w:val="bg-BG"/>
        </w:rPr>
        <w:t xml:space="preserve">България да гарантира, че тези ограничени случаи </w:t>
      </w:r>
      <w:r w:rsidR="0018472C">
        <w:rPr>
          <w:noProof/>
          <w:lang w:val="bg-BG"/>
        </w:rPr>
        <w:t xml:space="preserve">не </w:t>
      </w:r>
      <w:r w:rsidR="004E06F4">
        <w:rPr>
          <w:noProof/>
          <w:lang w:val="bg-BG"/>
        </w:rPr>
        <w:t xml:space="preserve">представляват пречка пред редовното призоваване на юридически лица. </w:t>
      </w:r>
    </w:p>
    <w:p w14:paraId="50E6B89C" w14:textId="1B6C96E5" w:rsidR="00FF4DC6" w:rsidRDefault="00FF4DC6" w:rsidP="0004280F">
      <w:pPr>
        <w:pStyle w:val="Heading2"/>
        <w:rPr>
          <w:lang w:val="bg-BG"/>
        </w:rPr>
      </w:pPr>
      <w:r>
        <w:rPr>
          <w:lang w:val="bg-BG"/>
        </w:rPr>
        <w:t xml:space="preserve">Приложение на отговорността на юридическите лица в случаи на подкуп на </w:t>
      </w:r>
      <w:r w:rsidR="0018472C">
        <w:rPr>
          <w:lang w:val="bg-BG"/>
        </w:rPr>
        <w:t>чужди длъжностни лица и свързани престъпления</w:t>
      </w:r>
    </w:p>
    <w:p w14:paraId="3E4525FE" w14:textId="77777777" w:rsidR="0047749A" w:rsidRPr="008C08CD" w:rsidRDefault="008A46D1" w:rsidP="002A05D6">
      <w:pPr>
        <w:pStyle w:val="Para"/>
        <w:rPr>
          <w:lang w:val="bg-BG"/>
        </w:rPr>
      </w:pPr>
      <w:r w:rsidRPr="008C08CD">
        <w:rPr>
          <w:lang w:val="bg-BG"/>
        </w:rPr>
        <w:t xml:space="preserve">Към днешна дата България не е </w:t>
      </w:r>
      <w:r w:rsidR="00173000">
        <w:rPr>
          <w:lang w:val="bg-BG"/>
        </w:rPr>
        <w:t xml:space="preserve">санкционирала </w:t>
      </w:r>
      <w:r w:rsidRPr="008C08CD">
        <w:rPr>
          <w:lang w:val="bg-BG"/>
        </w:rPr>
        <w:t xml:space="preserve"> юридическо лице за подкуп на чужди или </w:t>
      </w:r>
      <w:r w:rsidR="00CB18AB">
        <w:rPr>
          <w:lang w:val="bg-BG"/>
        </w:rPr>
        <w:t>местни</w:t>
      </w:r>
      <w:r w:rsidRPr="008C08CD">
        <w:rPr>
          <w:lang w:val="bg-BG"/>
        </w:rPr>
        <w:t xml:space="preserve"> длъжностни лица. По </w:t>
      </w:r>
      <w:r w:rsidR="00673F1F" w:rsidRPr="008C08CD">
        <w:rPr>
          <w:lang w:val="bg-BG"/>
        </w:rPr>
        <w:t>Фаза</w:t>
      </w:r>
      <w:r w:rsidRPr="008C08CD">
        <w:rPr>
          <w:lang w:val="bg-BG"/>
        </w:rPr>
        <w:t xml:space="preserve"> 3 Работната група изрази сериозни опасения, че България е отделила малко внимание и ресурси за </w:t>
      </w:r>
      <w:r w:rsidR="00173000">
        <w:rPr>
          <w:lang w:val="bg-BG"/>
        </w:rPr>
        <w:t>санкциониране</w:t>
      </w:r>
      <w:r w:rsidRPr="008C08CD">
        <w:rPr>
          <w:lang w:val="bg-BG"/>
        </w:rPr>
        <w:t xml:space="preserve"> на юридически лица за умишлени престъпления, включително за подкуп на чужди длъжностни лица. По това време нито едно юридическо лице не е било </w:t>
      </w:r>
      <w:r w:rsidR="00173000">
        <w:rPr>
          <w:lang w:val="bg-BG"/>
        </w:rPr>
        <w:t>санкционирано</w:t>
      </w:r>
      <w:r w:rsidRPr="008C08CD">
        <w:rPr>
          <w:lang w:val="bg-BG"/>
        </w:rPr>
        <w:t xml:space="preserve"> за </w:t>
      </w:r>
      <w:r w:rsidR="00173000">
        <w:rPr>
          <w:lang w:val="bg-BG"/>
        </w:rPr>
        <w:t xml:space="preserve">каквото и да е </w:t>
      </w:r>
      <w:r w:rsidRPr="008C08CD">
        <w:rPr>
          <w:lang w:val="bg-BG"/>
        </w:rPr>
        <w:t xml:space="preserve">престъпление, включително за подкуп на чужди или </w:t>
      </w:r>
      <w:r w:rsidR="00CB18AB">
        <w:rPr>
          <w:lang w:val="bg-BG"/>
        </w:rPr>
        <w:t>местни</w:t>
      </w:r>
      <w:r w:rsidRPr="008C08CD">
        <w:rPr>
          <w:lang w:val="bg-BG"/>
        </w:rPr>
        <w:t xml:space="preserve"> длъжностни лица, въпреки п</w:t>
      </w:r>
      <w:r w:rsidR="00173000">
        <w:rPr>
          <w:lang w:val="bg-BG"/>
        </w:rPr>
        <w:t>остановените</w:t>
      </w:r>
      <w:r w:rsidRPr="008C08CD">
        <w:rPr>
          <w:lang w:val="bg-BG"/>
        </w:rPr>
        <w:t xml:space="preserve"> 563 присъди на физически лица за подкуп на </w:t>
      </w:r>
      <w:r w:rsidR="00CB18AB">
        <w:rPr>
          <w:lang w:val="bg-BG"/>
        </w:rPr>
        <w:t>местни</w:t>
      </w:r>
      <w:r w:rsidRPr="008C08CD">
        <w:rPr>
          <w:lang w:val="bg-BG"/>
        </w:rPr>
        <w:t xml:space="preserve"> длъжностни лица през 2005-2010 г. По </w:t>
      </w:r>
      <w:r w:rsidR="00673F1F" w:rsidRPr="008C08CD">
        <w:rPr>
          <w:lang w:val="bg-BG"/>
        </w:rPr>
        <w:t>Фаза</w:t>
      </w:r>
      <w:r w:rsidRPr="008C08CD">
        <w:rPr>
          <w:lang w:val="bg-BG"/>
        </w:rPr>
        <w:t xml:space="preserve"> 4 прилагането срещу юридически лица продължава да изостава значително. Нито едно юридическо лице не е </w:t>
      </w:r>
      <w:r w:rsidR="00173000">
        <w:rPr>
          <w:lang w:val="bg-BG"/>
        </w:rPr>
        <w:t xml:space="preserve">санкционирано </w:t>
      </w:r>
      <w:r w:rsidRPr="008C08CD">
        <w:rPr>
          <w:lang w:val="bg-BG"/>
        </w:rPr>
        <w:t xml:space="preserve">за подкуп на чужди или </w:t>
      </w:r>
      <w:r w:rsidR="00CB18AB">
        <w:rPr>
          <w:lang w:val="bg-BG"/>
        </w:rPr>
        <w:t>местни</w:t>
      </w:r>
      <w:r w:rsidRPr="008C08CD">
        <w:rPr>
          <w:lang w:val="bg-BG"/>
        </w:rPr>
        <w:t xml:space="preserve"> длъжностни лица и няма открити разследвания или преследвания на юриди</w:t>
      </w:r>
      <w:r w:rsidR="00CB18AB">
        <w:rPr>
          <w:lang w:val="bg-BG"/>
        </w:rPr>
        <w:t>чески лица за тези престъпления</w:t>
      </w:r>
      <w:r w:rsidRPr="008C08CD">
        <w:rPr>
          <w:lang w:val="bg-BG"/>
        </w:rPr>
        <w:t xml:space="preserve">. За сравнение, </w:t>
      </w:r>
      <w:r w:rsidR="00173000">
        <w:rPr>
          <w:lang w:val="bg-BG"/>
        </w:rPr>
        <w:t xml:space="preserve">след </w:t>
      </w:r>
      <w:r w:rsidR="00173000" w:rsidRPr="008C08CD">
        <w:rPr>
          <w:lang w:val="bg-BG"/>
        </w:rPr>
        <w:t xml:space="preserve"> Фаза 3</w:t>
      </w:r>
      <w:r w:rsidR="00173000">
        <w:rPr>
          <w:lang w:val="bg-BG"/>
        </w:rPr>
        <w:t xml:space="preserve"> </w:t>
      </w:r>
      <w:r w:rsidRPr="008C08CD">
        <w:rPr>
          <w:lang w:val="bg-BG"/>
        </w:rPr>
        <w:t>България е осъдила 1805 физически лица за актив</w:t>
      </w:r>
      <w:r w:rsidR="00CB18AB">
        <w:rPr>
          <w:lang w:val="bg-BG"/>
        </w:rPr>
        <w:t>е</w:t>
      </w:r>
      <w:r w:rsidRPr="008C08CD">
        <w:rPr>
          <w:lang w:val="bg-BG"/>
        </w:rPr>
        <w:t xml:space="preserve">н подкуп на </w:t>
      </w:r>
      <w:r w:rsidR="00CB18AB">
        <w:rPr>
          <w:lang w:val="bg-BG"/>
        </w:rPr>
        <w:t>местни</w:t>
      </w:r>
      <w:r w:rsidRPr="008C08CD">
        <w:rPr>
          <w:lang w:val="bg-BG"/>
        </w:rPr>
        <w:t xml:space="preserve"> длъжностни лица</w:t>
      </w:r>
      <w:r w:rsidR="0047749A" w:rsidRPr="008C08CD">
        <w:rPr>
          <w:lang w:val="bg-BG"/>
        </w:rPr>
        <w:t xml:space="preserve">. </w:t>
      </w:r>
    </w:p>
    <w:p w14:paraId="7DCF5BA2" w14:textId="77777777" w:rsidR="0047749A" w:rsidRPr="008C08CD" w:rsidRDefault="00864032" w:rsidP="002A05D6">
      <w:pPr>
        <w:pStyle w:val="Para"/>
        <w:rPr>
          <w:lang w:val="bg-BG"/>
        </w:rPr>
      </w:pPr>
      <w:r w:rsidRPr="008C08CD">
        <w:rPr>
          <w:lang w:val="bg-BG"/>
        </w:rPr>
        <w:t xml:space="preserve">През 2013-2020 г. България е </w:t>
      </w:r>
      <w:r w:rsidR="00173000">
        <w:rPr>
          <w:lang w:val="bg-BG"/>
        </w:rPr>
        <w:t xml:space="preserve">санкционирала </w:t>
      </w:r>
      <w:r w:rsidRPr="008C08CD">
        <w:rPr>
          <w:lang w:val="bg-BG"/>
        </w:rPr>
        <w:t>общо 130 юридически лица за вси</w:t>
      </w:r>
      <w:r w:rsidR="00173000">
        <w:rPr>
          <w:lang w:val="bg-BG"/>
        </w:rPr>
        <w:t>якакви</w:t>
      </w:r>
      <w:r w:rsidRPr="008C08CD">
        <w:rPr>
          <w:lang w:val="bg-BG"/>
        </w:rPr>
        <w:t xml:space="preserve"> видове престъпления. От тях по-голямата част от наказанията се отнасят до данъчни престъпления по чл. 255 от НК (74 юридически лица), </w:t>
      </w:r>
      <w:r w:rsidR="00173000">
        <w:rPr>
          <w:lang w:val="bg-BG"/>
        </w:rPr>
        <w:t>следвани от престъпления срещу</w:t>
      </w:r>
      <w:r w:rsidRPr="008C08CD">
        <w:rPr>
          <w:lang w:val="bg-BG"/>
        </w:rPr>
        <w:t xml:space="preserve"> интелектуална</w:t>
      </w:r>
      <w:r w:rsidR="00173000">
        <w:rPr>
          <w:lang w:val="bg-BG"/>
        </w:rPr>
        <w:t>та</w:t>
      </w:r>
      <w:r w:rsidRPr="008C08CD">
        <w:rPr>
          <w:lang w:val="bg-BG"/>
        </w:rPr>
        <w:t xml:space="preserve"> собственост по чл. 172б от НК (41 юридически лица). България заявява, че </w:t>
      </w:r>
      <w:r w:rsidR="005E64BE">
        <w:rPr>
          <w:lang w:val="bg-BG"/>
        </w:rPr>
        <w:t>след</w:t>
      </w:r>
      <w:r w:rsidR="005E64BE" w:rsidRPr="008C08CD">
        <w:rPr>
          <w:lang w:val="bg-BG"/>
        </w:rPr>
        <w:t xml:space="preserve"> Фаза 3 </w:t>
      </w:r>
      <w:r w:rsidRPr="008C08CD">
        <w:rPr>
          <w:lang w:val="bg-BG"/>
        </w:rPr>
        <w:t xml:space="preserve">е санкционирала редица юридически лица за фалшиво счетоводство и посочва, че те са </w:t>
      </w:r>
      <w:r w:rsidRPr="008C08CD">
        <w:rPr>
          <w:lang w:val="bg-BG"/>
        </w:rPr>
        <w:lastRenderedPageBreak/>
        <w:t xml:space="preserve">свързани с данъчни нарушения. При липса на статистически данни Работната група не може да оцени степента на прилагане на фалшивите счетоводни нарушения срещу юридически лица. Освен това България посочва, че никога не е наказвала юридическо лице за </w:t>
      </w:r>
      <w:r w:rsidR="00F03A26">
        <w:rPr>
          <w:lang w:val="bg-BG"/>
        </w:rPr>
        <w:t>изпиране</w:t>
      </w:r>
      <w:r w:rsidR="007208B2">
        <w:rPr>
          <w:lang w:val="bg-BG"/>
        </w:rPr>
        <w:t xml:space="preserve"> на пари с предикатно престъпление</w:t>
      </w:r>
      <w:r w:rsidRPr="008C08CD">
        <w:rPr>
          <w:lang w:val="bg-BG"/>
        </w:rPr>
        <w:t xml:space="preserve"> подкуп на чужди длъжностни лица или друго престъпление</w:t>
      </w:r>
      <w:r w:rsidR="0047749A" w:rsidRPr="008C08CD">
        <w:rPr>
          <w:lang w:val="bg-BG"/>
        </w:rPr>
        <w:t xml:space="preserve">. </w:t>
      </w:r>
    </w:p>
    <w:p w14:paraId="16FB584E" w14:textId="77777777" w:rsidR="0047749A" w:rsidRPr="00864032" w:rsidRDefault="00864032" w:rsidP="005330C7">
      <w:pPr>
        <w:pStyle w:val="Commentary"/>
        <w:rPr>
          <w:noProof/>
          <w:color w:val="4E81BD" w:themeColor="accent1"/>
          <w:lang w:val="bg-BG"/>
        </w:rPr>
      </w:pPr>
      <w:r>
        <w:rPr>
          <w:noProof/>
          <w:color w:val="4E81BD" w:themeColor="accent1"/>
          <w:lang w:val="bg-BG"/>
        </w:rPr>
        <w:t>Коментар</w:t>
      </w:r>
    </w:p>
    <w:p w14:paraId="437764F4" w14:textId="77777777" w:rsidR="0047749A" w:rsidRPr="008C08CD" w:rsidRDefault="00864032" w:rsidP="005330C7">
      <w:pPr>
        <w:pStyle w:val="Commentary"/>
        <w:rPr>
          <w:noProof/>
          <w:lang w:val="bg-BG"/>
        </w:rPr>
      </w:pPr>
      <w:r w:rsidRPr="008C08CD">
        <w:rPr>
          <w:noProof/>
          <w:lang w:val="bg-BG"/>
        </w:rPr>
        <w:t xml:space="preserve">Водещите проверители са загрижени, че нито едно юридическо лице никога не е било </w:t>
      </w:r>
      <w:r w:rsidR="001906AE">
        <w:rPr>
          <w:noProof/>
          <w:lang w:val="bg-BG"/>
        </w:rPr>
        <w:t>санкционирано</w:t>
      </w:r>
      <w:r w:rsidR="001906AE" w:rsidRPr="008C08CD">
        <w:rPr>
          <w:noProof/>
          <w:lang w:val="bg-BG"/>
        </w:rPr>
        <w:t xml:space="preserve"> </w:t>
      </w:r>
      <w:r w:rsidRPr="008C08CD">
        <w:rPr>
          <w:noProof/>
          <w:lang w:val="bg-BG"/>
        </w:rPr>
        <w:t xml:space="preserve">за подкуп на чужди длъжностни лица и свързани с него престъпления. Това е особено обезпокоително в икономическа среда, където след </w:t>
      </w:r>
      <w:r w:rsidR="00673F1F" w:rsidRPr="008C08CD">
        <w:rPr>
          <w:noProof/>
          <w:lang w:val="bg-BG"/>
        </w:rPr>
        <w:t>Фаза</w:t>
      </w:r>
      <w:r w:rsidRPr="008C08CD">
        <w:rPr>
          <w:noProof/>
          <w:lang w:val="bg-BG"/>
        </w:rPr>
        <w:t xml:space="preserve"> 3 се наблюдава значителен ръст на експортната активност, включително в области, признати като изложени на висок риск от подкуп на чужди длъжностни лица. Затова те препоръчват на България спешно да обърне внимание на прокурорите за важността </w:t>
      </w:r>
      <w:r w:rsidR="001906AE">
        <w:rPr>
          <w:noProof/>
          <w:lang w:val="bg-BG"/>
        </w:rPr>
        <w:t>от</w:t>
      </w:r>
      <w:r w:rsidR="001906AE" w:rsidRPr="008C08CD">
        <w:rPr>
          <w:noProof/>
          <w:lang w:val="bg-BG"/>
        </w:rPr>
        <w:t xml:space="preserve"> </w:t>
      </w:r>
      <w:r w:rsidRPr="008C08CD">
        <w:rPr>
          <w:noProof/>
          <w:lang w:val="bg-BG"/>
        </w:rPr>
        <w:t xml:space="preserve">предприемането на процедури за </w:t>
      </w:r>
      <w:r w:rsidR="001906AE">
        <w:rPr>
          <w:noProof/>
          <w:lang w:val="bg-BG"/>
        </w:rPr>
        <w:t>санкциониране</w:t>
      </w:r>
      <w:r w:rsidRPr="008C08CD">
        <w:rPr>
          <w:noProof/>
          <w:lang w:val="bg-BG"/>
        </w:rPr>
        <w:t xml:space="preserve"> на юридически лица за подкуп на чужди длъжностни лица, включително чрез засилване на програми за обучение по производства срещу юридически лица. Водещите проверители препоръчват също така Работната група да </w:t>
      </w:r>
      <w:r w:rsidR="006D0E39">
        <w:rPr>
          <w:noProof/>
          <w:lang w:val="bg-BG"/>
        </w:rPr>
        <w:t>проследи</w:t>
      </w:r>
      <w:r w:rsidRPr="008C08CD">
        <w:rPr>
          <w:noProof/>
          <w:lang w:val="bg-BG"/>
        </w:rPr>
        <w:t xml:space="preserve"> развитието на </w:t>
      </w:r>
      <w:r w:rsidR="00BD7082">
        <w:rPr>
          <w:noProof/>
          <w:lang w:val="bg-BG"/>
        </w:rPr>
        <w:t>юриспруденцията и практиката</w:t>
      </w:r>
      <w:r w:rsidRPr="008C08CD">
        <w:rPr>
          <w:noProof/>
          <w:lang w:val="bg-BG"/>
        </w:rPr>
        <w:t>, за да гарантира, че прокурорите проследяват активно производствата срещу юридически лица за подкуп на чужди длъжностни лица и свързани с тях престъпления</w:t>
      </w:r>
      <w:r w:rsidR="0047749A" w:rsidRPr="008C08CD">
        <w:rPr>
          <w:noProof/>
          <w:lang w:val="bg-BG"/>
        </w:rPr>
        <w:t>.</w:t>
      </w:r>
    </w:p>
    <w:p w14:paraId="5668BC75" w14:textId="2D922A46" w:rsidR="0047749A" w:rsidRPr="008C08CD" w:rsidRDefault="00F96FE6" w:rsidP="002A05D6">
      <w:pPr>
        <w:pStyle w:val="Heading2"/>
        <w:rPr>
          <w:lang w:val="bg-BG"/>
        </w:rPr>
      </w:pPr>
      <w:r>
        <w:rPr>
          <w:lang w:val="bg-BG"/>
        </w:rPr>
        <w:t>Санкции</w:t>
      </w:r>
      <w:r w:rsidR="00827D44" w:rsidRPr="008C08CD">
        <w:rPr>
          <w:lang w:val="bg-BG"/>
        </w:rPr>
        <w:t xml:space="preserve"> за юридически лица за подкуп на чужди длъжностни лица</w:t>
      </w:r>
    </w:p>
    <w:p w14:paraId="0B12A9DA" w14:textId="77777777" w:rsidR="0047749A" w:rsidRPr="0047749A" w:rsidRDefault="00F56270" w:rsidP="002A05D6">
      <w:pPr>
        <w:pStyle w:val="Heading3"/>
      </w:pPr>
      <w:r>
        <w:rPr>
          <w:lang w:val="bg-BG"/>
        </w:rPr>
        <w:t>Парични санкции</w:t>
      </w:r>
    </w:p>
    <w:p w14:paraId="660ABF66" w14:textId="77777777" w:rsidR="0047749A" w:rsidRPr="0047749A" w:rsidRDefault="00F56270" w:rsidP="002A05D6">
      <w:pPr>
        <w:pStyle w:val="Para"/>
        <w:rPr>
          <w:lang w:val="en-US"/>
        </w:rPr>
      </w:pPr>
      <w:r w:rsidRPr="00F56270">
        <w:t xml:space="preserve">По </w:t>
      </w:r>
      <w:r w:rsidR="00673F1F">
        <w:t>Фаза</w:t>
      </w:r>
      <w:r w:rsidRPr="00F56270">
        <w:t xml:space="preserve"> 3 паричните санкции срещу юридически лица за подкупване на чужди длъжностни лица в България зависят от естеството на облагата, която юридическото лице е </w:t>
      </w:r>
      <w:r w:rsidR="00BD7082">
        <w:rPr>
          <w:lang w:val="bg-BG"/>
        </w:rPr>
        <w:t>получило</w:t>
      </w:r>
      <w:r w:rsidRPr="00F56270">
        <w:t xml:space="preserve"> или би получило в резултат на престъплението. Ако облагата е с </w:t>
      </w:r>
      <w:r w:rsidR="00BD7082">
        <w:rPr>
          <w:lang w:val="bg-BG"/>
        </w:rPr>
        <w:t xml:space="preserve">имуществен </w:t>
      </w:r>
      <w:r w:rsidRPr="00F56270">
        <w:t xml:space="preserve">характер, тогава юридическото лице се наказва със санкция в размер до 1 милион лева (приблизително 510 000 евро), но не по-малка от </w:t>
      </w:r>
      <w:r w:rsidR="00BD7082">
        <w:rPr>
          <w:lang w:val="bg-BG"/>
        </w:rPr>
        <w:t>равно</w:t>
      </w:r>
      <w:r w:rsidRPr="00F56270">
        <w:t xml:space="preserve">стойността на облагата. Ако, от друга страна, облагата </w:t>
      </w:r>
      <w:r w:rsidR="00BD7082">
        <w:rPr>
          <w:lang w:val="bg-BG"/>
        </w:rPr>
        <w:t xml:space="preserve">няма имуществен </w:t>
      </w:r>
      <w:r w:rsidR="00D73E84" w:rsidRPr="00F56270">
        <w:t>характер или</w:t>
      </w:r>
      <w:r w:rsidRPr="00F56270">
        <w:t xml:space="preserve"> ако стойността на облагата не може да бъде установена, тогава юридическото лице се наказва със санкция от 5 000 до 100 000 лв. (Приблизително EUR 2 550 до 51 000). Работната група установи, че максималн</w:t>
      </w:r>
      <w:r w:rsidR="00BD7082">
        <w:rPr>
          <w:lang w:val="bg-BG"/>
        </w:rPr>
        <w:t>ите</w:t>
      </w:r>
      <w:r w:rsidRPr="00F56270">
        <w:t xml:space="preserve"> санкции за тази втора категория не са ефективни, пропорционални и възпиращи и препоръча </w:t>
      </w:r>
      <w:r w:rsidR="00BD7082">
        <w:rPr>
          <w:lang w:val="bg-BG"/>
        </w:rPr>
        <w:t xml:space="preserve">на </w:t>
      </w:r>
      <w:r w:rsidRPr="00F56270">
        <w:t>България съответно да ги увеличи (препоръка 3 (</w:t>
      </w:r>
      <w:r w:rsidR="00BD7082">
        <w:rPr>
          <w:lang w:val="bg-BG"/>
        </w:rPr>
        <w:t>в</w:t>
      </w:r>
      <w:r w:rsidRPr="00F56270">
        <w:t>)</w:t>
      </w:r>
      <w:r w:rsidR="0047749A" w:rsidRPr="0047749A">
        <w:rPr>
          <w:bCs/>
        </w:rPr>
        <w:t>).</w:t>
      </w:r>
      <w:r w:rsidR="0047749A" w:rsidRPr="0047749A">
        <w:t xml:space="preserve"> </w:t>
      </w:r>
    </w:p>
    <w:p w14:paraId="455D9687" w14:textId="77777777" w:rsidR="0047749A" w:rsidRPr="0047749A" w:rsidRDefault="00F56270" w:rsidP="002A05D6">
      <w:pPr>
        <w:pStyle w:val="Para"/>
      </w:pPr>
      <w:r w:rsidRPr="00F56270">
        <w:rPr>
          <w:lang w:val="en-US"/>
        </w:rPr>
        <w:t xml:space="preserve">През 2015 г. България измени член 83а, </w:t>
      </w:r>
      <w:r w:rsidR="00D73E84">
        <w:rPr>
          <w:lang w:val="bg-BG"/>
        </w:rPr>
        <w:t>ал.</w:t>
      </w:r>
      <w:r w:rsidRPr="00F56270">
        <w:rPr>
          <w:lang w:val="en-US"/>
        </w:rPr>
        <w:t xml:space="preserve"> 1 от ЗАНН, за да увеличи максималн</w:t>
      </w:r>
      <w:r w:rsidR="00BD7082">
        <w:rPr>
          <w:lang w:val="bg-BG"/>
        </w:rPr>
        <w:t>ия размер на</w:t>
      </w:r>
      <w:r w:rsidRPr="00F56270">
        <w:rPr>
          <w:lang w:val="en-US"/>
        </w:rPr>
        <w:t xml:space="preserve"> санкции</w:t>
      </w:r>
      <w:r w:rsidR="00BD7082">
        <w:rPr>
          <w:lang w:val="bg-BG"/>
        </w:rPr>
        <w:t>те</w:t>
      </w:r>
      <w:r w:rsidRPr="00F56270">
        <w:rPr>
          <w:lang w:val="en-US"/>
        </w:rPr>
        <w:t xml:space="preserve"> за юридически лица до 1 милион лева </w:t>
      </w:r>
      <w:r w:rsidR="00BD7082">
        <w:rPr>
          <w:lang w:val="bg-BG"/>
        </w:rPr>
        <w:t>и</w:t>
      </w:r>
      <w:r w:rsidRPr="00F56270">
        <w:rPr>
          <w:lang w:val="en-US"/>
        </w:rPr>
        <w:t xml:space="preserve"> в случаите, когато облагата н</w:t>
      </w:r>
      <w:r w:rsidR="00BD7082">
        <w:rPr>
          <w:lang w:val="bg-BG"/>
        </w:rPr>
        <w:t>яма имуществен характер</w:t>
      </w:r>
      <w:r w:rsidR="00D73E84">
        <w:rPr>
          <w:lang w:val="bg-BG"/>
        </w:rPr>
        <w:t xml:space="preserve"> </w:t>
      </w:r>
      <w:r w:rsidRPr="00F56270">
        <w:rPr>
          <w:lang w:val="en-US"/>
        </w:rPr>
        <w:t xml:space="preserve">или ако стойността на </w:t>
      </w:r>
      <w:r w:rsidR="00BD7082">
        <w:rPr>
          <w:lang w:val="bg-BG"/>
        </w:rPr>
        <w:t>облагата</w:t>
      </w:r>
      <w:r w:rsidRPr="00F56270">
        <w:rPr>
          <w:lang w:val="en-US"/>
        </w:rPr>
        <w:t xml:space="preserve"> не може да бъде установена. Въпреки че това увеличение е приветствано, максималните санкции срещу юридически лица</w:t>
      </w:r>
      <w:r w:rsidR="005F66E7">
        <w:rPr>
          <w:lang w:val="bg-BG"/>
        </w:rPr>
        <w:t>, налични</w:t>
      </w:r>
      <w:r w:rsidRPr="00F56270">
        <w:rPr>
          <w:lang w:val="en-US"/>
        </w:rPr>
        <w:t xml:space="preserve"> </w:t>
      </w:r>
      <w:r w:rsidR="005F66E7">
        <w:rPr>
          <w:lang w:val="bg-BG"/>
        </w:rPr>
        <w:t xml:space="preserve">в </w:t>
      </w:r>
      <w:r w:rsidR="005F66E7" w:rsidRPr="00F56270">
        <w:rPr>
          <w:lang w:val="en-US"/>
        </w:rPr>
        <w:t>България</w:t>
      </w:r>
      <w:r w:rsidR="005F66E7">
        <w:rPr>
          <w:lang w:val="bg-BG"/>
        </w:rPr>
        <w:t>,</w:t>
      </w:r>
      <w:r w:rsidR="005F66E7" w:rsidRPr="00F56270">
        <w:rPr>
          <w:lang w:val="en-US"/>
        </w:rPr>
        <w:t xml:space="preserve"> </w:t>
      </w:r>
      <w:r w:rsidRPr="00F56270">
        <w:rPr>
          <w:lang w:val="en-US"/>
        </w:rPr>
        <w:t>остават сред най-ниските, ако не и най-ниските, сред членовете на Работната група.</w:t>
      </w:r>
      <w:r w:rsidR="00F42E5E">
        <w:rPr>
          <w:rStyle w:val="FootnoteReference"/>
          <w:lang w:val="en-US"/>
        </w:rPr>
        <w:footnoteReference w:id="47"/>
      </w:r>
      <w:r w:rsidRPr="00F56270">
        <w:rPr>
          <w:lang w:val="en-US"/>
        </w:rPr>
        <w:t xml:space="preserve"> Фактът, че паричната санкция не може да бъде по-малка от стойността на облагата, може да облекчи някои от опасенията на Работната група, но тази гаранция се прилага само в случаите, когато облагата </w:t>
      </w:r>
      <w:r w:rsidR="005F66E7">
        <w:rPr>
          <w:lang w:val="bg-BG"/>
        </w:rPr>
        <w:t>има имуществен характер</w:t>
      </w:r>
      <w:r w:rsidRPr="00F56270">
        <w:rPr>
          <w:lang w:val="en-US"/>
        </w:rPr>
        <w:t>, и във всеки случай, санкцията е ограничена до 1 милион лева</w:t>
      </w:r>
      <w:r w:rsidR="00BD7082" w:rsidRPr="00BD7082">
        <w:rPr>
          <w:lang w:val="bg-BG"/>
        </w:rPr>
        <w:t xml:space="preserve">, дори когато </w:t>
      </w:r>
      <w:r w:rsidRPr="00BD7082">
        <w:rPr>
          <w:i/>
        </w:rPr>
        <w:t>облагата е повече от 1 милион лева</w:t>
      </w:r>
      <w:r w:rsidR="0047749A" w:rsidRPr="00BD7082">
        <w:t>.</w:t>
      </w:r>
    </w:p>
    <w:p w14:paraId="32649727" w14:textId="77777777" w:rsidR="0047749A" w:rsidRPr="0047749A" w:rsidRDefault="00F56270" w:rsidP="002A05D6">
      <w:pPr>
        <w:pStyle w:val="Para"/>
      </w:pPr>
      <w:r w:rsidRPr="00F56270">
        <w:t xml:space="preserve">Освен това, при липса на приключило дело за подкупване на чужди длъжностни лица срещу юридическо лице, Работната група не може да прецени дали България налага ефективни, </w:t>
      </w:r>
      <w:r w:rsidRPr="00F56270">
        <w:lastRenderedPageBreak/>
        <w:t xml:space="preserve">пропорционални и възпиращи санкции срещу юридически лица на практика. Санкциите, наложени срещу юридически лица за други престъпления, са твърде ниски, макар и с ограничена стойност за целите на тази оценка, тъй като България не предоставя информация за тежестта на престъпленията и </w:t>
      </w:r>
      <w:r w:rsidR="005F66E7">
        <w:rPr>
          <w:lang w:val="bg-BG"/>
        </w:rPr>
        <w:t>облагите</w:t>
      </w:r>
      <w:r w:rsidRPr="00F56270">
        <w:t>, получени или търсени от юридическото лице</w:t>
      </w:r>
      <w:r w:rsidR="0047749A" w:rsidRPr="0047749A">
        <w:t xml:space="preserve">. </w:t>
      </w:r>
    </w:p>
    <w:p w14:paraId="58079267" w14:textId="77777777" w:rsidR="0047749A" w:rsidRPr="00CF44F3" w:rsidRDefault="00F56270" w:rsidP="005330C7">
      <w:pPr>
        <w:pStyle w:val="Commentary"/>
        <w:rPr>
          <w:noProof/>
          <w:color w:val="4E81BD" w:themeColor="accent1"/>
          <w:lang w:val="en"/>
        </w:rPr>
      </w:pPr>
      <w:r>
        <w:rPr>
          <w:noProof/>
          <w:color w:val="4E81BD" w:themeColor="accent1"/>
          <w:lang w:val="bg-BG"/>
        </w:rPr>
        <w:t>Коментар</w:t>
      </w:r>
      <w:r w:rsidR="0047749A" w:rsidRPr="00CF44F3">
        <w:rPr>
          <w:noProof/>
          <w:color w:val="4E81BD" w:themeColor="accent1"/>
          <w:lang w:val="en"/>
        </w:rPr>
        <w:t xml:space="preserve"> </w:t>
      </w:r>
    </w:p>
    <w:p w14:paraId="35884E17" w14:textId="77777777" w:rsidR="0047749A" w:rsidRPr="0047749A" w:rsidRDefault="00050641" w:rsidP="005330C7">
      <w:pPr>
        <w:pStyle w:val="Commentary"/>
        <w:rPr>
          <w:noProof/>
          <w:lang w:val="en"/>
        </w:rPr>
      </w:pPr>
      <w:r w:rsidRPr="00050641">
        <w:rPr>
          <w:noProof/>
          <w:lang w:val="en"/>
        </w:rPr>
        <w:t>Водещите проверители отбелязват, че при липса на приключени дела за подкуп на чужди длъжностни лица и свързани с тях производства срещу юридически лица не е възможно да се прецени дали България налага на практика ефективни, пропорционални и възпиращи санкции срещу юридически лица. Водещите проверители обаче отбелязват, че максималн</w:t>
      </w:r>
      <w:r w:rsidR="005F66E7">
        <w:rPr>
          <w:noProof/>
          <w:lang w:val="bg-BG"/>
        </w:rPr>
        <w:t>ите</w:t>
      </w:r>
      <w:r w:rsidRPr="00050641">
        <w:rPr>
          <w:noProof/>
          <w:lang w:val="en"/>
        </w:rPr>
        <w:t xml:space="preserve"> санкции срещу юридически лица</w:t>
      </w:r>
      <w:r w:rsidR="005F66E7">
        <w:rPr>
          <w:noProof/>
          <w:lang w:val="bg-BG"/>
        </w:rPr>
        <w:t>, налични в България,</w:t>
      </w:r>
      <w:r w:rsidRPr="00050641">
        <w:rPr>
          <w:noProof/>
          <w:lang w:val="en"/>
        </w:rPr>
        <w:t xml:space="preserve"> остават сред най-ниските, ако не и най-ниските, сред членовете на Работната група и са твърде ниски, за да отговарят на стандартите на Конвенцията. Затова те препоръчват на България да увеличи максимално наличните санкции до ниво, което е ефективно, пропорционално и възпиращо, както се изисква от член 3 от Конвенцията. Те също така препоръчват на Работната група да проследи санкциите, наложени срещу юридически лица</w:t>
      </w:r>
      <w:r w:rsidR="005F66E7">
        <w:rPr>
          <w:noProof/>
          <w:lang w:val="bg-BG"/>
        </w:rPr>
        <w:t>,</w:t>
      </w:r>
      <w:r w:rsidRPr="00050641">
        <w:rPr>
          <w:noProof/>
          <w:lang w:val="en"/>
        </w:rPr>
        <w:t xml:space="preserve"> с развитието на съдебната практика</w:t>
      </w:r>
      <w:r w:rsidR="0047749A" w:rsidRPr="002A05D6">
        <w:t>.</w:t>
      </w:r>
    </w:p>
    <w:p w14:paraId="49288592" w14:textId="77777777" w:rsidR="0047749A" w:rsidRPr="0047749A" w:rsidRDefault="00050641" w:rsidP="002A05D6">
      <w:pPr>
        <w:pStyle w:val="Heading3"/>
      </w:pPr>
      <w:r>
        <w:rPr>
          <w:lang w:val="bg-BG"/>
        </w:rPr>
        <w:t>Допълнителни санкции</w:t>
      </w:r>
    </w:p>
    <w:p w14:paraId="32991B3D" w14:textId="77777777" w:rsidR="0047749A" w:rsidRPr="0047749A" w:rsidRDefault="00050641" w:rsidP="002A05D6">
      <w:pPr>
        <w:pStyle w:val="Para"/>
      </w:pPr>
      <w:r w:rsidRPr="00050641">
        <w:t xml:space="preserve">През 2016 г. България прие нов Закон за обществените поръчки и член 54, </w:t>
      </w:r>
      <w:r w:rsidR="005F66E7">
        <w:rPr>
          <w:lang w:val="bg-BG"/>
        </w:rPr>
        <w:t>ал.</w:t>
      </w:r>
      <w:r w:rsidRPr="00050641">
        <w:t xml:space="preserve"> 1 предвижда задължителното изключване на физически лица, осъдени за определени престъпления, включително за подкуп на чужди длъжностни лица, от </w:t>
      </w:r>
      <w:r w:rsidR="0002168F">
        <w:rPr>
          <w:lang w:val="bg-BG"/>
        </w:rPr>
        <w:t xml:space="preserve">участие в процедури по възлагане на </w:t>
      </w:r>
      <w:r w:rsidRPr="00050641">
        <w:t xml:space="preserve">договори за обществени поръчки. България заявява, че освобождаване от отговорност ще се прилага непряко за юридически лица чрез </w:t>
      </w:r>
      <w:r w:rsidR="005F66E7">
        <w:rPr>
          <w:lang w:val="bg-BG"/>
        </w:rPr>
        <w:t>изключване</w:t>
      </w:r>
      <w:r w:rsidRPr="00050641">
        <w:t xml:space="preserve"> на физическите лица, представляващи юридическото лице. Ако обаче физическото лице бъде освободено по-късно, юридическото лице все още би имало право да наддава за обществена поръчка. Тази позиция не отразява опасенията на Работната група, която по </w:t>
      </w:r>
      <w:r w:rsidR="00673F1F">
        <w:t>Фаза</w:t>
      </w:r>
      <w:r w:rsidRPr="00050641">
        <w:t xml:space="preserve"> 3 препоръча България да въведе правна разпоредба, която да позволява </w:t>
      </w:r>
      <w:r w:rsidR="005F66E7">
        <w:rPr>
          <w:lang w:val="bg-BG"/>
        </w:rPr>
        <w:t>изключване</w:t>
      </w:r>
      <w:r w:rsidR="005F66E7" w:rsidRPr="00050641">
        <w:t xml:space="preserve"> </w:t>
      </w:r>
      <w:r w:rsidRPr="00050641">
        <w:t>на юридически лица</w:t>
      </w:r>
      <w:r w:rsidR="0002168F">
        <w:rPr>
          <w:lang w:val="bg-BG"/>
        </w:rPr>
        <w:t xml:space="preserve"> </w:t>
      </w:r>
      <w:r w:rsidR="0002168F">
        <w:rPr>
          <w:noProof/>
          <w:lang w:val="bg-BG"/>
        </w:rPr>
        <w:t>от участие в процедури по възлагане на договори за обществени поръчки</w:t>
      </w:r>
      <w:r w:rsidRPr="00050641">
        <w:t xml:space="preserve"> (препоръка 12</w:t>
      </w:r>
      <w:r w:rsidR="0047749A" w:rsidRPr="0047749A">
        <w:t>).</w:t>
      </w:r>
    </w:p>
    <w:p w14:paraId="36B6CDE6" w14:textId="77777777" w:rsidR="0047749A" w:rsidRPr="00050641" w:rsidRDefault="00050641" w:rsidP="005330C7">
      <w:pPr>
        <w:pStyle w:val="Commentary"/>
        <w:rPr>
          <w:noProof/>
          <w:color w:val="4E81BD" w:themeColor="accent1"/>
          <w:lang w:val="bg-BG"/>
        </w:rPr>
      </w:pPr>
      <w:r>
        <w:rPr>
          <w:noProof/>
          <w:color w:val="4E81BD" w:themeColor="accent1"/>
          <w:lang w:val="bg-BG"/>
        </w:rPr>
        <w:t>Коментар</w:t>
      </w:r>
    </w:p>
    <w:p w14:paraId="1E05C91F" w14:textId="60FA21C9" w:rsidR="0047749A" w:rsidRPr="00572912" w:rsidRDefault="00050641" w:rsidP="005330C7">
      <w:pPr>
        <w:pStyle w:val="Commentary"/>
        <w:rPr>
          <w:noProof/>
          <w:lang w:val="bg-BG"/>
        </w:rPr>
      </w:pPr>
      <w:r w:rsidRPr="00572912">
        <w:rPr>
          <w:noProof/>
          <w:lang w:val="bg-BG"/>
        </w:rPr>
        <w:t xml:space="preserve">Водещите експерти считат, че препоръка 12 от </w:t>
      </w:r>
      <w:r w:rsidR="00673F1F" w:rsidRPr="00572912">
        <w:rPr>
          <w:noProof/>
          <w:lang w:val="bg-BG"/>
        </w:rPr>
        <w:t>Фаза</w:t>
      </w:r>
      <w:r w:rsidRPr="00572912">
        <w:rPr>
          <w:noProof/>
          <w:lang w:val="bg-BG"/>
        </w:rPr>
        <w:t xml:space="preserve"> 3 остава неизпълнена и препоръчват България приоритетно да промени законодателството си, за да позволи </w:t>
      </w:r>
      <w:r w:rsidR="00A43E18">
        <w:rPr>
          <w:noProof/>
          <w:lang w:val="bg-BG"/>
        </w:rPr>
        <w:t xml:space="preserve">преустановяване на участието или </w:t>
      </w:r>
      <w:r w:rsidR="005F66E7">
        <w:rPr>
          <w:noProof/>
          <w:lang w:val="bg-BG"/>
        </w:rPr>
        <w:t>изключване</w:t>
      </w:r>
      <w:r w:rsidRPr="00572912">
        <w:rPr>
          <w:noProof/>
          <w:lang w:val="bg-BG"/>
        </w:rPr>
        <w:t xml:space="preserve"> </w:t>
      </w:r>
      <w:r w:rsidR="00A43E18">
        <w:rPr>
          <w:noProof/>
          <w:lang w:val="bg-BG"/>
        </w:rPr>
        <w:t xml:space="preserve">от участие </w:t>
      </w:r>
      <w:r w:rsidRPr="00572912">
        <w:rPr>
          <w:noProof/>
          <w:lang w:val="bg-BG"/>
        </w:rPr>
        <w:t xml:space="preserve">на юридически лица </w:t>
      </w:r>
      <w:r w:rsidR="005F66E7">
        <w:rPr>
          <w:noProof/>
          <w:lang w:val="bg-BG"/>
        </w:rPr>
        <w:t>в пр</w:t>
      </w:r>
      <w:r w:rsidR="0002168F">
        <w:rPr>
          <w:noProof/>
          <w:lang w:val="bg-BG"/>
        </w:rPr>
        <w:t>оцедури по</w:t>
      </w:r>
      <w:r w:rsidR="005F66E7">
        <w:rPr>
          <w:noProof/>
          <w:lang w:val="bg-BG"/>
        </w:rPr>
        <w:t xml:space="preserve"> възлагане на </w:t>
      </w:r>
      <w:r w:rsidR="0002168F">
        <w:rPr>
          <w:noProof/>
          <w:lang w:val="bg-BG"/>
        </w:rPr>
        <w:t xml:space="preserve">договори за </w:t>
      </w:r>
      <w:r w:rsidR="005F66E7">
        <w:rPr>
          <w:noProof/>
          <w:lang w:val="bg-BG"/>
        </w:rPr>
        <w:t>обществени поръчки</w:t>
      </w:r>
      <w:r w:rsidR="004A0634">
        <w:rPr>
          <w:noProof/>
          <w:lang w:val="bg-BG"/>
        </w:rPr>
        <w:t>, в подходяща степен.</w:t>
      </w:r>
    </w:p>
    <w:p w14:paraId="5F01788F" w14:textId="77777777" w:rsidR="0047749A" w:rsidRPr="0047749A" w:rsidRDefault="00050641" w:rsidP="002A05D6">
      <w:pPr>
        <w:pStyle w:val="Heading3"/>
      </w:pPr>
      <w:r w:rsidRPr="00050641">
        <w:t>Изчисляване на санкции</w:t>
      </w:r>
    </w:p>
    <w:p w14:paraId="567AFF08" w14:textId="77777777" w:rsidR="0047749A" w:rsidRPr="0047749A" w:rsidRDefault="00050641" w:rsidP="002A05D6">
      <w:pPr>
        <w:pStyle w:val="Para"/>
      </w:pPr>
      <w:r w:rsidRPr="00050641">
        <w:t>П</w:t>
      </w:r>
      <w:r w:rsidR="005E4E1F">
        <w:t>рез 2020 г. България въведе чл</w:t>
      </w:r>
      <w:r w:rsidR="005E4E1F">
        <w:rPr>
          <w:lang w:val="bg-BG"/>
        </w:rPr>
        <w:t>.</w:t>
      </w:r>
      <w:r w:rsidRPr="00050641">
        <w:t xml:space="preserve"> 83а, </w:t>
      </w:r>
      <w:r w:rsidR="005E4E1F">
        <w:rPr>
          <w:lang w:val="bg-BG"/>
        </w:rPr>
        <w:t>ал.</w:t>
      </w:r>
      <w:r w:rsidRPr="00050641">
        <w:t xml:space="preserve"> 5 от ЗАНН (ДВ, бр. 109 от 2020 г., в сила от декември 2021 г.), за да формулира за първи път конкретни фактори, които съдилищата трябва да вземат предвид при определяне размера на санкциите срещу юридическо лице. Те включват: (i) тежестта на престъплението, (ii) финансовото състояние на юридическото лице, (iii) </w:t>
      </w:r>
      <w:r w:rsidR="00876E41">
        <w:rPr>
          <w:lang w:val="bg-BG"/>
        </w:rPr>
        <w:t>съдействието</w:t>
      </w:r>
      <w:r w:rsidRPr="00050641">
        <w:t xml:space="preserve"> за разкриване на престъплението и за </w:t>
      </w:r>
      <w:r w:rsidR="00876E41">
        <w:rPr>
          <w:lang w:val="bg-BG"/>
        </w:rPr>
        <w:t>възстановяване</w:t>
      </w:r>
      <w:r w:rsidRPr="00050641">
        <w:t xml:space="preserve"> на </w:t>
      </w:r>
      <w:r w:rsidR="00876E41">
        <w:rPr>
          <w:lang w:val="bg-BG"/>
        </w:rPr>
        <w:t>вредите</w:t>
      </w:r>
      <w:r w:rsidRPr="00050641">
        <w:t xml:space="preserve"> от престъплението, (iv) размер на облагата, и (v)  други обстоятелства. България заявява, че съществуването на вътрешен контрол, програми за етика и съответствие или мерки за предотвратяване и разкриване на </w:t>
      </w:r>
      <w:r w:rsidR="00601C5B" w:rsidRPr="00601C5B">
        <w:t>подкуп</w:t>
      </w:r>
      <w:r w:rsidR="005E4E1F">
        <w:rPr>
          <w:lang w:val="bg-BG"/>
        </w:rPr>
        <w:t>а</w:t>
      </w:r>
      <w:r w:rsidR="00601C5B" w:rsidRPr="00601C5B">
        <w:t xml:space="preserve"> на чужди длъжностни лица</w:t>
      </w:r>
      <w:r w:rsidRPr="00050641">
        <w:t xml:space="preserve"> може да се счита за „други обстоятелства“ и да се вземе предвид при определяне размера на санкциите срещу юридически лица</w:t>
      </w:r>
      <w:r w:rsidR="0047749A" w:rsidRPr="0047749A">
        <w:t>.</w:t>
      </w:r>
    </w:p>
    <w:p w14:paraId="4796C420" w14:textId="77777777" w:rsidR="0047749A" w:rsidRPr="002A3C29" w:rsidRDefault="002A3C29" w:rsidP="005330C7">
      <w:pPr>
        <w:pStyle w:val="Commentary"/>
        <w:rPr>
          <w:noProof/>
          <w:color w:val="4E81BD" w:themeColor="accent1"/>
          <w:lang w:val="bg-BG"/>
        </w:rPr>
      </w:pPr>
      <w:r>
        <w:rPr>
          <w:noProof/>
          <w:color w:val="4E81BD" w:themeColor="accent1"/>
          <w:lang w:val="bg-BG"/>
        </w:rPr>
        <w:t>Коментар</w:t>
      </w:r>
    </w:p>
    <w:p w14:paraId="7DEEE0E1" w14:textId="77777777" w:rsidR="0047749A" w:rsidRPr="0047749A" w:rsidRDefault="002A3C29" w:rsidP="005330C7">
      <w:pPr>
        <w:pStyle w:val="Commentary"/>
        <w:rPr>
          <w:noProof/>
        </w:rPr>
      </w:pPr>
      <w:r w:rsidRPr="002A3C29">
        <w:rPr>
          <w:noProof/>
          <w:lang w:val="en"/>
        </w:rPr>
        <w:lastRenderedPageBreak/>
        <w:t xml:space="preserve">Водещите проверители приветстват въвеждането на член 83а, </w:t>
      </w:r>
      <w:r w:rsidR="0002168F">
        <w:rPr>
          <w:noProof/>
          <w:lang w:val="bg-BG"/>
        </w:rPr>
        <w:t>ал.</w:t>
      </w:r>
      <w:r w:rsidRPr="002A3C29">
        <w:rPr>
          <w:noProof/>
          <w:lang w:val="en"/>
        </w:rPr>
        <w:t xml:space="preserve"> 5 от ЗАНН, който би могъл да под</w:t>
      </w:r>
      <w:r w:rsidR="008001F9">
        <w:rPr>
          <w:noProof/>
          <w:lang w:val="bg-BG"/>
        </w:rPr>
        <w:t>помогне</w:t>
      </w:r>
      <w:r w:rsidRPr="002A3C29">
        <w:rPr>
          <w:noProof/>
          <w:lang w:val="en"/>
        </w:rPr>
        <w:t xml:space="preserve"> българските съдилища при определянето на размера на санкциите срещу юридическо лице. Те препоръчват Работната група да проследи прилагането</w:t>
      </w:r>
      <w:r w:rsidR="008001F9">
        <w:rPr>
          <w:noProof/>
          <w:lang w:val="bg-BG"/>
        </w:rPr>
        <w:t xml:space="preserve"> на разпоредбата</w:t>
      </w:r>
      <w:r w:rsidRPr="002A3C29">
        <w:rPr>
          <w:noProof/>
          <w:lang w:val="en"/>
        </w:rPr>
        <w:t xml:space="preserve"> на практика</w:t>
      </w:r>
      <w:r w:rsidR="0047749A" w:rsidRPr="0047749A">
        <w:rPr>
          <w:noProof/>
        </w:rPr>
        <w:t>.</w:t>
      </w:r>
    </w:p>
    <w:p w14:paraId="50360F19" w14:textId="77777777" w:rsidR="0047749A" w:rsidRPr="0047749A" w:rsidRDefault="0064621E" w:rsidP="002A05D6">
      <w:pPr>
        <w:pStyle w:val="Heading3"/>
      </w:pPr>
      <w:r>
        <w:rPr>
          <w:lang w:val="bg-BG"/>
        </w:rPr>
        <w:t>Отнемане</w:t>
      </w:r>
      <w:r w:rsidR="0047749A" w:rsidRPr="0047749A">
        <w:t xml:space="preserve"> </w:t>
      </w:r>
    </w:p>
    <w:p w14:paraId="44EE198F" w14:textId="7ACCF1F7" w:rsidR="0047749A" w:rsidRPr="0047749A" w:rsidRDefault="002A3C29" w:rsidP="002A05D6">
      <w:pPr>
        <w:pStyle w:val="Para"/>
      </w:pPr>
      <w:r w:rsidRPr="002A3C29">
        <w:t xml:space="preserve">По </w:t>
      </w:r>
      <w:r w:rsidR="00673F1F">
        <w:t>Фаза</w:t>
      </w:r>
      <w:r w:rsidRPr="002A3C29">
        <w:t xml:space="preserve"> 3 Работната група изрази загриженост, че чл</w:t>
      </w:r>
      <w:r w:rsidR="00AC5BD6">
        <w:rPr>
          <w:lang w:val="bg-BG"/>
        </w:rPr>
        <w:t>.</w:t>
      </w:r>
      <w:r w:rsidRPr="002A3C29">
        <w:t xml:space="preserve"> 83а, </w:t>
      </w:r>
      <w:r w:rsidR="00AC5BD6">
        <w:rPr>
          <w:lang w:val="bg-BG"/>
        </w:rPr>
        <w:t>ал.</w:t>
      </w:r>
      <w:r w:rsidRPr="002A3C29">
        <w:t xml:space="preserve"> 4 от ЗАНН, отнасящ се до </w:t>
      </w:r>
      <w:r w:rsidR="0064621E">
        <w:rPr>
          <w:lang w:val="bg-BG"/>
        </w:rPr>
        <w:t>отнеман</w:t>
      </w:r>
      <w:r w:rsidR="008001F9">
        <w:rPr>
          <w:lang w:val="bg-BG"/>
        </w:rPr>
        <w:t xml:space="preserve">ето от </w:t>
      </w:r>
      <w:r w:rsidRPr="002A3C29">
        <w:t xml:space="preserve">юридически лица, не позволява </w:t>
      </w:r>
      <w:r w:rsidR="0064621E">
        <w:t>отнемане</w:t>
      </w:r>
      <w:r w:rsidRPr="002A3C29">
        <w:t xml:space="preserve"> </w:t>
      </w:r>
      <w:r w:rsidR="008001F9">
        <w:rPr>
          <w:lang w:val="bg-BG"/>
        </w:rPr>
        <w:t>на</w:t>
      </w:r>
      <w:r w:rsidRPr="002A3C29">
        <w:t xml:space="preserve"> подкуп</w:t>
      </w:r>
      <w:r w:rsidR="008001F9">
        <w:rPr>
          <w:lang w:val="bg-BG"/>
        </w:rPr>
        <w:t>а</w:t>
      </w:r>
      <w:r w:rsidRPr="002A3C29">
        <w:t xml:space="preserve"> или </w:t>
      </w:r>
      <w:r w:rsidR="008001F9">
        <w:rPr>
          <w:lang w:val="bg-BG"/>
        </w:rPr>
        <w:t>непреките облаги</w:t>
      </w:r>
      <w:r w:rsidRPr="002A3C29">
        <w:t xml:space="preserve"> от престъплението. Тя препоръча България да отстрани тези недостатъци. България измени ЗАНН през 2015 и 2020 г. (ДВ, бр. 109 от 2020 г., в сила от декември 2021 г.), за да въведе нов член 83а (6). Според новата разпоредба „пряката или </w:t>
      </w:r>
      <w:r w:rsidR="008001F9">
        <w:rPr>
          <w:lang w:val="bg-BG"/>
        </w:rPr>
        <w:t>непряката</w:t>
      </w:r>
      <w:r w:rsidRPr="002A3C29">
        <w:t xml:space="preserve"> облага, получена от юридическото лице от престъплението по </w:t>
      </w:r>
      <w:r w:rsidR="008001F9">
        <w:rPr>
          <w:lang w:val="bg-BG"/>
        </w:rPr>
        <w:t>ал.</w:t>
      </w:r>
      <w:r w:rsidRPr="002A3C29">
        <w:t xml:space="preserve"> 1, се отнема в полза на държавата</w:t>
      </w:r>
      <w:r w:rsidR="003E3F0A">
        <w:t xml:space="preserve"> </w:t>
      </w:r>
      <w:r w:rsidR="003E3F0A">
        <w:rPr>
          <w:rFonts w:cstheme="minorHAnsi"/>
        </w:rPr>
        <w:t>[…]</w:t>
      </w:r>
      <w:r w:rsidR="00585EC8">
        <w:rPr>
          <w:lang w:val="bg-BG"/>
        </w:rPr>
        <w:t>.</w:t>
      </w:r>
      <w:r w:rsidRPr="002A3C29">
        <w:t xml:space="preserve"> Когато </w:t>
      </w:r>
      <w:r w:rsidR="00585EC8">
        <w:rPr>
          <w:lang w:val="bg-BG"/>
        </w:rPr>
        <w:t>вещта</w:t>
      </w:r>
      <w:r w:rsidRPr="002A3C29">
        <w:t xml:space="preserve"> или имуществото, които са били </w:t>
      </w:r>
      <w:r w:rsidR="008001F9">
        <w:rPr>
          <w:lang w:val="bg-BG"/>
        </w:rPr>
        <w:t>предмет</w:t>
      </w:r>
      <w:r w:rsidRPr="002A3C29">
        <w:t xml:space="preserve"> на престъплението, липсват или са били отчуждени, </w:t>
      </w:r>
      <w:r w:rsidR="008001F9">
        <w:rPr>
          <w:lang w:val="bg-BG"/>
        </w:rPr>
        <w:t xml:space="preserve">се присъжда </w:t>
      </w:r>
      <w:r w:rsidRPr="002A3C29">
        <w:t>тяхната левова равностойност.</w:t>
      </w:r>
      <w:r w:rsidR="0047749A" w:rsidRPr="0047749A">
        <w:t>”</w:t>
      </w:r>
    </w:p>
    <w:p w14:paraId="7D5756DE" w14:textId="3783DB00" w:rsidR="0047749A" w:rsidRPr="0047749A" w:rsidRDefault="002A3C29" w:rsidP="002A05D6">
      <w:pPr>
        <w:pStyle w:val="Para"/>
      </w:pPr>
      <w:r w:rsidRPr="002A3C29">
        <w:t>Чл</w:t>
      </w:r>
      <w:r w:rsidR="00AC5BD6">
        <w:rPr>
          <w:lang w:val="bg-BG"/>
        </w:rPr>
        <w:t>.</w:t>
      </w:r>
      <w:r w:rsidRPr="002A3C29">
        <w:t xml:space="preserve"> 83а, </w:t>
      </w:r>
      <w:r w:rsidR="00AC5BD6">
        <w:rPr>
          <w:lang w:val="bg-BG"/>
        </w:rPr>
        <w:t>ал.</w:t>
      </w:r>
      <w:r w:rsidRPr="002A3C29">
        <w:t xml:space="preserve"> 6 от ЗАНН </w:t>
      </w:r>
      <w:r w:rsidR="008001F9">
        <w:rPr>
          <w:lang w:val="bg-BG"/>
        </w:rPr>
        <w:t>отразява</w:t>
      </w:r>
      <w:r w:rsidRPr="002A3C29">
        <w:t xml:space="preserve"> препоръка 4 (а), както следва. Първо, той обхваща </w:t>
      </w:r>
      <w:r w:rsidR="0064621E">
        <w:t>отнемане</w:t>
      </w:r>
      <w:r w:rsidRPr="002A3C29">
        <w:t xml:space="preserve">то на </w:t>
      </w:r>
      <w:r w:rsidR="008001F9">
        <w:rPr>
          <w:lang w:val="bg-BG"/>
        </w:rPr>
        <w:t>непреките облаги</w:t>
      </w:r>
      <w:r w:rsidRPr="002A3C29">
        <w:t xml:space="preserve"> от подкуп</w:t>
      </w:r>
      <w:r w:rsidR="008001F9">
        <w:rPr>
          <w:lang w:val="bg-BG"/>
        </w:rPr>
        <w:t>а</w:t>
      </w:r>
      <w:r w:rsidRPr="002A3C29">
        <w:t xml:space="preserve">. Второ, той въвежда понятието за </w:t>
      </w:r>
      <w:r w:rsidR="0064621E">
        <w:t>отнемане</w:t>
      </w:r>
      <w:r w:rsidRPr="002A3C29">
        <w:t xml:space="preserve"> на </w:t>
      </w:r>
      <w:r w:rsidR="008001F9">
        <w:rPr>
          <w:lang w:val="bg-BG"/>
        </w:rPr>
        <w:t>равно</w:t>
      </w:r>
      <w:r w:rsidRPr="002A3C29">
        <w:t xml:space="preserve">стойност (т.е. </w:t>
      </w:r>
      <w:r w:rsidR="0064621E">
        <w:t>отнемане</w:t>
      </w:r>
      <w:r w:rsidRPr="002A3C29">
        <w:t xml:space="preserve"> на имущество, чиято стойност съответства на тази на „</w:t>
      </w:r>
      <w:r w:rsidR="008001F9">
        <w:rPr>
          <w:lang w:val="bg-BG"/>
        </w:rPr>
        <w:t>предмета</w:t>
      </w:r>
      <w:r w:rsidRPr="002A3C29">
        <w:t xml:space="preserve"> на престъплението“, или за парични санкции с подобен ефект) в българския режим, което също може да се отнася до </w:t>
      </w:r>
      <w:r w:rsidR="0064621E">
        <w:t>отнемане</w:t>
      </w:r>
      <w:r w:rsidRPr="002A3C29">
        <w:t xml:space="preserve"> на имущество в ръцете на трети страни. </w:t>
      </w:r>
      <w:r w:rsidR="0002168F">
        <w:rPr>
          <w:lang w:val="bg-BG"/>
        </w:rPr>
        <w:t>Въпреки това, както беше пояснено от България,</w:t>
      </w:r>
      <w:r w:rsidRPr="002A3C29">
        <w:t xml:space="preserve"> терминът „</w:t>
      </w:r>
      <w:r w:rsidR="0002168F">
        <w:rPr>
          <w:lang w:val="bg-BG"/>
        </w:rPr>
        <w:t>предмет</w:t>
      </w:r>
      <w:r w:rsidRPr="002A3C29">
        <w:t xml:space="preserve"> на престъплението“ </w:t>
      </w:r>
      <w:r w:rsidR="0002168F">
        <w:rPr>
          <w:lang w:val="bg-BG"/>
        </w:rPr>
        <w:t>не обхваща облагите от престъплението</w:t>
      </w:r>
      <w:r w:rsidR="0047749A" w:rsidRPr="0047749A">
        <w:t xml:space="preserve">, </w:t>
      </w:r>
      <w:r w:rsidRPr="002A3C29">
        <w:t xml:space="preserve">което е от съществено значение за </w:t>
      </w:r>
      <w:r w:rsidR="0064621E">
        <w:t>отнемане</w:t>
      </w:r>
      <w:r w:rsidRPr="002A3C29">
        <w:t xml:space="preserve"> на </w:t>
      </w:r>
      <w:r w:rsidR="0002168F">
        <w:rPr>
          <w:lang w:val="bg-BG"/>
        </w:rPr>
        <w:t>равно</w:t>
      </w:r>
      <w:r w:rsidRPr="002A3C29">
        <w:t>стойността, за да бъде ефективна. Чл</w:t>
      </w:r>
      <w:r w:rsidR="00AC5BD6">
        <w:rPr>
          <w:lang w:val="bg-BG"/>
        </w:rPr>
        <w:t>.</w:t>
      </w:r>
      <w:r w:rsidRPr="002A3C29">
        <w:t xml:space="preserve"> 83а, </w:t>
      </w:r>
      <w:r w:rsidR="00AC5BD6">
        <w:rPr>
          <w:lang w:val="bg-BG"/>
        </w:rPr>
        <w:t>ал.</w:t>
      </w:r>
      <w:r w:rsidRPr="002A3C29">
        <w:t xml:space="preserve"> 6 от ЗАНН все още не </w:t>
      </w:r>
      <w:r w:rsidR="007147E5">
        <w:rPr>
          <w:lang w:val="bg-BG"/>
        </w:rPr>
        <w:t>урежда</w:t>
      </w:r>
      <w:r w:rsidRPr="002A3C29">
        <w:t xml:space="preserve"> </w:t>
      </w:r>
      <w:r w:rsidR="0064621E">
        <w:t>отнемане</w:t>
      </w:r>
      <w:r w:rsidRPr="002A3C29">
        <w:t xml:space="preserve">то на подкупа от юридически лица. България предвижда подкупът да бъде </w:t>
      </w:r>
      <w:r w:rsidR="0064621E">
        <w:rPr>
          <w:lang w:val="bg-BG"/>
        </w:rPr>
        <w:t>отнет</w:t>
      </w:r>
      <w:r w:rsidRPr="002A3C29">
        <w:t xml:space="preserve"> в хода на наказателно производство срещу физическото лице</w:t>
      </w:r>
      <w:r w:rsidR="0002168F">
        <w:rPr>
          <w:lang w:val="bg-BG"/>
        </w:rPr>
        <w:t>.</w:t>
      </w:r>
      <w:r w:rsidR="0047749A" w:rsidRPr="0047749A">
        <w:rPr>
          <w:b/>
          <w:i/>
        </w:rPr>
        <w:t xml:space="preserve"> </w:t>
      </w:r>
      <w:r w:rsidRPr="002A3C29">
        <w:t xml:space="preserve">Както вече беше посочено по </w:t>
      </w:r>
      <w:r w:rsidR="00673F1F">
        <w:t>Фаза</w:t>
      </w:r>
      <w:r w:rsidRPr="002A3C29">
        <w:t xml:space="preserve"> 3 (параграф 52), това не би било възможно, ако производството срещу физическото лице не може да бъде започнато или </w:t>
      </w:r>
      <w:r w:rsidR="00585EC8">
        <w:rPr>
          <w:lang w:val="bg-BG"/>
        </w:rPr>
        <w:t xml:space="preserve">е било </w:t>
      </w:r>
      <w:r w:rsidRPr="002A3C29">
        <w:t>прекратено</w:t>
      </w:r>
      <w:r w:rsidR="0047749A" w:rsidRPr="0047749A">
        <w:t>.</w:t>
      </w:r>
    </w:p>
    <w:p w14:paraId="1AAC6D46" w14:textId="77777777" w:rsidR="0047749A" w:rsidRPr="002A3C29" w:rsidRDefault="002A3C29" w:rsidP="005330C7">
      <w:pPr>
        <w:pStyle w:val="Commentary"/>
        <w:rPr>
          <w:noProof/>
          <w:color w:val="4E81BD" w:themeColor="accent1"/>
          <w:lang w:val="bg-BG"/>
        </w:rPr>
      </w:pPr>
      <w:r>
        <w:rPr>
          <w:noProof/>
          <w:color w:val="4E81BD" w:themeColor="accent1"/>
          <w:lang w:val="bg-BG"/>
        </w:rPr>
        <w:t>Коментар</w:t>
      </w:r>
    </w:p>
    <w:p w14:paraId="63E8DC30" w14:textId="77777777" w:rsidR="0047749A" w:rsidRPr="00AB0320" w:rsidRDefault="002A3C29" w:rsidP="005330C7">
      <w:pPr>
        <w:pStyle w:val="Commentary"/>
        <w:rPr>
          <w:noProof/>
          <w:lang w:val="bg-BG"/>
        </w:rPr>
      </w:pPr>
      <w:r w:rsidRPr="00AC5BD6">
        <w:rPr>
          <w:noProof/>
          <w:lang w:val="bg-BG"/>
        </w:rPr>
        <w:t xml:space="preserve">Водещите проверители приветстват въвеждането на член 83а, </w:t>
      </w:r>
      <w:r w:rsidR="00AC5BD6">
        <w:rPr>
          <w:noProof/>
          <w:lang w:val="bg-BG"/>
        </w:rPr>
        <w:t>ал.</w:t>
      </w:r>
      <w:r w:rsidRPr="00AC5BD6">
        <w:rPr>
          <w:noProof/>
          <w:lang w:val="bg-BG"/>
        </w:rPr>
        <w:t xml:space="preserve"> 6 от ЗАНН, който частично ще изпълни препоръка 4 (а), като обхваща </w:t>
      </w:r>
      <w:r w:rsidR="0064621E" w:rsidRPr="00AC5BD6">
        <w:rPr>
          <w:noProof/>
          <w:lang w:val="bg-BG"/>
        </w:rPr>
        <w:t>отнемане</w:t>
      </w:r>
      <w:r w:rsidRPr="00AC5BD6">
        <w:rPr>
          <w:noProof/>
          <w:lang w:val="bg-BG"/>
        </w:rPr>
        <w:t xml:space="preserve">то на </w:t>
      </w:r>
      <w:r w:rsidR="007147E5">
        <w:rPr>
          <w:noProof/>
          <w:lang w:val="bg-BG"/>
        </w:rPr>
        <w:t xml:space="preserve">непреките облаги </w:t>
      </w:r>
      <w:r w:rsidRPr="00AC5BD6">
        <w:rPr>
          <w:noProof/>
          <w:lang w:val="bg-BG"/>
        </w:rPr>
        <w:t xml:space="preserve"> от подкуп и въвежда концепцията за </w:t>
      </w:r>
      <w:r w:rsidR="0064621E" w:rsidRPr="00AC5BD6">
        <w:rPr>
          <w:noProof/>
          <w:lang w:val="bg-BG"/>
        </w:rPr>
        <w:t>отнемане</w:t>
      </w:r>
      <w:r w:rsidRPr="00AC5BD6">
        <w:rPr>
          <w:noProof/>
          <w:lang w:val="bg-BG"/>
        </w:rPr>
        <w:t xml:space="preserve"> на </w:t>
      </w:r>
      <w:r w:rsidR="007147E5">
        <w:rPr>
          <w:noProof/>
          <w:lang w:val="bg-BG"/>
        </w:rPr>
        <w:t>равно</w:t>
      </w:r>
      <w:r w:rsidRPr="00AC5BD6">
        <w:rPr>
          <w:noProof/>
          <w:lang w:val="bg-BG"/>
        </w:rPr>
        <w:t xml:space="preserve">стойност в българския режим. </w:t>
      </w:r>
      <w:r w:rsidRPr="00AB0320">
        <w:rPr>
          <w:noProof/>
          <w:lang w:val="bg-BG"/>
        </w:rPr>
        <w:t xml:space="preserve">Водещите експерти потвърждават, че ЗАНН все още не позволява </w:t>
      </w:r>
      <w:r w:rsidR="0064621E" w:rsidRPr="00AB0320">
        <w:rPr>
          <w:noProof/>
          <w:lang w:val="bg-BG"/>
        </w:rPr>
        <w:t>отнемане</w:t>
      </w:r>
      <w:r w:rsidRPr="00AB0320">
        <w:rPr>
          <w:noProof/>
          <w:lang w:val="bg-BG"/>
        </w:rPr>
        <w:t xml:space="preserve"> на подкупа от юридически лица и препоръчват на България да отстрани този недостатък</w:t>
      </w:r>
      <w:r w:rsidR="0047749A" w:rsidRPr="00AB0320">
        <w:rPr>
          <w:noProof/>
          <w:lang w:val="bg-BG"/>
        </w:rPr>
        <w:t>.</w:t>
      </w:r>
    </w:p>
    <w:p w14:paraId="7753FB65" w14:textId="51872CE9" w:rsidR="0047749A" w:rsidRPr="00AB0320" w:rsidRDefault="00BC24A0" w:rsidP="002A05D6">
      <w:pPr>
        <w:pStyle w:val="Heading2"/>
        <w:rPr>
          <w:lang w:val="bg-BG"/>
        </w:rPr>
      </w:pPr>
      <w:bookmarkStart w:id="40" w:name="_Toc56084047"/>
      <w:bookmarkStart w:id="41" w:name="_Toc51772629"/>
      <w:bookmarkStart w:id="42" w:name="_Toc51769947"/>
      <w:bookmarkStart w:id="43" w:name="_Toc43813795"/>
      <w:r w:rsidRPr="00AB0320">
        <w:rPr>
          <w:lang w:val="bg-BG"/>
        </w:rPr>
        <w:t xml:space="preserve">Ангажиране на частния сектор и </w:t>
      </w:r>
      <w:r w:rsidR="00BE7F2C">
        <w:rPr>
          <w:lang w:val="bg-BG"/>
        </w:rPr>
        <w:t xml:space="preserve">мерки за контрол на </w:t>
      </w:r>
      <w:r w:rsidRPr="00AB0320">
        <w:rPr>
          <w:lang w:val="bg-BG"/>
        </w:rPr>
        <w:t>корупцията</w:t>
      </w:r>
      <w:bookmarkEnd w:id="40"/>
      <w:bookmarkEnd w:id="41"/>
      <w:bookmarkEnd w:id="42"/>
      <w:bookmarkEnd w:id="43"/>
    </w:p>
    <w:p w14:paraId="6BE04959" w14:textId="77777777" w:rsidR="0047749A" w:rsidRPr="00AB0320" w:rsidRDefault="00BC24A0" w:rsidP="002A05D6">
      <w:pPr>
        <w:pStyle w:val="Heading3"/>
      </w:pPr>
      <w:r w:rsidRPr="00AB0320">
        <w:t>Повишаване на осведомеността</w:t>
      </w:r>
    </w:p>
    <w:p w14:paraId="166ADEAF" w14:textId="77777777" w:rsidR="0047749A" w:rsidRPr="0047749A" w:rsidRDefault="00BC24A0" w:rsidP="00BC45B7">
      <w:pPr>
        <w:pStyle w:val="Para"/>
      </w:pPr>
      <w:r w:rsidRPr="00BC24A0">
        <w:t xml:space="preserve">Нивото на осведоменост относно подкупа на чужди длъжностни лица сред частния сектор в България остава ограничено. По </w:t>
      </w:r>
      <w:r w:rsidR="00673F1F">
        <w:t>Фаза</w:t>
      </w:r>
      <w:r w:rsidRPr="00BC24A0">
        <w:t xml:space="preserve"> 3 Работната група препоръча България да повиши осведомеността сред частния сектор за престъплението в сътрудничество с Българската агенция за насърчаване на </w:t>
      </w:r>
      <w:r w:rsidR="00A601AC">
        <w:rPr>
          <w:lang w:val="bg-BG"/>
        </w:rPr>
        <w:t>малките и средни предприятия</w:t>
      </w:r>
      <w:r w:rsidRPr="00BC24A0">
        <w:t xml:space="preserve"> и бизнес асоциации (препоръка 8 (</w:t>
      </w:r>
      <w:r w:rsidR="00A601AC">
        <w:rPr>
          <w:lang w:val="bg-BG"/>
        </w:rPr>
        <w:t>в</w:t>
      </w:r>
      <w:r w:rsidRPr="00BC24A0">
        <w:t>)). Двугодишният писмен</w:t>
      </w:r>
      <w:r w:rsidR="00AB0320">
        <w:t xml:space="preserve"> </w:t>
      </w:r>
      <w:r w:rsidRPr="00BC24A0">
        <w:t xml:space="preserve">доклад </w:t>
      </w:r>
      <w:r w:rsidR="00A601AC">
        <w:rPr>
          <w:lang w:val="bg-BG"/>
        </w:rPr>
        <w:t xml:space="preserve">за прегед на изпълнението на препоръките от доклада по фаза 3 </w:t>
      </w:r>
      <w:r w:rsidRPr="00BC24A0">
        <w:t>установи, че България е изпълнила частично препоръката. Oт</w:t>
      </w:r>
      <w:r w:rsidR="00AB0320">
        <w:t xml:space="preserve"> </w:t>
      </w:r>
      <w:r w:rsidRPr="00BC24A0">
        <w:t xml:space="preserve">тогава България не съобщава за нови мерки за повишаване на осведомеността на частния сектор относно подкупа на чужди длъжностни лица. При липсата на каквато и да е инициатива от страна на българските власти, частният сектор остава </w:t>
      </w:r>
      <w:r w:rsidR="00AB0320" w:rsidRPr="00861497">
        <w:rPr>
          <w:lang w:val="bg-BG"/>
        </w:rPr>
        <w:t xml:space="preserve">много малко или </w:t>
      </w:r>
      <w:r w:rsidRPr="00861497">
        <w:t>почти незагрижен</w:t>
      </w:r>
      <w:r w:rsidRPr="00BC24A0">
        <w:t xml:space="preserve"> </w:t>
      </w:r>
      <w:r w:rsidR="00A601AC">
        <w:rPr>
          <w:lang w:val="bg-BG"/>
        </w:rPr>
        <w:t>относно</w:t>
      </w:r>
      <w:r w:rsidRPr="00BC24A0">
        <w:t xml:space="preserve"> излагането му на риск от подкупване на чужди длъжностни лица или заплахата от</w:t>
      </w:r>
      <w:r w:rsidR="00861497">
        <w:rPr>
          <w:lang w:val="bg-BG"/>
        </w:rPr>
        <w:t xml:space="preserve"> </w:t>
      </w:r>
      <w:r w:rsidRPr="00BC24A0">
        <w:t xml:space="preserve">преследване. Усилията на други заинтересовани страни в България също остават ограничени. През 2020 г. Американската търговска камара и Германо-българската индустриално-търговска камара организираха уебинар </w:t>
      </w:r>
      <w:r w:rsidRPr="00BC24A0">
        <w:lastRenderedPageBreak/>
        <w:t>за членовете си по Закона за чуждестранните корупционни практики на САЩ (FCPA). Дискусията с други бизнес асоциации по време на виртуалн</w:t>
      </w:r>
      <w:r w:rsidR="00861497">
        <w:rPr>
          <w:lang w:val="bg-BG"/>
        </w:rPr>
        <w:t>ото посещение</w:t>
      </w:r>
      <w:r w:rsidRPr="00BC24A0">
        <w:t xml:space="preserve"> раз</w:t>
      </w:r>
      <w:r w:rsidR="00E54047">
        <w:t>кри, че корупцията и подкуп</w:t>
      </w:r>
      <w:r w:rsidR="00E54047">
        <w:rPr>
          <w:lang w:val="bg-BG"/>
        </w:rPr>
        <w:t>ът</w:t>
      </w:r>
      <w:r w:rsidRPr="00BC24A0">
        <w:t xml:space="preserve"> на чужди длъжностни лица имат нисък приоритет в техния дневен ред</w:t>
      </w:r>
      <w:r w:rsidR="0047749A" w:rsidRPr="0047749A">
        <w:t>.</w:t>
      </w:r>
    </w:p>
    <w:p w14:paraId="1CEDA316" w14:textId="77777777" w:rsidR="0047749A" w:rsidRPr="0047749A" w:rsidRDefault="00BC24A0" w:rsidP="002A05D6">
      <w:pPr>
        <w:pStyle w:val="Heading3"/>
      </w:pPr>
      <w:bookmarkStart w:id="44" w:name="_Toc56084049"/>
      <w:bookmarkStart w:id="45" w:name="_Toc51772631"/>
      <w:bookmarkStart w:id="46" w:name="_Toc51769949"/>
      <w:r w:rsidRPr="00BC24A0">
        <w:t xml:space="preserve">Корпоративно управление и </w:t>
      </w:r>
      <w:bookmarkEnd w:id="44"/>
      <w:bookmarkEnd w:id="45"/>
      <w:bookmarkEnd w:id="46"/>
      <w:r w:rsidR="007A2D41">
        <w:rPr>
          <w:lang w:val="bg-BG"/>
        </w:rPr>
        <w:t>политика за съответствие</w:t>
      </w:r>
    </w:p>
    <w:p w14:paraId="63964FB8" w14:textId="12A94531" w:rsidR="0047749A" w:rsidRPr="0047749A" w:rsidRDefault="00CD5C1D" w:rsidP="002A05D6">
      <w:pPr>
        <w:pStyle w:val="Para"/>
      </w:pPr>
      <w:r w:rsidRPr="00CD5C1D">
        <w:t xml:space="preserve">Изглежда, че българските компании не </w:t>
      </w:r>
      <w:r w:rsidR="00A601AC">
        <w:rPr>
          <w:lang w:val="bg-BG"/>
        </w:rPr>
        <w:t>прилагат</w:t>
      </w:r>
      <w:r w:rsidRPr="00CD5C1D">
        <w:t xml:space="preserve"> програми за </w:t>
      </w:r>
      <w:r w:rsidR="00A601AC">
        <w:rPr>
          <w:lang w:val="bg-BG"/>
        </w:rPr>
        <w:t>съответствие с</w:t>
      </w:r>
      <w:r w:rsidRPr="00CD5C1D">
        <w:t xml:space="preserve"> </w:t>
      </w:r>
      <w:r w:rsidR="00AA63E5">
        <w:rPr>
          <w:lang w:val="bg-BG"/>
        </w:rPr>
        <w:t>антикорупционните стандарти</w:t>
      </w:r>
      <w:r w:rsidRPr="00CD5C1D">
        <w:t>, което затвърждава идеята, че рискът от корупция и подкуп на чужди длъжностни лица в частния сектор все още се възприема като нисък. Малкото български компании, участвали във виртуалн</w:t>
      </w:r>
      <w:r w:rsidR="00811CA5">
        <w:rPr>
          <w:lang w:val="bg-BG"/>
        </w:rPr>
        <w:t>ото посещение</w:t>
      </w:r>
      <w:r w:rsidRPr="00CD5C1D">
        <w:t xml:space="preserve">, отбелязаха, че нямат специфични правила и процедури за борба с корупцията, с изключение на дъщерно дружество на мултинационално предприятие, работещо в България, което представи доста стабилна програма, </w:t>
      </w:r>
      <w:r w:rsidR="00AA63E5">
        <w:rPr>
          <w:lang w:val="bg-BG"/>
        </w:rPr>
        <w:t>въведена</w:t>
      </w:r>
      <w:r w:rsidRPr="00CD5C1D">
        <w:t xml:space="preserve"> като част от глобалн</w:t>
      </w:r>
      <w:r w:rsidR="00A3095B">
        <w:rPr>
          <w:lang w:val="bg-BG"/>
        </w:rPr>
        <w:t>ите</w:t>
      </w:r>
      <w:r w:rsidRPr="00CD5C1D">
        <w:t xml:space="preserve"> стандарти за съответствие на компанията-майка. Представителите на бизнес организации отбелязаха, че програмите </w:t>
      </w:r>
      <w:r w:rsidR="00AA63E5">
        <w:rPr>
          <w:lang w:val="bg-BG"/>
        </w:rPr>
        <w:t>за съответствие с антикорупционните стандарти</w:t>
      </w:r>
      <w:r w:rsidR="00A3095B">
        <w:rPr>
          <w:lang w:val="bg-BG"/>
        </w:rPr>
        <w:t xml:space="preserve"> </w:t>
      </w:r>
      <w:r w:rsidRPr="00CD5C1D">
        <w:t>остават по-важни за по-големите компании, а не за МСП, мнение, сподел</w:t>
      </w:r>
      <w:r w:rsidR="00AA63E5">
        <w:rPr>
          <w:lang w:val="bg-BG"/>
        </w:rPr>
        <w:t>е</w:t>
      </w:r>
      <w:r w:rsidRPr="00CD5C1D">
        <w:t>но и от представителите на счетоводната и одиторската професия. На този фон, препоръка 6 (</w:t>
      </w:r>
      <w:r w:rsidR="00AA63E5">
        <w:rPr>
          <w:lang w:val="bg-BG"/>
        </w:rPr>
        <w:t>б</w:t>
      </w:r>
      <w:r w:rsidRPr="00CD5C1D">
        <w:t xml:space="preserve">) </w:t>
      </w:r>
      <w:r w:rsidR="00AA63E5">
        <w:rPr>
          <w:lang w:val="bg-BG"/>
        </w:rPr>
        <w:t xml:space="preserve">от доклада </w:t>
      </w:r>
      <w:r w:rsidRPr="00CD5C1D">
        <w:t xml:space="preserve">по </w:t>
      </w:r>
      <w:r w:rsidR="00673F1F">
        <w:t>Фаза</w:t>
      </w:r>
      <w:r w:rsidRPr="00CD5C1D">
        <w:t xml:space="preserve"> 3, че България</w:t>
      </w:r>
      <w:r w:rsidR="00AA63E5">
        <w:rPr>
          <w:lang w:val="bg-BG"/>
        </w:rPr>
        <w:t xml:space="preserve"> следва да</w:t>
      </w:r>
      <w:r w:rsidRPr="00CD5C1D">
        <w:t xml:space="preserve"> насърчава компаниите да въведат кодекси за поведение и програми за </w:t>
      </w:r>
      <w:r w:rsidR="00AA63E5">
        <w:rPr>
          <w:lang w:val="bg-BG"/>
        </w:rPr>
        <w:t>съответсвие</w:t>
      </w:r>
      <w:r w:rsidRPr="00CD5C1D">
        <w:t>, както и да насърчават прилагането на Ръководството за добри практики и ясно да разпределят отговорността за подобно популяризиране, остава неизпълнена</w:t>
      </w:r>
      <w:r w:rsidR="0047749A" w:rsidRPr="0047749A">
        <w:t>.</w:t>
      </w:r>
    </w:p>
    <w:p w14:paraId="187D1FAF" w14:textId="77777777" w:rsidR="0047749A" w:rsidRPr="00CD5C1D" w:rsidRDefault="00CD5C1D" w:rsidP="005330C7">
      <w:pPr>
        <w:pStyle w:val="Commentary"/>
        <w:rPr>
          <w:noProof/>
          <w:color w:val="4E81BD" w:themeColor="accent1"/>
          <w:lang w:val="bg-BG"/>
        </w:rPr>
      </w:pPr>
      <w:r>
        <w:rPr>
          <w:noProof/>
          <w:color w:val="4E81BD" w:themeColor="accent1"/>
          <w:lang w:val="bg-BG"/>
        </w:rPr>
        <w:t>Коментар</w:t>
      </w:r>
    </w:p>
    <w:p w14:paraId="13354E40" w14:textId="77777777" w:rsidR="003D3F12" w:rsidRPr="008C08CD" w:rsidRDefault="00CD5C1D" w:rsidP="005330C7">
      <w:pPr>
        <w:pStyle w:val="Commentary"/>
        <w:rPr>
          <w:lang w:val="bg-BG"/>
        </w:rPr>
      </w:pPr>
      <w:r w:rsidRPr="008C08CD">
        <w:rPr>
          <w:lang w:val="bg-BG"/>
        </w:rPr>
        <w:t>Водещите проверители са сериозно обезпокоени от очевидната липса на осведоменост относно рисковете от подкуп на чужди длъжностни лица сред частния сектор и липсата на ръководени от правителството инициативи за насърчаване на приемането и прилагането н</w:t>
      </w:r>
      <w:r w:rsidR="006A7C06">
        <w:rPr>
          <w:lang w:val="bg-BG"/>
        </w:rPr>
        <w:t xml:space="preserve">а програми за вътрешен контрол, </w:t>
      </w:r>
      <w:r w:rsidRPr="008C08CD">
        <w:rPr>
          <w:lang w:val="bg-BG"/>
        </w:rPr>
        <w:t xml:space="preserve">етика и </w:t>
      </w:r>
      <w:r w:rsidR="00AA63E5">
        <w:rPr>
          <w:lang w:val="bg-BG"/>
        </w:rPr>
        <w:t>съответствие</w:t>
      </w:r>
      <w:r w:rsidRPr="008C08CD">
        <w:rPr>
          <w:lang w:val="bg-BG"/>
        </w:rPr>
        <w:t>. Поради това те препоръчват на България, като приоритет, а) да предприеме мерки за повишаване на осведомеността относно</w:t>
      </w:r>
      <w:r w:rsidR="006A7C06">
        <w:rPr>
          <w:lang w:val="bg-BG"/>
        </w:rPr>
        <w:t xml:space="preserve"> престъплението</w:t>
      </w:r>
      <w:r w:rsidRPr="008C08CD">
        <w:rPr>
          <w:lang w:val="bg-BG"/>
        </w:rPr>
        <w:t xml:space="preserve"> подкуп на чужди длъжностни лица сред бизнес асоциациите и компаниите, включително МСП и ДП, насочени към онези, които извършват бизнес в</w:t>
      </w:r>
      <w:r w:rsidR="00AA63E5">
        <w:rPr>
          <w:lang w:val="bg-BG"/>
        </w:rPr>
        <w:t xml:space="preserve"> държави </w:t>
      </w:r>
      <w:r w:rsidR="00AA63E5" w:rsidRPr="008C08CD">
        <w:rPr>
          <w:lang w:val="bg-BG"/>
        </w:rPr>
        <w:t>и сектори в чужбина</w:t>
      </w:r>
      <w:r w:rsidR="00AA63E5">
        <w:rPr>
          <w:lang w:val="bg-BG"/>
        </w:rPr>
        <w:t xml:space="preserve"> с</w:t>
      </w:r>
      <w:r w:rsidRPr="008C08CD">
        <w:rPr>
          <w:lang w:val="bg-BG"/>
        </w:rPr>
        <w:t xml:space="preserve"> висок</w:t>
      </w:r>
      <w:r w:rsidR="00AA63E5">
        <w:rPr>
          <w:lang w:val="bg-BG"/>
        </w:rPr>
        <w:t xml:space="preserve"> </w:t>
      </w:r>
      <w:r w:rsidRPr="008C08CD">
        <w:rPr>
          <w:lang w:val="bg-BG"/>
        </w:rPr>
        <w:t xml:space="preserve">риск </w:t>
      </w:r>
      <w:r w:rsidR="00AA63E5">
        <w:rPr>
          <w:lang w:val="bg-BG"/>
        </w:rPr>
        <w:t xml:space="preserve">от </w:t>
      </w:r>
      <w:r w:rsidRPr="008C08CD">
        <w:rPr>
          <w:lang w:val="bg-BG"/>
        </w:rPr>
        <w:t>корупци</w:t>
      </w:r>
      <w:r w:rsidR="00AA63E5">
        <w:rPr>
          <w:lang w:val="bg-BG"/>
        </w:rPr>
        <w:t>я</w:t>
      </w:r>
      <w:r w:rsidRPr="008C08CD">
        <w:rPr>
          <w:lang w:val="bg-BG"/>
        </w:rPr>
        <w:t xml:space="preserve">, и б) </w:t>
      </w:r>
      <w:r w:rsidR="006A7C06">
        <w:rPr>
          <w:lang w:val="bg-BG"/>
        </w:rPr>
        <w:t xml:space="preserve">да </w:t>
      </w:r>
      <w:r w:rsidRPr="008C08CD">
        <w:rPr>
          <w:lang w:val="bg-BG"/>
        </w:rPr>
        <w:t>насърч</w:t>
      </w:r>
      <w:r w:rsidR="006A7C06">
        <w:rPr>
          <w:lang w:val="bg-BG"/>
        </w:rPr>
        <w:t>и</w:t>
      </w:r>
      <w:r w:rsidRPr="008C08CD">
        <w:rPr>
          <w:lang w:val="bg-BG"/>
        </w:rPr>
        <w:t xml:space="preserve"> разработването и прилагането на антикорупцион</w:t>
      </w:r>
      <w:r w:rsidR="006A7C06">
        <w:rPr>
          <w:lang w:val="bg-BG"/>
        </w:rPr>
        <w:t>ен</w:t>
      </w:r>
      <w:r w:rsidRPr="008C08CD">
        <w:rPr>
          <w:lang w:val="bg-BG"/>
        </w:rPr>
        <w:t xml:space="preserve"> вътрешен контрол, програми за етика и </w:t>
      </w:r>
      <w:r w:rsidR="00AA63E5">
        <w:rPr>
          <w:lang w:val="bg-BG"/>
        </w:rPr>
        <w:t>съответствие с антикорупционните стандарти</w:t>
      </w:r>
      <w:r w:rsidRPr="008C08CD">
        <w:rPr>
          <w:lang w:val="bg-BG"/>
        </w:rPr>
        <w:t xml:space="preserve"> от </w:t>
      </w:r>
      <w:r w:rsidR="00AA63E5">
        <w:rPr>
          <w:lang w:val="bg-BG"/>
        </w:rPr>
        <w:t xml:space="preserve">страна на </w:t>
      </w:r>
      <w:r w:rsidRPr="008C08CD">
        <w:rPr>
          <w:lang w:val="bg-BG"/>
        </w:rPr>
        <w:t>частния сектор, включително чрез Ръководството за добри практики</w:t>
      </w:r>
      <w:r w:rsidR="002A05D6" w:rsidRPr="008C08CD">
        <w:rPr>
          <w:lang w:val="bg-BG"/>
        </w:rPr>
        <w:t>.</w:t>
      </w:r>
    </w:p>
    <w:p w14:paraId="7F07A046" w14:textId="77777777" w:rsidR="002A05D6" w:rsidRPr="008C08CD" w:rsidRDefault="002A05D6">
      <w:pPr>
        <w:widowControl/>
        <w:spacing w:after="200" w:line="276" w:lineRule="auto"/>
        <w:jc w:val="left"/>
        <w:rPr>
          <w:rFonts w:cstheme="minorHAnsi"/>
          <w:b/>
          <w:i/>
          <w:noProof/>
          <w:lang w:val="bg-BG"/>
        </w:rPr>
      </w:pPr>
      <w:r w:rsidRPr="008C08CD">
        <w:rPr>
          <w:lang w:val="bg-BG"/>
        </w:rPr>
        <w:br w:type="page"/>
      </w:r>
    </w:p>
    <w:p w14:paraId="629C9204" w14:textId="77777777" w:rsidR="005330C7" w:rsidRPr="00B777FA" w:rsidRDefault="00B777FA" w:rsidP="00146C03">
      <w:pPr>
        <w:pStyle w:val="Heading1"/>
        <w:framePr w:w="9524" w:wrap="notBeside" w:x="735" w:y="-6"/>
        <w:numPr>
          <w:ilvl w:val="0"/>
          <w:numId w:val="0"/>
        </w:numPr>
        <w:ind w:left="1077" w:firstLine="93"/>
        <w:rPr>
          <w:lang w:val="bg-BG"/>
        </w:rPr>
      </w:pPr>
      <w:r>
        <w:rPr>
          <w:lang w:val="bg-BG"/>
        </w:rPr>
        <w:lastRenderedPageBreak/>
        <w:t>Г</w:t>
      </w:r>
      <w:r w:rsidR="005330C7">
        <w:t xml:space="preserve">. </w:t>
      </w:r>
      <w:r>
        <w:rPr>
          <w:lang w:val="bg-BG"/>
        </w:rPr>
        <w:t>Други въпроси</w:t>
      </w:r>
    </w:p>
    <w:p w14:paraId="2B9A9592" w14:textId="77777777" w:rsidR="00662576" w:rsidRPr="00220EA9" w:rsidRDefault="00B777FA" w:rsidP="00662576">
      <w:pPr>
        <w:pStyle w:val="Heading2"/>
        <w:numPr>
          <w:ilvl w:val="1"/>
          <w:numId w:val="21"/>
        </w:numPr>
        <w:rPr>
          <w:lang w:val="bg-BG"/>
        </w:rPr>
      </w:pPr>
      <w:r w:rsidRPr="00220EA9">
        <w:rPr>
          <w:lang w:val="bg-BG"/>
        </w:rPr>
        <w:t>Данъчни мерки за борба с подкуп</w:t>
      </w:r>
      <w:r w:rsidR="00A51CC5">
        <w:rPr>
          <w:lang w:val="bg-BG"/>
        </w:rPr>
        <w:t>а</w:t>
      </w:r>
      <w:r w:rsidRPr="00220EA9">
        <w:rPr>
          <w:lang w:val="bg-BG"/>
        </w:rPr>
        <w:t xml:space="preserve"> на чужди длъжностни лица</w:t>
      </w:r>
    </w:p>
    <w:p w14:paraId="6468CE04" w14:textId="77777777" w:rsidR="00662576" w:rsidRPr="00220EA9" w:rsidRDefault="00AB5FB7" w:rsidP="00662576">
      <w:pPr>
        <w:pStyle w:val="Para"/>
        <w:rPr>
          <w:lang w:val="bg-BG"/>
        </w:rPr>
      </w:pPr>
      <w:r>
        <w:rPr>
          <w:lang w:val="bg-BG"/>
        </w:rPr>
        <w:t>Националана агенция за приходите (</w:t>
      </w:r>
      <w:r w:rsidR="00B777FA" w:rsidRPr="00220EA9">
        <w:rPr>
          <w:lang w:val="bg-BG"/>
        </w:rPr>
        <w:t>НАП</w:t>
      </w:r>
      <w:r>
        <w:rPr>
          <w:lang w:val="bg-BG"/>
        </w:rPr>
        <w:t>)</w:t>
      </w:r>
      <w:r w:rsidR="00B777FA" w:rsidRPr="00220EA9">
        <w:rPr>
          <w:lang w:val="bg-BG"/>
        </w:rPr>
        <w:t xml:space="preserve"> отговаря за прилагането на Данъчния кодекс, Закона за корпоративното подоходно облагане (ЗКПО) и Данъчно-осигурителния процесуален кодекс. По време на </w:t>
      </w:r>
      <w:r w:rsidR="00673F1F" w:rsidRPr="00220EA9">
        <w:rPr>
          <w:lang w:val="bg-BG"/>
        </w:rPr>
        <w:t>Фаза</w:t>
      </w:r>
      <w:r w:rsidR="00B777FA" w:rsidRPr="00220EA9">
        <w:rPr>
          <w:lang w:val="bg-BG"/>
        </w:rPr>
        <w:t xml:space="preserve"> 3 България получи две препоръки, свързани с данъците, относно данъчното приспадане на подкупите (Препоръка 7 (а)) и </w:t>
      </w:r>
      <w:r>
        <w:rPr>
          <w:lang w:val="bg-BG"/>
        </w:rPr>
        <w:t xml:space="preserve">приемането на </w:t>
      </w:r>
      <w:r w:rsidR="00B777FA" w:rsidRPr="00220EA9">
        <w:rPr>
          <w:lang w:val="bg-BG"/>
        </w:rPr>
        <w:t>насоки и обучение</w:t>
      </w:r>
      <w:r>
        <w:rPr>
          <w:lang w:val="bg-BG"/>
        </w:rPr>
        <w:t>то</w:t>
      </w:r>
      <w:r w:rsidR="00B777FA" w:rsidRPr="00220EA9">
        <w:rPr>
          <w:lang w:val="bg-BG"/>
        </w:rPr>
        <w:t xml:space="preserve"> </w:t>
      </w:r>
      <w:r>
        <w:rPr>
          <w:lang w:val="bg-BG"/>
        </w:rPr>
        <w:t>на</w:t>
      </w:r>
      <w:r w:rsidR="00B777FA" w:rsidRPr="00220EA9">
        <w:rPr>
          <w:lang w:val="bg-BG"/>
        </w:rPr>
        <w:t xml:space="preserve"> данъчни инспектори (Препоръка 7 (</w:t>
      </w:r>
      <w:r w:rsidR="00B777FA" w:rsidRPr="00B777FA">
        <w:t>b</w:t>
      </w:r>
      <w:r w:rsidR="00B777FA" w:rsidRPr="00220EA9">
        <w:rPr>
          <w:lang w:val="bg-BG"/>
        </w:rPr>
        <w:t>)</w:t>
      </w:r>
      <w:r w:rsidR="00662576" w:rsidRPr="00220EA9">
        <w:rPr>
          <w:lang w:val="bg-BG"/>
        </w:rPr>
        <w:t xml:space="preserve">). </w:t>
      </w:r>
    </w:p>
    <w:p w14:paraId="23B45056" w14:textId="36B12AE4" w:rsidR="00662576" w:rsidRPr="00220EA9" w:rsidRDefault="00AA63E5" w:rsidP="00662576">
      <w:pPr>
        <w:pStyle w:val="Heading3"/>
        <w:rPr>
          <w:lang w:val="bg-BG"/>
        </w:rPr>
      </w:pPr>
      <w:r>
        <w:rPr>
          <w:lang w:val="bg-BG"/>
        </w:rPr>
        <w:t>Забрана за данъчно приспадане на п</w:t>
      </w:r>
      <w:r w:rsidR="004C18A8">
        <w:rPr>
          <w:lang w:val="bg-BG"/>
        </w:rPr>
        <w:t xml:space="preserve">одкупи и </w:t>
      </w:r>
      <w:r w:rsidR="00330E63">
        <w:rPr>
          <w:lang w:val="bg-BG"/>
        </w:rPr>
        <w:t>преследване</w:t>
      </w:r>
    </w:p>
    <w:p w14:paraId="577AC7C3" w14:textId="77777777" w:rsidR="00662576" w:rsidRDefault="004C18A8" w:rsidP="00662576">
      <w:pPr>
        <w:pStyle w:val="Para"/>
        <w:tabs>
          <w:tab w:val="clear" w:pos="720"/>
        </w:tabs>
        <w:rPr>
          <w:lang w:val="bg-BG" w:eastAsia="zh-CN"/>
        </w:rPr>
      </w:pPr>
      <w:r w:rsidRPr="00220EA9">
        <w:rPr>
          <w:lang w:val="bg-BG"/>
        </w:rPr>
        <w:t xml:space="preserve">Следвайки </w:t>
      </w:r>
      <w:r w:rsidR="00AB5FB7">
        <w:rPr>
          <w:lang w:val="bg-BG"/>
        </w:rPr>
        <w:t>п</w:t>
      </w:r>
      <w:r w:rsidRPr="00220EA9">
        <w:rPr>
          <w:lang w:val="bg-BG"/>
        </w:rPr>
        <w:t xml:space="preserve">репоръка 7 (а) </w:t>
      </w:r>
      <w:r w:rsidR="00AA63E5">
        <w:rPr>
          <w:lang w:val="bg-BG"/>
        </w:rPr>
        <w:t xml:space="preserve">от доклада </w:t>
      </w:r>
      <w:r w:rsidRPr="00220EA9">
        <w:rPr>
          <w:lang w:val="bg-BG"/>
        </w:rPr>
        <w:t xml:space="preserve">по </w:t>
      </w:r>
      <w:r w:rsidR="00673F1F" w:rsidRPr="00220EA9">
        <w:rPr>
          <w:lang w:val="bg-BG"/>
        </w:rPr>
        <w:t>Фаза</w:t>
      </w:r>
      <w:r w:rsidRPr="00220EA9">
        <w:rPr>
          <w:lang w:val="bg-BG"/>
        </w:rPr>
        <w:t xml:space="preserve"> 3 за изрична забрана на данъчното приспадане на подкупите, България измени ЗКПО през 2013 г., за да забрани изрично признаването на подкупите като приспадащи се разходи за данъчни цели (член 26, </w:t>
      </w:r>
      <w:r w:rsidR="00AB1321">
        <w:rPr>
          <w:lang w:val="bg-BG"/>
        </w:rPr>
        <w:t>ал.</w:t>
      </w:r>
      <w:r w:rsidRPr="00220EA9">
        <w:rPr>
          <w:lang w:val="bg-BG"/>
        </w:rPr>
        <w:t xml:space="preserve"> 12 от ЗКПО). Съответно, по време на двугодишн</w:t>
      </w:r>
      <w:r w:rsidR="00AB5FB7">
        <w:rPr>
          <w:lang w:val="bg-BG"/>
        </w:rPr>
        <w:t>ия</w:t>
      </w:r>
      <w:r w:rsidRPr="00220EA9">
        <w:rPr>
          <w:lang w:val="bg-BG"/>
        </w:rPr>
        <w:t xml:space="preserve"> писмен</w:t>
      </w:r>
      <w:r w:rsidR="00AB5FB7">
        <w:rPr>
          <w:lang w:val="bg-BG"/>
        </w:rPr>
        <w:t xml:space="preserve"> преглед на изпълнението на препоръките по фаза 3</w:t>
      </w:r>
      <w:r w:rsidRPr="00220EA9">
        <w:rPr>
          <w:lang w:val="bg-BG"/>
        </w:rPr>
        <w:t xml:space="preserve"> препоръка 7 (а) бе счетена за напълно изпълнена</w:t>
      </w:r>
      <w:r w:rsidR="00662576" w:rsidRPr="00220EA9">
        <w:rPr>
          <w:lang w:val="bg-BG"/>
        </w:rPr>
        <w:t>.</w:t>
      </w:r>
    </w:p>
    <w:p w14:paraId="1C4E597C" w14:textId="77777777" w:rsidR="00662576" w:rsidRDefault="004C18A8" w:rsidP="00662576">
      <w:pPr>
        <w:pStyle w:val="Para"/>
        <w:tabs>
          <w:tab w:val="clear" w:pos="720"/>
        </w:tabs>
        <w:rPr>
          <w:lang w:val="bg-BG" w:eastAsia="zh-CN"/>
        </w:rPr>
      </w:pPr>
      <w:r w:rsidRPr="00220EA9">
        <w:rPr>
          <w:lang w:val="bg-BG"/>
        </w:rPr>
        <w:t>Ако данъкоплатец е</w:t>
      </w:r>
      <w:r w:rsidR="00AB5FB7">
        <w:rPr>
          <w:lang w:val="bg-BG"/>
        </w:rPr>
        <w:t xml:space="preserve"> наказан</w:t>
      </w:r>
      <w:r w:rsidR="00AB1321">
        <w:rPr>
          <w:lang w:val="bg-BG"/>
        </w:rPr>
        <w:t xml:space="preserve"> </w:t>
      </w:r>
      <w:r w:rsidR="00AB5FB7">
        <w:rPr>
          <w:lang w:val="bg-BG"/>
        </w:rPr>
        <w:t>по</w:t>
      </w:r>
      <w:r w:rsidRPr="00220EA9">
        <w:rPr>
          <w:lang w:val="bg-BG"/>
        </w:rPr>
        <w:t xml:space="preserve"> дело за подкуп на чужди длъжностни лица, данъчните власти трябва да преразгледат данъчните декларации за съответните години, за да установят дали подкупите са били представени като данъчно приспадане. Според информацията, предостав</w:t>
      </w:r>
      <w:r w:rsidR="00AB1321">
        <w:rPr>
          <w:lang w:val="bg-BG"/>
        </w:rPr>
        <w:t>ена от НАП по време на виртуалното посещение</w:t>
      </w:r>
      <w:r w:rsidRPr="00220EA9">
        <w:rPr>
          <w:lang w:val="bg-BG"/>
        </w:rPr>
        <w:t xml:space="preserve">, не съществува механизъм, чрез който </w:t>
      </w:r>
      <w:r w:rsidR="00AB1321" w:rsidRPr="00220EA9">
        <w:rPr>
          <w:lang w:val="bg-BG"/>
        </w:rPr>
        <w:t xml:space="preserve">те </w:t>
      </w:r>
      <w:r w:rsidRPr="00220EA9">
        <w:rPr>
          <w:lang w:val="bg-BG"/>
        </w:rPr>
        <w:t xml:space="preserve">да бъдат уведомени от съответните съдилища за </w:t>
      </w:r>
      <w:r w:rsidR="00AB5FB7">
        <w:rPr>
          <w:lang w:val="bg-BG"/>
        </w:rPr>
        <w:t xml:space="preserve">постановени присъди или </w:t>
      </w:r>
      <w:r w:rsidRPr="00220EA9">
        <w:rPr>
          <w:lang w:val="bg-BG"/>
        </w:rPr>
        <w:t xml:space="preserve"> административни санкции по ЗАНН, освен ако съдът не разпореди </w:t>
      </w:r>
      <w:r w:rsidR="0064621E" w:rsidRPr="00220EA9">
        <w:rPr>
          <w:lang w:val="bg-BG"/>
        </w:rPr>
        <w:t>отнемане</w:t>
      </w:r>
      <w:r w:rsidRPr="00220EA9">
        <w:rPr>
          <w:lang w:val="bg-BG"/>
        </w:rPr>
        <w:t xml:space="preserve">. В този случай НАП ще пристъпи към </w:t>
      </w:r>
      <w:r w:rsidR="0064621E" w:rsidRPr="00220EA9">
        <w:rPr>
          <w:lang w:val="bg-BG"/>
        </w:rPr>
        <w:t>отнемане</w:t>
      </w:r>
      <w:r w:rsidRPr="00220EA9">
        <w:rPr>
          <w:lang w:val="bg-BG"/>
        </w:rPr>
        <w:t xml:space="preserve"> по общата процедура и следователно косвено ще бъдат информирани за присъди</w:t>
      </w:r>
      <w:r w:rsidR="00662576" w:rsidRPr="00220EA9">
        <w:rPr>
          <w:lang w:val="bg-BG"/>
        </w:rPr>
        <w:t xml:space="preserve">. </w:t>
      </w:r>
    </w:p>
    <w:p w14:paraId="04CBB521" w14:textId="39ED27E6" w:rsidR="00662576" w:rsidRDefault="00F42E5E" w:rsidP="00662576">
      <w:pPr>
        <w:pStyle w:val="Para"/>
        <w:tabs>
          <w:tab w:val="clear" w:pos="720"/>
        </w:tabs>
        <w:rPr>
          <w:lang w:val="bg-BG" w:eastAsia="zh-CN"/>
        </w:rPr>
      </w:pPr>
      <w:r w:rsidRPr="00220EA9">
        <w:rPr>
          <w:lang w:val="bg-BG"/>
        </w:rPr>
        <w:t xml:space="preserve">Освен това НАП съобщи, че няма механизъм или политика за </w:t>
      </w:r>
      <w:r w:rsidR="002B42B4" w:rsidRPr="00220EA9">
        <w:rPr>
          <w:lang w:val="bg-BG"/>
        </w:rPr>
        <w:t>систем</w:t>
      </w:r>
      <w:r w:rsidR="002B42B4">
        <w:rPr>
          <w:lang w:val="bg-BG"/>
        </w:rPr>
        <w:t>но</w:t>
      </w:r>
      <w:r w:rsidR="002B42B4" w:rsidRPr="00220EA9">
        <w:rPr>
          <w:lang w:val="bg-BG"/>
        </w:rPr>
        <w:t xml:space="preserve"> </w:t>
      </w:r>
      <w:r w:rsidRPr="00220EA9">
        <w:rPr>
          <w:lang w:val="bg-BG"/>
        </w:rPr>
        <w:t xml:space="preserve">преразглеждане на данъчните декларации в случай на </w:t>
      </w:r>
      <w:r w:rsidR="00AB5FB7">
        <w:rPr>
          <w:lang w:val="bg-BG"/>
        </w:rPr>
        <w:t>постановени присъди</w:t>
      </w:r>
      <w:r w:rsidRPr="00220EA9">
        <w:rPr>
          <w:lang w:val="bg-BG"/>
        </w:rPr>
        <w:t xml:space="preserve"> или административни санкции, но че на практика, когато съответният отдел на НАП получава информация за присъди, въпросното лице бива избрано за последваща данъчна ревизия. В един случа</w:t>
      </w:r>
      <w:r w:rsidR="00AB5FB7">
        <w:rPr>
          <w:lang w:val="bg-BG"/>
        </w:rPr>
        <w:t>й</w:t>
      </w:r>
      <w:r w:rsidRPr="00220EA9">
        <w:rPr>
          <w:lang w:val="bg-BG"/>
        </w:rPr>
        <w:t>, докладван в този доклад (</w:t>
      </w:r>
      <w:r w:rsidRPr="00572912">
        <w:rPr>
          <w:b/>
          <w:lang w:val="bg-BG"/>
        </w:rPr>
        <w:t xml:space="preserve">случай </w:t>
      </w:r>
      <w:r w:rsidR="00AB5FB7" w:rsidRPr="00097B47">
        <w:rPr>
          <w:b/>
          <w:bCs/>
          <w:lang w:val="bg-BG"/>
        </w:rPr>
        <w:t>В</w:t>
      </w:r>
      <w:r w:rsidRPr="00220EA9">
        <w:rPr>
          <w:lang w:val="bg-BG"/>
        </w:rPr>
        <w:t>), НАП извърши данъчна проверка за периода 2012-2015 г. въз основа на постановление на прокурора по делото, ко</w:t>
      </w:r>
      <w:r w:rsidR="00287989">
        <w:rPr>
          <w:lang w:val="bg-BG"/>
        </w:rPr>
        <w:t>я</w:t>
      </w:r>
      <w:r w:rsidRPr="00220EA9">
        <w:rPr>
          <w:lang w:val="bg-BG"/>
        </w:rPr>
        <w:t>то не установи нередности или допълнителни данъчни задължения</w:t>
      </w:r>
      <w:r w:rsidR="00662576" w:rsidRPr="00220EA9">
        <w:rPr>
          <w:lang w:val="bg-BG"/>
        </w:rPr>
        <w:t>.</w:t>
      </w:r>
    </w:p>
    <w:p w14:paraId="15F0669E" w14:textId="5A20781F" w:rsidR="00662576" w:rsidRPr="00413EB4" w:rsidRDefault="00F42E5E" w:rsidP="00662576">
      <w:pPr>
        <w:pStyle w:val="Para"/>
        <w:tabs>
          <w:tab w:val="clear" w:pos="720"/>
        </w:tabs>
        <w:rPr>
          <w:lang w:val="bg-BG" w:eastAsia="zh-CN"/>
        </w:rPr>
      </w:pPr>
      <w:r w:rsidRPr="00220EA9">
        <w:rPr>
          <w:lang w:val="bg-BG"/>
        </w:rPr>
        <w:t xml:space="preserve">ВКП отбелязва </w:t>
      </w:r>
      <w:r w:rsidR="00AB5FB7">
        <w:rPr>
          <w:lang w:val="bg-BG"/>
        </w:rPr>
        <w:t>много</w:t>
      </w:r>
      <w:r w:rsidRPr="00220EA9">
        <w:rPr>
          <w:lang w:val="bg-BG"/>
        </w:rPr>
        <w:t xml:space="preserve"> досъдебни производства за изпиране на пари, в които размерът на имуществото, придобито чрез престъплението, е</w:t>
      </w:r>
      <w:r w:rsidR="00995633">
        <w:rPr>
          <w:lang w:val="bg-BG"/>
        </w:rPr>
        <w:t xml:space="preserve"> било</w:t>
      </w:r>
      <w:r w:rsidRPr="00220EA9">
        <w:rPr>
          <w:lang w:val="bg-BG"/>
        </w:rPr>
        <w:t xml:space="preserve"> успешно установено и които на този етап са завършили с осъдителна присъда на </w:t>
      </w:r>
      <w:r w:rsidR="00AB5FB7">
        <w:rPr>
          <w:lang w:val="bg-BG"/>
        </w:rPr>
        <w:t>последна</w:t>
      </w:r>
      <w:r w:rsidRPr="00220EA9">
        <w:rPr>
          <w:lang w:val="bg-BG"/>
        </w:rPr>
        <w:t xml:space="preserve"> инстанция, включително въз основа на предикатно данъчно престъпление</w:t>
      </w:r>
      <w:r w:rsidR="00662576" w:rsidRPr="00220EA9">
        <w:rPr>
          <w:lang w:val="bg-BG"/>
        </w:rPr>
        <w:t>.</w:t>
      </w:r>
      <w:r w:rsidR="00662576">
        <w:rPr>
          <w:rStyle w:val="FootnoteReference"/>
          <w:lang w:val="en-US"/>
        </w:rPr>
        <w:footnoteReference w:id="48"/>
      </w:r>
    </w:p>
    <w:p w14:paraId="429D74A5" w14:textId="77777777" w:rsidR="00662576" w:rsidRDefault="00C13BA3" w:rsidP="00662576">
      <w:pPr>
        <w:pStyle w:val="Heading3"/>
      </w:pPr>
      <w:r w:rsidRPr="00C13BA3">
        <w:lastRenderedPageBreak/>
        <w:t>Разкриване и споделяне на информация</w:t>
      </w:r>
    </w:p>
    <w:p w14:paraId="2D90AF17" w14:textId="77777777" w:rsidR="00662576" w:rsidRPr="00AE053B" w:rsidRDefault="00267EF5" w:rsidP="00662576">
      <w:pPr>
        <w:pStyle w:val="Para"/>
        <w:tabs>
          <w:tab w:val="clear" w:pos="720"/>
        </w:tabs>
      </w:pPr>
      <w:r>
        <w:t xml:space="preserve">Към днешна дата </w:t>
      </w:r>
      <w:r w:rsidR="00B95D3E">
        <w:rPr>
          <w:lang w:val="bg-BG"/>
        </w:rPr>
        <w:t>НАП</w:t>
      </w:r>
      <w:r w:rsidR="00C13BA3" w:rsidRPr="00C13BA3">
        <w:t xml:space="preserve"> не е препращала </w:t>
      </w:r>
      <w:r w:rsidR="00F643D9">
        <w:rPr>
          <w:lang w:val="bg-BG"/>
        </w:rPr>
        <w:t xml:space="preserve">данни за </w:t>
      </w:r>
      <w:r>
        <w:rPr>
          <w:lang w:val="bg-BG"/>
        </w:rPr>
        <w:t xml:space="preserve">съмнителни </w:t>
      </w:r>
      <w:r w:rsidR="00C13BA3" w:rsidRPr="00C13BA3">
        <w:t xml:space="preserve">случаи за подкуп на чужди длъжностни лица към правоприлагащите органи. Въпреки това България съобщава в отговорите си на въпросника по </w:t>
      </w:r>
      <w:r w:rsidR="00673F1F">
        <w:t>Фаза</w:t>
      </w:r>
      <w:r w:rsidR="00C13BA3" w:rsidRPr="00C13BA3">
        <w:t xml:space="preserve"> 4, че макар Прокуратурата на България да не води статистика за източниците на информация, въз основа на които се образува досъдебното производство, годишният доклад на Прокуратурата на България за 2019 г. показва, че най-значителният брой </w:t>
      </w:r>
      <w:r w:rsidR="00B95D3E">
        <w:rPr>
          <w:lang w:val="bg-BG"/>
        </w:rPr>
        <w:t>преписки</w:t>
      </w:r>
      <w:r w:rsidR="00C13BA3" w:rsidRPr="00C13BA3">
        <w:t xml:space="preserve">, </w:t>
      </w:r>
      <w:r w:rsidR="00B95D3E">
        <w:rPr>
          <w:lang w:val="bg-BG"/>
        </w:rPr>
        <w:t>образувани</w:t>
      </w:r>
      <w:r w:rsidR="00C13BA3" w:rsidRPr="00C13BA3">
        <w:t xml:space="preserve"> от прокурорите, са </w:t>
      </w:r>
      <w:r w:rsidR="00B95D3E">
        <w:rPr>
          <w:lang w:val="bg-BG"/>
        </w:rPr>
        <w:t>в резултат на</w:t>
      </w:r>
      <w:r w:rsidR="00C13BA3" w:rsidRPr="00C13BA3">
        <w:t xml:space="preserve"> уведомлени</w:t>
      </w:r>
      <w:r w:rsidR="00F643D9">
        <w:rPr>
          <w:lang w:val="bg-BG"/>
        </w:rPr>
        <w:t>я</w:t>
      </w:r>
      <w:r w:rsidR="00C13BA3" w:rsidRPr="00C13BA3">
        <w:t xml:space="preserve"> от НАП и Агенция "Митници"</w:t>
      </w:r>
      <w:r w:rsidR="00662576">
        <w:t>.</w:t>
      </w:r>
      <w:r w:rsidR="00662576" w:rsidRPr="00915365">
        <w:rPr>
          <w:rStyle w:val="FootnoteReference"/>
          <w:szCs w:val="20"/>
        </w:rPr>
        <w:t xml:space="preserve"> </w:t>
      </w:r>
    </w:p>
    <w:p w14:paraId="2299D455" w14:textId="77777777" w:rsidR="00662576" w:rsidRPr="00CA7C0B" w:rsidRDefault="00AB4A25" w:rsidP="00662576">
      <w:pPr>
        <w:pStyle w:val="Para"/>
        <w:tabs>
          <w:tab w:val="clear" w:pos="720"/>
        </w:tabs>
      </w:pPr>
      <w:r w:rsidRPr="00AB4A25">
        <w:t xml:space="preserve">Според информацията, предоставена от НАП при виртуалното посещение, Наръчникът за откриване на корупционни практики, приет през 2013 г. (вж. По-долу в раздел „Повишаване на осведомеността и обучението“), съдържа няколко индикатора, които данъчните одитори трябва да следват при своите проверки, като например плащанията, извършени за намаляване на данъчната основа или разкриване на служители или счетоводни книги, регистри и поведение. Данъчните одитори съобщават на прокуратурата за нередности по отношение на </w:t>
      </w:r>
      <w:r w:rsidR="00624928">
        <w:rPr>
          <w:lang w:val="bg-BG"/>
        </w:rPr>
        <w:t>Д</w:t>
      </w:r>
      <w:r w:rsidRPr="00AB4A25">
        <w:t>анъчния кодекс, а не за подкуп на чужди длъжностни лица или други престъпления, които са извън тяхната компетенция</w:t>
      </w:r>
      <w:r w:rsidR="00662576" w:rsidRPr="00914385">
        <w:t xml:space="preserve">. </w:t>
      </w:r>
    </w:p>
    <w:p w14:paraId="02738598" w14:textId="77777777" w:rsidR="00662576" w:rsidRDefault="00AB4A25" w:rsidP="00662576">
      <w:pPr>
        <w:pStyle w:val="Heading3"/>
      </w:pPr>
      <w:r w:rsidRPr="00AB4A25">
        <w:t>Докладване пред националните правоприлагащи органи и сътрудничество</w:t>
      </w:r>
    </w:p>
    <w:p w14:paraId="24D8BAFD" w14:textId="77777777" w:rsidR="00662576" w:rsidRDefault="006506BF" w:rsidP="00662576">
      <w:pPr>
        <w:pStyle w:val="Para"/>
        <w:tabs>
          <w:tab w:val="clear" w:pos="720"/>
        </w:tabs>
      </w:pPr>
      <w:r w:rsidRPr="006506BF">
        <w:t>Съгласно чл</w:t>
      </w:r>
      <w:r w:rsidR="00472CF0">
        <w:rPr>
          <w:lang w:val="bg-BG"/>
        </w:rPr>
        <w:t>.</w:t>
      </w:r>
      <w:r w:rsidRPr="006506BF">
        <w:t xml:space="preserve"> 34, </w:t>
      </w:r>
      <w:r w:rsidR="006A0449">
        <w:rPr>
          <w:lang w:val="bg-BG"/>
        </w:rPr>
        <w:t>ал.</w:t>
      </w:r>
      <w:r w:rsidRPr="006506BF">
        <w:t xml:space="preserve"> 2 от Данъчно-осигурителния процесуален кодекс, ако по време на своите разследвания данъчните инспектори получат информация за значими престъпления, те са длъжни да изпратят материалите на съответния прокурор. Както бе споменато </w:t>
      </w:r>
      <w:r w:rsidR="00B95D3E">
        <w:rPr>
          <w:lang w:val="bg-BG"/>
        </w:rPr>
        <w:t xml:space="preserve">в доклада </w:t>
      </w:r>
      <w:r w:rsidRPr="006506BF">
        <w:t xml:space="preserve">по </w:t>
      </w:r>
      <w:r w:rsidR="00673F1F">
        <w:t>Фаза</w:t>
      </w:r>
      <w:r w:rsidRPr="006506BF">
        <w:t xml:space="preserve"> 3</w:t>
      </w:r>
      <w:r w:rsidR="00B95D3E">
        <w:rPr>
          <w:lang w:val="bg-BG"/>
        </w:rPr>
        <w:t xml:space="preserve"> (параграф 91)</w:t>
      </w:r>
      <w:r w:rsidRPr="006506BF">
        <w:t xml:space="preserve">, през 2006 г. министърът на финансите и главният прокурор издадоха инструкция, която предоставя механизми за обмен на информация и сътрудничество между НАП и </w:t>
      </w:r>
      <w:r w:rsidR="00624928">
        <w:rPr>
          <w:lang w:val="bg-BG"/>
        </w:rPr>
        <w:t>П</w:t>
      </w:r>
      <w:r w:rsidRPr="006506BF">
        <w:t xml:space="preserve">рокуратурата при разследването на данъчни престъпления, измами и корупция, включително предоставяне </w:t>
      </w:r>
      <w:r w:rsidR="00472CF0" w:rsidRPr="006506BF">
        <w:t xml:space="preserve">при необходимост </w:t>
      </w:r>
      <w:r w:rsidRPr="006506BF">
        <w:t xml:space="preserve">на експертни знания </w:t>
      </w:r>
      <w:r w:rsidR="00624928">
        <w:rPr>
          <w:lang w:val="bg-BG"/>
        </w:rPr>
        <w:t xml:space="preserve">от страна </w:t>
      </w:r>
      <w:r w:rsidRPr="006506BF">
        <w:t>на НАП на досъдебните органи</w:t>
      </w:r>
      <w:r w:rsidR="00662576" w:rsidRPr="00514545">
        <w:rPr>
          <w:lang w:val="en-US"/>
        </w:rPr>
        <w:t>.</w:t>
      </w:r>
      <w:r w:rsidR="00662576">
        <w:rPr>
          <w:rStyle w:val="FootnoteReference"/>
          <w:lang w:val="en-US"/>
        </w:rPr>
        <w:footnoteReference w:id="49"/>
      </w:r>
    </w:p>
    <w:p w14:paraId="298A3A2E" w14:textId="77777777" w:rsidR="00662576" w:rsidRPr="00EE18B5" w:rsidRDefault="006506BF" w:rsidP="00662576">
      <w:pPr>
        <w:pStyle w:val="Para"/>
        <w:tabs>
          <w:tab w:val="clear" w:pos="720"/>
        </w:tabs>
        <w:rPr>
          <w:lang w:val="bg-BG"/>
        </w:rPr>
      </w:pPr>
      <w:r w:rsidRPr="006506BF">
        <w:rPr>
          <w:lang w:eastAsia="zh-CN"/>
        </w:rPr>
        <w:t>По време на виртуалн</w:t>
      </w:r>
      <w:r w:rsidR="00EE18B5">
        <w:rPr>
          <w:lang w:val="bg-BG" w:eastAsia="zh-CN"/>
        </w:rPr>
        <w:t>ото посещение</w:t>
      </w:r>
      <w:r w:rsidRPr="006506BF">
        <w:rPr>
          <w:lang w:eastAsia="zh-CN"/>
        </w:rPr>
        <w:t xml:space="preserve"> НАП </w:t>
      </w:r>
      <w:r w:rsidR="00EE18B5">
        <w:rPr>
          <w:lang w:val="bg-BG" w:eastAsia="zh-CN"/>
        </w:rPr>
        <w:t>докладва</w:t>
      </w:r>
      <w:r w:rsidRPr="006506BF">
        <w:rPr>
          <w:lang w:eastAsia="zh-CN"/>
        </w:rPr>
        <w:t>, че въз основа на актуализирана инструкция за междуведомствено сътрудничество между НАП и прокурорите са създадени координационни центрове на местно ниво между местните служби за данъчна администрация и прокуратурата за провеждане на обсъждания на казуси. Това има за цел да подобри сътрудничеството и комуникацията чрез работни срещи и според експертите работи добре.</w:t>
      </w:r>
      <w:r w:rsidR="00EE18B5">
        <w:rPr>
          <w:lang w:val="bg-BG" w:eastAsia="zh-CN"/>
        </w:rPr>
        <w:t xml:space="preserve"> </w:t>
      </w:r>
      <w:r w:rsidRPr="00EE18B5">
        <w:rPr>
          <w:lang w:val="bg-BG" w:eastAsia="zh-CN"/>
        </w:rPr>
        <w:t xml:space="preserve">НАП потвърди, че прокурорите ги информират за случаи, когато </w:t>
      </w:r>
      <w:r w:rsidR="00624928">
        <w:rPr>
          <w:lang w:val="bg-BG" w:eastAsia="zh-CN"/>
        </w:rPr>
        <w:t xml:space="preserve">предоставената </w:t>
      </w:r>
      <w:r w:rsidRPr="00EE18B5">
        <w:rPr>
          <w:lang w:val="bg-BG" w:eastAsia="zh-CN"/>
        </w:rPr>
        <w:t xml:space="preserve">информация не е достатъчна и </w:t>
      </w:r>
      <w:r w:rsidR="001E3EC5">
        <w:rPr>
          <w:lang w:val="bg-BG" w:eastAsia="zh-CN"/>
        </w:rPr>
        <w:t xml:space="preserve">е отказано </w:t>
      </w:r>
      <w:r w:rsidR="00E7450D">
        <w:rPr>
          <w:lang w:val="bg-BG" w:eastAsia="zh-CN"/>
        </w:rPr>
        <w:t>започване</w:t>
      </w:r>
      <w:r w:rsidRPr="00EE18B5">
        <w:rPr>
          <w:lang w:val="bg-BG" w:eastAsia="zh-CN"/>
        </w:rPr>
        <w:t xml:space="preserve"> на досъдебни разследвания, както и относно обвинения, които са повдигнати в образувано производство</w:t>
      </w:r>
      <w:r w:rsidR="00662576" w:rsidRPr="00EE18B5">
        <w:rPr>
          <w:lang w:val="bg-BG"/>
        </w:rPr>
        <w:t>.</w:t>
      </w:r>
    </w:p>
    <w:p w14:paraId="36E6BF05" w14:textId="77777777" w:rsidR="00662576" w:rsidRPr="00854ACE" w:rsidRDefault="006506BF" w:rsidP="00662576">
      <w:pPr>
        <w:pStyle w:val="Para"/>
        <w:tabs>
          <w:tab w:val="clear" w:pos="720"/>
        </w:tabs>
        <w:rPr>
          <w:lang w:val="bg-BG"/>
        </w:rPr>
      </w:pPr>
      <w:r w:rsidRPr="00854ACE">
        <w:rPr>
          <w:lang w:val="bg-BG" w:eastAsia="zh-CN"/>
        </w:rPr>
        <w:t xml:space="preserve">НАП, като компетентен орган за разпореждане с </w:t>
      </w:r>
      <w:r w:rsidR="0064621E" w:rsidRPr="00854ACE">
        <w:rPr>
          <w:lang w:val="bg-BG" w:eastAsia="zh-CN"/>
        </w:rPr>
        <w:t>отнети</w:t>
      </w:r>
      <w:r w:rsidRPr="00854ACE">
        <w:rPr>
          <w:lang w:val="bg-BG" w:eastAsia="zh-CN"/>
        </w:rPr>
        <w:t xml:space="preserve"> активи, не е получавала искания за разпореждане с имущество,</w:t>
      </w:r>
      <w:r w:rsidR="0064621E">
        <w:rPr>
          <w:lang w:val="bg-BG" w:eastAsia="zh-CN"/>
        </w:rPr>
        <w:t xml:space="preserve"> отнето</w:t>
      </w:r>
      <w:r w:rsidRPr="00854ACE">
        <w:rPr>
          <w:lang w:val="bg-BG" w:eastAsia="zh-CN"/>
        </w:rPr>
        <w:t xml:space="preserve"> в съответствие с изискванията на Конвенцията. Освен това НАП и Комисията за борба с корупцията си сътрудничат въз основа на подобна инструкция, а именно чрез извършване на проверки и предоставяне на информация във връзка с производствата на Комисията</w:t>
      </w:r>
      <w:r w:rsidR="00662576" w:rsidRPr="00854ACE">
        <w:rPr>
          <w:lang w:val="bg-BG"/>
        </w:rPr>
        <w:t>.</w:t>
      </w:r>
    </w:p>
    <w:p w14:paraId="4D3AE128" w14:textId="77777777" w:rsidR="00662576" w:rsidRDefault="006506BF" w:rsidP="00662576">
      <w:pPr>
        <w:pStyle w:val="Heading3"/>
      </w:pPr>
      <w:r w:rsidRPr="006506BF">
        <w:t>Повишаване на осведомеността и обучение</w:t>
      </w:r>
    </w:p>
    <w:p w14:paraId="66DC9A2A" w14:textId="11C4C23B" w:rsidR="00662576" w:rsidRDefault="006506BF" w:rsidP="00662576">
      <w:pPr>
        <w:pStyle w:val="Para"/>
      </w:pPr>
      <w:r w:rsidRPr="006506BF">
        <w:t xml:space="preserve">По </w:t>
      </w:r>
      <w:r w:rsidR="00673F1F">
        <w:t>Фаза</w:t>
      </w:r>
      <w:r w:rsidRPr="006506BF">
        <w:t xml:space="preserve"> 3 Работната група препоръча България да предостави насоки и обучение на данъчните инспектори по отношение на видовете разходи, които представляват подкуп на чужди длъжностни лица</w:t>
      </w:r>
      <w:r w:rsidR="00B82277">
        <w:rPr>
          <w:lang w:val="bg-BG"/>
        </w:rPr>
        <w:t>, като използва</w:t>
      </w:r>
      <w:r w:rsidRPr="006506BF">
        <w:t xml:space="preserve"> Наръчник</w:t>
      </w:r>
      <w:r w:rsidR="00B82277">
        <w:rPr>
          <w:lang w:val="bg-BG"/>
        </w:rPr>
        <w:t>а</w:t>
      </w:r>
      <w:r w:rsidRPr="006506BF">
        <w:t xml:space="preserve"> </w:t>
      </w:r>
      <w:r w:rsidR="001E3EC5" w:rsidRPr="006506BF">
        <w:t xml:space="preserve">на ОИСР </w:t>
      </w:r>
      <w:r w:rsidRPr="006506BF">
        <w:t xml:space="preserve">за осведоменост </w:t>
      </w:r>
      <w:r w:rsidR="001E3EC5">
        <w:rPr>
          <w:lang w:val="bg-BG"/>
        </w:rPr>
        <w:t xml:space="preserve">на </w:t>
      </w:r>
      <w:r w:rsidR="001E3EC5" w:rsidRPr="006506BF">
        <w:t xml:space="preserve">данъчни експерти </w:t>
      </w:r>
      <w:r w:rsidR="001E3EC5">
        <w:rPr>
          <w:lang w:val="bg-BG"/>
        </w:rPr>
        <w:lastRenderedPageBreak/>
        <w:t>относно</w:t>
      </w:r>
      <w:r w:rsidR="00412130">
        <w:rPr>
          <w:lang w:val="bg-BG"/>
        </w:rPr>
        <w:t xml:space="preserve"> подкупите</w:t>
      </w:r>
      <w:r w:rsidRPr="006506BF">
        <w:t xml:space="preserve"> (препоръка 7 (</w:t>
      </w:r>
      <w:r w:rsidR="001E3EC5">
        <w:rPr>
          <w:lang w:val="bg-BG"/>
        </w:rPr>
        <w:t>б</w:t>
      </w:r>
      <w:r w:rsidRPr="006506BF">
        <w:t>)). При двугодишн</w:t>
      </w:r>
      <w:r w:rsidR="001E3EC5">
        <w:rPr>
          <w:lang w:val="bg-BG"/>
        </w:rPr>
        <w:t>ия</w:t>
      </w:r>
      <w:r w:rsidRPr="006506BF">
        <w:t xml:space="preserve"> писмен</w:t>
      </w:r>
      <w:r w:rsidR="001E3EC5">
        <w:rPr>
          <w:lang w:val="bg-BG"/>
        </w:rPr>
        <w:t xml:space="preserve"> преглед на изпълнението на препоръките по фаза 3</w:t>
      </w:r>
      <w:r w:rsidRPr="006506BF">
        <w:t xml:space="preserve"> тази препоръка </w:t>
      </w:r>
      <w:r w:rsidR="001E3EC5">
        <w:rPr>
          <w:lang w:val="bg-BG"/>
        </w:rPr>
        <w:t>беше отчетена</w:t>
      </w:r>
      <w:r w:rsidRPr="006506BF">
        <w:t xml:space="preserve"> </w:t>
      </w:r>
      <w:r w:rsidR="001E3EC5">
        <w:rPr>
          <w:lang w:val="bg-BG"/>
        </w:rPr>
        <w:t>като</w:t>
      </w:r>
      <w:r w:rsidRPr="006506BF">
        <w:t xml:space="preserve"> частично изпълнена в очакване на организирането на планирани обучения</w:t>
      </w:r>
      <w:r w:rsidR="00662576">
        <w:t xml:space="preserve">. </w:t>
      </w:r>
    </w:p>
    <w:p w14:paraId="381326E8" w14:textId="2AAD27BD" w:rsidR="00662576" w:rsidRDefault="00995C81" w:rsidP="00662576">
      <w:pPr>
        <w:pStyle w:val="Para"/>
      </w:pPr>
      <w:r w:rsidRPr="00995C81">
        <w:t xml:space="preserve">НАП прие Наръчник за разкриване на корупционни практики за своите служители и го публикува на вътрешната си начална страница през 2013 г. Наръчникът отразява Наръчника на ОИСР за осведоменост </w:t>
      </w:r>
      <w:r w:rsidR="00412130">
        <w:rPr>
          <w:lang w:val="bg-BG"/>
        </w:rPr>
        <w:t>н</w:t>
      </w:r>
      <w:r w:rsidR="00412130" w:rsidRPr="00995C81">
        <w:t xml:space="preserve">а данъчни инспектори </w:t>
      </w:r>
      <w:r w:rsidRPr="00995C81">
        <w:t xml:space="preserve">относно подкупите </w:t>
      </w:r>
      <w:r w:rsidR="006E451B">
        <w:rPr>
          <w:lang w:val="bg-BG"/>
        </w:rPr>
        <w:t>и</w:t>
      </w:r>
      <w:r w:rsidR="006E451B" w:rsidRPr="00995C81">
        <w:t xml:space="preserve"> </w:t>
      </w:r>
      <w:r w:rsidRPr="00995C81">
        <w:t xml:space="preserve">Наръчника на ОИСР за осведомеността </w:t>
      </w:r>
      <w:r w:rsidR="00412130">
        <w:rPr>
          <w:lang w:val="bg-BG"/>
        </w:rPr>
        <w:t>н</w:t>
      </w:r>
      <w:r w:rsidRPr="00995C81">
        <w:t>а данъчни инспектори и данъчни одитори</w:t>
      </w:r>
      <w:r w:rsidR="00412130" w:rsidRPr="00412130">
        <w:t xml:space="preserve"> </w:t>
      </w:r>
      <w:r w:rsidR="00412130">
        <w:rPr>
          <w:lang w:val="bg-BG"/>
        </w:rPr>
        <w:t xml:space="preserve">относно </w:t>
      </w:r>
      <w:r w:rsidR="00412130" w:rsidRPr="00995C81">
        <w:t>подкупите и</w:t>
      </w:r>
      <w:r w:rsidR="00412130">
        <w:rPr>
          <w:lang w:val="bg-BG"/>
        </w:rPr>
        <w:t xml:space="preserve"> корупцията</w:t>
      </w:r>
      <w:r w:rsidRPr="00995C81">
        <w:t xml:space="preserve">. Всички данъчни инспектори имат достъп до Наръчника и могат да го използват в ежедневната си работа. Английската версия на Наръчника беше предоставена на Секретариата по време на </w:t>
      </w:r>
      <w:r w:rsidR="00673F1F">
        <w:t>Фаза</w:t>
      </w:r>
      <w:r w:rsidRPr="00995C81">
        <w:t xml:space="preserve"> 3 и </w:t>
      </w:r>
      <w:r w:rsidR="00930B9D" w:rsidRPr="00995C81">
        <w:t xml:space="preserve">въз основа на новия Наръчник </w:t>
      </w:r>
      <w:r w:rsidRPr="00995C81">
        <w:t xml:space="preserve">бяха организирани </w:t>
      </w:r>
      <w:r w:rsidR="00930B9D" w:rsidRPr="00995C81">
        <w:t xml:space="preserve">обучения </w:t>
      </w:r>
      <w:r w:rsidR="00930B9D">
        <w:rPr>
          <w:lang w:val="bg-BG"/>
        </w:rPr>
        <w:t>през</w:t>
      </w:r>
      <w:r w:rsidRPr="00995C81">
        <w:t xml:space="preserve"> 2013 г. Според информацията, предоставена при виртуалн</w:t>
      </w:r>
      <w:r w:rsidR="00930B9D">
        <w:rPr>
          <w:lang w:val="bg-BG"/>
        </w:rPr>
        <w:t>ото посещение,</w:t>
      </w:r>
      <w:r w:rsidRPr="00995C81">
        <w:t xml:space="preserve"> за изпълнението </w:t>
      </w:r>
      <w:r w:rsidR="00B95D3E">
        <w:rPr>
          <w:lang w:val="bg-BG"/>
        </w:rPr>
        <w:t>на</w:t>
      </w:r>
      <w:r w:rsidRPr="00995C81">
        <w:t xml:space="preserve"> </w:t>
      </w:r>
      <w:r w:rsidR="00930B9D">
        <w:rPr>
          <w:lang w:val="bg-BG"/>
        </w:rPr>
        <w:t>п</w:t>
      </w:r>
      <w:r w:rsidRPr="00995C81">
        <w:t>репоръка 7 (</w:t>
      </w:r>
      <w:r w:rsidR="00B95D3E">
        <w:rPr>
          <w:lang w:val="bg-BG"/>
        </w:rPr>
        <w:t>б</w:t>
      </w:r>
      <w:r w:rsidRPr="00995C81">
        <w:t>)</w:t>
      </w:r>
      <w:r w:rsidR="00B95D3E">
        <w:rPr>
          <w:lang w:val="bg-BG"/>
        </w:rPr>
        <w:t xml:space="preserve"> от по фаза 3</w:t>
      </w:r>
      <w:r w:rsidRPr="00995C81">
        <w:t xml:space="preserve">, редовни обучения продължават да се провеждат след </w:t>
      </w:r>
      <w:r w:rsidR="00673F1F">
        <w:t>Фаза</w:t>
      </w:r>
      <w:r w:rsidRPr="00995C81">
        <w:t xml:space="preserve"> 3. Представител на НАП отбеляза, че данъчните одитори са обучени да обръщат специално внимание на международните плащания и сделки</w:t>
      </w:r>
      <w:r w:rsidR="00662576">
        <w:t>.</w:t>
      </w:r>
    </w:p>
    <w:p w14:paraId="51C87077" w14:textId="77777777" w:rsidR="00662576" w:rsidRDefault="00995C81" w:rsidP="00662576">
      <w:pPr>
        <w:pStyle w:val="Heading3"/>
      </w:pPr>
      <w:r w:rsidRPr="00995C81">
        <w:t xml:space="preserve">Данъчно третиране на санкции и </w:t>
      </w:r>
      <w:r w:rsidR="0064621E">
        <w:rPr>
          <w:lang w:val="bg-BG"/>
        </w:rPr>
        <w:t>отнемания</w:t>
      </w:r>
      <w:r w:rsidRPr="00995C81">
        <w:t>, наложени на юридически лица</w:t>
      </w:r>
    </w:p>
    <w:p w14:paraId="118F6B70" w14:textId="4FDA3568" w:rsidR="00662576" w:rsidRPr="00367497" w:rsidRDefault="00995C81" w:rsidP="00662576">
      <w:pPr>
        <w:pStyle w:val="Para"/>
        <w:rPr>
          <w:lang w:val="en-US"/>
        </w:rPr>
      </w:pPr>
      <w:r w:rsidRPr="00995C81">
        <w:t xml:space="preserve">Според информацията, предоставена от България, санкциите и </w:t>
      </w:r>
      <w:r w:rsidR="0064621E">
        <w:t>отнети</w:t>
      </w:r>
      <w:r w:rsidRPr="00995C81">
        <w:t>те активи не могат да бъдат приспаднати от данъчната основа, върху която се изчисляват корпоративните данъци (т.е. облагаемия доход). Съгласно чл</w:t>
      </w:r>
      <w:r w:rsidR="006E451B">
        <w:rPr>
          <w:lang w:val="bg-BG"/>
        </w:rPr>
        <w:t>.</w:t>
      </w:r>
      <w:r w:rsidRPr="00995C81">
        <w:t xml:space="preserve"> 26 от ЗКПО санкциите, </w:t>
      </w:r>
      <w:r w:rsidR="0064621E">
        <w:t>отнети</w:t>
      </w:r>
      <w:r w:rsidRPr="00995C81">
        <w:t>те активи и разходите за подкупи не са допустими като разходи за целите на данъчното облагане. Въпреки това</w:t>
      </w:r>
      <w:r w:rsidR="00D041CA">
        <w:rPr>
          <w:lang w:val="bg-BG"/>
        </w:rPr>
        <w:t>, НАП</w:t>
      </w:r>
      <w:r w:rsidRPr="00995C81">
        <w:t xml:space="preserve"> не са сезирани </w:t>
      </w:r>
      <w:r w:rsidR="00D041CA">
        <w:rPr>
          <w:lang w:val="bg-BG"/>
        </w:rPr>
        <w:t xml:space="preserve">със </w:t>
      </w:r>
      <w:r w:rsidRPr="00995C81">
        <w:t>случаи</w:t>
      </w:r>
      <w:r w:rsidR="00662576">
        <w:t>.</w:t>
      </w:r>
      <w:r w:rsidR="00662576" w:rsidRPr="007B0CC3">
        <w:rPr>
          <w:lang w:val="en-US"/>
        </w:rPr>
        <w:t xml:space="preserve">  </w:t>
      </w:r>
    </w:p>
    <w:p w14:paraId="461951DF" w14:textId="77777777" w:rsidR="00662576" w:rsidRPr="008C08CD" w:rsidRDefault="0067562D" w:rsidP="0067562D">
      <w:pPr>
        <w:pStyle w:val="Para"/>
        <w:rPr>
          <w:lang w:val="bg-BG"/>
        </w:rPr>
      </w:pPr>
      <w:r w:rsidRPr="0067562D">
        <w:rPr>
          <w:lang w:val="en-US"/>
        </w:rPr>
        <w:t>Според информацията, предоставена при виртуалното посещение и впоследствие, съществува механизъм за ретроспективно преразглеждане на данъчните декларации</w:t>
      </w:r>
      <w:r>
        <w:rPr>
          <w:lang w:val="en-US"/>
        </w:rPr>
        <w:t xml:space="preserve"> </w:t>
      </w:r>
      <w:r w:rsidRPr="0067562D">
        <w:rPr>
          <w:lang w:val="en-US"/>
        </w:rPr>
        <w:t>- в случай на осъждане на данъко</w:t>
      </w:r>
      <w:r>
        <w:rPr>
          <w:lang w:val="en-US"/>
        </w:rPr>
        <w:t>платец за подкуп на чужд</w:t>
      </w:r>
      <w:r>
        <w:rPr>
          <w:lang w:val="bg-BG"/>
        </w:rPr>
        <w:t>о</w:t>
      </w:r>
      <w:r>
        <w:rPr>
          <w:lang w:val="en-US"/>
        </w:rPr>
        <w:t xml:space="preserve"> длъжностно лице</w:t>
      </w:r>
      <w:r w:rsidR="000428ED">
        <w:rPr>
          <w:lang w:val="bg-BG"/>
        </w:rPr>
        <w:t>,</w:t>
      </w:r>
      <w:r w:rsidRPr="0067562D">
        <w:rPr>
          <w:lang w:val="en-US"/>
        </w:rPr>
        <w:t xml:space="preserve"> органът по приходите може </w:t>
      </w:r>
      <w:r w:rsidR="000428ED" w:rsidRPr="0067562D">
        <w:rPr>
          <w:lang w:val="en-US"/>
        </w:rPr>
        <w:t xml:space="preserve">в срок от пет години съгласно </w:t>
      </w:r>
      <w:r w:rsidR="000428ED">
        <w:rPr>
          <w:lang w:val="bg-BG"/>
        </w:rPr>
        <w:t xml:space="preserve">ДОПК </w:t>
      </w:r>
      <w:r w:rsidRPr="0067562D">
        <w:rPr>
          <w:lang w:val="en-US"/>
        </w:rPr>
        <w:t>да предпри</w:t>
      </w:r>
      <w:r>
        <w:rPr>
          <w:lang w:val="en-US"/>
        </w:rPr>
        <w:t>еме мерки за данъчен и социал</w:t>
      </w:r>
      <w:r>
        <w:rPr>
          <w:lang w:val="bg-BG"/>
        </w:rPr>
        <w:t>но</w:t>
      </w:r>
      <w:r>
        <w:rPr>
          <w:lang w:val="en-US"/>
        </w:rPr>
        <w:t>осигур</w:t>
      </w:r>
      <w:r>
        <w:rPr>
          <w:lang w:val="bg-BG"/>
        </w:rPr>
        <w:t>ителен контрол,</w:t>
      </w:r>
      <w:r>
        <w:rPr>
          <w:lang w:val="en-US"/>
        </w:rPr>
        <w:t xml:space="preserve"> за да оцен</w:t>
      </w:r>
      <w:r>
        <w:rPr>
          <w:lang w:val="bg-BG"/>
        </w:rPr>
        <w:t>и</w:t>
      </w:r>
      <w:r w:rsidRPr="0067562D">
        <w:rPr>
          <w:lang w:val="en-US"/>
        </w:rPr>
        <w:t xml:space="preserve"> данъчните задължения на данъкоплатеца, произтичащи от неправомерно деклариране като разход н</w:t>
      </w:r>
      <w:r>
        <w:rPr>
          <w:lang w:val="en-US"/>
        </w:rPr>
        <w:t>а подкупа, даден на чужд</w:t>
      </w:r>
      <w:r>
        <w:rPr>
          <w:lang w:val="bg-BG"/>
        </w:rPr>
        <w:t>о</w:t>
      </w:r>
      <w:r w:rsidRPr="0067562D">
        <w:rPr>
          <w:lang w:val="en-US"/>
        </w:rPr>
        <w:t xml:space="preserve"> длъжностно лице. НАП обаче може да започне производство по данъчна оценка по искане на прокурора още на етапа на образуване и провеждане на наказателно производство и такъв процес н</w:t>
      </w:r>
      <w:r>
        <w:rPr>
          <w:lang w:val="en-US"/>
        </w:rPr>
        <w:t>е е обвързан с петгодиш</w:t>
      </w:r>
      <w:r>
        <w:rPr>
          <w:lang w:val="bg-BG"/>
        </w:rPr>
        <w:t>ен срок от</w:t>
      </w:r>
      <w:r>
        <w:rPr>
          <w:lang w:val="en-US"/>
        </w:rPr>
        <w:t xml:space="preserve"> образув</w:t>
      </w:r>
      <w:r>
        <w:rPr>
          <w:lang w:val="bg-BG"/>
        </w:rPr>
        <w:t>ането на</w:t>
      </w:r>
      <w:r w:rsidRPr="0067562D">
        <w:rPr>
          <w:lang w:val="en-US"/>
        </w:rPr>
        <w:t xml:space="preserve"> наказателно</w:t>
      </w:r>
      <w:r>
        <w:rPr>
          <w:lang w:val="bg-BG"/>
        </w:rPr>
        <w:t>то</w:t>
      </w:r>
      <w:r w:rsidRPr="0067562D">
        <w:rPr>
          <w:lang w:val="en-US"/>
        </w:rPr>
        <w:t xml:space="preserve"> производство.</w:t>
      </w:r>
      <w:r>
        <w:rPr>
          <w:lang w:val="bg-BG"/>
        </w:rPr>
        <w:t xml:space="preserve"> </w:t>
      </w:r>
      <w:r w:rsidR="00995C81" w:rsidRPr="008C08CD">
        <w:rPr>
          <w:lang w:val="bg-BG"/>
        </w:rPr>
        <w:t xml:space="preserve">Според информацията, предоставена от Върховния касационен съд, след доклада на България по </w:t>
      </w:r>
      <w:r w:rsidR="00673F1F" w:rsidRPr="008C08CD">
        <w:rPr>
          <w:lang w:val="bg-BG"/>
        </w:rPr>
        <w:t>Фаза</w:t>
      </w:r>
      <w:r w:rsidR="00995C81" w:rsidRPr="008C08CD">
        <w:rPr>
          <w:lang w:val="bg-BG"/>
        </w:rPr>
        <w:t xml:space="preserve"> 3 три наказателни производства, свързани с укриване на данъци в резултат на използване на счетоводни документи с невярно съдържание („фалшиво счетоводство“), са прекратени с решения на ВКС поради изтичане на давността</w:t>
      </w:r>
      <w:r w:rsidR="00662576" w:rsidRPr="008C08CD">
        <w:rPr>
          <w:lang w:val="bg-BG"/>
        </w:rPr>
        <w:t>.</w:t>
      </w:r>
      <w:r w:rsidR="00662576">
        <w:rPr>
          <w:rStyle w:val="FootnoteReference"/>
          <w:lang w:val="en-US"/>
        </w:rPr>
        <w:footnoteReference w:id="50"/>
      </w:r>
      <w:r w:rsidR="00662576" w:rsidRPr="008C08CD">
        <w:rPr>
          <w:lang w:val="bg-BG"/>
        </w:rPr>
        <w:t xml:space="preserve"> </w:t>
      </w:r>
    </w:p>
    <w:p w14:paraId="5466BBF7" w14:textId="77777777" w:rsidR="00662576" w:rsidRPr="008C08CD" w:rsidRDefault="00995C81" w:rsidP="00662576">
      <w:pPr>
        <w:pStyle w:val="Heading3"/>
        <w:rPr>
          <w:lang w:val="bg-BG"/>
        </w:rPr>
      </w:pPr>
      <w:r w:rsidRPr="008C08CD">
        <w:rPr>
          <w:lang w:val="bg-BG"/>
        </w:rPr>
        <w:t>Сътрудничество между НАП и задгранични власти</w:t>
      </w:r>
      <w:r w:rsidR="00662576" w:rsidRPr="008C08CD">
        <w:rPr>
          <w:lang w:val="bg-BG"/>
        </w:rPr>
        <w:t xml:space="preserve"> </w:t>
      </w:r>
    </w:p>
    <w:p w14:paraId="0445D86A" w14:textId="04368C20" w:rsidR="00662576" w:rsidRPr="008C08CD" w:rsidRDefault="00995C81" w:rsidP="00662576">
      <w:pPr>
        <w:pStyle w:val="Para"/>
        <w:rPr>
          <w:lang w:val="bg-BG"/>
        </w:rPr>
      </w:pPr>
      <w:r w:rsidRPr="008C08CD">
        <w:rPr>
          <w:lang w:val="bg-BG"/>
        </w:rPr>
        <w:t>Според информацията, предоставена при виртуалн</w:t>
      </w:r>
      <w:r w:rsidR="00CD1C55">
        <w:rPr>
          <w:lang w:val="bg-BG"/>
        </w:rPr>
        <w:t>ото посещение</w:t>
      </w:r>
      <w:r w:rsidRPr="008C08CD">
        <w:rPr>
          <w:lang w:val="bg-BG"/>
        </w:rPr>
        <w:t>, НАП може да уведоми</w:t>
      </w:r>
      <w:r w:rsidR="00B606A8">
        <w:rPr>
          <w:lang w:val="bg-BG"/>
        </w:rPr>
        <w:t>,</w:t>
      </w:r>
      <w:r w:rsidRPr="008C08CD">
        <w:rPr>
          <w:lang w:val="bg-BG"/>
        </w:rPr>
        <w:t xml:space="preserve"> </w:t>
      </w:r>
      <w:r w:rsidR="00B606A8" w:rsidRPr="008C08CD">
        <w:rPr>
          <w:lang w:val="bg-BG"/>
        </w:rPr>
        <w:t>чрез прокуратурата</w:t>
      </w:r>
      <w:r w:rsidR="00B606A8">
        <w:rPr>
          <w:lang w:val="bg-BG"/>
        </w:rPr>
        <w:t xml:space="preserve">, </w:t>
      </w:r>
      <w:r w:rsidRPr="008C08CD">
        <w:rPr>
          <w:lang w:val="bg-BG"/>
        </w:rPr>
        <w:t xml:space="preserve">властите в други държави по въпроси, </w:t>
      </w:r>
      <w:r w:rsidR="008102C0">
        <w:rPr>
          <w:lang w:val="bg-BG"/>
        </w:rPr>
        <w:t>свързани</w:t>
      </w:r>
      <w:r w:rsidRPr="008C08CD">
        <w:rPr>
          <w:lang w:val="bg-BG"/>
        </w:rPr>
        <w:t xml:space="preserve"> </w:t>
      </w:r>
      <w:r w:rsidR="008102C0">
        <w:rPr>
          <w:lang w:val="bg-BG"/>
        </w:rPr>
        <w:t>с</w:t>
      </w:r>
      <w:r w:rsidRPr="008C08CD">
        <w:rPr>
          <w:lang w:val="bg-BG"/>
        </w:rPr>
        <w:t xml:space="preserve"> техни данъчни ревизии</w:t>
      </w:r>
      <w:r w:rsidR="00B11207">
        <w:rPr>
          <w:lang w:val="bg-BG"/>
        </w:rPr>
        <w:t xml:space="preserve"> и</w:t>
      </w:r>
      <w:r w:rsidRPr="008C08CD">
        <w:rPr>
          <w:lang w:val="bg-BG"/>
        </w:rPr>
        <w:t xml:space="preserve"> </w:t>
      </w:r>
      <w:r w:rsidR="00B11207">
        <w:rPr>
          <w:lang w:val="bg-BG"/>
        </w:rPr>
        <w:t>в случаи на подозрения за установен подкуп на чуждо длъжностн</w:t>
      </w:r>
      <w:r w:rsidR="00B606A8">
        <w:rPr>
          <w:lang w:val="bg-BG"/>
        </w:rPr>
        <w:t>о лице по време на тези ревизии</w:t>
      </w:r>
      <w:r w:rsidR="00662576" w:rsidRPr="008C08CD">
        <w:rPr>
          <w:lang w:val="bg-BG"/>
        </w:rPr>
        <w:t xml:space="preserve">. </w:t>
      </w:r>
    </w:p>
    <w:p w14:paraId="068BFA48" w14:textId="77777777" w:rsidR="00662576" w:rsidRPr="00995C81" w:rsidRDefault="00995C81" w:rsidP="00662576">
      <w:pPr>
        <w:pStyle w:val="Commentary"/>
        <w:rPr>
          <w:color w:val="4E81BD" w:themeColor="accent1"/>
          <w:lang w:val="bg-BG"/>
        </w:rPr>
      </w:pPr>
      <w:r>
        <w:rPr>
          <w:color w:val="4E81BD" w:themeColor="accent1"/>
          <w:lang w:val="bg-BG"/>
        </w:rPr>
        <w:t>Коментар</w:t>
      </w:r>
    </w:p>
    <w:p w14:paraId="430D503B" w14:textId="77777777" w:rsidR="00682B9C" w:rsidRPr="008C08CD" w:rsidRDefault="00682B9C" w:rsidP="00682B9C">
      <w:pPr>
        <w:pStyle w:val="Para0"/>
        <w:rPr>
          <w:b/>
          <w:i/>
          <w:lang w:val="bg-BG"/>
        </w:rPr>
      </w:pPr>
      <w:r w:rsidRPr="008C08CD">
        <w:rPr>
          <w:b/>
          <w:i/>
          <w:lang w:val="bg-BG"/>
        </w:rPr>
        <w:lastRenderedPageBreak/>
        <w:t>Водещите проверители отбелязват, че при продължаващото отсъствие на съдебна практика</w:t>
      </w:r>
      <w:r w:rsidR="009049FA">
        <w:rPr>
          <w:b/>
          <w:i/>
          <w:lang w:val="bg-BG"/>
        </w:rPr>
        <w:t>,</w:t>
      </w:r>
      <w:r w:rsidRPr="008C08CD">
        <w:rPr>
          <w:b/>
          <w:i/>
          <w:lang w:val="bg-BG"/>
        </w:rPr>
        <w:t xml:space="preserve"> НАП не е </w:t>
      </w:r>
      <w:r w:rsidR="006D0E39">
        <w:rPr>
          <w:b/>
          <w:i/>
          <w:lang w:val="bg-BG"/>
        </w:rPr>
        <w:t>прилагала</w:t>
      </w:r>
      <w:r w:rsidR="006D0E39" w:rsidRPr="008C08CD">
        <w:rPr>
          <w:b/>
          <w:i/>
          <w:lang w:val="bg-BG"/>
        </w:rPr>
        <w:t xml:space="preserve"> </w:t>
      </w:r>
      <w:r w:rsidR="006D0E39">
        <w:rPr>
          <w:b/>
          <w:i/>
          <w:lang w:val="bg-BG"/>
        </w:rPr>
        <w:t xml:space="preserve">забраната </w:t>
      </w:r>
      <w:r w:rsidRPr="008C08CD">
        <w:rPr>
          <w:b/>
          <w:i/>
          <w:lang w:val="bg-BG"/>
        </w:rPr>
        <w:t>за приспадане</w:t>
      </w:r>
      <w:r w:rsidR="006D0E39">
        <w:rPr>
          <w:b/>
          <w:i/>
          <w:lang w:val="bg-BG"/>
        </w:rPr>
        <w:t xml:space="preserve"> </w:t>
      </w:r>
      <w:r w:rsidRPr="008C08CD">
        <w:rPr>
          <w:b/>
          <w:i/>
          <w:lang w:val="bg-BG"/>
        </w:rPr>
        <w:t>на подкуп</w:t>
      </w:r>
      <w:r w:rsidR="006D0E39">
        <w:rPr>
          <w:b/>
          <w:i/>
          <w:lang w:val="bg-BG"/>
        </w:rPr>
        <w:t>ите</w:t>
      </w:r>
      <w:r w:rsidRPr="008C08CD">
        <w:rPr>
          <w:b/>
          <w:i/>
          <w:lang w:val="bg-BG"/>
        </w:rPr>
        <w:t xml:space="preserve"> на чужди длъжностни лица</w:t>
      </w:r>
      <w:r w:rsidR="006D0E39">
        <w:rPr>
          <w:b/>
          <w:i/>
          <w:lang w:val="bg-BG"/>
        </w:rPr>
        <w:t xml:space="preserve"> за данъчни цели</w:t>
      </w:r>
      <w:r w:rsidR="006D0E39" w:rsidRPr="008C08CD">
        <w:rPr>
          <w:b/>
          <w:i/>
          <w:lang w:val="bg-BG"/>
        </w:rPr>
        <w:t xml:space="preserve"> </w:t>
      </w:r>
      <w:r w:rsidR="006D0E39">
        <w:rPr>
          <w:b/>
          <w:i/>
          <w:lang w:val="bg-BG"/>
        </w:rPr>
        <w:t>след постановена осъдителна присъда</w:t>
      </w:r>
      <w:r w:rsidRPr="008C08CD">
        <w:rPr>
          <w:b/>
          <w:i/>
          <w:lang w:val="bg-BG"/>
        </w:rPr>
        <w:t xml:space="preserve">. Както по </w:t>
      </w:r>
      <w:r w:rsidR="00673F1F" w:rsidRPr="008C08CD">
        <w:rPr>
          <w:b/>
          <w:i/>
          <w:lang w:val="bg-BG"/>
        </w:rPr>
        <w:t>Фаза</w:t>
      </w:r>
      <w:r w:rsidRPr="008C08CD">
        <w:rPr>
          <w:b/>
          <w:i/>
          <w:lang w:val="bg-BG"/>
        </w:rPr>
        <w:t xml:space="preserve"> 3, те препоръчват на </w:t>
      </w:r>
      <w:r w:rsidR="000A014B">
        <w:rPr>
          <w:b/>
          <w:i/>
          <w:lang w:val="bg-BG"/>
        </w:rPr>
        <w:t>Р</w:t>
      </w:r>
      <w:r w:rsidRPr="008C08CD">
        <w:rPr>
          <w:b/>
          <w:i/>
          <w:lang w:val="bg-BG"/>
        </w:rPr>
        <w:t xml:space="preserve">аботната група да </w:t>
      </w:r>
      <w:r w:rsidR="00903075">
        <w:rPr>
          <w:b/>
          <w:i/>
          <w:lang w:val="bg-BG"/>
        </w:rPr>
        <w:t>проследи</w:t>
      </w:r>
      <w:r w:rsidRPr="008C08CD">
        <w:rPr>
          <w:b/>
          <w:i/>
          <w:lang w:val="bg-BG"/>
        </w:rPr>
        <w:t xml:space="preserve"> този</w:t>
      </w:r>
      <w:r w:rsidR="009049FA">
        <w:rPr>
          <w:b/>
          <w:i/>
          <w:lang w:val="bg-BG"/>
        </w:rPr>
        <w:t xml:space="preserve"> въпрос</w:t>
      </w:r>
      <w:r w:rsidRPr="008C08CD">
        <w:rPr>
          <w:b/>
          <w:i/>
          <w:lang w:val="bg-BG"/>
        </w:rPr>
        <w:t xml:space="preserve"> </w:t>
      </w:r>
      <w:r w:rsidR="009049FA">
        <w:rPr>
          <w:b/>
          <w:i/>
          <w:lang w:val="bg-BG"/>
        </w:rPr>
        <w:t>с</w:t>
      </w:r>
      <w:r w:rsidRPr="008C08CD">
        <w:rPr>
          <w:b/>
          <w:i/>
          <w:lang w:val="bg-BG"/>
        </w:rPr>
        <w:t xml:space="preserve"> развитието на съдебната практика.</w:t>
      </w:r>
    </w:p>
    <w:p w14:paraId="70CBCA7C" w14:textId="77777777" w:rsidR="00682B9C" w:rsidRPr="00367B42" w:rsidRDefault="00682B9C" w:rsidP="00682B9C">
      <w:pPr>
        <w:pStyle w:val="Para0"/>
        <w:rPr>
          <w:b/>
          <w:i/>
          <w:lang w:val="bg-BG"/>
        </w:rPr>
      </w:pPr>
      <w:r w:rsidRPr="00367B42">
        <w:rPr>
          <w:b/>
          <w:i/>
          <w:lang w:val="bg-BG"/>
        </w:rPr>
        <w:t xml:space="preserve">Водещите проверители приветстват продължаващите усилия на България да осигури обучение на персонала на НАП от 2013 г. в изпълнение </w:t>
      </w:r>
      <w:r w:rsidR="006D0E39">
        <w:rPr>
          <w:b/>
          <w:i/>
          <w:lang w:val="bg-BG"/>
        </w:rPr>
        <w:t xml:space="preserve">на </w:t>
      </w:r>
      <w:r w:rsidR="006D0E39" w:rsidRPr="00367B42">
        <w:rPr>
          <w:b/>
          <w:i/>
          <w:lang w:val="bg-BG"/>
        </w:rPr>
        <w:t>препоръка 7 (</w:t>
      </w:r>
      <w:r w:rsidR="006D0E39">
        <w:rPr>
          <w:b/>
          <w:i/>
          <w:lang w:val="bg-BG"/>
        </w:rPr>
        <w:t>б</w:t>
      </w:r>
      <w:r w:rsidR="006D0E39" w:rsidRPr="00367B42">
        <w:rPr>
          <w:b/>
          <w:i/>
          <w:lang w:val="bg-BG"/>
        </w:rPr>
        <w:t xml:space="preserve">) </w:t>
      </w:r>
      <w:r w:rsidRPr="00367B42">
        <w:rPr>
          <w:b/>
          <w:i/>
          <w:lang w:val="bg-BG"/>
        </w:rPr>
        <w:t xml:space="preserve">по </w:t>
      </w:r>
      <w:r w:rsidR="00673F1F" w:rsidRPr="00367B42">
        <w:rPr>
          <w:b/>
          <w:i/>
          <w:lang w:val="bg-BG"/>
        </w:rPr>
        <w:t>Фаза</w:t>
      </w:r>
      <w:r w:rsidRPr="00367B42">
        <w:rPr>
          <w:b/>
          <w:i/>
          <w:lang w:val="bg-BG"/>
        </w:rPr>
        <w:t xml:space="preserve"> 3 и </w:t>
      </w:r>
      <w:r w:rsidR="006D0E39">
        <w:rPr>
          <w:b/>
          <w:i/>
          <w:lang w:val="bg-BG"/>
        </w:rPr>
        <w:t>препоръчват</w:t>
      </w:r>
      <w:r w:rsidR="006D0E39" w:rsidRPr="00367B42">
        <w:rPr>
          <w:b/>
          <w:i/>
          <w:lang w:val="bg-BG"/>
        </w:rPr>
        <w:t xml:space="preserve"> </w:t>
      </w:r>
      <w:r w:rsidRPr="00367B42">
        <w:rPr>
          <w:b/>
          <w:i/>
          <w:lang w:val="bg-BG"/>
        </w:rPr>
        <w:t>включването на специфични модули за подкуп</w:t>
      </w:r>
      <w:r w:rsidR="00D8237F">
        <w:rPr>
          <w:b/>
          <w:i/>
          <w:lang w:val="bg-BG"/>
        </w:rPr>
        <w:t>а</w:t>
      </w:r>
      <w:r w:rsidRPr="00367B42">
        <w:rPr>
          <w:b/>
          <w:i/>
          <w:lang w:val="bg-BG"/>
        </w:rPr>
        <w:t xml:space="preserve"> на чужди длъжностни лица в учебните програми.</w:t>
      </w:r>
    </w:p>
    <w:p w14:paraId="5523FC32" w14:textId="77777777" w:rsidR="00662576" w:rsidRPr="00367B42" w:rsidRDefault="00682B9C" w:rsidP="00D8237F">
      <w:pPr>
        <w:pStyle w:val="Para0"/>
        <w:rPr>
          <w:lang w:val="bg-BG"/>
        </w:rPr>
      </w:pPr>
      <w:r w:rsidRPr="00367B42">
        <w:rPr>
          <w:b/>
          <w:i/>
          <w:lang w:val="bg-BG"/>
        </w:rPr>
        <w:t xml:space="preserve">Водещите проверители приветстват силното сътрудничество между НАП и прокуратурата чрез координационните центрове и отбелязват, че това може да бъде добра практика. Те очакват с нетърпение използването на тези центрове в бъдещи разследвания за подкуп на чужди длъжностни лица. Водещите проверители също </w:t>
      </w:r>
      <w:r w:rsidR="006D0E39">
        <w:rPr>
          <w:b/>
          <w:i/>
          <w:lang w:val="bg-BG"/>
        </w:rPr>
        <w:t>препоръчват</w:t>
      </w:r>
      <w:r w:rsidR="006D0E39" w:rsidRPr="00367B42">
        <w:rPr>
          <w:b/>
          <w:i/>
          <w:lang w:val="bg-BG"/>
        </w:rPr>
        <w:t xml:space="preserve"> </w:t>
      </w:r>
      <w:r w:rsidRPr="00367B42">
        <w:rPr>
          <w:b/>
          <w:i/>
          <w:lang w:val="bg-BG"/>
        </w:rPr>
        <w:t>прокуратурите да предоставят обратна връзка и последващи действия по случаи, в които НАП е уведомила за нередности</w:t>
      </w:r>
      <w:r w:rsidR="00662576" w:rsidRPr="00367B42">
        <w:rPr>
          <w:b/>
          <w:i/>
          <w:lang w:val="bg-BG"/>
        </w:rPr>
        <w:t>.</w:t>
      </w:r>
    </w:p>
    <w:p w14:paraId="608EDB76" w14:textId="77777777" w:rsidR="005330C7" w:rsidRDefault="00634162" w:rsidP="005330C7">
      <w:pPr>
        <w:pStyle w:val="Heading2"/>
      </w:pPr>
      <w:r w:rsidRPr="00634162">
        <w:t>Обществени предимства</w:t>
      </w:r>
    </w:p>
    <w:p w14:paraId="63861AC7" w14:textId="77777777" w:rsidR="005330C7" w:rsidRDefault="00634162" w:rsidP="005330C7">
      <w:pPr>
        <w:pStyle w:val="Heading3"/>
      </w:pPr>
      <w:r>
        <w:rPr>
          <w:lang w:val="bg-BG"/>
        </w:rPr>
        <w:t>Експортни кредити</w:t>
      </w:r>
    </w:p>
    <w:p w14:paraId="2ABE2720" w14:textId="77777777" w:rsidR="005330C7" w:rsidRDefault="00634162" w:rsidP="001D303C">
      <w:pPr>
        <w:pStyle w:val="Para"/>
      </w:pPr>
      <w:r w:rsidRPr="00634162">
        <w:t xml:space="preserve">България все още не </w:t>
      </w:r>
      <w:r w:rsidR="0031702C">
        <w:rPr>
          <w:lang w:val="bg-BG"/>
        </w:rPr>
        <w:t>с</w:t>
      </w:r>
      <w:r w:rsidRPr="00634162">
        <w:t xml:space="preserve">е </w:t>
      </w:r>
      <w:r w:rsidR="0031702C">
        <w:rPr>
          <w:lang w:val="bg-BG"/>
        </w:rPr>
        <w:t>е присъединила</w:t>
      </w:r>
      <w:r w:rsidRPr="00634162">
        <w:t xml:space="preserve"> към Препоръката от 2019 г. относно подкупите и официално подкрепените експортни кредити (Препоръка</w:t>
      </w:r>
      <w:r w:rsidR="007144E6">
        <w:rPr>
          <w:lang w:val="bg-BG"/>
        </w:rPr>
        <w:t>та</w:t>
      </w:r>
      <w:r w:rsidRPr="00634162">
        <w:t xml:space="preserve"> за експортни кредити). България е поканена в </w:t>
      </w:r>
      <w:r w:rsidR="000A014B">
        <w:rPr>
          <w:lang w:val="bg-BG"/>
        </w:rPr>
        <w:t>Р</w:t>
      </w:r>
      <w:r w:rsidRPr="00634162">
        <w:t>аботната група на ОИСР за експортни кредити и кредитни гаранции (Е</w:t>
      </w:r>
      <w:r w:rsidR="007144E6">
        <w:rPr>
          <w:lang w:val="bg-BG"/>
        </w:rPr>
        <w:t>К</w:t>
      </w:r>
      <w:r w:rsidRPr="00634162">
        <w:t>КГ) и редовно се представлява от служители от Министерството на икономиката</w:t>
      </w:r>
      <w:r w:rsidR="005330C7" w:rsidRPr="00C85C63">
        <w:t xml:space="preserve">. </w:t>
      </w:r>
    </w:p>
    <w:p w14:paraId="5BEFC081" w14:textId="77777777" w:rsidR="005330C7" w:rsidRDefault="00F06C9B" w:rsidP="00BC45B7">
      <w:pPr>
        <w:pStyle w:val="Para"/>
      </w:pPr>
      <w:r w:rsidRPr="00F06C9B">
        <w:t xml:space="preserve">БАЕЗ, изцяло държавна компания, предоставя експортни кредити под формата на кредитно застраховане. България финансира БАЕЗ само когато кредитните застрахователни премии не са достатъчни за покриване на дължими щети. По </w:t>
      </w:r>
      <w:r w:rsidR="00673F1F">
        <w:t>Фаза</w:t>
      </w:r>
      <w:r w:rsidRPr="00F06C9B">
        <w:t xml:space="preserve"> 4 България повтори, че БАЕЗ никога не се е възползвала от държавното финансиране на практика и следователно не е изпълнила препоръка 11 (а) </w:t>
      </w:r>
      <w:r w:rsidR="00407661">
        <w:rPr>
          <w:lang w:val="bg-BG"/>
        </w:rPr>
        <w:t xml:space="preserve">от доклада </w:t>
      </w:r>
      <w:r w:rsidRPr="00F06C9B">
        <w:t xml:space="preserve">по </w:t>
      </w:r>
      <w:r w:rsidR="00673F1F">
        <w:t>Фаза</w:t>
      </w:r>
      <w:r w:rsidRPr="00F06C9B">
        <w:t xml:space="preserve"> 3 да се п</w:t>
      </w:r>
      <w:r w:rsidR="00CF37F3">
        <w:rPr>
          <w:lang w:val="bg-BG"/>
        </w:rPr>
        <w:t>рисъедини</w:t>
      </w:r>
      <w:r w:rsidRPr="00F06C9B">
        <w:t xml:space="preserve"> към Препоръката за експортни кредити. Въпреки това България е предприела мерки за предотвратяване, разкр</w:t>
      </w:r>
      <w:r w:rsidR="00CF37F3">
        <w:t>иване и санкциониране на подкуп</w:t>
      </w:r>
      <w:r w:rsidRPr="00F06C9B">
        <w:t>а на чужди длъжностни лица при експортни кредити, които по време на двугодиш</w:t>
      </w:r>
      <w:r w:rsidR="00407661">
        <w:rPr>
          <w:lang w:val="bg-BG"/>
        </w:rPr>
        <w:t>ния</w:t>
      </w:r>
      <w:r w:rsidRPr="00F06C9B">
        <w:t xml:space="preserve"> писмен </w:t>
      </w:r>
      <w:r w:rsidR="00407661">
        <w:rPr>
          <w:lang w:val="bg-BG"/>
        </w:rPr>
        <w:t xml:space="preserve">доклад </w:t>
      </w:r>
      <w:r w:rsidR="00407661" w:rsidRPr="00F06C9B">
        <w:t xml:space="preserve">на България </w:t>
      </w:r>
      <w:r w:rsidR="00407661">
        <w:rPr>
          <w:lang w:val="bg-BG"/>
        </w:rPr>
        <w:t xml:space="preserve">за преглед на изпълнението на припоръките по фаза 3 </w:t>
      </w:r>
      <w:r w:rsidRPr="00F06C9B">
        <w:t xml:space="preserve"> бяха </w:t>
      </w:r>
      <w:r w:rsidR="00407661">
        <w:rPr>
          <w:lang w:val="bg-BG"/>
        </w:rPr>
        <w:t>отчетени</w:t>
      </w:r>
      <w:r w:rsidRPr="00F06C9B">
        <w:t xml:space="preserve"> от Работната група</w:t>
      </w:r>
      <w:r w:rsidR="00CF37F3">
        <w:rPr>
          <w:lang w:val="bg-BG"/>
        </w:rPr>
        <w:t xml:space="preserve"> </w:t>
      </w:r>
      <w:r w:rsidR="00407661">
        <w:rPr>
          <w:lang w:val="bg-BG"/>
        </w:rPr>
        <w:t>като</w:t>
      </w:r>
      <w:r w:rsidRPr="00F06C9B">
        <w:t xml:space="preserve"> адекватни за изпълнение </w:t>
      </w:r>
      <w:r w:rsidR="00407661">
        <w:rPr>
          <w:lang w:val="bg-BG"/>
        </w:rPr>
        <w:t xml:space="preserve">на препоръка 11 (б) от доклада </w:t>
      </w:r>
      <w:r w:rsidRPr="00F06C9B">
        <w:t xml:space="preserve">по </w:t>
      </w:r>
      <w:r w:rsidR="00673F1F">
        <w:t>Фаза</w:t>
      </w:r>
      <w:r w:rsidRPr="00F06C9B">
        <w:t xml:space="preserve"> 3. Представителите на БАЕЗ по време на </w:t>
      </w:r>
      <w:r w:rsidR="00CD1C55">
        <w:t>виртуалното посещение</w:t>
      </w:r>
      <w:r w:rsidRPr="00F06C9B">
        <w:t xml:space="preserve"> посочиха, че тези мерки все още са в сила и че БАЕЗ продължава да изисква антикорупционни декларации от клиенти, да провежда </w:t>
      </w:r>
      <w:r w:rsidR="002F53AE">
        <w:rPr>
          <w:lang w:val="bg-BG"/>
        </w:rPr>
        <w:t>комплексна</w:t>
      </w:r>
      <w:r w:rsidR="002F53AE" w:rsidRPr="00F06C9B">
        <w:t xml:space="preserve"> </w:t>
      </w:r>
      <w:r w:rsidRPr="00F06C9B">
        <w:t xml:space="preserve">проверка в процеса на възлагане, да проверява кандидатите </w:t>
      </w:r>
      <w:r w:rsidR="00CF37F3">
        <w:rPr>
          <w:lang w:val="bg-BG"/>
        </w:rPr>
        <w:t>в</w:t>
      </w:r>
      <w:r w:rsidRPr="00F06C9B">
        <w:t xml:space="preserve"> списъците </w:t>
      </w:r>
      <w:r w:rsidR="00407661">
        <w:rPr>
          <w:lang w:val="bg-BG"/>
        </w:rPr>
        <w:t>със санкционирани лица</w:t>
      </w:r>
      <w:r w:rsidRPr="00F06C9B">
        <w:t xml:space="preserve"> на международни финансови институции и да предвижда механизми да съобщава за съмнения за корупция и подкуп на чужди длъжностни лица при операции по експортни кредити</w:t>
      </w:r>
      <w:r w:rsidR="005330C7">
        <w:t xml:space="preserve">. </w:t>
      </w:r>
      <w:r w:rsidRPr="00F06C9B">
        <w:t>Представителите на БАЕЗ също бяха наясно с престъплението подкуп на чужди длъжностни лица и рисковете, свързани с подкуп</w:t>
      </w:r>
      <w:r w:rsidR="00407661">
        <w:rPr>
          <w:lang w:val="bg-BG"/>
        </w:rPr>
        <w:t>ването</w:t>
      </w:r>
      <w:r w:rsidR="005330C7">
        <w:t>.</w:t>
      </w:r>
    </w:p>
    <w:p w14:paraId="17B8F274" w14:textId="77777777" w:rsidR="005330C7" w:rsidRDefault="00F06C9B" w:rsidP="005330C7">
      <w:pPr>
        <w:pStyle w:val="Para"/>
      </w:pPr>
      <w:r w:rsidRPr="00F06C9B">
        <w:t>През 2021 г. БАЕЗ прие нов набор от правила за борба с корупцията (Протокол № 109/09.02.2021 г.), които във</w:t>
      </w:r>
      <w:r w:rsidR="007B5E0D">
        <w:t xml:space="preserve">едоха процедури и механизми за </w:t>
      </w:r>
      <w:r w:rsidR="007B5E0D">
        <w:rPr>
          <w:lang w:val="bg-BG"/>
        </w:rPr>
        <w:t>„</w:t>
      </w:r>
      <w:r w:rsidRPr="00F06C9B">
        <w:t>проверка, наблюдение и докладване на корупцията</w:t>
      </w:r>
      <w:proofErr w:type="gramStart"/>
      <w:r w:rsidR="007B5E0D">
        <w:rPr>
          <w:lang w:val="bg-BG"/>
        </w:rPr>
        <w:t>“</w:t>
      </w:r>
      <w:r w:rsidR="00C22B7D">
        <w:rPr>
          <w:lang w:val="bg-BG"/>
        </w:rPr>
        <w:t xml:space="preserve"> </w:t>
      </w:r>
      <w:r w:rsidR="00407661">
        <w:t>при</w:t>
      </w:r>
      <w:proofErr w:type="gramEnd"/>
      <w:r w:rsidRPr="00F06C9B">
        <w:t xml:space="preserve"> операции</w:t>
      </w:r>
      <w:r w:rsidR="00407661">
        <w:rPr>
          <w:lang w:val="bg-BG"/>
        </w:rPr>
        <w:t>те за</w:t>
      </w:r>
      <w:r w:rsidR="00407661" w:rsidRPr="00407661">
        <w:t xml:space="preserve"> </w:t>
      </w:r>
      <w:r w:rsidR="00407661">
        <w:t>експортн</w:t>
      </w:r>
      <w:r w:rsidR="00407661">
        <w:rPr>
          <w:lang w:val="bg-BG"/>
        </w:rPr>
        <w:t>о</w:t>
      </w:r>
      <w:r w:rsidR="00407661" w:rsidRPr="00F06C9B">
        <w:t xml:space="preserve"> креди</w:t>
      </w:r>
      <w:r w:rsidR="00407661">
        <w:rPr>
          <w:lang w:val="bg-BG"/>
        </w:rPr>
        <w:t>тиране</w:t>
      </w:r>
      <w:r w:rsidRPr="00F06C9B">
        <w:t>. Те включват, inter alia, политика на персонала относно подаръците и забавленията, политика за управление на риска на трет</w:t>
      </w:r>
      <w:r w:rsidR="00407661">
        <w:rPr>
          <w:lang w:val="bg-BG"/>
        </w:rPr>
        <w:t>и лица</w:t>
      </w:r>
      <w:r w:rsidRPr="00F06C9B">
        <w:t xml:space="preserve"> и </w:t>
      </w:r>
      <w:r w:rsidR="00407661">
        <w:rPr>
          <w:lang w:val="bg-BG"/>
        </w:rPr>
        <w:t>извършване</w:t>
      </w:r>
      <w:r w:rsidRPr="00F06C9B">
        <w:t xml:space="preserve"> на годишна оценка на риска от корупция. Новите правила също така установяват задължителни процедури за докладване </w:t>
      </w:r>
      <w:r w:rsidR="00407661">
        <w:rPr>
          <w:lang w:val="bg-BG"/>
        </w:rPr>
        <w:t>от</w:t>
      </w:r>
      <w:r w:rsidRPr="00F06C9B">
        <w:t xml:space="preserve"> служители, които подозират извършването на подкуп. Въпреки че не всички тези правила са пряко свързани с разпоредбите на Препоръката за експортни кредити, те биха могли да укрепят допълнително капацитета на БАЕЗ </w:t>
      </w:r>
      <w:r w:rsidRPr="00F06C9B">
        <w:lastRenderedPageBreak/>
        <w:t xml:space="preserve">за предотвратяване и разкриване на подкупи. БАЕЗ може да проучи консолидирането на тези антикорупционни правила с правилата и процедурите, описани </w:t>
      </w:r>
      <w:r w:rsidR="00903075">
        <w:rPr>
          <w:lang w:val="bg-BG"/>
        </w:rPr>
        <w:t>по-горе</w:t>
      </w:r>
      <w:r w:rsidRPr="00F06C9B">
        <w:t>, за да гарантира последователност и правилно прилагане</w:t>
      </w:r>
      <w:r w:rsidR="005330C7">
        <w:t>.</w:t>
      </w:r>
    </w:p>
    <w:p w14:paraId="2D39FA99" w14:textId="77777777" w:rsidR="005330C7" w:rsidRPr="00F06C9B" w:rsidRDefault="00F06C9B" w:rsidP="005330C7">
      <w:pPr>
        <w:pStyle w:val="Commentary"/>
        <w:rPr>
          <w:color w:val="4E81BD" w:themeColor="accent1"/>
          <w:lang w:val="bg-BG"/>
        </w:rPr>
      </w:pPr>
      <w:r>
        <w:rPr>
          <w:color w:val="4E81BD" w:themeColor="accent1"/>
          <w:lang w:val="bg-BG"/>
        </w:rPr>
        <w:t>Коментар</w:t>
      </w:r>
    </w:p>
    <w:p w14:paraId="244F8ABD" w14:textId="77777777" w:rsidR="005330C7" w:rsidRPr="008C08CD" w:rsidRDefault="00F06C9B" w:rsidP="005330C7">
      <w:pPr>
        <w:pStyle w:val="Commentary"/>
        <w:rPr>
          <w:lang w:val="bg-BG"/>
        </w:rPr>
      </w:pPr>
      <w:r w:rsidRPr="008C08CD">
        <w:rPr>
          <w:lang w:val="bg-BG"/>
        </w:rPr>
        <w:t xml:space="preserve">Водещите проверители са окуражени от мерките на България за предотвратяване, разкриване и санкциониране на </w:t>
      </w:r>
      <w:bookmarkStart w:id="47" w:name="_Hlk79254717"/>
      <w:r w:rsidRPr="008C08CD">
        <w:rPr>
          <w:lang w:val="bg-BG"/>
        </w:rPr>
        <w:t>подкуп</w:t>
      </w:r>
      <w:r w:rsidR="007B5E0D">
        <w:rPr>
          <w:lang w:val="bg-BG"/>
        </w:rPr>
        <w:t>а</w:t>
      </w:r>
      <w:r w:rsidRPr="008C08CD">
        <w:rPr>
          <w:lang w:val="bg-BG"/>
        </w:rPr>
        <w:t xml:space="preserve"> на чужди длъжностни лица</w:t>
      </w:r>
      <w:bookmarkEnd w:id="47"/>
      <w:r w:rsidRPr="008C08CD">
        <w:rPr>
          <w:lang w:val="bg-BG"/>
        </w:rPr>
        <w:t xml:space="preserve"> при експортни кредитни операции и препоръчват на БАЕЗ да обмисли консолидиране на своите антикорупционни правила и процедури, за да осигури последователност и правилно прилагане. Те допълнително повтарят препоръка 11 (а) </w:t>
      </w:r>
      <w:r w:rsidR="00DD2048">
        <w:rPr>
          <w:lang w:val="bg-BG"/>
        </w:rPr>
        <w:t xml:space="preserve">от доклада </w:t>
      </w:r>
      <w:r w:rsidRPr="008C08CD">
        <w:rPr>
          <w:lang w:val="bg-BG"/>
        </w:rPr>
        <w:t xml:space="preserve">по </w:t>
      </w:r>
      <w:r w:rsidR="00673F1F" w:rsidRPr="008C08CD">
        <w:rPr>
          <w:lang w:val="bg-BG"/>
        </w:rPr>
        <w:t>Фаза</w:t>
      </w:r>
      <w:r w:rsidRPr="008C08CD">
        <w:rPr>
          <w:lang w:val="bg-BG"/>
        </w:rPr>
        <w:t xml:space="preserve"> 3 и препоръчват на България да се при</w:t>
      </w:r>
      <w:r w:rsidR="00DD2048">
        <w:rPr>
          <w:lang w:val="bg-BG"/>
        </w:rPr>
        <w:t>съедини</w:t>
      </w:r>
      <w:r w:rsidRPr="008C08CD">
        <w:rPr>
          <w:lang w:val="bg-BG"/>
        </w:rPr>
        <w:t xml:space="preserve"> към Препоръката от 2019 г. относно подкупите и официално подкрепяните експортни кредити, която след това трябва да бъде приложена от БАЕЗ</w:t>
      </w:r>
      <w:r w:rsidR="005330C7" w:rsidRPr="008C08CD">
        <w:rPr>
          <w:lang w:val="bg-BG"/>
        </w:rPr>
        <w:t>.</w:t>
      </w:r>
    </w:p>
    <w:p w14:paraId="1A8A2F42" w14:textId="77777777" w:rsidR="005330C7" w:rsidRDefault="00F06C9B" w:rsidP="005330C7">
      <w:pPr>
        <w:pStyle w:val="Heading3"/>
      </w:pPr>
      <w:r w:rsidRPr="00F06C9B">
        <w:t>Обществени поръчки</w:t>
      </w:r>
    </w:p>
    <w:p w14:paraId="4243AC1A" w14:textId="77777777" w:rsidR="005330C7" w:rsidRDefault="00DA2281" w:rsidP="005330C7">
      <w:pPr>
        <w:pStyle w:val="Para"/>
        <w:rPr>
          <w:rFonts w:ascii="Arial" w:hAnsi="Arial" w:cs="Arial"/>
        </w:rPr>
      </w:pPr>
      <w:r w:rsidRPr="00DA2281">
        <w:t xml:space="preserve">По </w:t>
      </w:r>
      <w:r w:rsidR="00673F1F">
        <w:t>Фаза</w:t>
      </w:r>
      <w:r w:rsidRPr="00DA2281">
        <w:t xml:space="preserve"> 3 Работната група препоръча България да предостави насоки на органите за обществени поръчки относно </w:t>
      </w:r>
      <w:r w:rsidR="007B5E0D">
        <w:rPr>
          <w:lang w:val="bg-BG"/>
        </w:rPr>
        <w:t>комплексната</w:t>
      </w:r>
      <w:r w:rsidR="003E7F8D">
        <w:rPr>
          <w:lang w:val="bg-BG"/>
        </w:rPr>
        <w:t xml:space="preserve"> </w:t>
      </w:r>
      <w:r w:rsidRPr="00DA2281">
        <w:t xml:space="preserve">проверка. Оттогава българската АОП организира едно обучение за своя персонал в началото на 2021 г. за предотвратяване и противодействие на корупцията при възлагане на обществени поръчки, но не е ясно дали обучението обхваща мерки за </w:t>
      </w:r>
      <w:r w:rsidR="002F53AE">
        <w:rPr>
          <w:lang w:val="bg-BG"/>
        </w:rPr>
        <w:t>комплексна</w:t>
      </w:r>
      <w:r w:rsidR="002F53AE" w:rsidRPr="00DA2281">
        <w:t xml:space="preserve"> </w:t>
      </w:r>
      <w:r w:rsidRPr="00DA2281">
        <w:t>проверка</w:t>
      </w:r>
      <w:r w:rsidR="00DD2048">
        <w:rPr>
          <w:lang w:val="bg-BG"/>
        </w:rPr>
        <w:t>.</w:t>
      </w:r>
      <w:r w:rsidR="005330C7">
        <w:t xml:space="preserve"> </w:t>
      </w:r>
      <w:r w:rsidRPr="00DA2281">
        <w:t xml:space="preserve">По </w:t>
      </w:r>
      <w:r w:rsidR="00673F1F">
        <w:t>Фаза</w:t>
      </w:r>
      <w:r w:rsidRPr="00DA2281">
        <w:t xml:space="preserve"> 3 Работната група препоръча на България да обмисли поддържането на регистър на физически и юридически лица, санкционирани за подкуп, </w:t>
      </w:r>
      <w:r w:rsidR="00DD2048">
        <w:rPr>
          <w:lang w:val="bg-BG"/>
        </w:rPr>
        <w:t xml:space="preserve">който </w:t>
      </w:r>
      <w:r w:rsidRPr="00DA2281">
        <w:t xml:space="preserve">да се консултира </w:t>
      </w:r>
      <w:r w:rsidR="00DD2048">
        <w:rPr>
          <w:lang w:val="bg-BG"/>
        </w:rPr>
        <w:t>от</w:t>
      </w:r>
      <w:r w:rsidRPr="00DA2281">
        <w:t xml:space="preserve"> възлагащите органи. Към днешна дата АОП не поддържа такъв регистър, а по-скоро разчита на </w:t>
      </w:r>
      <w:r w:rsidR="00460757">
        <w:rPr>
          <w:lang w:val="bg-BG"/>
        </w:rPr>
        <w:t>свидетелствата за съдимост</w:t>
      </w:r>
      <w:r w:rsidRPr="00DA2281">
        <w:t>, издадени от българските съдилища, които кандидатите са длъжни да предоставят, когато кандидатстват за обществени поръчки</w:t>
      </w:r>
      <w:r w:rsidR="001A01D7">
        <w:rPr>
          <w:lang w:val="bg-BG"/>
        </w:rPr>
        <w:t>, за да удостоверят, че не са били осъждани</w:t>
      </w:r>
      <w:r w:rsidR="005330C7" w:rsidRPr="0028534A">
        <w:rPr>
          <w:rFonts w:ascii="Arial" w:hAnsi="Arial" w:cs="Arial"/>
        </w:rPr>
        <w:t xml:space="preserve">. </w:t>
      </w:r>
    </w:p>
    <w:p w14:paraId="392E32F8" w14:textId="2B310B07" w:rsidR="005330C7" w:rsidRPr="0028534A" w:rsidRDefault="00100008" w:rsidP="005330C7">
      <w:pPr>
        <w:pStyle w:val="Para"/>
        <w:rPr>
          <w:rFonts w:ascii="Arial" w:hAnsi="Arial" w:cs="Arial"/>
        </w:rPr>
      </w:pPr>
      <w:r>
        <w:rPr>
          <w:rFonts w:ascii="Arial" w:hAnsi="Arial" w:cs="Arial"/>
          <w:lang w:val="bg-BG"/>
        </w:rPr>
        <w:t xml:space="preserve">По фаза 4 България поясни, че АОП не е </w:t>
      </w:r>
      <w:r w:rsidR="004D74EE">
        <w:rPr>
          <w:rFonts w:ascii="Arial" w:hAnsi="Arial" w:cs="Arial"/>
          <w:lang w:val="bg-BG"/>
        </w:rPr>
        <w:t>български</w:t>
      </w:r>
      <w:r w:rsidR="00B82277">
        <w:rPr>
          <w:rFonts w:ascii="Arial" w:hAnsi="Arial" w:cs="Arial"/>
          <w:lang w:val="bg-BG"/>
        </w:rPr>
        <w:t>ят</w:t>
      </w:r>
      <w:r w:rsidR="004D74EE">
        <w:rPr>
          <w:rFonts w:ascii="Arial" w:hAnsi="Arial" w:cs="Arial"/>
          <w:lang w:val="bg-BG"/>
        </w:rPr>
        <w:t xml:space="preserve"> централен орган за покупки, а възложителите са отговорни за възлагането на договор</w:t>
      </w:r>
      <w:r w:rsidR="00B82277">
        <w:rPr>
          <w:rFonts w:ascii="Arial" w:hAnsi="Arial" w:cs="Arial"/>
          <w:lang w:val="bg-BG"/>
        </w:rPr>
        <w:t>и</w:t>
      </w:r>
      <w:r w:rsidR="004D74EE">
        <w:rPr>
          <w:rFonts w:ascii="Arial" w:hAnsi="Arial" w:cs="Arial"/>
          <w:lang w:val="bg-BG"/>
        </w:rPr>
        <w:t xml:space="preserve"> за обществена поръчка. </w:t>
      </w:r>
      <w:r w:rsidR="00B82277">
        <w:rPr>
          <w:rFonts w:ascii="Arial" w:hAnsi="Arial" w:cs="Arial"/>
          <w:lang w:val="bg-BG"/>
        </w:rPr>
        <w:t>С оглед на това</w:t>
      </w:r>
      <w:r>
        <w:rPr>
          <w:rFonts w:ascii="Arial" w:hAnsi="Arial" w:cs="Arial"/>
          <w:lang w:val="bg-BG"/>
        </w:rPr>
        <w:t xml:space="preserve"> </w:t>
      </w:r>
      <w:r w:rsidR="00DA2281" w:rsidRPr="00572912">
        <w:rPr>
          <w:rFonts w:ascii="Arial" w:hAnsi="Arial" w:cs="Arial"/>
          <w:lang w:val="bg-BG"/>
        </w:rPr>
        <w:t xml:space="preserve">АОП също не взема предвид вътрешния контрол, програмите за етика и </w:t>
      </w:r>
      <w:r w:rsidR="00460757">
        <w:rPr>
          <w:rFonts w:ascii="Arial" w:hAnsi="Arial" w:cs="Arial"/>
          <w:lang w:val="bg-BG"/>
        </w:rPr>
        <w:t xml:space="preserve">съответствие </w:t>
      </w:r>
      <w:r w:rsidR="00DA2281" w:rsidRPr="00572912">
        <w:rPr>
          <w:rFonts w:ascii="Arial" w:hAnsi="Arial" w:cs="Arial"/>
          <w:lang w:val="bg-BG"/>
        </w:rPr>
        <w:t xml:space="preserve"> ​на кандидатите в процеса на подбор, нито проверява публично достъпните </w:t>
      </w:r>
      <w:r w:rsidR="00805988">
        <w:rPr>
          <w:rFonts w:ascii="Arial" w:hAnsi="Arial" w:cs="Arial"/>
          <w:lang w:val="bg-BG"/>
        </w:rPr>
        <w:t>списъци</w:t>
      </w:r>
      <w:r w:rsidR="00516EA8">
        <w:rPr>
          <w:rFonts w:ascii="Arial" w:hAnsi="Arial" w:cs="Arial"/>
          <w:lang w:val="bg-BG"/>
        </w:rPr>
        <w:t xml:space="preserve"> със санкционирани лица </w:t>
      </w:r>
      <w:r w:rsidR="00460757">
        <w:rPr>
          <w:rFonts w:ascii="Arial" w:hAnsi="Arial" w:cs="Arial"/>
          <w:lang w:val="bg-BG"/>
        </w:rPr>
        <w:t xml:space="preserve">на </w:t>
      </w:r>
      <w:r w:rsidR="00DA2281" w:rsidRPr="00572912">
        <w:rPr>
          <w:rFonts w:ascii="Arial" w:hAnsi="Arial" w:cs="Arial"/>
          <w:lang w:val="bg-BG"/>
        </w:rPr>
        <w:t>международни</w:t>
      </w:r>
      <w:r w:rsidR="00460757">
        <w:rPr>
          <w:rFonts w:ascii="Arial" w:hAnsi="Arial" w:cs="Arial"/>
          <w:lang w:val="bg-BG"/>
        </w:rPr>
        <w:t>те</w:t>
      </w:r>
      <w:r w:rsidR="00DA2281" w:rsidRPr="00572912">
        <w:rPr>
          <w:rFonts w:ascii="Arial" w:hAnsi="Arial" w:cs="Arial"/>
          <w:lang w:val="bg-BG"/>
        </w:rPr>
        <w:t xml:space="preserve"> финансови институции. </w:t>
      </w:r>
      <w:r w:rsidR="00DA2281" w:rsidRPr="00DA2281">
        <w:rPr>
          <w:rFonts w:ascii="Arial" w:hAnsi="Arial" w:cs="Arial"/>
        </w:rPr>
        <w:t>Това може да се окаже сериозен дефицит на практика, като се има предвид, че например списъкът на Световната банка за недопустими фирми и физически лица включва пет български компании за</w:t>
      </w:r>
      <w:r w:rsidR="00516EA8">
        <w:rPr>
          <w:rFonts w:ascii="Arial" w:hAnsi="Arial" w:cs="Arial"/>
          <w:lang w:val="bg-BG"/>
        </w:rPr>
        <w:t>ради</w:t>
      </w:r>
      <w:r w:rsidR="00DA2281" w:rsidRPr="00DA2281">
        <w:rPr>
          <w:rFonts w:ascii="Arial" w:hAnsi="Arial" w:cs="Arial"/>
        </w:rPr>
        <w:t xml:space="preserve"> забранено поведение (измами и корупция) съгласно техните Насоки за обществени поръчки.</w:t>
      </w:r>
      <w:r w:rsidR="00795CA1">
        <w:rPr>
          <w:rStyle w:val="FootnoteReference"/>
          <w:rFonts w:cs="Arial"/>
        </w:rPr>
        <w:footnoteReference w:id="51"/>
      </w:r>
      <w:r w:rsidR="00DA2281" w:rsidRPr="00DA2281">
        <w:rPr>
          <w:rFonts w:ascii="Arial" w:hAnsi="Arial" w:cs="Arial"/>
        </w:rPr>
        <w:t xml:space="preserve"> Стандартният български договор за обществени поръчки също не включва клаузи за борба с корупцията</w:t>
      </w:r>
      <w:r w:rsidR="005330C7" w:rsidRPr="0028534A">
        <w:rPr>
          <w:rFonts w:ascii="Arial" w:hAnsi="Arial" w:cs="Arial"/>
        </w:rPr>
        <w:t xml:space="preserve">. </w:t>
      </w:r>
    </w:p>
    <w:p w14:paraId="3C661F8C" w14:textId="77777777" w:rsidR="005330C7" w:rsidRPr="00DA2281" w:rsidRDefault="00DA2281" w:rsidP="005330C7">
      <w:pPr>
        <w:pStyle w:val="Commentary"/>
        <w:rPr>
          <w:color w:val="4E81BD" w:themeColor="accent1"/>
          <w:lang w:val="bg-BG"/>
        </w:rPr>
      </w:pPr>
      <w:r>
        <w:rPr>
          <w:color w:val="4E81BD" w:themeColor="accent1"/>
          <w:lang w:val="bg-BG"/>
        </w:rPr>
        <w:t>Коментар</w:t>
      </w:r>
    </w:p>
    <w:p w14:paraId="34D51454" w14:textId="2D42F7E5" w:rsidR="00057FA1" w:rsidRPr="008C08CD" w:rsidRDefault="00DA2281" w:rsidP="00057FA1">
      <w:pPr>
        <w:pStyle w:val="Commentary"/>
        <w:rPr>
          <w:lang w:val="bg-BG"/>
        </w:rPr>
      </w:pPr>
      <w:r w:rsidRPr="008C08CD">
        <w:rPr>
          <w:lang w:val="bg-BG"/>
        </w:rPr>
        <w:t>Водещите проверители отбелязват, че България е постигнала ограничен напредък в изпълнението на препоръка 12</w:t>
      </w:r>
      <w:r w:rsidR="00805988">
        <w:rPr>
          <w:lang w:val="bg-BG"/>
        </w:rPr>
        <w:t xml:space="preserve"> </w:t>
      </w:r>
      <w:r w:rsidRPr="008C08CD">
        <w:rPr>
          <w:lang w:val="bg-BG"/>
        </w:rPr>
        <w:t xml:space="preserve">по </w:t>
      </w:r>
      <w:r w:rsidR="00673F1F" w:rsidRPr="008C08CD">
        <w:rPr>
          <w:lang w:val="bg-BG"/>
        </w:rPr>
        <w:t>Фаза</w:t>
      </w:r>
      <w:r w:rsidRPr="008C08CD">
        <w:rPr>
          <w:lang w:val="bg-BG"/>
        </w:rPr>
        <w:t xml:space="preserve"> 3, която се счита за неизпълнена. Ето защо водещ</w:t>
      </w:r>
      <w:r w:rsidR="00021A47">
        <w:rPr>
          <w:lang w:val="bg-BG"/>
        </w:rPr>
        <w:t xml:space="preserve">ите проверители препоръчват на </w:t>
      </w:r>
      <w:r w:rsidR="00D034EA">
        <w:rPr>
          <w:lang w:val="bg-BG"/>
        </w:rPr>
        <w:t>България</w:t>
      </w:r>
      <w:r w:rsidRPr="008C08CD">
        <w:rPr>
          <w:lang w:val="bg-BG"/>
        </w:rPr>
        <w:t xml:space="preserve"> (а) да продължи да обучава служителите </w:t>
      </w:r>
      <w:r w:rsidR="00D034EA">
        <w:rPr>
          <w:lang w:val="bg-BG"/>
        </w:rPr>
        <w:t>на АОП</w:t>
      </w:r>
      <w:r w:rsidRPr="008C08CD">
        <w:rPr>
          <w:lang w:val="bg-BG"/>
        </w:rPr>
        <w:t xml:space="preserve"> </w:t>
      </w:r>
      <w:r w:rsidR="00D034EA">
        <w:rPr>
          <w:lang w:val="bg-BG"/>
        </w:rPr>
        <w:t>и възлож</w:t>
      </w:r>
      <w:r w:rsidR="00B82277">
        <w:rPr>
          <w:lang w:val="bg-BG"/>
        </w:rPr>
        <w:t>и</w:t>
      </w:r>
      <w:r w:rsidR="00D034EA">
        <w:rPr>
          <w:lang w:val="bg-BG"/>
        </w:rPr>
        <w:t xml:space="preserve">телите на обществени поръчки </w:t>
      </w:r>
      <w:r w:rsidRPr="008C08CD">
        <w:rPr>
          <w:lang w:val="bg-BG"/>
        </w:rPr>
        <w:t>относно</w:t>
      </w:r>
      <w:r w:rsidR="00021A47">
        <w:rPr>
          <w:lang w:val="bg-BG"/>
        </w:rPr>
        <w:t xml:space="preserve"> </w:t>
      </w:r>
      <w:r w:rsidRPr="008C08CD">
        <w:rPr>
          <w:lang w:val="bg-BG"/>
        </w:rPr>
        <w:t>подкуп</w:t>
      </w:r>
      <w:r w:rsidR="00783163">
        <w:rPr>
          <w:lang w:val="bg-BG"/>
        </w:rPr>
        <w:t>а</w:t>
      </w:r>
      <w:r w:rsidRPr="008C08CD">
        <w:rPr>
          <w:lang w:val="bg-BG"/>
        </w:rPr>
        <w:t xml:space="preserve"> на чужди длъжностни лица, включително за това как ефективно да извършва </w:t>
      </w:r>
      <w:r w:rsidR="002F53AE">
        <w:rPr>
          <w:lang w:val="bg-BG"/>
        </w:rPr>
        <w:t>комплексна</w:t>
      </w:r>
      <w:r w:rsidR="002F53AE" w:rsidRPr="008C08CD">
        <w:rPr>
          <w:lang w:val="bg-BG"/>
        </w:rPr>
        <w:t xml:space="preserve"> </w:t>
      </w:r>
      <w:r w:rsidRPr="008C08CD">
        <w:rPr>
          <w:lang w:val="bg-BG"/>
        </w:rPr>
        <w:t xml:space="preserve">проверка във връзка с договори за обществени поръчки; б) </w:t>
      </w:r>
      <w:r w:rsidR="004E02C4">
        <w:rPr>
          <w:lang w:val="bg-BG"/>
        </w:rPr>
        <w:t xml:space="preserve">когато е уместно, </w:t>
      </w:r>
      <w:r w:rsidRPr="008C08CD">
        <w:rPr>
          <w:lang w:val="bg-BG"/>
        </w:rPr>
        <w:t>редовно да проверява списъци</w:t>
      </w:r>
      <w:r w:rsidR="00783163">
        <w:rPr>
          <w:lang w:val="bg-BG"/>
        </w:rPr>
        <w:t xml:space="preserve">те със санкционирани лица </w:t>
      </w:r>
      <w:r w:rsidR="00805988">
        <w:rPr>
          <w:lang w:val="bg-BG"/>
        </w:rPr>
        <w:t>на</w:t>
      </w:r>
      <w:r w:rsidRPr="008C08CD">
        <w:rPr>
          <w:lang w:val="bg-BG"/>
        </w:rPr>
        <w:t xml:space="preserve"> международни финансови институции; в) да разглежда, когато е уместно</w:t>
      </w:r>
      <w:r w:rsidR="005F1D81">
        <w:rPr>
          <w:lang w:val="bg-BG"/>
        </w:rPr>
        <w:t xml:space="preserve"> в контекста на борбата с подкупа на чужди длъжностни лица</w:t>
      </w:r>
      <w:r w:rsidRPr="008C08CD">
        <w:rPr>
          <w:lang w:val="bg-BG"/>
        </w:rPr>
        <w:t xml:space="preserve">, съществуването на антикорупционен вътрешен контрол, програми за етика и </w:t>
      </w:r>
      <w:r w:rsidR="00805988">
        <w:rPr>
          <w:lang w:val="bg-BG"/>
        </w:rPr>
        <w:t>съответствие</w:t>
      </w:r>
      <w:r w:rsidR="00805988" w:rsidRPr="008C08CD">
        <w:rPr>
          <w:lang w:val="bg-BG"/>
        </w:rPr>
        <w:t xml:space="preserve"> </w:t>
      </w:r>
      <w:r w:rsidRPr="008C08CD">
        <w:rPr>
          <w:lang w:val="bg-BG"/>
        </w:rPr>
        <w:t xml:space="preserve">на дружествата, търсещи договори за обществени </w:t>
      </w:r>
      <w:r w:rsidRPr="008C08CD">
        <w:rPr>
          <w:lang w:val="bg-BG"/>
        </w:rPr>
        <w:lastRenderedPageBreak/>
        <w:t>поръчки; и г) да включва клаузи за борба с корупцията в договорите за обществени поръчки</w:t>
      </w:r>
      <w:r w:rsidR="00057FA1" w:rsidRPr="008C08CD">
        <w:rPr>
          <w:lang w:val="bg-BG"/>
        </w:rPr>
        <w:t>.</w:t>
      </w:r>
    </w:p>
    <w:p w14:paraId="6D79A584" w14:textId="77777777" w:rsidR="002A05D6" w:rsidRDefault="00DA2281" w:rsidP="005330C7">
      <w:pPr>
        <w:pStyle w:val="Heading3"/>
      </w:pPr>
      <w:r w:rsidRPr="00DA2281">
        <w:t>Официална помощ за развитие</w:t>
      </w:r>
    </w:p>
    <w:p w14:paraId="6ECFB256" w14:textId="77777777" w:rsidR="005330C7" w:rsidRPr="00C74108" w:rsidRDefault="00DA2281" w:rsidP="005330C7">
      <w:pPr>
        <w:pStyle w:val="Para"/>
      </w:pPr>
      <w:r w:rsidRPr="00DA2281">
        <w:t xml:space="preserve">Тази оценка по </w:t>
      </w:r>
      <w:r w:rsidR="00673F1F">
        <w:t>Фаза</w:t>
      </w:r>
      <w:r w:rsidRPr="00DA2281">
        <w:t xml:space="preserve"> 4 е първият път, когато системата на ОПР в България се </w:t>
      </w:r>
      <w:r w:rsidR="00805988">
        <w:rPr>
          <w:lang w:val="bg-BG"/>
        </w:rPr>
        <w:t>разглежда</w:t>
      </w:r>
      <w:r w:rsidRPr="00DA2281">
        <w:t xml:space="preserve"> в светлината на Препоръката от 2016 г. за участници в сътрудничеството за развитие за управление на риска от корупция (Препоръка от 2016 г.), и по-специално раздели 6-8 и 10, които</w:t>
      </w:r>
      <w:r w:rsidR="00102795">
        <w:rPr>
          <w:lang w:val="bg-BG"/>
        </w:rPr>
        <w:t xml:space="preserve"> са</w:t>
      </w:r>
      <w:r w:rsidRPr="00DA2281">
        <w:t xml:space="preserve"> по</w:t>
      </w:r>
      <w:r w:rsidR="00102795">
        <w:rPr>
          <w:lang w:val="bg-BG"/>
        </w:rPr>
        <w:t>-</w:t>
      </w:r>
      <w:r w:rsidR="002712FD">
        <w:t>пряко свързани с подкуп</w:t>
      </w:r>
      <w:r w:rsidR="002712FD">
        <w:rPr>
          <w:lang w:val="bg-BG"/>
        </w:rPr>
        <w:t>а</w:t>
      </w:r>
      <w:r w:rsidRPr="00DA2281">
        <w:t xml:space="preserve"> на чужди длъжностни лица</w:t>
      </w:r>
      <w:r w:rsidR="005330C7" w:rsidRPr="00C74108">
        <w:t>.</w:t>
      </w:r>
    </w:p>
    <w:p w14:paraId="30F970F9" w14:textId="77777777" w:rsidR="005330C7" w:rsidRPr="005330C7" w:rsidRDefault="00DA2281" w:rsidP="005330C7">
      <w:pPr>
        <w:pStyle w:val="Heading4"/>
      </w:pPr>
      <w:r w:rsidRPr="00DA2281">
        <w:t>Профилът на ОПР на България</w:t>
      </w:r>
    </w:p>
    <w:p w14:paraId="6C6FD14D" w14:textId="77880412" w:rsidR="005330C7" w:rsidRPr="00970094" w:rsidRDefault="00DA2281" w:rsidP="00561978">
      <w:pPr>
        <w:pStyle w:val="Para"/>
      </w:pPr>
      <w:r w:rsidRPr="00DA2281">
        <w:t xml:space="preserve">През 2019 г. България предостави общо 112,82 милиона лева (приблизително 57,6 милиона евро) в ОПР, което представлява 0,10% от брутния национален доход на страната (БНД). Най-голямата част от българската ОПР (86%) е предоставена като основен принос към многостранни организации, докато 14% е предоставена като двустранна помощ. Първите пет страни получатели на двустранна помощ </w:t>
      </w:r>
      <w:r w:rsidR="00102795">
        <w:rPr>
          <w:lang w:val="bg-BG"/>
        </w:rPr>
        <w:t>са</w:t>
      </w:r>
      <w:r w:rsidR="00FA5BB9">
        <w:rPr>
          <w:lang w:val="bg-BG"/>
        </w:rPr>
        <w:t xml:space="preserve"> Република</w:t>
      </w:r>
      <w:r w:rsidRPr="00DA2281">
        <w:t xml:space="preserve"> Северна Македония, Сърбия, Албания, Украйна и Молдова</w:t>
      </w:r>
      <w:r w:rsidR="005330C7" w:rsidRPr="00970094">
        <w:t>.</w:t>
      </w:r>
    </w:p>
    <w:p w14:paraId="18BD76CE" w14:textId="702F2593" w:rsidR="005330C7" w:rsidRPr="00C74108" w:rsidRDefault="00406F87" w:rsidP="00406F87">
      <w:pPr>
        <w:pStyle w:val="Para"/>
      </w:pPr>
      <w:r>
        <w:t>O</w:t>
      </w:r>
      <w:r w:rsidRPr="00406F87">
        <w:t>тдел „Междунаро</w:t>
      </w:r>
      <w:r>
        <w:t>дно сътрудничество за развитие”</w:t>
      </w:r>
      <w:r w:rsidR="00DA2281" w:rsidRPr="00DA2281">
        <w:t xml:space="preserve">, Дирекция </w:t>
      </w:r>
      <w:r w:rsidR="00102795">
        <w:rPr>
          <w:lang w:val="bg-BG"/>
        </w:rPr>
        <w:t>„</w:t>
      </w:r>
      <w:r w:rsidR="00DA2281" w:rsidRPr="00DA2281">
        <w:t>ООН и сътрудничество за развитие</w:t>
      </w:r>
      <w:proofErr w:type="gramStart"/>
      <w:r w:rsidR="00102795">
        <w:rPr>
          <w:lang w:val="bg-BG"/>
        </w:rPr>
        <w:t>“</w:t>
      </w:r>
      <w:r w:rsidR="00DA2281" w:rsidRPr="00DA2281">
        <w:t xml:space="preserve"> </w:t>
      </w:r>
      <w:r w:rsidR="00102795" w:rsidRPr="00DA2281">
        <w:t>на</w:t>
      </w:r>
      <w:proofErr w:type="gramEnd"/>
      <w:r w:rsidR="00102795" w:rsidRPr="00DA2281">
        <w:t xml:space="preserve"> МВнР </w:t>
      </w:r>
      <w:r w:rsidR="00DA2281" w:rsidRPr="00DA2281">
        <w:t xml:space="preserve">ръководи и координира дейностите на България за сътрудничество за развитие. Той разработва политиката на България за ОПР и годишните планове за действие, договаря споразумения със страните партньори и администрира изпълнението на проекти и предоставянето на ОПР. Постановление </w:t>
      </w:r>
      <w:r w:rsidR="00102795" w:rsidRPr="00DA2281">
        <w:t xml:space="preserve">234/2011 </w:t>
      </w:r>
      <w:r w:rsidR="00DA2281" w:rsidRPr="00DA2281">
        <w:t xml:space="preserve">на Министерския съвет относно политиката за участие в международното сътрудничество за развитие и </w:t>
      </w:r>
      <w:r w:rsidR="00102795">
        <w:rPr>
          <w:lang w:val="bg-BG"/>
        </w:rPr>
        <w:t>С</w:t>
      </w:r>
      <w:r w:rsidR="00DA2281" w:rsidRPr="00DA2281">
        <w:t>редносрочната програма за подпомагане на развитието и хуманитарната помощ (2020-2024 г.) определят регулаторната рамка за дейностите на Българи</w:t>
      </w:r>
      <w:r w:rsidR="00901157">
        <w:t>я за сътрудничество за развитие</w:t>
      </w:r>
      <w:r w:rsidR="00DA2281" w:rsidRPr="00DA2281">
        <w:t>. България трябва да разработи и приеме нов Закон за подпомагане на развитието и хуманитарната помощ до края на 2021 г. Работната група не получи копие от законопроекта и поради това не може да оцени неговото съдържание и въздействие върху въпросите, обсъдени по-долу</w:t>
      </w:r>
      <w:r w:rsidR="005330C7" w:rsidRPr="00C74108">
        <w:t>.</w:t>
      </w:r>
    </w:p>
    <w:p w14:paraId="37836BD1" w14:textId="77777777" w:rsidR="005330C7" w:rsidRPr="005330C7" w:rsidRDefault="004B1DBE" w:rsidP="005330C7">
      <w:pPr>
        <w:pStyle w:val="Heading4"/>
      </w:pPr>
      <w:r w:rsidRPr="004B1DBE">
        <w:t>Предотвратяване, разкриване и докладване на корупцията в ОПР</w:t>
      </w:r>
    </w:p>
    <w:p w14:paraId="47CC067E" w14:textId="5BC16426" w:rsidR="005330C7" w:rsidRPr="00C74108" w:rsidRDefault="004B1DBE" w:rsidP="00BC45B7">
      <w:pPr>
        <w:pStyle w:val="Para"/>
      </w:pPr>
      <w:r w:rsidRPr="004B1DBE">
        <w:t xml:space="preserve">По </w:t>
      </w:r>
      <w:r w:rsidR="00673F1F">
        <w:t>Фаза</w:t>
      </w:r>
      <w:r w:rsidRPr="004B1DBE">
        <w:t xml:space="preserve"> 3</w:t>
      </w:r>
      <w:r w:rsidR="000A014B">
        <w:rPr>
          <w:lang w:val="bg-BG"/>
        </w:rPr>
        <w:t xml:space="preserve"> </w:t>
      </w:r>
      <w:r w:rsidRPr="004B1DBE">
        <w:t>Работната група установи, че политиката и процедурите на ОПР на България са на ранен етап от развитието си и препоръча България, в хода на разработването на своите политики и процедури по ОПР, да приеме мерки за предотвратяване, разкрив</w:t>
      </w:r>
      <w:r w:rsidR="00405F21">
        <w:t>ане и докладване на подкуп</w:t>
      </w:r>
      <w:r w:rsidRPr="004B1DBE">
        <w:t xml:space="preserve"> на чужди длъжностни лица при възлагането и изпълнението на договори за ОПР (препоръка 10). Двугодишният писмен </w:t>
      </w:r>
      <w:r w:rsidR="00102795">
        <w:rPr>
          <w:lang w:val="bg-BG"/>
        </w:rPr>
        <w:t xml:space="preserve">преглед на изпълнението на препоръките по фаза 3 </w:t>
      </w:r>
      <w:r w:rsidRPr="004B1DBE">
        <w:t xml:space="preserve">установи, че България не е изпълнила препоръката. Оттогава България е предприела някои мерки за предотвратяване, разкриване и докладване на подкуп на чужди длъжностни лица при възлагането и осъществяването на </w:t>
      </w:r>
      <w:r w:rsidR="004A085F">
        <w:rPr>
          <w:lang w:val="bg-BG"/>
        </w:rPr>
        <w:t>договори</w:t>
      </w:r>
      <w:r w:rsidR="004A085F" w:rsidRPr="004B1DBE">
        <w:t xml:space="preserve"> </w:t>
      </w:r>
      <w:r w:rsidRPr="004B1DBE">
        <w:t>по ОПР, които са подробно описани по-долу в светлината на усилията на страната да изпълни Препоръката от 2016 г</w:t>
      </w:r>
      <w:r w:rsidR="005330C7" w:rsidRPr="00C74108">
        <w:t>.</w:t>
      </w:r>
    </w:p>
    <w:p w14:paraId="7921FA3E" w14:textId="73DE885E" w:rsidR="005330C7" w:rsidRPr="00C74108" w:rsidRDefault="004B1DBE" w:rsidP="005330C7">
      <w:pPr>
        <w:pStyle w:val="Para"/>
      </w:pPr>
      <w:r w:rsidRPr="004B1DBE">
        <w:t>Стандартният формуляр за кандидатстване за ОПР в България изисква от кандидатите да декларират, че няма основания за изключване от процеса на подбор, включително, в случай на юридически лица, че „никой член на управителния орган не е бил осъждан с окончателна присъда за престъпление</w:t>
      </w:r>
      <w:r w:rsidR="00E10574">
        <w:rPr>
          <w:lang w:val="bg-BG"/>
        </w:rPr>
        <w:t xml:space="preserve"> от общ характер</w:t>
      </w:r>
      <w:r w:rsidRPr="004B1DBE">
        <w:t xml:space="preserve"> “(член 23, параграф 4 от </w:t>
      </w:r>
      <w:r w:rsidR="008A6B8E">
        <w:rPr>
          <w:lang w:val="bg-BG"/>
        </w:rPr>
        <w:t>Постановление</w:t>
      </w:r>
      <w:r w:rsidRPr="004B1DBE">
        <w:t xml:space="preserve"> 234/2011). Няма подобна забрана за кандидати - физически лица, осъдени за престъпление</w:t>
      </w:r>
      <w:r w:rsidR="00E10574">
        <w:rPr>
          <w:lang w:val="bg-BG"/>
        </w:rPr>
        <w:t xml:space="preserve"> от общ характер</w:t>
      </w:r>
      <w:r w:rsidRPr="004B1DBE">
        <w:t>, нито за юридически лица, които са били санкционирани за корупция или подкуп на чужди длъжностни лица. България посочва, че комисия с много заинтересовани страни в централата на МВнР оценява всички заявления и проверява информацията, предоставена в декларациите</w:t>
      </w:r>
      <w:r w:rsidR="005330C7" w:rsidRPr="00C74108">
        <w:t xml:space="preserve">. </w:t>
      </w:r>
      <w:r w:rsidRPr="004B1DBE">
        <w:t xml:space="preserve">България обаче не предоставя информация дали комисията извършва </w:t>
      </w:r>
      <w:r w:rsidR="002F53AE">
        <w:rPr>
          <w:lang w:val="bg-BG"/>
        </w:rPr>
        <w:t>комплексна</w:t>
      </w:r>
      <w:r w:rsidR="002F53AE" w:rsidRPr="004B1DBE">
        <w:t xml:space="preserve"> </w:t>
      </w:r>
      <w:r w:rsidRPr="004B1DBE">
        <w:t xml:space="preserve">проверка преди </w:t>
      </w:r>
      <w:r w:rsidRPr="004B1DBE">
        <w:lastRenderedPageBreak/>
        <w:t>сключването на договори за ОПР, включително като разглежда системите за управление на риска от корупция на кандидатите, или проверява публично достъпни</w:t>
      </w:r>
      <w:r w:rsidR="00CB5CF7">
        <w:rPr>
          <w:lang w:val="bg-BG"/>
        </w:rPr>
        <w:t>те</w:t>
      </w:r>
      <w:r w:rsidRPr="004B1DBE">
        <w:t xml:space="preserve"> </w:t>
      </w:r>
      <w:r w:rsidR="00805988">
        <w:rPr>
          <w:lang w:val="bg-BG"/>
        </w:rPr>
        <w:t>списъци</w:t>
      </w:r>
      <w:r w:rsidR="00E5352B">
        <w:rPr>
          <w:lang w:val="bg-BG"/>
        </w:rPr>
        <w:t xml:space="preserve"> със санкционирани лица на </w:t>
      </w:r>
      <w:r w:rsidRPr="004B1DBE">
        <w:t>международни финансови институции по време на процеса на подбор</w:t>
      </w:r>
      <w:r w:rsidR="005330C7" w:rsidRPr="00C74108">
        <w:t xml:space="preserve">. </w:t>
      </w:r>
    </w:p>
    <w:p w14:paraId="278A2100" w14:textId="252BE770" w:rsidR="005330C7" w:rsidRPr="001766FF" w:rsidRDefault="004B1DBE" w:rsidP="005330C7">
      <w:pPr>
        <w:pStyle w:val="Para"/>
        <w:tabs>
          <w:tab w:val="clear" w:pos="720"/>
        </w:tabs>
      </w:pPr>
      <w:r w:rsidRPr="004B1DBE">
        <w:t xml:space="preserve">Твърденията за корупция и подкуп на чужди длъжностни лица в ОПР могат да бъдат докладвани </w:t>
      </w:r>
      <w:r w:rsidR="00E10574" w:rsidRPr="004B1DBE">
        <w:t xml:space="preserve">до Инспектората на МВнР </w:t>
      </w:r>
      <w:r w:rsidRPr="004B1DBE">
        <w:t>чрез специалната уеб страница за борба с корупцията на МВнР и чрез кутии за мнения и предложения в посолствата в чужбина. Инспекторатът на МВнР няма правомощия за разследване, но препраща всички твърдения до компетентните правоприлагащи органи. Към днешна дата България не е получ</w:t>
      </w:r>
      <w:r w:rsidR="00CB43DB">
        <w:rPr>
          <w:lang w:val="bg-BG"/>
        </w:rPr>
        <w:t>ава</w:t>
      </w:r>
      <w:r w:rsidRPr="004B1DBE">
        <w:t xml:space="preserve">ла </w:t>
      </w:r>
      <w:r w:rsidR="00E10574">
        <w:rPr>
          <w:lang w:val="bg-BG"/>
        </w:rPr>
        <w:t>твърдения</w:t>
      </w:r>
      <w:r w:rsidR="00E10574" w:rsidRPr="004B1DBE">
        <w:t xml:space="preserve"> </w:t>
      </w:r>
      <w:r w:rsidRPr="004B1DBE">
        <w:t>за корупция или подкуп на чужди длъжностни лица в ОПР</w:t>
      </w:r>
      <w:r w:rsidR="005330C7">
        <w:t>.</w:t>
      </w:r>
    </w:p>
    <w:p w14:paraId="7920B5DE" w14:textId="77777777" w:rsidR="005330C7" w:rsidRPr="005330C7" w:rsidRDefault="005A73FB" w:rsidP="005330C7">
      <w:pPr>
        <w:pStyle w:val="Heading4"/>
      </w:pPr>
      <w:r>
        <w:rPr>
          <w:lang w:val="bg-BG"/>
        </w:rPr>
        <w:t>Санкциониране</w:t>
      </w:r>
      <w:r w:rsidR="004B1DBE" w:rsidRPr="004B1DBE">
        <w:t xml:space="preserve"> на корупцията в ОПР</w:t>
      </w:r>
    </w:p>
    <w:p w14:paraId="76EE00AD" w14:textId="77777777" w:rsidR="005330C7" w:rsidRDefault="00A26A58" w:rsidP="005330C7">
      <w:pPr>
        <w:pStyle w:val="Para"/>
      </w:pPr>
      <w:r w:rsidRPr="00A26A58">
        <w:t xml:space="preserve">Стандартният български договор за ОПР включва клаузи за прекратяване и възстановяване на разходи в случай на установяване, че информацията, предоставена от партньора по изпълнението, е невярна. Клаузата за прекратяване обаче не се прилага, ако партньорът по изпълнението впоследствие е извършил корупция по време на договора, както се изисква от Препоръката от 2016 </w:t>
      </w:r>
      <w:proofErr w:type="gramStart"/>
      <w:r w:rsidRPr="00A26A58">
        <w:t>г.,</w:t>
      </w:r>
      <w:proofErr w:type="gramEnd"/>
      <w:r w:rsidRPr="00A26A58">
        <w:t xml:space="preserve"> раздел 8 (i). България посочва, че през последната година не са прекратени договори за ОПР за невярна информация. </w:t>
      </w:r>
      <w:r w:rsidR="005A73FB">
        <w:rPr>
          <w:lang w:val="bg-BG"/>
        </w:rPr>
        <w:t>Когато</w:t>
      </w:r>
      <w:r w:rsidRPr="00A26A58">
        <w:t xml:space="preserve"> по време на договора се открие корупция, Инспекторатът на МВнР ще направи предложение до министъра </w:t>
      </w:r>
      <w:r w:rsidR="005A73FB">
        <w:rPr>
          <w:lang w:val="bg-BG"/>
        </w:rPr>
        <w:t>този случай</w:t>
      </w:r>
      <w:r w:rsidRPr="00A26A58">
        <w:t xml:space="preserve"> да бъде отнесен до компетентните правоприлагащи органи. България обаче уточнява, че министърът не може да блокира препращането</w:t>
      </w:r>
      <w:r w:rsidR="005330C7">
        <w:t>.</w:t>
      </w:r>
    </w:p>
    <w:p w14:paraId="239CF6F1" w14:textId="77777777" w:rsidR="005330C7" w:rsidRPr="00A26A58" w:rsidRDefault="00A26A58" w:rsidP="005330C7">
      <w:pPr>
        <w:pStyle w:val="Commentary"/>
        <w:rPr>
          <w:color w:val="4E81BD" w:themeColor="accent1"/>
          <w:lang w:val="bg-BG"/>
        </w:rPr>
      </w:pPr>
      <w:r>
        <w:rPr>
          <w:color w:val="4E81BD" w:themeColor="accent1"/>
          <w:lang w:val="bg-BG"/>
        </w:rPr>
        <w:t>Коментар</w:t>
      </w:r>
    </w:p>
    <w:p w14:paraId="57BA4C66" w14:textId="77777777" w:rsidR="005330C7" w:rsidRPr="008C08CD" w:rsidRDefault="00903AF2" w:rsidP="005330C7">
      <w:pPr>
        <w:pStyle w:val="Commentary"/>
        <w:rPr>
          <w:lang w:val="bg-BG"/>
        </w:rPr>
      </w:pPr>
      <w:r w:rsidRPr="008C08CD">
        <w:rPr>
          <w:lang w:val="bg-BG"/>
        </w:rPr>
        <w:t xml:space="preserve">Водещите проверители съжаляват, че България е постигнала ограничен напредък при изпълнението на препоръка 10 по </w:t>
      </w:r>
      <w:r w:rsidR="00673F1F" w:rsidRPr="008C08CD">
        <w:rPr>
          <w:lang w:val="bg-BG"/>
        </w:rPr>
        <w:t>Фаза</w:t>
      </w:r>
      <w:r w:rsidRPr="008C08CD">
        <w:rPr>
          <w:lang w:val="bg-BG"/>
        </w:rPr>
        <w:t xml:space="preserve"> 3, която се счита за неизпълнена. Въпреки факта, че най-големият дял от българската ОПР е основен принос към многостранни организации, водещите проверители смятат, че България трябва да предприеме допълнителни стъпки, за да изпълни Препоръката от 2016 г. Затова те препоръчват на България а) да гарантира, че както физическите, така и юридическите лица, кандидатстващи за договори за ОПР, ще бъдат задължени да декларират, че не са осъждани за корупционни престъпления; б) да проверява публично достъпни списъци</w:t>
      </w:r>
      <w:r w:rsidR="00F931D4">
        <w:rPr>
          <w:lang w:val="bg-BG"/>
        </w:rPr>
        <w:t xml:space="preserve"> със санкционирани лица на </w:t>
      </w:r>
      <w:r w:rsidRPr="008C08CD">
        <w:rPr>
          <w:lang w:val="bg-BG"/>
        </w:rPr>
        <w:t xml:space="preserve">международни финансови институции по време на процеса на подбор на кандидатите; в) да предприема подходяща </w:t>
      </w:r>
      <w:r w:rsidR="002F53AE">
        <w:rPr>
          <w:lang w:val="bg-BG"/>
        </w:rPr>
        <w:t>комплексна</w:t>
      </w:r>
      <w:r w:rsidR="002F53AE" w:rsidRPr="008C08CD">
        <w:rPr>
          <w:lang w:val="bg-BG"/>
        </w:rPr>
        <w:t xml:space="preserve"> </w:t>
      </w:r>
      <w:r w:rsidRPr="008C08CD">
        <w:rPr>
          <w:lang w:val="bg-BG"/>
        </w:rPr>
        <w:t>проверка, включително относно системите за управление на риска от корупция на заявителите, преди сключването на договори за ОПР; и г) да включва, в рамките на договорите за ОПР, клаузи за прекратяване, спиране или възстановяване на суми или други граждански и наказателни действия, когато е приложимо, в случай на разкриване, че партньорът по изпълнението впоследствие е извършил корупция по време на договора. Водещите проверители препоръчват също така Работната група да проследи приемането на проектозакона за подпомагане на развитието и хуманитарна помощ</w:t>
      </w:r>
      <w:r w:rsidR="00561978" w:rsidRPr="008C08CD">
        <w:rPr>
          <w:lang w:val="bg-BG"/>
        </w:rPr>
        <w:t>.</w:t>
      </w:r>
    </w:p>
    <w:p w14:paraId="2111BE85" w14:textId="77777777" w:rsidR="0043182F" w:rsidRDefault="000A7845">
      <w:pPr>
        <w:widowControl/>
        <w:spacing w:after="200" w:line="276" w:lineRule="auto"/>
        <w:jc w:val="left"/>
        <w:rPr>
          <w:lang w:val="bg-BG"/>
        </w:rPr>
      </w:pPr>
      <w:r w:rsidRPr="008C08CD">
        <w:rPr>
          <w:lang w:val="bg-BG"/>
        </w:rPr>
        <w:br w:type="page"/>
      </w:r>
    </w:p>
    <w:p w14:paraId="40C6C983" w14:textId="77777777" w:rsidR="0043182F" w:rsidRPr="0043182F" w:rsidRDefault="0043182F" w:rsidP="0043182F">
      <w:pPr>
        <w:pStyle w:val="Heading1"/>
        <w:framePr w:h="4368" w:hRule="exact" w:wrap="notBeside" w:x="1021"/>
        <w:numPr>
          <w:ilvl w:val="0"/>
          <w:numId w:val="0"/>
        </w:numPr>
        <w:ind w:left="113"/>
        <w:rPr>
          <w:lang w:val="bg-BG"/>
        </w:rPr>
      </w:pPr>
      <w:r w:rsidRPr="00E475DC">
        <w:rPr>
          <w:lang w:val="bg-BG"/>
        </w:rPr>
        <w:lastRenderedPageBreak/>
        <w:t xml:space="preserve">Заключение: </w:t>
      </w:r>
      <w:r>
        <w:rPr>
          <w:lang w:val="bg-BG"/>
        </w:rPr>
        <w:t>П</w:t>
      </w:r>
      <w:r w:rsidRPr="0043182F">
        <w:rPr>
          <w:lang w:val="bg-BG"/>
        </w:rPr>
        <w:t>оложителни пост</w:t>
      </w:r>
      <w:r w:rsidR="00D344F4">
        <w:rPr>
          <w:lang w:val="bg-BG"/>
        </w:rPr>
        <w:t>ижения, препоръки и въпроси за проследяване</w:t>
      </w:r>
    </w:p>
    <w:p w14:paraId="252D6E39" w14:textId="4B19FB0E" w:rsidR="00AD4AB8" w:rsidRPr="008A3C26" w:rsidRDefault="00AD4AB8" w:rsidP="00572912">
      <w:pPr>
        <w:pStyle w:val="Para"/>
        <w:rPr>
          <w:lang w:val="bg-BG"/>
        </w:rPr>
      </w:pPr>
      <w:r w:rsidRPr="008A3C26">
        <w:rPr>
          <w:rStyle w:val="jlqj4b"/>
          <w:lang w:val="bg-BG"/>
        </w:rPr>
        <w:t>Работната група приветства усилията, положени от България през последните години за прилагане на Конвенцията и свързаните с нея инструменти.</w:t>
      </w:r>
      <w:r w:rsidRPr="008A3C26">
        <w:rPr>
          <w:rStyle w:val="viiyi"/>
          <w:lang w:val="bg-BG"/>
        </w:rPr>
        <w:t xml:space="preserve"> </w:t>
      </w:r>
      <w:r w:rsidRPr="008A3C26">
        <w:rPr>
          <w:rStyle w:val="jlqj4b"/>
          <w:lang w:val="bg-BG"/>
        </w:rPr>
        <w:t>Работната група обаче е сериозно загрижена от продължаващата липса на разкриване, разследване и наказателно преследване на случаи</w:t>
      </w:r>
      <w:r w:rsidR="00426BBE">
        <w:rPr>
          <w:rStyle w:val="jlqj4b"/>
          <w:lang w:val="bg-BG"/>
        </w:rPr>
        <w:t xml:space="preserve"> на</w:t>
      </w:r>
      <w:r w:rsidRPr="008A3C26">
        <w:rPr>
          <w:rStyle w:val="jlqj4b"/>
          <w:lang w:val="bg-BG"/>
        </w:rPr>
        <w:t xml:space="preserve"> подкуп на чужди длъжностни лица в България и всеобща</w:t>
      </w:r>
      <w:r w:rsidRPr="008C08CD">
        <w:rPr>
          <w:rStyle w:val="jlqj4b"/>
          <w:lang w:val="bg-BG"/>
        </w:rPr>
        <w:t>та</w:t>
      </w:r>
      <w:r w:rsidRPr="008A3C26">
        <w:rPr>
          <w:rStyle w:val="jlqj4b"/>
          <w:lang w:val="bg-BG"/>
        </w:rPr>
        <w:t xml:space="preserve"> липса на осведоменост </w:t>
      </w:r>
      <w:r w:rsidR="00426BBE">
        <w:rPr>
          <w:rStyle w:val="jlqj4b"/>
          <w:lang w:val="bg-BG"/>
        </w:rPr>
        <w:t>за</w:t>
      </w:r>
      <w:r w:rsidR="00426BBE" w:rsidRPr="008A3C26">
        <w:rPr>
          <w:rStyle w:val="jlqj4b"/>
          <w:lang w:val="bg-BG"/>
        </w:rPr>
        <w:t xml:space="preserve"> </w:t>
      </w:r>
      <w:r w:rsidRPr="008A3C26">
        <w:rPr>
          <w:rStyle w:val="jlqj4b"/>
          <w:lang w:val="bg-BG"/>
        </w:rPr>
        <w:t>рисковете от подкуп</w:t>
      </w:r>
      <w:r w:rsidR="00426BBE">
        <w:rPr>
          <w:rStyle w:val="jlqj4b"/>
          <w:lang w:val="bg-BG"/>
        </w:rPr>
        <w:t xml:space="preserve"> на </w:t>
      </w:r>
      <w:r w:rsidR="00426BBE" w:rsidRPr="00426BBE">
        <w:rPr>
          <w:rStyle w:val="jlqj4b"/>
          <w:lang w:val="bg-BG"/>
        </w:rPr>
        <w:t>чужди длъжностни лица</w:t>
      </w:r>
      <w:r w:rsidRPr="008A3C26">
        <w:rPr>
          <w:rStyle w:val="jlqj4b"/>
          <w:lang w:val="bg-BG"/>
        </w:rPr>
        <w:t>.</w:t>
      </w:r>
      <w:r w:rsidRPr="008A3C26">
        <w:rPr>
          <w:rStyle w:val="viiyi"/>
          <w:lang w:val="bg-BG"/>
        </w:rPr>
        <w:t xml:space="preserve"> </w:t>
      </w:r>
      <w:r w:rsidRPr="008C08CD">
        <w:rPr>
          <w:rStyle w:val="jlqj4b"/>
          <w:lang w:val="bg-BG"/>
        </w:rPr>
        <w:t>След</w:t>
      </w:r>
      <w:r w:rsidRPr="008A3C26">
        <w:rPr>
          <w:rStyle w:val="jlqj4b"/>
          <w:lang w:val="bg-BG"/>
        </w:rPr>
        <w:t xml:space="preserve"> фаза 3 България е започнала само едно разследване за подкуп на чуждо длъжностно лице, което продължава, </w:t>
      </w:r>
      <w:r w:rsidRPr="008C08CD">
        <w:rPr>
          <w:rStyle w:val="jlqj4b"/>
          <w:lang w:val="bg-BG"/>
        </w:rPr>
        <w:t>като информация за няколко случая</w:t>
      </w:r>
      <w:r w:rsidRPr="008A3C26">
        <w:rPr>
          <w:rStyle w:val="jlqj4b"/>
          <w:lang w:val="bg-BG"/>
        </w:rPr>
        <w:t xml:space="preserve"> </w:t>
      </w:r>
      <w:r w:rsidRPr="008C08CD">
        <w:rPr>
          <w:rStyle w:val="jlqj4b"/>
          <w:lang w:val="bg-BG"/>
        </w:rPr>
        <w:t xml:space="preserve">е </w:t>
      </w:r>
      <w:r w:rsidRPr="008A3C26">
        <w:rPr>
          <w:rStyle w:val="jlqj4b"/>
          <w:lang w:val="bg-BG"/>
        </w:rPr>
        <w:t>публикуван</w:t>
      </w:r>
      <w:r w:rsidRPr="008C08CD">
        <w:rPr>
          <w:rStyle w:val="jlqj4b"/>
          <w:lang w:val="bg-BG"/>
        </w:rPr>
        <w:t>а</w:t>
      </w:r>
      <w:r w:rsidRPr="008A3C26">
        <w:rPr>
          <w:rStyle w:val="jlqj4b"/>
          <w:lang w:val="bg-BG"/>
        </w:rPr>
        <w:t xml:space="preserve"> в общественото пространство или </w:t>
      </w:r>
      <w:r w:rsidRPr="008C08CD">
        <w:rPr>
          <w:rStyle w:val="jlqj4b"/>
          <w:lang w:val="bg-BG"/>
        </w:rPr>
        <w:t>е</w:t>
      </w:r>
      <w:r w:rsidRPr="008A3C26">
        <w:rPr>
          <w:rStyle w:val="jlqj4b"/>
          <w:lang w:val="bg-BG"/>
        </w:rPr>
        <w:t xml:space="preserve"> съобщен</w:t>
      </w:r>
      <w:r w:rsidR="00E1137E">
        <w:rPr>
          <w:rStyle w:val="jlqj4b"/>
          <w:lang w:val="bg-BG"/>
        </w:rPr>
        <w:t>а</w:t>
      </w:r>
      <w:r w:rsidRPr="008A3C26">
        <w:rPr>
          <w:rStyle w:val="jlqj4b"/>
          <w:lang w:val="bg-BG"/>
        </w:rPr>
        <w:t xml:space="preserve"> на б</w:t>
      </w:r>
      <w:r w:rsidRPr="008C08CD">
        <w:rPr>
          <w:rStyle w:val="jlqj4b"/>
          <w:lang w:val="bg-BG"/>
        </w:rPr>
        <w:t>ългарските власти от страна на Р</w:t>
      </w:r>
      <w:r w:rsidRPr="008A3C26">
        <w:rPr>
          <w:rStyle w:val="jlqj4b"/>
          <w:lang w:val="bg-BG"/>
        </w:rPr>
        <w:t>аботната група</w:t>
      </w:r>
      <w:r w:rsidRPr="008C08CD">
        <w:rPr>
          <w:rStyle w:val="jlqj4b"/>
          <w:lang w:val="bg-BG"/>
        </w:rPr>
        <w:t>, но не е</w:t>
      </w:r>
      <w:r w:rsidRPr="008A3C26">
        <w:rPr>
          <w:rStyle w:val="jlqj4b"/>
          <w:lang w:val="bg-BG"/>
        </w:rPr>
        <w:t xml:space="preserve"> </w:t>
      </w:r>
      <w:r w:rsidRPr="008C08CD">
        <w:rPr>
          <w:rStyle w:val="jlqj4b"/>
          <w:lang w:val="bg-BG"/>
        </w:rPr>
        <w:t xml:space="preserve">била </w:t>
      </w:r>
      <w:r w:rsidRPr="008A3C26">
        <w:rPr>
          <w:rStyle w:val="jlqj4b"/>
          <w:lang w:val="bg-BG"/>
        </w:rPr>
        <w:t>разследван</w:t>
      </w:r>
      <w:r w:rsidRPr="008C08CD">
        <w:rPr>
          <w:rStyle w:val="jlqj4b"/>
          <w:lang w:val="bg-BG"/>
        </w:rPr>
        <w:t>а</w:t>
      </w:r>
      <w:r w:rsidRPr="008A3C26">
        <w:rPr>
          <w:rStyle w:val="jlqj4b"/>
          <w:lang w:val="bg-BG"/>
        </w:rPr>
        <w:t xml:space="preserve"> проактивно.</w:t>
      </w:r>
      <w:r w:rsidRPr="008A3C26">
        <w:rPr>
          <w:rStyle w:val="viiyi"/>
          <w:lang w:val="bg-BG"/>
        </w:rPr>
        <w:t xml:space="preserve"> </w:t>
      </w:r>
      <w:r w:rsidRPr="008A3C26">
        <w:rPr>
          <w:rStyle w:val="jlqj4b"/>
          <w:lang w:val="bg-BG"/>
        </w:rPr>
        <w:t>Работната група счита също, че България няма ефективна правна рамка за подвеждане под отговорност на юридически лица за подкуп на чужди длъжностни лица или свързани с него престъпления и</w:t>
      </w:r>
      <w:r w:rsidR="00E1137E">
        <w:rPr>
          <w:rStyle w:val="jlqj4b"/>
          <w:lang w:val="bg-BG"/>
        </w:rPr>
        <w:t xml:space="preserve"> същата</w:t>
      </w:r>
      <w:r w:rsidRPr="008A3C26">
        <w:rPr>
          <w:rStyle w:val="jlqj4b"/>
          <w:lang w:val="bg-BG"/>
        </w:rPr>
        <w:t xml:space="preserve"> се нуждае от спешна реформа.</w:t>
      </w:r>
      <w:r w:rsidRPr="008A3C26">
        <w:rPr>
          <w:rStyle w:val="viiyi"/>
          <w:lang w:val="bg-BG"/>
        </w:rPr>
        <w:t xml:space="preserve"> </w:t>
      </w:r>
      <w:r w:rsidRPr="008A3C26">
        <w:rPr>
          <w:rStyle w:val="jlqj4b"/>
          <w:lang w:val="bg-BG"/>
        </w:rPr>
        <w:t>Освен това максималните размери на санкции</w:t>
      </w:r>
      <w:r w:rsidRPr="008C08CD">
        <w:rPr>
          <w:rStyle w:val="jlqj4b"/>
          <w:lang w:val="bg-BG"/>
        </w:rPr>
        <w:t>т</w:t>
      </w:r>
      <w:r w:rsidRPr="008A3C26">
        <w:rPr>
          <w:rStyle w:val="jlqj4b"/>
          <w:lang w:val="bg-BG"/>
        </w:rPr>
        <w:t>е за юридически</w:t>
      </w:r>
      <w:r w:rsidRPr="008C08CD">
        <w:rPr>
          <w:rStyle w:val="jlqj4b"/>
          <w:lang w:val="bg-BG"/>
        </w:rPr>
        <w:t xml:space="preserve"> лица са едни от най-ниските в Р</w:t>
      </w:r>
      <w:r w:rsidRPr="008A3C26">
        <w:rPr>
          <w:rStyle w:val="jlqj4b"/>
          <w:lang w:val="bg-BG"/>
        </w:rPr>
        <w:t>аботната група и се нуждаят от увеличаване.</w:t>
      </w:r>
      <w:r w:rsidRPr="008A3C26">
        <w:rPr>
          <w:lang w:val="bg-BG"/>
        </w:rPr>
        <w:t xml:space="preserve"> </w:t>
      </w:r>
    </w:p>
    <w:p w14:paraId="5AEA4D0F" w14:textId="1098C5C9" w:rsidR="00AD4AB8" w:rsidRPr="008A3C26" w:rsidRDefault="00AD4AB8" w:rsidP="00572912">
      <w:pPr>
        <w:pStyle w:val="Para"/>
        <w:rPr>
          <w:lang w:val="bg-BG"/>
        </w:rPr>
      </w:pPr>
      <w:r w:rsidRPr="008C08CD">
        <w:rPr>
          <w:lang w:val="bg-BG"/>
        </w:rPr>
        <w:t>Препоръки по фаза 3, които Р</w:t>
      </w:r>
      <w:r w:rsidRPr="008A3C26">
        <w:rPr>
          <w:lang w:val="bg-BG"/>
        </w:rPr>
        <w:t>аботната група счита за неизпълнени или само частично изпълнени след писмения доклад от 2014 г., остават неизпълнени: 1 (а)</w:t>
      </w:r>
      <w:r w:rsidR="00D1565F">
        <w:rPr>
          <w:lang w:val="bg-BG"/>
        </w:rPr>
        <w:t>.</w:t>
      </w:r>
      <w:r w:rsidRPr="008A3C26">
        <w:rPr>
          <w:lang w:val="bg-BG"/>
        </w:rPr>
        <w:t xml:space="preserve"> подкуп на чуждо длъжностно лице, 2 (а)</w:t>
      </w:r>
      <w:r w:rsidR="00D1565F">
        <w:rPr>
          <w:lang w:val="bg-BG"/>
        </w:rPr>
        <w:t>.</w:t>
      </w:r>
      <w:r w:rsidRPr="008A3C26">
        <w:rPr>
          <w:lang w:val="bg-BG"/>
        </w:rPr>
        <w:t xml:space="preserve"> наличие на юрисдикция за подвеждане под отговорност на юридически лица, 2 (б) (втора част) наличие на способи за разследване в производства срещу юридически лица, 2 (в) (втора част) автономност на производствата </w:t>
      </w:r>
      <w:r w:rsidRPr="008C08CD">
        <w:rPr>
          <w:lang w:val="bg-BG"/>
        </w:rPr>
        <w:t>срещу</w:t>
      </w:r>
      <w:r w:rsidRPr="008A3C26">
        <w:rPr>
          <w:lang w:val="bg-BG"/>
        </w:rPr>
        <w:t xml:space="preserve"> юридически лица, 3 (а)</w:t>
      </w:r>
      <w:r w:rsidR="00D1565F">
        <w:rPr>
          <w:lang w:val="bg-BG"/>
        </w:rPr>
        <w:t>.</w:t>
      </w:r>
      <w:r w:rsidRPr="008A3C26">
        <w:rPr>
          <w:lang w:val="bg-BG"/>
        </w:rPr>
        <w:t xml:space="preserve"> и 3 (б)</w:t>
      </w:r>
      <w:r w:rsidR="00D1565F">
        <w:rPr>
          <w:lang w:val="bg-BG"/>
        </w:rPr>
        <w:t>.</w:t>
      </w:r>
      <w:r w:rsidRPr="008A3C26">
        <w:rPr>
          <w:lang w:val="bg-BG"/>
        </w:rPr>
        <w:t xml:space="preserve"> ефективни, пропорционални и възпиращи санкции за физически лица, 4 (а) (i)</w:t>
      </w:r>
      <w:r w:rsidR="00D1565F">
        <w:rPr>
          <w:lang w:val="bg-BG"/>
        </w:rPr>
        <w:t>.</w:t>
      </w:r>
      <w:r w:rsidRPr="008A3C26">
        <w:rPr>
          <w:lang w:val="bg-BG"/>
        </w:rPr>
        <w:t xml:space="preserve"> и 4 (б)</w:t>
      </w:r>
      <w:r w:rsidR="00D1565F">
        <w:rPr>
          <w:lang w:val="bg-BG"/>
        </w:rPr>
        <w:t>.</w:t>
      </w:r>
      <w:r w:rsidRPr="008A3C26">
        <w:rPr>
          <w:lang w:val="bg-BG"/>
        </w:rPr>
        <w:t xml:space="preserve"> конфискация, 5 (а) адекватни средства за разследване и наказателно преследване, 5 (в)</w:t>
      </w:r>
      <w:r w:rsidR="00D1565F">
        <w:rPr>
          <w:lang w:val="bg-BG"/>
        </w:rPr>
        <w:t>.</w:t>
      </w:r>
      <w:r w:rsidRPr="008A3C26">
        <w:rPr>
          <w:lang w:val="bg-BG"/>
        </w:rPr>
        <w:t xml:space="preserve"> </w:t>
      </w:r>
      <w:r w:rsidRPr="008C08CD">
        <w:rPr>
          <w:lang w:val="bg-BG"/>
        </w:rPr>
        <w:t>про</w:t>
      </w:r>
      <w:r w:rsidRPr="008A3C26">
        <w:rPr>
          <w:lang w:val="bg-BG"/>
        </w:rPr>
        <w:t xml:space="preserve">активно сътрудничество по линия на </w:t>
      </w:r>
      <w:r w:rsidRPr="008C08CD">
        <w:rPr>
          <w:lang w:val="bg-BG"/>
        </w:rPr>
        <w:t>международната правна</w:t>
      </w:r>
      <w:r w:rsidRPr="008A3C26">
        <w:rPr>
          <w:lang w:val="bg-BG"/>
        </w:rPr>
        <w:t xml:space="preserve"> помощ, 6 (а) </w:t>
      </w:r>
      <w:r w:rsidR="00D1565F">
        <w:rPr>
          <w:lang w:val="bg-BG"/>
        </w:rPr>
        <w:t>„</w:t>
      </w:r>
      <w:r w:rsidRPr="008A3C26">
        <w:rPr>
          <w:lang w:val="bg-BG"/>
        </w:rPr>
        <w:t>фалшиво счетоводство</w:t>
      </w:r>
      <w:r w:rsidR="00D1565F">
        <w:rPr>
          <w:lang w:val="bg-BG"/>
        </w:rPr>
        <w:t>“</w:t>
      </w:r>
      <w:r w:rsidRPr="008A3C26">
        <w:rPr>
          <w:lang w:val="bg-BG"/>
        </w:rPr>
        <w:t>, 6 (б) приемане на вътрешни процедури по контрол, етика и програми за съответствие, 7 (б)</w:t>
      </w:r>
      <w:r w:rsidR="00D1565F">
        <w:rPr>
          <w:lang w:val="bg-BG"/>
        </w:rPr>
        <w:t>.</w:t>
      </w:r>
      <w:r w:rsidRPr="008A3C26">
        <w:rPr>
          <w:lang w:val="bg-BG"/>
        </w:rPr>
        <w:t xml:space="preserve"> данъци, 8 (а)</w:t>
      </w:r>
      <w:r w:rsidR="00D1565F">
        <w:rPr>
          <w:lang w:val="bg-BG"/>
        </w:rPr>
        <w:t>.</w:t>
      </w:r>
      <w:r w:rsidRPr="008A3C26">
        <w:rPr>
          <w:lang w:val="bg-BG"/>
        </w:rPr>
        <w:t xml:space="preserve"> политика за борба срещу корупцията, 8 (б)</w:t>
      </w:r>
      <w:r w:rsidR="00D1565F">
        <w:rPr>
          <w:lang w:val="bg-BG"/>
        </w:rPr>
        <w:t>.</w:t>
      </w:r>
      <w:r w:rsidRPr="008A3C26">
        <w:rPr>
          <w:lang w:val="bg-BG"/>
        </w:rPr>
        <w:t xml:space="preserve"> повишаване на осведомеността, включително за Министерството на външните работи, 8 (в)</w:t>
      </w:r>
      <w:r w:rsidR="00D1565F">
        <w:rPr>
          <w:lang w:val="bg-BG"/>
        </w:rPr>
        <w:t>.</w:t>
      </w:r>
      <w:r w:rsidRPr="008A3C26">
        <w:rPr>
          <w:lang w:val="bg-BG"/>
        </w:rPr>
        <w:t xml:space="preserve"> повишаване на осведомеността в частния сектор, 9</w:t>
      </w:r>
      <w:r w:rsidR="00D1565F">
        <w:rPr>
          <w:lang w:val="bg-BG"/>
        </w:rPr>
        <w:t>.</w:t>
      </w:r>
      <w:r w:rsidRPr="008A3C26">
        <w:rPr>
          <w:lang w:val="bg-BG"/>
        </w:rPr>
        <w:t xml:space="preserve"> защита на лицата, които подават сигнали, 10</w:t>
      </w:r>
      <w:r w:rsidR="00D1565F">
        <w:rPr>
          <w:lang w:val="bg-BG"/>
        </w:rPr>
        <w:t>.</w:t>
      </w:r>
      <w:r w:rsidRPr="008A3C26">
        <w:rPr>
          <w:lang w:val="bg-BG"/>
        </w:rPr>
        <w:t xml:space="preserve"> официална помощ за развитие, 11 (а)</w:t>
      </w:r>
      <w:r w:rsidR="00D1565F">
        <w:rPr>
          <w:lang w:val="bg-BG"/>
        </w:rPr>
        <w:t>.</w:t>
      </w:r>
      <w:r w:rsidRPr="008A3C26">
        <w:rPr>
          <w:lang w:val="bg-BG"/>
        </w:rPr>
        <w:t xml:space="preserve"> експортни кредити, 12</w:t>
      </w:r>
      <w:r w:rsidR="00D1565F">
        <w:rPr>
          <w:lang w:val="bg-BG"/>
        </w:rPr>
        <w:t>.</w:t>
      </w:r>
      <w:r w:rsidRPr="008A3C26">
        <w:rPr>
          <w:lang w:val="bg-BG"/>
        </w:rPr>
        <w:t xml:space="preserve"> обществени поръчки. Тези частично изпълнени или неизпълнени препоръки по фаза 3 са отразени по-долу в Препоръките по фаза 4 за Б</w:t>
      </w:r>
      <w:r w:rsidR="00E1137E">
        <w:rPr>
          <w:lang w:val="bg-BG"/>
        </w:rPr>
        <w:t xml:space="preserve">ългария. Препоръките по фаза 3: </w:t>
      </w:r>
      <w:r w:rsidRPr="008A3C26">
        <w:rPr>
          <w:lang w:val="bg-BG"/>
        </w:rPr>
        <w:t>5 (а)</w:t>
      </w:r>
      <w:r w:rsidR="00D1565F">
        <w:rPr>
          <w:lang w:val="bg-BG"/>
        </w:rPr>
        <w:t>.</w:t>
      </w:r>
      <w:r w:rsidRPr="008A3C26">
        <w:rPr>
          <w:lang w:val="bg-BG"/>
        </w:rPr>
        <w:t xml:space="preserve"> адекватни средства за разследване и наказателно преследване, 5 (б)</w:t>
      </w:r>
      <w:r w:rsidR="00D1565F">
        <w:rPr>
          <w:lang w:val="bg-BG"/>
        </w:rPr>
        <w:t>.</w:t>
      </w:r>
      <w:r w:rsidRPr="008A3C26">
        <w:rPr>
          <w:lang w:val="bg-BG"/>
        </w:rPr>
        <w:t xml:space="preserve"> обучение и 7 (а)</w:t>
      </w:r>
      <w:r w:rsidR="00D1565F">
        <w:rPr>
          <w:lang w:val="bg-BG"/>
        </w:rPr>
        <w:t>.</w:t>
      </w:r>
      <w:r w:rsidRPr="008A3C26">
        <w:rPr>
          <w:lang w:val="bg-BG"/>
        </w:rPr>
        <w:t xml:space="preserve"> данъци, както и 10</w:t>
      </w:r>
      <w:r w:rsidR="00D1565F">
        <w:rPr>
          <w:lang w:val="bg-BG"/>
        </w:rPr>
        <w:t>.</w:t>
      </w:r>
      <w:r w:rsidRPr="008A3C26">
        <w:rPr>
          <w:lang w:val="bg-BG"/>
        </w:rPr>
        <w:t xml:space="preserve"> официална помощ за развитие също са въпроси за </w:t>
      </w:r>
      <w:r w:rsidR="00E1137E">
        <w:rPr>
          <w:lang w:val="bg-BG"/>
        </w:rPr>
        <w:t>проследяване</w:t>
      </w:r>
      <w:r w:rsidR="00AC7EB0">
        <w:rPr>
          <w:lang w:val="bg-BG"/>
        </w:rPr>
        <w:t xml:space="preserve"> от Р</w:t>
      </w:r>
      <w:r w:rsidRPr="008A3C26">
        <w:rPr>
          <w:lang w:val="bg-BG"/>
        </w:rPr>
        <w:t>аботната група.</w:t>
      </w:r>
    </w:p>
    <w:p w14:paraId="699B15CF" w14:textId="32A84BCC" w:rsidR="00AD4AB8" w:rsidRPr="008A3C26" w:rsidRDefault="00AD4AB8" w:rsidP="00572912">
      <w:pPr>
        <w:pStyle w:val="Para"/>
        <w:rPr>
          <w:lang w:val="bg-BG"/>
        </w:rPr>
      </w:pPr>
      <w:bookmarkStart w:id="48" w:name="_Toc83055763"/>
      <w:r w:rsidRPr="008A3C26">
        <w:rPr>
          <w:lang w:val="bg-BG"/>
        </w:rPr>
        <w:t xml:space="preserve">Работната група приканва България да представи устен доклад в рамките на една година (т.е. през октомври 2022 г.) по въпроси, свързани с отговорността на юридическите лица и относно защитата на лицата, подаващи сигнали, както и писмен доклад </w:t>
      </w:r>
      <w:r w:rsidR="00434F30" w:rsidRPr="008A3C26">
        <w:rPr>
          <w:lang w:val="bg-BG"/>
        </w:rPr>
        <w:t xml:space="preserve">след две години </w:t>
      </w:r>
      <w:r w:rsidR="00A7480F">
        <w:rPr>
          <w:lang w:val="bg-BG"/>
        </w:rPr>
        <w:t xml:space="preserve">(т.е. </w:t>
      </w:r>
      <w:r w:rsidR="00A7480F" w:rsidRPr="008A3C26">
        <w:rPr>
          <w:lang w:val="bg-BG"/>
        </w:rPr>
        <w:t>през октомври 2023 г.)</w:t>
      </w:r>
      <w:r w:rsidR="00A7480F">
        <w:rPr>
          <w:lang w:val="bg-BG"/>
        </w:rPr>
        <w:t xml:space="preserve"> </w:t>
      </w:r>
      <w:r w:rsidRPr="008A3C26">
        <w:rPr>
          <w:lang w:val="bg-BG"/>
        </w:rPr>
        <w:t>за изпълнението на препоръките по фаза 4 и въпроси</w:t>
      </w:r>
      <w:r w:rsidRPr="008C08CD">
        <w:rPr>
          <w:lang w:val="bg-BG"/>
        </w:rPr>
        <w:t>те</w:t>
      </w:r>
      <w:r w:rsidRPr="008A3C26">
        <w:rPr>
          <w:lang w:val="bg-BG"/>
        </w:rPr>
        <w:t xml:space="preserve">, </w:t>
      </w:r>
      <w:r w:rsidRPr="008C08CD">
        <w:rPr>
          <w:lang w:val="bg-BG"/>
        </w:rPr>
        <w:t xml:space="preserve">които </w:t>
      </w:r>
      <w:r w:rsidRPr="008A3C26">
        <w:rPr>
          <w:lang w:val="bg-BG"/>
        </w:rPr>
        <w:t>изисква</w:t>
      </w:r>
      <w:r w:rsidRPr="008C08CD">
        <w:rPr>
          <w:lang w:val="bg-BG"/>
        </w:rPr>
        <w:t>т</w:t>
      </w:r>
      <w:r w:rsidRPr="008A3C26">
        <w:rPr>
          <w:lang w:val="bg-BG"/>
        </w:rPr>
        <w:t xml:space="preserve"> по-</w:t>
      </w:r>
      <w:r w:rsidR="00A7480F">
        <w:rPr>
          <w:lang w:val="bg-BG"/>
        </w:rPr>
        <w:lastRenderedPageBreak/>
        <w:t xml:space="preserve">нататъшно проследяване, </w:t>
      </w:r>
      <w:r w:rsidRPr="008A3C26">
        <w:rPr>
          <w:lang w:val="bg-BG"/>
        </w:rPr>
        <w:t>включително подробна информация</w:t>
      </w:r>
      <w:r w:rsidR="00B6624B">
        <w:rPr>
          <w:lang w:val="bg-BG"/>
        </w:rPr>
        <w:t xml:space="preserve"> за действията по отношение на разследването и наказателното преследване на </w:t>
      </w:r>
      <w:r w:rsidRPr="008A3C26">
        <w:rPr>
          <w:lang w:val="bg-BG"/>
        </w:rPr>
        <w:t>подкуп</w:t>
      </w:r>
      <w:r w:rsidR="00B6624B">
        <w:rPr>
          <w:lang w:val="bg-BG"/>
        </w:rPr>
        <w:t>а</w:t>
      </w:r>
      <w:r w:rsidRPr="008A3C26">
        <w:rPr>
          <w:lang w:val="bg-BG"/>
        </w:rPr>
        <w:t xml:space="preserve"> на чужди длъжностни лица.</w:t>
      </w:r>
    </w:p>
    <w:bookmarkEnd w:id="48"/>
    <w:p w14:paraId="7DA08C79" w14:textId="77777777" w:rsidR="00AD4AB8" w:rsidRPr="00AD4AB8" w:rsidRDefault="00AD4AB8" w:rsidP="00AD4AB8">
      <w:pPr>
        <w:pStyle w:val="Heading2"/>
        <w:numPr>
          <w:ilvl w:val="0"/>
          <w:numId w:val="0"/>
        </w:numPr>
        <w:jc w:val="both"/>
        <w:rPr>
          <w:rFonts w:eastAsia="Times New Roman"/>
          <w:sz w:val="20"/>
          <w:szCs w:val="20"/>
          <w:lang w:val="bg-BG"/>
        </w:rPr>
      </w:pPr>
      <w:r w:rsidRPr="00AD4AB8">
        <w:rPr>
          <w:rFonts w:eastAsia="Times New Roman"/>
          <w:sz w:val="20"/>
          <w:szCs w:val="20"/>
          <w:lang w:val="bg-BG"/>
        </w:rPr>
        <w:t>Положителни постижения и добри практики</w:t>
      </w:r>
    </w:p>
    <w:p w14:paraId="1339FBD7" w14:textId="0BCFFC62" w:rsidR="00AD4AB8" w:rsidRPr="00AD4AB8" w:rsidRDefault="00AD4AB8" w:rsidP="00572912">
      <w:pPr>
        <w:pStyle w:val="Para"/>
        <w:rPr>
          <w:lang w:val="bg-BG"/>
        </w:rPr>
      </w:pPr>
      <w:r w:rsidRPr="00AD4AB8">
        <w:rPr>
          <w:lang w:val="bg-BG"/>
        </w:rPr>
        <w:t>Този доклад идентифицира някои добри практики и положителни постижения на България по отношение на прилагането на Конвенцията и свързаните с нея инструменти.</w:t>
      </w:r>
    </w:p>
    <w:p w14:paraId="327F2094" w14:textId="18D5ED1C" w:rsidR="00AD4AB8" w:rsidRPr="00AD4AB8" w:rsidRDefault="00AD4AB8" w:rsidP="00572912">
      <w:pPr>
        <w:pStyle w:val="Para"/>
        <w:rPr>
          <w:lang w:val="bg-BG"/>
        </w:rPr>
      </w:pPr>
      <w:r w:rsidRPr="00AD4AB8">
        <w:rPr>
          <w:lang w:val="bg-BG"/>
        </w:rPr>
        <w:t>Работната група похвали България за правните реформи, предприети през последните години, включително актуализираните разпоредби на Наказателния кодекс, Закона за административните нарушения и наказания и приемането на</w:t>
      </w:r>
      <w:r w:rsidR="00C15B71">
        <w:rPr>
          <w:lang w:val="bg-BG"/>
        </w:rPr>
        <w:t xml:space="preserve"> нов</w:t>
      </w:r>
      <w:r w:rsidRPr="00AD4AB8">
        <w:rPr>
          <w:lang w:val="bg-BG"/>
        </w:rPr>
        <w:t xml:space="preserve"> Закон за мерките срещу изпирането на пари. Работната група също така поздравява България за нейните усилия в обучението и повишаването на осведомеността и сътрудничеството на звеното за финансово разузнаване с финансовия сектор.</w:t>
      </w:r>
    </w:p>
    <w:p w14:paraId="52118D74" w14:textId="29787EBF" w:rsidR="00AD4AB8" w:rsidRPr="00AD4AB8" w:rsidRDefault="00AD4AB8" w:rsidP="00572912">
      <w:pPr>
        <w:pStyle w:val="Para"/>
        <w:rPr>
          <w:szCs w:val="20"/>
          <w:lang w:val="bg-BG"/>
        </w:rPr>
      </w:pPr>
      <w:r w:rsidRPr="00AD4AB8">
        <w:rPr>
          <w:lang w:val="bg-BG"/>
        </w:rPr>
        <w:t>Работната група приветства доброто сътрудничество между Нацио</w:t>
      </w:r>
      <w:r w:rsidR="00B6624B">
        <w:rPr>
          <w:lang w:val="bg-BG"/>
        </w:rPr>
        <w:t>налната агенция за приходите и П</w:t>
      </w:r>
      <w:r w:rsidRPr="00AD4AB8">
        <w:rPr>
          <w:lang w:val="bg-BG"/>
        </w:rPr>
        <w:t>рокуратурата чрез координационните центрове като добра практика и очаква използването на тези центрове при бъдещи разследвания на подкупи на чужди длъжностни лица. Работната група приветства</w:t>
      </w:r>
      <w:r w:rsidRPr="00AD4AB8">
        <w:rPr>
          <w:rFonts w:ascii="Arial" w:hAnsi="Arial" w:cs="Arial"/>
          <w:color w:val="000000"/>
          <w:szCs w:val="20"/>
          <w:lang w:val="bg-BG"/>
        </w:rPr>
        <w:t xml:space="preserve"> също и развитието на регистър БУЛСТАТ като добра практика.</w:t>
      </w:r>
    </w:p>
    <w:p w14:paraId="066C841E" w14:textId="77777777" w:rsidR="008C1FEE" w:rsidRPr="008C08CD" w:rsidRDefault="008C1FEE">
      <w:pPr>
        <w:widowControl/>
        <w:spacing w:after="200" w:line="276" w:lineRule="auto"/>
        <w:jc w:val="left"/>
        <w:rPr>
          <w:lang w:val="bg-BG"/>
        </w:rPr>
      </w:pPr>
    </w:p>
    <w:p w14:paraId="0C1538BC" w14:textId="77777777" w:rsidR="008C1FEE" w:rsidRDefault="008C1FEE">
      <w:pPr>
        <w:widowControl/>
        <w:spacing w:after="200" w:line="276" w:lineRule="auto"/>
        <w:jc w:val="left"/>
        <w:rPr>
          <w:rFonts w:cs="Arial"/>
          <w:b/>
          <w:sz w:val="20"/>
          <w:szCs w:val="20"/>
          <w:lang w:val="bg-BG"/>
        </w:rPr>
      </w:pPr>
      <w:r w:rsidRPr="009811EF">
        <w:rPr>
          <w:rFonts w:cs="Arial"/>
          <w:b/>
          <w:sz w:val="20"/>
          <w:szCs w:val="20"/>
          <w:lang w:val="bg-BG"/>
        </w:rPr>
        <w:t xml:space="preserve">Препоръки на Работната група </w:t>
      </w:r>
    </w:p>
    <w:p w14:paraId="252E42DD" w14:textId="77777777" w:rsidR="008C1FEE" w:rsidRPr="008C1FEE" w:rsidRDefault="008C1FEE" w:rsidP="008C1FEE">
      <w:pPr>
        <w:widowControl/>
        <w:spacing w:before="120"/>
        <w:rPr>
          <w:rFonts w:ascii="Times New Roman" w:eastAsia="Times New Roman" w:hAnsi="Times New Roman" w:cs="Times New Roman"/>
          <w:b/>
          <w:i/>
          <w:sz w:val="24"/>
          <w:szCs w:val="24"/>
          <w:lang w:val="bg-BG" w:eastAsia="bg-BG"/>
        </w:rPr>
      </w:pPr>
      <w:r w:rsidRPr="008C1FEE">
        <w:rPr>
          <w:rFonts w:ascii="Times New Roman" w:eastAsia="Times New Roman" w:hAnsi="Times New Roman" w:cs="Times New Roman"/>
          <w:b/>
          <w:i/>
          <w:sz w:val="24"/>
          <w:szCs w:val="24"/>
          <w:lang w:val="bg-BG" w:eastAsia="bg-BG"/>
        </w:rPr>
        <w:t>Препоръки за гарантиране на ефективно</w:t>
      </w:r>
      <w:r w:rsidRPr="008C08CD">
        <w:rPr>
          <w:rFonts w:ascii="Times New Roman" w:eastAsia="Times New Roman" w:hAnsi="Times New Roman" w:cs="Times New Roman"/>
          <w:b/>
          <w:i/>
          <w:sz w:val="24"/>
          <w:szCs w:val="24"/>
          <w:lang w:val="bg-BG" w:eastAsia="bg-BG"/>
        </w:rPr>
        <w:t xml:space="preserve"> </w:t>
      </w:r>
      <w:r>
        <w:rPr>
          <w:rFonts w:ascii="Times New Roman" w:eastAsia="Times New Roman" w:hAnsi="Times New Roman" w:cs="Times New Roman"/>
          <w:b/>
          <w:i/>
          <w:sz w:val="24"/>
          <w:szCs w:val="24"/>
          <w:lang w:val="bg-BG" w:eastAsia="bg-BG"/>
        </w:rPr>
        <w:t>предотвратяване и разкриване на</w:t>
      </w:r>
      <w:r w:rsidRPr="008C1FEE">
        <w:rPr>
          <w:rFonts w:ascii="Times New Roman" w:eastAsia="Times New Roman" w:hAnsi="Times New Roman" w:cs="Times New Roman"/>
          <w:b/>
          <w:i/>
          <w:sz w:val="24"/>
          <w:szCs w:val="24"/>
          <w:lang w:val="bg-BG" w:eastAsia="bg-BG"/>
        </w:rPr>
        <w:t xml:space="preserve"> подкуп на чужди длъжностни лица</w:t>
      </w:r>
    </w:p>
    <w:p w14:paraId="7AC7E575" w14:textId="26CEE285" w:rsidR="008C1FEE" w:rsidRPr="008C08CD" w:rsidRDefault="008C1FEE" w:rsidP="00300DD4">
      <w:pPr>
        <w:widowControl/>
        <w:spacing w:before="120" w:after="120"/>
        <w:ind w:left="1080" w:hanging="360"/>
        <w:rPr>
          <w:sz w:val="20"/>
          <w:lang w:val="bg-BG"/>
        </w:rPr>
      </w:pPr>
      <w:r w:rsidRPr="008C08CD">
        <w:rPr>
          <w:sz w:val="20"/>
          <w:lang w:val="bg-BG"/>
        </w:rPr>
        <w:t>1.</w:t>
      </w:r>
      <w:r w:rsidRPr="008C08CD">
        <w:rPr>
          <w:sz w:val="20"/>
          <w:lang w:val="bg-BG"/>
        </w:rPr>
        <w:tab/>
      </w:r>
      <w:r>
        <w:rPr>
          <w:sz w:val="20"/>
          <w:lang w:val="bg-BG"/>
        </w:rPr>
        <w:t>По отношение на</w:t>
      </w:r>
      <w:r w:rsidRPr="008C08CD">
        <w:rPr>
          <w:sz w:val="20"/>
          <w:lang w:val="bg-BG"/>
        </w:rPr>
        <w:t xml:space="preserve"> </w:t>
      </w:r>
      <w:r w:rsidRPr="008C08CD">
        <w:rPr>
          <w:b/>
          <w:sz w:val="20"/>
          <w:lang w:val="bg-BG"/>
        </w:rPr>
        <w:t>повишаването на осведомеността</w:t>
      </w:r>
      <w:r w:rsidRPr="008C08CD">
        <w:rPr>
          <w:sz w:val="20"/>
          <w:lang w:val="bg-BG"/>
        </w:rPr>
        <w:t xml:space="preserve"> Работната група препоръчва на България спешно да предприеме необходимите стъпки за повишаване на осведомеността относно рисковете от подкуп </w:t>
      </w:r>
      <w:r w:rsidR="00CC4DE4">
        <w:rPr>
          <w:sz w:val="20"/>
          <w:lang w:val="bg-BG"/>
        </w:rPr>
        <w:t>на чужди длъжностни лица</w:t>
      </w:r>
      <w:r w:rsidRPr="008C08CD">
        <w:rPr>
          <w:sz w:val="20"/>
          <w:lang w:val="bg-BG"/>
        </w:rPr>
        <w:t xml:space="preserve"> сред всички заинтересовани </w:t>
      </w:r>
      <w:r>
        <w:rPr>
          <w:sz w:val="20"/>
          <w:lang w:val="bg-BG"/>
        </w:rPr>
        <w:t xml:space="preserve">субекти </w:t>
      </w:r>
      <w:r w:rsidRPr="008C08CD">
        <w:rPr>
          <w:sz w:val="20"/>
          <w:lang w:val="bg-BG"/>
        </w:rPr>
        <w:t>от публичния и частния сектор [Препорък</w:t>
      </w:r>
      <w:r w:rsidR="007D41CF">
        <w:rPr>
          <w:sz w:val="20"/>
          <w:lang w:val="bg-BG"/>
        </w:rPr>
        <w:t>а</w:t>
      </w:r>
      <w:r w:rsidRPr="008C08CD">
        <w:rPr>
          <w:sz w:val="20"/>
          <w:lang w:val="bg-BG"/>
        </w:rPr>
        <w:t xml:space="preserve"> </w:t>
      </w:r>
      <w:r w:rsidRPr="008C1FEE">
        <w:rPr>
          <w:sz w:val="20"/>
        </w:rPr>
        <w:t>III</w:t>
      </w:r>
      <w:r w:rsidRPr="008C08CD">
        <w:rPr>
          <w:sz w:val="20"/>
          <w:lang w:val="bg-BG"/>
        </w:rPr>
        <w:t xml:space="preserve"> (</w:t>
      </w:r>
      <w:r w:rsidRPr="008C1FEE">
        <w:rPr>
          <w:sz w:val="20"/>
        </w:rPr>
        <w:t>i</w:t>
      </w:r>
      <w:r w:rsidRPr="008C08CD">
        <w:rPr>
          <w:sz w:val="20"/>
          <w:lang w:val="bg-BG"/>
        </w:rPr>
        <w:t xml:space="preserve">) и приложение </w:t>
      </w:r>
      <w:r w:rsidRPr="008C1FEE">
        <w:rPr>
          <w:sz w:val="20"/>
        </w:rPr>
        <w:t>I</w:t>
      </w:r>
      <w:r w:rsidRPr="008C08CD">
        <w:rPr>
          <w:sz w:val="20"/>
          <w:lang w:val="bg-BG"/>
        </w:rPr>
        <w:t>.</w:t>
      </w:r>
      <w:r w:rsidRPr="008C1FEE">
        <w:rPr>
          <w:sz w:val="20"/>
        </w:rPr>
        <w:t>A</w:t>
      </w:r>
      <w:r w:rsidR="007D41CF" w:rsidRPr="008C08CD">
        <w:rPr>
          <w:sz w:val="20"/>
          <w:lang w:val="bg-BG"/>
        </w:rPr>
        <w:t xml:space="preserve"> от 2009 г</w:t>
      </w:r>
      <w:r w:rsidR="007D41CF">
        <w:rPr>
          <w:sz w:val="20"/>
          <w:lang w:val="bg-BG"/>
        </w:rPr>
        <w:t>.</w:t>
      </w:r>
      <w:r w:rsidRPr="008C08CD">
        <w:rPr>
          <w:sz w:val="20"/>
          <w:lang w:val="bg-BG"/>
        </w:rPr>
        <w:t>].</w:t>
      </w:r>
    </w:p>
    <w:p w14:paraId="61BABD27" w14:textId="77777777" w:rsidR="00300DD4" w:rsidRPr="008C08CD" w:rsidRDefault="008C1FEE" w:rsidP="00300DD4">
      <w:pPr>
        <w:widowControl/>
        <w:spacing w:after="120"/>
        <w:ind w:left="1080" w:hanging="360"/>
        <w:rPr>
          <w:sz w:val="20"/>
          <w:lang w:val="bg-BG"/>
        </w:rPr>
      </w:pPr>
      <w:r w:rsidRPr="008C08CD">
        <w:rPr>
          <w:sz w:val="20"/>
          <w:lang w:val="bg-BG"/>
        </w:rPr>
        <w:t xml:space="preserve">2. </w:t>
      </w:r>
      <w:r w:rsidRPr="008C08CD">
        <w:rPr>
          <w:sz w:val="20"/>
          <w:lang w:val="bg-BG"/>
        </w:rPr>
        <w:tab/>
      </w:r>
      <w:r>
        <w:rPr>
          <w:sz w:val="20"/>
          <w:lang w:val="bg-BG"/>
        </w:rPr>
        <w:t>По отношение на</w:t>
      </w:r>
      <w:r w:rsidRPr="008C08CD">
        <w:rPr>
          <w:sz w:val="20"/>
          <w:lang w:val="bg-BG"/>
        </w:rPr>
        <w:t xml:space="preserve"> </w:t>
      </w:r>
      <w:r w:rsidRPr="008C08CD">
        <w:rPr>
          <w:b/>
          <w:sz w:val="20"/>
          <w:lang w:val="bg-BG"/>
        </w:rPr>
        <w:t>прилагането на Конвенцията</w:t>
      </w:r>
      <w:r w:rsidRPr="008C08CD">
        <w:rPr>
          <w:sz w:val="20"/>
          <w:lang w:val="bg-BG"/>
        </w:rPr>
        <w:t xml:space="preserve"> и Националната стратегия за борба с корупцията 2021-2027 г., Работната група препоръчва на България чрез Националния съвет </w:t>
      </w:r>
      <w:r w:rsidR="006E0369">
        <w:rPr>
          <w:sz w:val="20"/>
          <w:lang w:val="bg-BG"/>
        </w:rPr>
        <w:t>по</w:t>
      </w:r>
      <w:r w:rsidRPr="008C08CD">
        <w:rPr>
          <w:sz w:val="20"/>
          <w:lang w:val="bg-BG"/>
        </w:rPr>
        <w:t xml:space="preserve"> </w:t>
      </w:r>
      <w:r w:rsidR="006E0369">
        <w:rPr>
          <w:sz w:val="20"/>
          <w:lang w:val="bg-BG"/>
        </w:rPr>
        <w:t>антикорупционни политики</w:t>
      </w:r>
      <w:r w:rsidRPr="008C08CD">
        <w:rPr>
          <w:sz w:val="20"/>
          <w:lang w:val="bg-BG"/>
        </w:rPr>
        <w:t xml:space="preserve"> </w:t>
      </w:r>
      <w:r>
        <w:rPr>
          <w:sz w:val="20"/>
          <w:lang w:val="bg-BG"/>
        </w:rPr>
        <w:t xml:space="preserve">спешно </w:t>
      </w:r>
      <w:r w:rsidRPr="008C08CD">
        <w:rPr>
          <w:sz w:val="20"/>
          <w:lang w:val="bg-BG"/>
        </w:rPr>
        <w:t xml:space="preserve">да </w:t>
      </w:r>
      <w:r>
        <w:rPr>
          <w:sz w:val="20"/>
          <w:lang w:val="bg-BG"/>
        </w:rPr>
        <w:t>приоритизира</w:t>
      </w:r>
      <w:r w:rsidRPr="008C08CD">
        <w:rPr>
          <w:sz w:val="20"/>
          <w:lang w:val="bg-BG"/>
        </w:rPr>
        <w:t xml:space="preserve"> изпълнението на препоръките на Работната група [член 5 от Конвенцията; Препоръки </w:t>
      </w:r>
      <w:r w:rsidRPr="008C1FEE">
        <w:rPr>
          <w:sz w:val="20"/>
        </w:rPr>
        <w:t>II</w:t>
      </w:r>
      <w:r w:rsidRPr="008C08CD">
        <w:rPr>
          <w:sz w:val="20"/>
          <w:lang w:val="bg-BG"/>
        </w:rPr>
        <w:t xml:space="preserve"> и </w:t>
      </w:r>
      <w:r w:rsidRPr="008C1FEE">
        <w:rPr>
          <w:sz w:val="20"/>
        </w:rPr>
        <w:t>III</w:t>
      </w:r>
      <w:r w:rsidRPr="008C08CD">
        <w:rPr>
          <w:sz w:val="20"/>
          <w:lang w:val="bg-BG"/>
        </w:rPr>
        <w:t xml:space="preserve"> (</w:t>
      </w:r>
      <w:r w:rsidRPr="008C1FEE">
        <w:rPr>
          <w:sz w:val="20"/>
        </w:rPr>
        <w:t>i</w:t>
      </w:r>
      <w:r w:rsidRPr="008C08CD">
        <w:rPr>
          <w:sz w:val="20"/>
          <w:lang w:val="bg-BG"/>
        </w:rPr>
        <w:t xml:space="preserve">), </w:t>
      </w:r>
      <w:r w:rsidRPr="008C1FEE">
        <w:rPr>
          <w:sz w:val="20"/>
        </w:rPr>
        <w:t>V</w:t>
      </w:r>
      <w:r w:rsidRPr="008C08CD">
        <w:rPr>
          <w:sz w:val="20"/>
          <w:lang w:val="bg-BG"/>
        </w:rPr>
        <w:t xml:space="preserve"> и приложение </w:t>
      </w:r>
      <w:r w:rsidRPr="008C1FEE">
        <w:rPr>
          <w:sz w:val="20"/>
        </w:rPr>
        <w:t>I</w:t>
      </w:r>
      <w:r w:rsidRPr="008C08CD">
        <w:rPr>
          <w:sz w:val="20"/>
          <w:lang w:val="bg-BG"/>
        </w:rPr>
        <w:t>.</w:t>
      </w:r>
      <w:r w:rsidRPr="008C1FEE">
        <w:rPr>
          <w:sz w:val="20"/>
        </w:rPr>
        <w:t>D</w:t>
      </w:r>
      <w:r w:rsidR="007D41CF" w:rsidRPr="007D41CF">
        <w:rPr>
          <w:sz w:val="20"/>
          <w:lang w:val="bg-BG"/>
        </w:rPr>
        <w:t xml:space="preserve"> </w:t>
      </w:r>
      <w:r w:rsidR="007D41CF">
        <w:rPr>
          <w:sz w:val="20"/>
          <w:lang w:val="bg-BG"/>
        </w:rPr>
        <w:t xml:space="preserve">от </w:t>
      </w:r>
      <w:r w:rsidR="007D41CF" w:rsidRPr="008C08CD">
        <w:rPr>
          <w:sz w:val="20"/>
          <w:lang w:val="bg-BG"/>
        </w:rPr>
        <w:t xml:space="preserve">2009 </w:t>
      </w:r>
      <w:r w:rsidR="007D41CF">
        <w:rPr>
          <w:sz w:val="20"/>
          <w:lang w:val="bg-BG"/>
        </w:rPr>
        <w:t>г.</w:t>
      </w:r>
      <w:r w:rsidRPr="008C08CD">
        <w:rPr>
          <w:sz w:val="20"/>
          <w:lang w:val="bg-BG"/>
        </w:rPr>
        <w:t>; препоръка 8 (а</w:t>
      </w:r>
      <w:r>
        <w:rPr>
          <w:sz w:val="20"/>
          <w:lang w:val="bg-BG"/>
        </w:rPr>
        <w:t>) от доклада по</w:t>
      </w:r>
      <w:r w:rsidRPr="008C08CD">
        <w:rPr>
          <w:sz w:val="20"/>
          <w:lang w:val="bg-BG"/>
        </w:rPr>
        <w:t xml:space="preserve"> Фаза 3)].</w:t>
      </w:r>
    </w:p>
    <w:p w14:paraId="53F7608D" w14:textId="77777777" w:rsidR="00300DD4" w:rsidRPr="008C08CD" w:rsidRDefault="00300DD4" w:rsidP="00090B75">
      <w:pPr>
        <w:widowControl/>
        <w:spacing w:after="120"/>
        <w:ind w:left="990" w:hanging="270"/>
        <w:rPr>
          <w:sz w:val="20"/>
          <w:lang w:val="bg-BG"/>
        </w:rPr>
      </w:pPr>
      <w:r w:rsidRPr="008C08CD">
        <w:rPr>
          <w:sz w:val="20"/>
          <w:lang w:val="bg-BG"/>
        </w:rPr>
        <w:t xml:space="preserve">3.  По отношение на </w:t>
      </w:r>
      <w:r w:rsidRPr="008C08CD">
        <w:rPr>
          <w:b/>
          <w:sz w:val="20"/>
          <w:lang w:val="bg-BG"/>
        </w:rPr>
        <w:t xml:space="preserve">разкриването на подкуп от </w:t>
      </w:r>
      <w:r>
        <w:rPr>
          <w:b/>
          <w:sz w:val="20"/>
          <w:lang w:val="bg-BG"/>
        </w:rPr>
        <w:t xml:space="preserve">чужди </w:t>
      </w:r>
      <w:r w:rsidRPr="008C08CD">
        <w:rPr>
          <w:b/>
          <w:sz w:val="20"/>
          <w:lang w:val="bg-BG"/>
        </w:rPr>
        <w:t xml:space="preserve">длъжностни </w:t>
      </w:r>
      <w:r>
        <w:rPr>
          <w:b/>
          <w:sz w:val="20"/>
          <w:lang w:val="bg-BG"/>
        </w:rPr>
        <w:t>лица</w:t>
      </w:r>
      <w:r w:rsidRPr="008C08CD">
        <w:rPr>
          <w:sz w:val="20"/>
          <w:lang w:val="bg-BG"/>
        </w:rPr>
        <w:t>, Работната група препоръчва на България:</w:t>
      </w:r>
    </w:p>
    <w:p w14:paraId="543FE3D4" w14:textId="77777777" w:rsidR="00300DD4" w:rsidRPr="008C08CD" w:rsidRDefault="00300DD4" w:rsidP="00300DD4">
      <w:pPr>
        <w:widowControl/>
        <w:spacing w:after="120"/>
        <w:ind w:left="2340" w:hanging="450"/>
        <w:rPr>
          <w:sz w:val="20"/>
          <w:lang w:val="bg-BG"/>
        </w:rPr>
      </w:pPr>
      <w:r w:rsidRPr="008C08CD">
        <w:rPr>
          <w:sz w:val="20"/>
          <w:lang w:val="bg-BG"/>
        </w:rPr>
        <w:t xml:space="preserve">а) </w:t>
      </w:r>
      <w:r w:rsidRPr="008C08CD">
        <w:rPr>
          <w:sz w:val="20"/>
          <w:lang w:val="bg-BG"/>
        </w:rPr>
        <w:tab/>
        <w:t>да продълж</w:t>
      </w:r>
      <w:r>
        <w:rPr>
          <w:sz w:val="20"/>
          <w:lang w:val="bg-BG"/>
        </w:rPr>
        <w:t>и</w:t>
      </w:r>
      <w:r w:rsidRPr="008C08CD">
        <w:rPr>
          <w:sz w:val="20"/>
          <w:lang w:val="bg-BG"/>
        </w:rPr>
        <w:t xml:space="preserve"> повишава</w:t>
      </w:r>
      <w:r w:rsidR="000C4AE1">
        <w:rPr>
          <w:sz w:val="20"/>
          <w:lang w:val="bg-BG"/>
        </w:rPr>
        <w:t>нето на</w:t>
      </w:r>
      <w:r w:rsidRPr="008C08CD">
        <w:rPr>
          <w:sz w:val="20"/>
          <w:lang w:val="bg-BG"/>
        </w:rPr>
        <w:t xml:space="preserve"> осведомеността и да осигур</w:t>
      </w:r>
      <w:r w:rsidR="000C4AE1">
        <w:rPr>
          <w:sz w:val="20"/>
          <w:lang w:val="bg-BG"/>
        </w:rPr>
        <w:t>ява</w:t>
      </w:r>
      <w:r w:rsidRPr="008C08CD">
        <w:rPr>
          <w:sz w:val="20"/>
          <w:lang w:val="bg-BG"/>
        </w:rPr>
        <w:t xml:space="preserve"> редовно обучение на държавни служители, които биха могли да играят роля при разкриването и докладването на </w:t>
      </w:r>
      <w:r>
        <w:rPr>
          <w:sz w:val="20"/>
          <w:lang w:val="bg-BG"/>
        </w:rPr>
        <w:t xml:space="preserve">случаи на подкуп на </w:t>
      </w:r>
      <w:r w:rsidRPr="008C08CD">
        <w:rPr>
          <w:sz w:val="20"/>
          <w:lang w:val="bg-BG"/>
        </w:rPr>
        <w:t>чужди</w:t>
      </w:r>
      <w:r>
        <w:rPr>
          <w:sz w:val="20"/>
          <w:lang w:val="bg-BG"/>
        </w:rPr>
        <w:t xml:space="preserve"> длъжностни лица,</w:t>
      </w:r>
      <w:r w:rsidRPr="008C08CD">
        <w:rPr>
          <w:sz w:val="20"/>
          <w:lang w:val="bg-BG"/>
        </w:rPr>
        <w:t xml:space="preserve"> включително служители на МВнР, относно престъплението и задълженията за докладване [Препорък</w:t>
      </w:r>
      <w:r>
        <w:rPr>
          <w:sz w:val="20"/>
          <w:lang w:val="bg-BG"/>
        </w:rPr>
        <w:t>и</w:t>
      </w:r>
      <w:r w:rsidRPr="008C08CD">
        <w:rPr>
          <w:sz w:val="20"/>
          <w:lang w:val="bg-BG"/>
        </w:rPr>
        <w:t xml:space="preserve"> </w:t>
      </w:r>
      <w:r w:rsidRPr="00300DD4">
        <w:rPr>
          <w:sz w:val="20"/>
        </w:rPr>
        <w:t>III</w:t>
      </w:r>
      <w:r w:rsidRPr="008C08CD">
        <w:rPr>
          <w:sz w:val="20"/>
          <w:lang w:val="bg-BG"/>
        </w:rPr>
        <w:t xml:space="preserve"> (</w:t>
      </w:r>
      <w:r w:rsidRPr="00300DD4">
        <w:rPr>
          <w:sz w:val="20"/>
        </w:rPr>
        <w:t>i</w:t>
      </w:r>
      <w:r w:rsidRPr="008C08CD">
        <w:rPr>
          <w:sz w:val="20"/>
          <w:lang w:val="bg-BG"/>
        </w:rPr>
        <w:t xml:space="preserve">) и </w:t>
      </w:r>
      <w:r w:rsidR="007D41CF">
        <w:rPr>
          <w:sz w:val="20"/>
        </w:rPr>
        <w:t>IX</w:t>
      </w:r>
      <w:r w:rsidR="007D41CF" w:rsidRPr="008C08CD">
        <w:rPr>
          <w:sz w:val="20"/>
          <w:lang w:val="bg-BG"/>
        </w:rPr>
        <w:t xml:space="preserve"> (</w:t>
      </w:r>
      <w:r w:rsidR="007D41CF">
        <w:rPr>
          <w:sz w:val="20"/>
        </w:rPr>
        <w:t>ii</w:t>
      </w:r>
      <w:r w:rsidR="007D41CF" w:rsidRPr="008C08CD">
        <w:rPr>
          <w:sz w:val="20"/>
          <w:lang w:val="bg-BG"/>
        </w:rPr>
        <w:t xml:space="preserve">) </w:t>
      </w:r>
      <w:r w:rsidR="007D41CF">
        <w:rPr>
          <w:sz w:val="20"/>
          <w:lang w:val="bg-BG"/>
        </w:rPr>
        <w:t xml:space="preserve">и </w:t>
      </w:r>
      <w:r w:rsidR="007D41CF" w:rsidRPr="008C08CD">
        <w:rPr>
          <w:sz w:val="20"/>
          <w:lang w:val="bg-BG"/>
        </w:rPr>
        <w:t xml:space="preserve">Приложение </w:t>
      </w:r>
      <w:r w:rsidR="007D41CF">
        <w:rPr>
          <w:sz w:val="20"/>
        </w:rPr>
        <w:t>I</w:t>
      </w:r>
      <w:r w:rsidR="007D41CF" w:rsidRPr="008C08CD">
        <w:rPr>
          <w:sz w:val="20"/>
          <w:lang w:val="bg-BG"/>
        </w:rPr>
        <w:t>.</w:t>
      </w:r>
      <w:r w:rsidR="007D41CF">
        <w:rPr>
          <w:sz w:val="20"/>
        </w:rPr>
        <w:t>A</w:t>
      </w:r>
      <w:r w:rsidR="007D41CF" w:rsidRPr="008C08CD">
        <w:rPr>
          <w:sz w:val="20"/>
          <w:lang w:val="bg-BG"/>
        </w:rPr>
        <w:t xml:space="preserve"> от 2009 г.</w:t>
      </w:r>
      <w:r w:rsidRPr="008C08CD">
        <w:rPr>
          <w:sz w:val="20"/>
          <w:lang w:val="bg-BG"/>
        </w:rPr>
        <w:t>; препоръка 8 (б)</w:t>
      </w:r>
      <w:r>
        <w:rPr>
          <w:sz w:val="20"/>
          <w:lang w:val="bg-BG"/>
        </w:rPr>
        <w:t xml:space="preserve"> от доклада по фаза 3</w:t>
      </w:r>
      <w:r w:rsidRPr="008C08CD">
        <w:rPr>
          <w:sz w:val="20"/>
          <w:lang w:val="bg-BG"/>
        </w:rPr>
        <w:t>];</w:t>
      </w:r>
    </w:p>
    <w:p w14:paraId="3214175B" w14:textId="77777777" w:rsidR="00300DD4" w:rsidRPr="008C08CD" w:rsidRDefault="00300DD4" w:rsidP="00300DD4">
      <w:pPr>
        <w:widowControl/>
        <w:tabs>
          <w:tab w:val="left" w:pos="1890"/>
        </w:tabs>
        <w:spacing w:after="120"/>
        <w:ind w:left="2340" w:hanging="450"/>
        <w:rPr>
          <w:sz w:val="20"/>
          <w:lang w:val="bg-BG"/>
        </w:rPr>
      </w:pPr>
      <w:r w:rsidRPr="008C08CD">
        <w:rPr>
          <w:sz w:val="20"/>
          <w:lang w:val="bg-BG"/>
        </w:rPr>
        <w:t xml:space="preserve">б) </w:t>
      </w:r>
      <w:r w:rsidRPr="008C08CD">
        <w:rPr>
          <w:sz w:val="20"/>
          <w:lang w:val="bg-BG"/>
        </w:rPr>
        <w:tab/>
      </w:r>
      <w:r>
        <w:rPr>
          <w:sz w:val="20"/>
          <w:lang w:val="bg-BG"/>
        </w:rPr>
        <w:t xml:space="preserve">да </w:t>
      </w:r>
      <w:r w:rsidRPr="008C08CD">
        <w:rPr>
          <w:sz w:val="20"/>
          <w:lang w:val="bg-BG"/>
        </w:rPr>
        <w:t xml:space="preserve">включи специфични модули </w:t>
      </w:r>
      <w:r>
        <w:rPr>
          <w:sz w:val="20"/>
          <w:lang w:val="bg-BG"/>
        </w:rPr>
        <w:t>относно</w:t>
      </w:r>
      <w:r w:rsidRPr="008C08CD">
        <w:rPr>
          <w:sz w:val="20"/>
          <w:lang w:val="bg-BG"/>
        </w:rPr>
        <w:t xml:space="preserve"> подкупването на чужди длъжностни лица в </w:t>
      </w:r>
      <w:r>
        <w:rPr>
          <w:sz w:val="20"/>
          <w:lang w:val="bg-BG"/>
        </w:rPr>
        <w:t>обученията</w:t>
      </w:r>
      <w:r w:rsidRPr="008C08CD">
        <w:rPr>
          <w:sz w:val="20"/>
          <w:lang w:val="bg-BG"/>
        </w:rPr>
        <w:t xml:space="preserve">, предоставяни от </w:t>
      </w:r>
      <w:r>
        <w:rPr>
          <w:sz w:val="20"/>
          <w:lang w:val="bg-BG"/>
        </w:rPr>
        <w:t>Д</w:t>
      </w:r>
      <w:r w:rsidRPr="008C08CD">
        <w:rPr>
          <w:sz w:val="20"/>
          <w:lang w:val="bg-BG"/>
        </w:rPr>
        <w:t>ипломатическия институт на МВнР на новите служители на МВнР по антикорупционни мерки [Препорък</w:t>
      </w:r>
      <w:r w:rsidR="007D41CF">
        <w:rPr>
          <w:sz w:val="20"/>
          <w:lang w:val="bg-BG"/>
        </w:rPr>
        <w:t>а</w:t>
      </w:r>
      <w:r>
        <w:rPr>
          <w:sz w:val="20"/>
          <w:lang w:val="bg-BG"/>
        </w:rPr>
        <w:t xml:space="preserve"> </w:t>
      </w:r>
      <w:r w:rsidR="007D41CF">
        <w:rPr>
          <w:sz w:val="20"/>
        </w:rPr>
        <w:t>III</w:t>
      </w:r>
      <w:r w:rsidR="007D41CF" w:rsidRPr="008C08CD">
        <w:rPr>
          <w:sz w:val="20"/>
          <w:lang w:val="bg-BG"/>
        </w:rPr>
        <w:t xml:space="preserve"> (</w:t>
      </w:r>
      <w:r w:rsidR="007D41CF">
        <w:rPr>
          <w:sz w:val="20"/>
        </w:rPr>
        <w:t>i</w:t>
      </w:r>
      <w:r w:rsidR="007D41CF" w:rsidRPr="008C08CD">
        <w:rPr>
          <w:sz w:val="20"/>
          <w:lang w:val="bg-BG"/>
        </w:rPr>
        <w:t xml:space="preserve">) и приложение </w:t>
      </w:r>
      <w:r w:rsidR="007D41CF" w:rsidRPr="00300DD4">
        <w:rPr>
          <w:sz w:val="20"/>
        </w:rPr>
        <w:t>I</w:t>
      </w:r>
      <w:r w:rsidR="007D41CF" w:rsidRPr="008C08CD">
        <w:rPr>
          <w:sz w:val="20"/>
          <w:lang w:val="bg-BG"/>
        </w:rPr>
        <w:t>.А</w:t>
      </w:r>
      <w:r w:rsidR="007D41CF">
        <w:rPr>
          <w:sz w:val="20"/>
          <w:lang w:val="bg-BG"/>
        </w:rPr>
        <w:t xml:space="preserve"> </w:t>
      </w:r>
      <w:r>
        <w:rPr>
          <w:sz w:val="20"/>
          <w:lang w:val="bg-BG"/>
        </w:rPr>
        <w:t>от 2009 г.</w:t>
      </w:r>
      <w:r w:rsidRPr="008C08CD">
        <w:rPr>
          <w:sz w:val="20"/>
          <w:lang w:val="bg-BG"/>
        </w:rPr>
        <w:t>].</w:t>
      </w:r>
    </w:p>
    <w:p w14:paraId="47D0C1A5" w14:textId="11C00CB6" w:rsidR="00300DD4" w:rsidRPr="008C08CD" w:rsidRDefault="00300DD4" w:rsidP="00D634DE">
      <w:pPr>
        <w:widowControl/>
        <w:tabs>
          <w:tab w:val="left" w:pos="720"/>
          <w:tab w:val="left" w:pos="1080"/>
        </w:tabs>
        <w:spacing w:after="120"/>
        <w:ind w:left="1080" w:hanging="1080"/>
        <w:rPr>
          <w:sz w:val="20"/>
          <w:lang w:val="bg-BG"/>
        </w:rPr>
      </w:pPr>
      <w:r w:rsidRPr="008C08CD">
        <w:rPr>
          <w:sz w:val="20"/>
          <w:lang w:val="bg-BG"/>
        </w:rPr>
        <w:tab/>
        <w:t xml:space="preserve">4. </w:t>
      </w:r>
      <w:r w:rsidRPr="008C08CD">
        <w:rPr>
          <w:sz w:val="20"/>
          <w:lang w:val="bg-BG"/>
        </w:rPr>
        <w:tab/>
        <w:t xml:space="preserve">По отношение на </w:t>
      </w:r>
      <w:r w:rsidRPr="008C08CD">
        <w:rPr>
          <w:b/>
          <w:sz w:val="20"/>
          <w:lang w:val="bg-BG"/>
        </w:rPr>
        <w:t>защитата на</w:t>
      </w:r>
      <w:r w:rsidR="00D634DE">
        <w:rPr>
          <w:b/>
          <w:sz w:val="20"/>
          <w:lang w:val="bg-BG"/>
        </w:rPr>
        <w:t xml:space="preserve"> лицата, които </w:t>
      </w:r>
      <w:r w:rsidR="00D634DE" w:rsidRPr="008C08CD">
        <w:rPr>
          <w:b/>
          <w:sz w:val="20"/>
          <w:lang w:val="bg-BG"/>
        </w:rPr>
        <w:t>подават</w:t>
      </w:r>
      <w:r w:rsidRPr="008C08CD">
        <w:rPr>
          <w:b/>
          <w:sz w:val="20"/>
          <w:lang w:val="bg-BG"/>
        </w:rPr>
        <w:t xml:space="preserve"> сигнали</w:t>
      </w:r>
      <w:r w:rsidR="002B42B4">
        <w:rPr>
          <w:b/>
          <w:sz w:val="20"/>
          <w:lang w:val="bg-BG"/>
        </w:rPr>
        <w:t xml:space="preserve"> за нередности</w:t>
      </w:r>
      <w:r w:rsidRPr="008C08CD">
        <w:rPr>
          <w:sz w:val="20"/>
          <w:lang w:val="bg-BG"/>
        </w:rPr>
        <w:t>, Работната група препоръчва на България, в контекста на предстоящите реформи, да приеме законодателство, което осигурява ясна и всеобхватна защита от отмъщение на лица</w:t>
      </w:r>
      <w:r w:rsidR="00D634DE">
        <w:rPr>
          <w:sz w:val="20"/>
          <w:lang w:val="bg-BG"/>
        </w:rPr>
        <w:t>та</w:t>
      </w:r>
      <w:r w:rsidRPr="008C08CD">
        <w:rPr>
          <w:sz w:val="20"/>
          <w:lang w:val="bg-BG"/>
        </w:rPr>
        <w:t xml:space="preserve">, подаващи сигнали за нередности в публичния и частния сектор, които </w:t>
      </w:r>
      <w:r w:rsidRPr="008C08CD">
        <w:rPr>
          <w:sz w:val="20"/>
          <w:lang w:val="bg-BG"/>
        </w:rPr>
        <w:lastRenderedPageBreak/>
        <w:t xml:space="preserve">съобщават за подозрения за </w:t>
      </w:r>
      <w:r w:rsidR="00D634DE" w:rsidRPr="008C08CD">
        <w:rPr>
          <w:sz w:val="20"/>
          <w:lang w:val="bg-BG"/>
        </w:rPr>
        <w:t>подкуп на чужди длъжностни лица</w:t>
      </w:r>
      <w:r w:rsidRPr="008C08CD">
        <w:rPr>
          <w:sz w:val="20"/>
          <w:lang w:val="bg-BG"/>
        </w:rPr>
        <w:t xml:space="preserve"> [Препорък</w:t>
      </w:r>
      <w:r w:rsidR="00D634DE">
        <w:rPr>
          <w:sz w:val="20"/>
          <w:lang w:val="bg-BG"/>
        </w:rPr>
        <w:t>и</w:t>
      </w:r>
      <w:r w:rsidRPr="008C08CD">
        <w:rPr>
          <w:sz w:val="20"/>
          <w:lang w:val="bg-BG"/>
        </w:rPr>
        <w:t xml:space="preserve"> </w:t>
      </w:r>
      <w:r w:rsidR="007D41CF" w:rsidRPr="00300DD4">
        <w:rPr>
          <w:sz w:val="20"/>
        </w:rPr>
        <w:t>III</w:t>
      </w:r>
      <w:r w:rsidR="007D41CF" w:rsidRPr="008C08CD">
        <w:rPr>
          <w:sz w:val="20"/>
          <w:lang w:val="bg-BG"/>
        </w:rPr>
        <w:t xml:space="preserve"> ( </w:t>
      </w:r>
      <w:r w:rsidR="007D41CF">
        <w:rPr>
          <w:sz w:val="20"/>
        </w:rPr>
        <w:t>iv</w:t>
      </w:r>
      <w:r w:rsidR="007D41CF" w:rsidRPr="008C08CD">
        <w:rPr>
          <w:sz w:val="20"/>
          <w:lang w:val="bg-BG"/>
        </w:rPr>
        <w:t xml:space="preserve">) и </w:t>
      </w:r>
      <w:r w:rsidR="007D41CF">
        <w:rPr>
          <w:sz w:val="20"/>
        </w:rPr>
        <w:t>IX</w:t>
      </w:r>
      <w:r w:rsidR="007D41CF" w:rsidRPr="008C08CD">
        <w:rPr>
          <w:sz w:val="20"/>
          <w:lang w:val="bg-BG"/>
        </w:rPr>
        <w:t xml:space="preserve"> (</w:t>
      </w:r>
      <w:r w:rsidR="007D41CF">
        <w:rPr>
          <w:sz w:val="20"/>
        </w:rPr>
        <w:t>iii</w:t>
      </w:r>
      <w:r w:rsidR="007D41CF" w:rsidRPr="008C08CD">
        <w:rPr>
          <w:sz w:val="20"/>
          <w:lang w:val="bg-BG"/>
        </w:rPr>
        <w:t>)</w:t>
      </w:r>
      <w:r w:rsidR="007D41CF">
        <w:rPr>
          <w:sz w:val="20"/>
          <w:lang w:val="bg-BG"/>
        </w:rPr>
        <w:t xml:space="preserve"> от </w:t>
      </w:r>
      <w:r w:rsidR="00D634DE" w:rsidRPr="008C08CD">
        <w:rPr>
          <w:sz w:val="20"/>
          <w:lang w:val="bg-BG"/>
        </w:rPr>
        <w:t xml:space="preserve">2009 г.; </w:t>
      </w:r>
      <w:r w:rsidRPr="008C08CD">
        <w:rPr>
          <w:sz w:val="20"/>
          <w:lang w:val="bg-BG"/>
        </w:rPr>
        <w:t>препоръка 9</w:t>
      </w:r>
      <w:r w:rsidR="00D634DE">
        <w:rPr>
          <w:sz w:val="20"/>
          <w:lang w:val="bg-BG"/>
        </w:rPr>
        <w:t xml:space="preserve"> от доклада по фаза 3</w:t>
      </w:r>
      <w:r w:rsidRPr="008C08CD">
        <w:rPr>
          <w:sz w:val="20"/>
          <w:lang w:val="bg-BG"/>
        </w:rPr>
        <w:t>].</w:t>
      </w:r>
    </w:p>
    <w:p w14:paraId="2EA1AAA3" w14:textId="77777777" w:rsidR="00300DD4" w:rsidRPr="008C08CD" w:rsidRDefault="00300DD4" w:rsidP="00072DDE">
      <w:pPr>
        <w:widowControl/>
        <w:tabs>
          <w:tab w:val="left" w:pos="1080"/>
        </w:tabs>
        <w:spacing w:after="120"/>
        <w:ind w:left="1440" w:hanging="720"/>
        <w:rPr>
          <w:sz w:val="20"/>
          <w:lang w:val="bg-BG"/>
        </w:rPr>
      </w:pPr>
      <w:r w:rsidRPr="008C08CD">
        <w:rPr>
          <w:sz w:val="20"/>
          <w:lang w:val="bg-BG"/>
        </w:rPr>
        <w:t xml:space="preserve">5. </w:t>
      </w:r>
      <w:r w:rsidRPr="008C08CD">
        <w:rPr>
          <w:sz w:val="20"/>
          <w:lang w:val="bg-BG"/>
        </w:rPr>
        <w:tab/>
        <w:t xml:space="preserve">По отношение на </w:t>
      </w:r>
      <w:r w:rsidR="002B42B4" w:rsidRPr="002B42B4">
        <w:rPr>
          <w:b/>
          <w:sz w:val="20"/>
          <w:lang w:val="bg-BG"/>
        </w:rPr>
        <w:t>раз</w:t>
      </w:r>
      <w:r w:rsidR="000C4AE1">
        <w:rPr>
          <w:b/>
          <w:sz w:val="20"/>
          <w:lang w:val="bg-BG"/>
        </w:rPr>
        <w:t>к</w:t>
      </w:r>
      <w:r w:rsidR="002B42B4" w:rsidRPr="002B42B4">
        <w:rPr>
          <w:b/>
          <w:sz w:val="20"/>
          <w:lang w:val="bg-BG"/>
        </w:rPr>
        <w:t>риване</w:t>
      </w:r>
      <w:r w:rsidR="000C4AE1">
        <w:rPr>
          <w:b/>
          <w:sz w:val="20"/>
          <w:lang w:val="bg-BG"/>
        </w:rPr>
        <w:t>то</w:t>
      </w:r>
      <w:r w:rsidRPr="008C08CD">
        <w:rPr>
          <w:b/>
          <w:sz w:val="20"/>
          <w:lang w:val="bg-BG"/>
        </w:rPr>
        <w:t xml:space="preserve"> чрез медии</w:t>
      </w:r>
      <w:r w:rsidR="000C4AE1">
        <w:rPr>
          <w:b/>
          <w:sz w:val="20"/>
          <w:lang w:val="bg-BG"/>
        </w:rPr>
        <w:t>те</w:t>
      </w:r>
      <w:r w:rsidRPr="008C08CD">
        <w:rPr>
          <w:sz w:val="20"/>
          <w:lang w:val="bg-BG"/>
        </w:rPr>
        <w:t>, Работната група препоръчва на България:</w:t>
      </w:r>
    </w:p>
    <w:p w14:paraId="0B1C04F0" w14:textId="77777777" w:rsidR="00300DD4" w:rsidRPr="008C08CD" w:rsidRDefault="00300DD4" w:rsidP="00090B75">
      <w:pPr>
        <w:widowControl/>
        <w:tabs>
          <w:tab w:val="left" w:pos="2340"/>
        </w:tabs>
        <w:spacing w:after="120"/>
        <w:ind w:left="2340" w:hanging="450"/>
        <w:rPr>
          <w:sz w:val="20"/>
          <w:lang w:val="bg-BG"/>
        </w:rPr>
      </w:pPr>
      <w:r w:rsidRPr="008C08CD">
        <w:rPr>
          <w:sz w:val="20"/>
          <w:lang w:val="bg-BG"/>
        </w:rPr>
        <w:t xml:space="preserve">а) </w:t>
      </w:r>
      <w:r w:rsidR="00090B75" w:rsidRPr="008C08CD">
        <w:rPr>
          <w:sz w:val="20"/>
          <w:lang w:val="bg-BG"/>
        </w:rPr>
        <w:tab/>
      </w:r>
      <w:r w:rsidR="002B42B4">
        <w:rPr>
          <w:sz w:val="20"/>
          <w:lang w:val="bg-BG"/>
        </w:rPr>
        <w:t xml:space="preserve">да </w:t>
      </w:r>
      <w:r w:rsidRPr="008C08CD">
        <w:rPr>
          <w:sz w:val="20"/>
          <w:lang w:val="bg-BG"/>
        </w:rPr>
        <w:t xml:space="preserve">гарантира, че законите, свързани със свободата на печата, се прилагат изцяло на практика, за да се гарантира, че </w:t>
      </w:r>
      <w:r w:rsidR="002B42B4">
        <w:rPr>
          <w:sz w:val="20"/>
          <w:lang w:val="bg-BG"/>
        </w:rPr>
        <w:t>твърдения</w:t>
      </w:r>
      <w:r w:rsidR="002B42B4" w:rsidRPr="008C08CD">
        <w:rPr>
          <w:sz w:val="20"/>
          <w:lang w:val="bg-BG"/>
        </w:rPr>
        <w:t xml:space="preserve"> за </w:t>
      </w:r>
      <w:r w:rsidRPr="008C08CD">
        <w:rPr>
          <w:sz w:val="20"/>
          <w:lang w:val="bg-BG"/>
        </w:rPr>
        <w:t xml:space="preserve">подкуп </w:t>
      </w:r>
      <w:r w:rsidR="002B42B4">
        <w:rPr>
          <w:sz w:val="20"/>
          <w:lang w:val="bg-BG"/>
        </w:rPr>
        <w:t xml:space="preserve">на чужди длъжностни лица </w:t>
      </w:r>
      <w:r w:rsidRPr="008C08CD">
        <w:rPr>
          <w:sz w:val="20"/>
          <w:lang w:val="bg-BG"/>
        </w:rPr>
        <w:t>могат да бъдат докладвани без страх от репресии [член 5 от Конвенцията и коментар 27; Препорък</w:t>
      </w:r>
      <w:r w:rsidR="007D41CF">
        <w:rPr>
          <w:sz w:val="20"/>
          <w:lang w:val="bg-BG"/>
        </w:rPr>
        <w:t>а</w:t>
      </w:r>
      <w:r w:rsidRPr="008C08CD">
        <w:rPr>
          <w:sz w:val="20"/>
          <w:lang w:val="bg-BG"/>
        </w:rPr>
        <w:t xml:space="preserve"> </w:t>
      </w:r>
      <w:r w:rsidR="007D41CF" w:rsidRPr="00300DD4">
        <w:rPr>
          <w:sz w:val="20"/>
        </w:rPr>
        <w:t>III</w:t>
      </w:r>
      <w:r w:rsidR="007D41CF" w:rsidRPr="008C08CD">
        <w:rPr>
          <w:sz w:val="20"/>
          <w:lang w:val="bg-BG"/>
        </w:rPr>
        <w:t xml:space="preserve"> (</w:t>
      </w:r>
      <w:r w:rsidR="007D41CF" w:rsidRPr="00300DD4">
        <w:rPr>
          <w:sz w:val="20"/>
        </w:rPr>
        <w:t>i</w:t>
      </w:r>
      <w:r w:rsidR="007D41CF" w:rsidRPr="008C08CD">
        <w:rPr>
          <w:sz w:val="20"/>
          <w:lang w:val="bg-BG"/>
        </w:rPr>
        <w:t xml:space="preserve">), приложение </w:t>
      </w:r>
      <w:r w:rsidR="007D41CF" w:rsidRPr="00300DD4">
        <w:rPr>
          <w:sz w:val="20"/>
        </w:rPr>
        <w:t>I</w:t>
      </w:r>
      <w:r w:rsidR="007D41CF" w:rsidRPr="008C08CD">
        <w:rPr>
          <w:sz w:val="20"/>
          <w:lang w:val="bg-BG"/>
        </w:rPr>
        <w:t>.</w:t>
      </w:r>
      <w:r w:rsidR="007D41CF" w:rsidRPr="00300DD4">
        <w:rPr>
          <w:sz w:val="20"/>
        </w:rPr>
        <w:t>D</w:t>
      </w:r>
      <w:r w:rsidR="007D41CF" w:rsidRPr="008C08CD">
        <w:rPr>
          <w:sz w:val="20"/>
          <w:lang w:val="bg-BG"/>
        </w:rPr>
        <w:t>.</w:t>
      </w:r>
      <w:r w:rsidR="002B42B4" w:rsidRPr="008C08CD">
        <w:rPr>
          <w:sz w:val="20"/>
          <w:lang w:val="bg-BG"/>
        </w:rPr>
        <w:t>от 2009 г.</w:t>
      </w:r>
      <w:r w:rsidRPr="008C08CD">
        <w:rPr>
          <w:sz w:val="20"/>
          <w:lang w:val="bg-BG"/>
        </w:rPr>
        <w:t>];</w:t>
      </w:r>
    </w:p>
    <w:p w14:paraId="4CF616DF" w14:textId="77777777" w:rsidR="00300DD4" w:rsidRPr="008C08CD" w:rsidRDefault="00300DD4" w:rsidP="00D634DE">
      <w:pPr>
        <w:widowControl/>
        <w:tabs>
          <w:tab w:val="left" w:pos="1620"/>
          <w:tab w:val="left" w:pos="2340"/>
        </w:tabs>
        <w:spacing w:after="120"/>
        <w:ind w:left="2340" w:hanging="450"/>
        <w:rPr>
          <w:sz w:val="20"/>
          <w:lang w:val="bg-BG"/>
        </w:rPr>
      </w:pPr>
      <w:r w:rsidRPr="008C08CD">
        <w:rPr>
          <w:sz w:val="20"/>
          <w:lang w:val="bg-BG"/>
        </w:rPr>
        <w:t xml:space="preserve">б) </w:t>
      </w:r>
      <w:r w:rsidR="00090B75" w:rsidRPr="008C08CD">
        <w:rPr>
          <w:sz w:val="20"/>
          <w:lang w:val="bg-BG"/>
        </w:rPr>
        <w:tab/>
      </w:r>
      <w:r w:rsidR="002B42B4">
        <w:rPr>
          <w:sz w:val="20"/>
          <w:lang w:val="bg-BG"/>
        </w:rPr>
        <w:t xml:space="preserve">да </w:t>
      </w:r>
      <w:r w:rsidR="002B42B4" w:rsidRPr="008C08CD">
        <w:rPr>
          <w:sz w:val="20"/>
          <w:lang w:val="bg-BG"/>
        </w:rPr>
        <w:t>гарантира</w:t>
      </w:r>
      <w:r w:rsidRPr="008C08CD">
        <w:rPr>
          <w:sz w:val="20"/>
          <w:lang w:val="bg-BG"/>
        </w:rPr>
        <w:t xml:space="preserve">, че правоприлагащите органи редовно и системно оценяват твърденията за подкуп от чужди </w:t>
      </w:r>
      <w:r w:rsidR="000C4AE1">
        <w:rPr>
          <w:sz w:val="20"/>
          <w:lang w:val="bg-BG"/>
        </w:rPr>
        <w:t>длъжностни лица</w:t>
      </w:r>
      <w:r w:rsidRPr="008C08CD">
        <w:rPr>
          <w:sz w:val="20"/>
          <w:lang w:val="bg-BG"/>
        </w:rPr>
        <w:t>, които се съобщават в местни и чуждестранни медии [член 5 от Конвенцията и коментар 27; Препорък</w:t>
      </w:r>
      <w:r w:rsidR="007D41CF">
        <w:rPr>
          <w:sz w:val="20"/>
          <w:lang w:val="bg-BG"/>
        </w:rPr>
        <w:t>о</w:t>
      </w:r>
      <w:r w:rsidRPr="008C08CD">
        <w:rPr>
          <w:sz w:val="20"/>
          <w:lang w:val="bg-BG"/>
        </w:rPr>
        <w:t xml:space="preserve"> </w:t>
      </w:r>
      <w:r w:rsidR="007D41CF" w:rsidRPr="00300DD4">
        <w:rPr>
          <w:sz w:val="20"/>
        </w:rPr>
        <w:t>III</w:t>
      </w:r>
      <w:r w:rsidR="007D41CF" w:rsidRPr="008C08CD">
        <w:rPr>
          <w:sz w:val="20"/>
          <w:lang w:val="bg-BG"/>
        </w:rPr>
        <w:t xml:space="preserve"> (</w:t>
      </w:r>
      <w:r w:rsidR="007D41CF" w:rsidRPr="00300DD4">
        <w:rPr>
          <w:sz w:val="20"/>
        </w:rPr>
        <w:t>i</w:t>
      </w:r>
      <w:r w:rsidR="007D41CF" w:rsidRPr="008C08CD">
        <w:rPr>
          <w:sz w:val="20"/>
          <w:lang w:val="bg-BG"/>
        </w:rPr>
        <w:t xml:space="preserve">), приложение </w:t>
      </w:r>
      <w:r w:rsidR="007D41CF" w:rsidRPr="00300DD4">
        <w:rPr>
          <w:sz w:val="20"/>
        </w:rPr>
        <w:t>I</w:t>
      </w:r>
      <w:r w:rsidR="007D41CF" w:rsidRPr="008C08CD">
        <w:rPr>
          <w:sz w:val="20"/>
          <w:lang w:val="bg-BG"/>
        </w:rPr>
        <w:t>.</w:t>
      </w:r>
      <w:r w:rsidR="007D41CF" w:rsidRPr="00300DD4">
        <w:rPr>
          <w:sz w:val="20"/>
        </w:rPr>
        <w:t>D</w:t>
      </w:r>
      <w:r w:rsidR="002B42B4" w:rsidRPr="008C08CD">
        <w:rPr>
          <w:sz w:val="20"/>
          <w:lang w:val="bg-BG"/>
        </w:rPr>
        <w:t>от 2009 г</w:t>
      </w:r>
      <w:r w:rsidR="002B42B4">
        <w:rPr>
          <w:sz w:val="20"/>
          <w:lang w:val="bg-BG"/>
        </w:rPr>
        <w:t>.</w:t>
      </w:r>
      <w:r w:rsidR="007D41CF" w:rsidRPr="008C08CD">
        <w:rPr>
          <w:sz w:val="20"/>
          <w:lang w:val="bg-BG"/>
        </w:rPr>
        <w:t>]</w:t>
      </w:r>
      <w:r w:rsidRPr="008C08CD">
        <w:rPr>
          <w:sz w:val="20"/>
          <w:lang w:val="bg-BG"/>
        </w:rPr>
        <w:t>.</w:t>
      </w:r>
    </w:p>
    <w:p w14:paraId="17D83EE2" w14:textId="77777777" w:rsidR="00F17857" w:rsidRPr="008C08CD" w:rsidRDefault="00F17857" w:rsidP="00D634DE">
      <w:pPr>
        <w:widowControl/>
        <w:spacing w:after="120"/>
        <w:ind w:left="1080" w:hanging="360"/>
        <w:rPr>
          <w:sz w:val="20"/>
          <w:lang w:val="bg-BG"/>
        </w:rPr>
      </w:pPr>
      <w:r w:rsidRPr="008C08CD">
        <w:rPr>
          <w:sz w:val="20"/>
          <w:lang w:val="bg-BG"/>
        </w:rPr>
        <w:t>6.</w:t>
      </w:r>
      <w:r w:rsidR="00072DDE">
        <w:rPr>
          <w:sz w:val="20"/>
          <w:lang w:val="bg-BG"/>
        </w:rPr>
        <w:t xml:space="preserve">  </w:t>
      </w:r>
      <w:r w:rsidR="00072DDE">
        <w:rPr>
          <w:sz w:val="20"/>
          <w:lang w:val="bg-BG"/>
        </w:rPr>
        <w:tab/>
      </w:r>
      <w:r w:rsidRPr="008C08CD">
        <w:rPr>
          <w:sz w:val="20"/>
          <w:lang w:val="bg-BG"/>
        </w:rPr>
        <w:t xml:space="preserve">По отношение на </w:t>
      </w:r>
      <w:r w:rsidRPr="008C08CD">
        <w:rPr>
          <w:b/>
          <w:sz w:val="20"/>
          <w:lang w:val="bg-BG"/>
        </w:rPr>
        <w:t xml:space="preserve">разкриването на подкуп </w:t>
      </w:r>
      <w:r w:rsidR="006630B2">
        <w:rPr>
          <w:b/>
          <w:sz w:val="20"/>
          <w:lang w:val="bg-BG"/>
        </w:rPr>
        <w:t xml:space="preserve">на </w:t>
      </w:r>
      <w:r w:rsidR="00072DDE" w:rsidRPr="00EA072A">
        <w:rPr>
          <w:b/>
          <w:sz w:val="20"/>
          <w:lang w:val="bg-BG"/>
        </w:rPr>
        <w:t xml:space="preserve">чужди длъжностни лица </w:t>
      </w:r>
      <w:r w:rsidRPr="008C08CD">
        <w:rPr>
          <w:b/>
          <w:sz w:val="20"/>
          <w:lang w:val="bg-BG"/>
        </w:rPr>
        <w:t>от счетоводители и одитори</w:t>
      </w:r>
      <w:r w:rsidRPr="008C08CD">
        <w:rPr>
          <w:sz w:val="20"/>
          <w:lang w:val="bg-BG"/>
        </w:rPr>
        <w:t>, Работната група препоръчва на България:</w:t>
      </w:r>
    </w:p>
    <w:p w14:paraId="5DF11DB8" w14:textId="0D5FE695" w:rsidR="00F17857" w:rsidRPr="008C08CD" w:rsidRDefault="00F17857" w:rsidP="00D634DE">
      <w:pPr>
        <w:widowControl/>
        <w:tabs>
          <w:tab w:val="left" w:pos="1620"/>
          <w:tab w:val="left" w:pos="2340"/>
        </w:tabs>
        <w:spacing w:after="120"/>
        <w:ind w:left="2340" w:hanging="450"/>
        <w:rPr>
          <w:sz w:val="20"/>
          <w:lang w:val="bg-BG"/>
        </w:rPr>
      </w:pPr>
      <w:r w:rsidRPr="008C08CD">
        <w:rPr>
          <w:sz w:val="20"/>
          <w:lang w:val="bg-BG"/>
        </w:rPr>
        <w:t xml:space="preserve">а) </w:t>
      </w:r>
      <w:r w:rsidR="00D634DE" w:rsidRPr="008C08CD">
        <w:rPr>
          <w:sz w:val="20"/>
          <w:lang w:val="bg-BG"/>
        </w:rPr>
        <w:tab/>
      </w:r>
      <w:r w:rsidR="00E1010B">
        <w:rPr>
          <w:sz w:val="20"/>
          <w:lang w:val="bg-BG"/>
        </w:rPr>
        <w:t xml:space="preserve">спешно да </w:t>
      </w:r>
      <w:r w:rsidRPr="008C08CD">
        <w:rPr>
          <w:sz w:val="20"/>
          <w:lang w:val="bg-BG"/>
        </w:rPr>
        <w:t>пристъпи към повишаване на осведомеността и осигуряване на обучение на външни одитори относно престъпление</w:t>
      </w:r>
      <w:r w:rsidR="00A57278">
        <w:rPr>
          <w:sz w:val="20"/>
          <w:lang w:val="bg-BG"/>
        </w:rPr>
        <w:t>то подкуп на чужди длъжностни лица</w:t>
      </w:r>
      <w:r w:rsidRPr="008C08CD">
        <w:rPr>
          <w:sz w:val="20"/>
          <w:lang w:val="bg-BG"/>
        </w:rPr>
        <w:t xml:space="preserve">, включително методи и </w:t>
      </w:r>
      <w:r w:rsidR="00A57278">
        <w:rPr>
          <w:sz w:val="20"/>
          <w:lang w:val="bg-BG"/>
        </w:rPr>
        <w:t>червени флагове</w:t>
      </w:r>
      <w:r w:rsidRPr="008C08CD">
        <w:rPr>
          <w:sz w:val="20"/>
          <w:lang w:val="bg-BG"/>
        </w:rPr>
        <w:t xml:space="preserve"> за </w:t>
      </w:r>
      <w:r w:rsidR="00A57278">
        <w:rPr>
          <w:sz w:val="20"/>
          <w:lang w:val="bg-BG"/>
        </w:rPr>
        <w:t>раз</w:t>
      </w:r>
      <w:r w:rsidRPr="008C08CD">
        <w:rPr>
          <w:sz w:val="20"/>
          <w:lang w:val="bg-BG"/>
        </w:rPr>
        <w:t xml:space="preserve">криване на подкуп от </w:t>
      </w:r>
      <w:r w:rsidR="00A57278">
        <w:rPr>
          <w:sz w:val="20"/>
          <w:lang w:val="bg-BG"/>
        </w:rPr>
        <w:t>чужди длъжностни лица</w:t>
      </w:r>
      <w:r w:rsidRPr="008C08CD">
        <w:rPr>
          <w:sz w:val="20"/>
          <w:lang w:val="bg-BG"/>
        </w:rPr>
        <w:t xml:space="preserve"> [член 8 от Конвенцията; Препорък</w:t>
      </w:r>
      <w:r w:rsidR="002B42B4">
        <w:rPr>
          <w:sz w:val="20"/>
          <w:lang w:val="bg-BG"/>
        </w:rPr>
        <w:t>и</w:t>
      </w:r>
      <w:r w:rsidR="007D41CF" w:rsidRPr="008C08CD">
        <w:rPr>
          <w:sz w:val="20"/>
          <w:lang w:val="bg-BG"/>
        </w:rPr>
        <w:t xml:space="preserve"> </w:t>
      </w:r>
      <w:r w:rsidR="007D41CF" w:rsidRPr="00F17857">
        <w:rPr>
          <w:sz w:val="20"/>
        </w:rPr>
        <w:t>III</w:t>
      </w:r>
      <w:r w:rsidR="007D41CF" w:rsidRPr="008C08CD">
        <w:rPr>
          <w:sz w:val="20"/>
          <w:lang w:val="bg-BG"/>
        </w:rPr>
        <w:t xml:space="preserve"> (</w:t>
      </w:r>
      <w:r w:rsidR="007D41CF" w:rsidRPr="00F17857">
        <w:rPr>
          <w:sz w:val="20"/>
        </w:rPr>
        <w:t>i</w:t>
      </w:r>
      <w:r w:rsidR="007D41CF" w:rsidRPr="008C08CD">
        <w:rPr>
          <w:sz w:val="20"/>
          <w:lang w:val="bg-BG"/>
        </w:rPr>
        <w:t xml:space="preserve">) и </w:t>
      </w:r>
      <w:r w:rsidR="007D41CF" w:rsidRPr="00F17857">
        <w:rPr>
          <w:sz w:val="20"/>
        </w:rPr>
        <w:t>X</w:t>
      </w:r>
      <w:r w:rsidR="007D41CF" w:rsidRPr="008C08CD">
        <w:rPr>
          <w:sz w:val="20"/>
          <w:lang w:val="bg-BG"/>
        </w:rPr>
        <w:t>.</w:t>
      </w:r>
      <w:r w:rsidR="007D41CF" w:rsidRPr="00F17857">
        <w:rPr>
          <w:sz w:val="20"/>
        </w:rPr>
        <w:t>B</w:t>
      </w:r>
      <w:r w:rsidR="007D41CF" w:rsidRPr="008C08CD">
        <w:rPr>
          <w:sz w:val="20"/>
          <w:lang w:val="bg-BG"/>
        </w:rPr>
        <w:t xml:space="preserve"> (</w:t>
      </w:r>
      <w:r w:rsidR="007D41CF" w:rsidRPr="00F17857">
        <w:rPr>
          <w:sz w:val="20"/>
        </w:rPr>
        <w:t>iii</w:t>
      </w:r>
      <w:r w:rsidR="007D41CF" w:rsidRPr="008C08CD">
        <w:rPr>
          <w:sz w:val="20"/>
          <w:lang w:val="bg-BG"/>
        </w:rPr>
        <w:t>) и (</w:t>
      </w:r>
      <w:r w:rsidR="007D41CF" w:rsidRPr="00F17857">
        <w:rPr>
          <w:sz w:val="20"/>
        </w:rPr>
        <w:t>v</w:t>
      </w:r>
      <w:r w:rsidR="007D41CF" w:rsidRPr="008C08CD">
        <w:rPr>
          <w:sz w:val="20"/>
          <w:lang w:val="bg-BG"/>
        </w:rPr>
        <w:t>).</w:t>
      </w:r>
      <w:r w:rsidRPr="008C08CD">
        <w:rPr>
          <w:sz w:val="20"/>
          <w:lang w:val="bg-BG"/>
        </w:rPr>
        <w:t xml:space="preserve"> </w:t>
      </w:r>
      <w:r w:rsidR="002B42B4" w:rsidRPr="008C08CD">
        <w:rPr>
          <w:sz w:val="20"/>
          <w:lang w:val="bg-BG"/>
        </w:rPr>
        <w:t xml:space="preserve">от 2009 г; </w:t>
      </w:r>
      <w:r w:rsidRPr="008C08CD">
        <w:rPr>
          <w:sz w:val="20"/>
          <w:lang w:val="bg-BG"/>
        </w:rPr>
        <w:t>препоръка 6 (а)</w:t>
      </w:r>
      <w:r w:rsidR="002B42B4">
        <w:rPr>
          <w:sz w:val="20"/>
          <w:lang w:val="bg-BG"/>
        </w:rPr>
        <w:t xml:space="preserve"> от доклада по фаза 3</w:t>
      </w:r>
      <w:r w:rsidRPr="008C08CD">
        <w:rPr>
          <w:sz w:val="20"/>
          <w:lang w:val="bg-BG"/>
        </w:rPr>
        <w:t>];</w:t>
      </w:r>
    </w:p>
    <w:p w14:paraId="060E0FD6" w14:textId="77777777" w:rsidR="00F17857" w:rsidRPr="008C08CD" w:rsidRDefault="00F17857" w:rsidP="00D634DE">
      <w:pPr>
        <w:widowControl/>
        <w:tabs>
          <w:tab w:val="left" w:pos="1620"/>
          <w:tab w:val="left" w:pos="2340"/>
        </w:tabs>
        <w:spacing w:after="120"/>
        <w:ind w:left="2340" w:hanging="450"/>
        <w:rPr>
          <w:sz w:val="20"/>
          <w:lang w:val="bg-BG"/>
        </w:rPr>
      </w:pPr>
      <w:r w:rsidRPr="008C08CD">
        <w:rPr>
          <w:sz w:val="20"/>
          <w:lang w:val="bg-BG"/>
        </w:rPr>
        <w:t xml:space="preserve">б) </w:t>
      </w:r>
      <w:r w:rsidR="00D634DE">
        <w:rPr>
          <w:sz w:val="20"/>
          <w:lang w:val="bg-BG"/>
        </w:rPr>
        <w:tab/>
      </w:r>
      <w:r w:rsidR="006630B2">
        <w:rPr>
          <w:sz w:val="20"/>
          <w:lang w:val="bg-BG"/>
        </w:rPr>
        <w:t xml:space="preserve">да </w:t>
      </w:r>
      <w:r w:rsidR="00A57278" w:rsidRPr="008C08CD">
        <w:rPr>
          <w:sz w:val="20"/>
          <w:lang w:val="bg-BG"/>
        </w:rPr>
        <w:t>положи</w:t>
      </w:r>
      <w:r w:rsidRPr="008C08CD">
        <w:rPr>
          <w:sz w:val="20"/>
          <w:lang w:val="bg-BG"/>
        </w:rPr>
        <w:t xml:space="preserve"> повече усилия за повишаване на осведомеността относно стандартите за независимост сред външните одитори с цел подобряване на спазването на </w:t>
      </w:r>
      <w:r w:rsidR="006630B2">
        <w:rPr>
          <w:sz w:val="20"/>
          <w:lang w:val="bg-BG"/>
        </w:rPr>
        <w:t>Закона за независимия финансов одит</w:t>
      </w:r>
      <w:r w:rsidRPr="008C08CD">
        <w:rPr>
          <w:sz w:val="20"/>
          <w:lang w:val="bg-BG"/>
        </w:rPr>
        <w:t xml:space="preserve"> [член 8 от Конвенцията; Препорък</w:t>
      </w:r>
      <w:r w:rsidR="002B42B4">
        <w:rPr>
          <w:sz w:val="20"/>
          <w:lang w:val="bg-BG"/>
        </w:rPr>
        <w:t>и</w:t>
      </w:r>
      <w:r w:rsidRPr="008C08CD">
        <w:rPr>
          <w:sz w:val="20"/>
          <w:lang w:val="bg-BG"/>
        </w:rPr>
        <w:t xml:space="preserve"> </w:t>
      </w:r>
      <w:r w:rsidR="007D41CF">
        <w:rPr>
          <w:sz w:val="20"/>
        </w:rPr>
        <w:t>III</w:t>
      </w:r>
      <w:r w:rsidR="007D41CF" w:rsidRPr="008C08CD">
        <w:rPr>
          <w:sz w:val="20"/>
          <w:lang w:val="bg-BG"/>
        </w:rPr>
        <w:t xml:space="preserve"> (</w:t>
      </w:r>
      <w:r w:rsidR="007D41CF">
        <w:rPr>
          <w:sz w:val="20"/>
        </w:rPr>
        <w:t>i</w:t>
      </w:r>
      <w:r w:rsidR="007D41CF" w:rsidRPr="008C08CD">
        <w:rPr>
          <w:sz w:val="20"/>
          <w:lang w:val="bg-BG"/>
        </w:rPr>
        <w:t xml:space="preserve">) и </w:t>
      </w:r>
      <w:r w:rsidR="007D41CF">
        <w:rPr>
          <w:sz w:val="20"/>
        </w:rPr>
        <w:t>X</w:t>
      </w:r>
      <w:r w:rsidR="007D41CF" w:rsidRPr="008C08CD">
        <w:rPr>
          <w:sz w:val="20"/>
          <w:lang w:val="bg-BG"/>
        </w:rPr>
        <w:t>.</w:t>
      </w:r>
      <w:r w:rsidR="007D41CF">
        <w:rPr>
          <w:sz w:val="20"/>
        </w:rPr>
        <w:t>B</w:t>
      </w:r>
      <w:r w:rsidR="007D41CF" w:rsidRPr="008C08CD">
        <w:rPr>
          <w:sz w:val="20"/>
          <w:lang w:val="bg-BG"/>
        </w:rPr>
        <w:t xml:space="preserve"> (</w:t>
      </w:r>
      <w:r w:rsidR="007D41CF">
        <w:rPr>
          <w:sz w:val="20"/>
        </w:rPr>
        <w:t>ii</w:t>
      </w:r>
      <w:r w:rsidR="007D41CF" w:rsidRPr="008C08CD">
        <w:rPr>
          <w:sz w:val="20"/>
          <w:lang w:val="bg-BG"/>
        </w:rPr>
        <w:t>)</w:t>
      </w:r>
      <w:r w:rsidR="007D41CF">
        <w:rPr>
          <w:sz w:val="20"/>
          <w:lang w:val="bg-BG"/>
        </w:rPr>
        <w:t xml:space="preserve"> </w:t>
      </w:r>
      <w:r w:rsidR="002B42B4">
        <w:rPr>
          <w:sz w:val="20"/>
          <w:lang w:val="bg-BG"/>
        </w:rPr>
        <w:t xml:space="preserve">от </w:t>
      </w:r>
      <w:r w:rsidR="002B42B4" w:rsidRPr="008C08CD">
        <w:rPr>
          <w:sz w:val="20"/>
          <w:lang w:val="bg-BG"/>
        </w:rPr>
        <w:t>2009 г.</w:t>
      </w:r>
      <w:r w:rsidR="002B42B4">
        <w:rPr>
          <w:sz w:val="20"/>
          <w:lang w:val="bg-BG"/>
        </w:rPr>
        <w:t xml:space="preserve"> </w:t>
      </w:r>
    </w:p>
    <w:p w14:paraId="64823F1C" w14:textId="77777777" w:rsidR="00F17857" w:rsidRPr="008C08CD" w:rsidRDefault="00F17857" w:rsidP="00F17857">
      <w:pPr>
        <w:widowControl/>
        <w:tabs>
          <w:tab w:val="left" w:pos="1620"/>
          <w:tab w:val="left" w:pos="2340"/>
        </w:tabs>
        <w:spacing w:after="120"/>
        <w:rPr>
          <w:b/>
          <w:i/>
          <w:sz w:val="20"/>
          <w:lang w:val="bg-BG"/>
        </w:rPr>
      </w:pPr>
      <w:r w:rsidRPr="008C08CD">
        <w:rPr>
          <w:b/>
          <w:i/>
          <w:sz w:val="20"/>
          <w:lang w:val="bg-BG"/>
        </w:rPr>
        <w:t xml:space="preserve">Препоръки за осигуряване на ефективно </w:t>
      </w:r>
      <w:r w:rsidR="00A57278">
        <w:rPr>
          <w:b/>
          <w:i/>
          <w:sz w:val="20"/>
          <w:lang w:val="bg-BG"/>
        </w:rPr>
        <w:t>разследване</w:t>
      </w:r>
      <w:r w:rsidRPr="008C08CD">
        <w:rPr>
          <w:b/>
          <w:i/>
          <w:sz w:val="20"/>
          <w:lang w:val="bg-BG"/>
        </w:rPr>
        <w:t xml:space="preserve"> на </w:t>
      </w:r>
      <w:r w:rsidR="00A57278">
        <w:rPr>
          <w:b/>
          <w:i/>
          <w:sz w:val="20"/>
          <w:lang w:val="bg-BG"/>
        </w:rPr>
        <w:t>подкупа на чужди длъжностни лица</w:t>
      </w:r>
      <w:r w:rsidRPr="008C08CD">
        <w:rPr>
          <w:b/>
          <w:i/>
          <w:sz w:val="20"/>
          <w:lang w:val="bg-BG"/>
        </w:rPr>
        <w:t xml:space="preserve"> и свързаните с него престъпления</w:t>
      </w:r>
    </w:p>
    <w:p w14:paraId="73BC021D" w14:textId="77777777" w:rsidR="00F17857" w:rsidRPr="008C08CD" w:rsidRDefault="00F17857" w:rsidP="00D634DE">
      <w:pPr>
        <w:widowControl/>
        <w:tabs>
          <w:tab w:val="left" w:pos="1620"/>
          <w:tab w:val="left" w:pos="2340"/>
        </w:tabs>
        <w:spacing w:after="120"/>
        <w:ind w:left="1080" w:hanging="360"/>
        <w:rPr>
          <w:sz w:val="20"/>
          <w:lang w:val="bg-BG"/>
        </w:rPr>
      </w:pPr>
      <w:r w:rsidRPr="008C08CD">
        <w:rPr>
          <w:sz w:val="20"/>
          <w:lang w:val="bg-BG"/>
        </w:rPr>
        <w:t xml:space="preserve">7. </w:t>
      </w:r>
      <w:r w:rsidR="00D634DE">
        <w:rPr>
          <w:sz w:val="20"/>
          <w:lang w:val="bg-BG"/>
        </w:rPr>
        <w:t xml:space="preserve"> </w:t>
      </w:r>
      <w:r w:rsidRPr="008C08CD">
        <w:rPr>
          <w:sz w:val="20"/>
          <w:lang w:val="bg-BG"/>
        </w:rPr>
        <w:t xml:space="preserve">По отношение на </w:t>
      </w:r>
      <w:r w:rsidRPr="008C08CD">
        <w:rPr>
          <w:b/>
          <w:sz w:val="20"/>
          <w:lang w:val="bg-BG"/>
        </w:rPr>
        <w:t>престъпление</w:t>
      </w:r>
      <w:r w:rsidR="00A57278" w:rsidRPr="00A57278">
        <w:rPr>
          <w:b/>
          <w:sz w:val="20"/>
          <w:lang w:val="bg-BG"/>
        </w:rPr>
        <w:t>то подкуп на чуждо длъжностно лице</w:t>
      </w:r>
      <w:r w:rsidRPr="008C08CD">
        <w:rPr>
          <w:sz w:val="20"/>
          <w:lang w:val="bg-BG"/>
        </w:rPr>
        <w:t xml:space="preserve">, Работната група препоръчва на </w:t>
      </w:r>
      <w:r w:rsidR="00D634DE">
        <w:rPr>
          <w:sz w:val="20"/>
          <w:lang w:val="bg-BG"/>
        </w:rPr>
        <w:t xml:space="preserve"> </w:t>
      </w:r>
      <w:r w:rsidRPr="008C08CD">
        <w:rPr>
          <w:sz w:val="20"/>
          <w:lang w:val="bg-BG"/>
        </w:rPr>
        <w:t>България:</w:t>
      </w:r>
    </w:p>
    <w:p w14:paraId="0EAA16C9" w14:textId="4FE85B07" w:rsidR="00F17857" w:rsidRPr="008C08CD" w:rsidRDefault="00F17857" w:rsidP="00A57278">
      <w:pPr>
        <w:widowControl/>
        <w:tabs>
          <w:tab w:val="left" w:pos="1620"/>
          <w:tab w:val="left" w:pos="2340"/>
        </w:tabs>
        <w:spacing w:after="120"/>
        <w:ind w:left="2340" w:hanging="450"/>
        <w:rPr>
          <w:sz w:val="20"/>
          <w:lang w:val="bg-BG"/>
        </w:rPr>
      </w:pPr>
      <w:r w:rsidRPr="008C08CD">
        <w:rPr>
          <w:sz w:val="20"/>
          <w:lang w:val="bg-BG"/>
        </w:rPr>
        <w:t xml:space="preserve">а) </w:t>
      </w:r>
      <w:r w:rsidR="00A57278" w:rsidRPr="008C08CD">
        <w:rPr>
          <w:sz w:val="20"/>
          <w:lang w:val="bg-BG"/>
        </w:rPr>
        <w:tab/>
      </w:r>
      <w:r w:rsidRPr="008C08CD">
        <w:rPr>
          <w:sz w:val="20"/>
          <w:lang w:val="bg-BG"/>
        </w:rPr>
        <w:t xml:space="preserve">да измени </w:t>
      </w:r>
      <w:r w:rsidR="00A57278">
        <w:rPr>
          <w:sz w:val="20"/>
          <w:lang w:val="bg-BG"/>
        </w:rPr>
        <w:t xml:space="preserve">състава на </w:t>
      </w:r>
      <w:r w:rsidRPr="008C08CD">
        <w:rPr>
          <w:sz w:val="20"/>
          <w:lang w:val="bg-BG"/>
        </w:rPr>
        <w:t>престъпление</w:t>
      </w:r>
      <w:r w:rsidR="00574BE6">
        <w:rPr>
          <w:sz w:val="20"/>
          <w:lang w:val="bg-BG"/>
        </w:rPr>
        <w:t>то</w:t>
      </w:r>
      <w:r w:rsidRPr="008C08CD">
        <w:rPr>
          <w:sz w:val="20"/>
          <w:lang w:val="bg-BG"/>
        </w:rPr>
        <w:t xml:space="preserve"> за подкуп </w:t>
      </w:r>
      <w:r w:rsidR="00A57278">
        <w:rPr>
          <w:sz w:val="20"/>
          <w:lang w:val="bg-BG"/>
        </w:rPr>
        <w:t>на чуждо длъжностно лице</w:t>
      </w:r>
      <w:r w:rsidRPr="008C08CD">
        <w:rPr>
          <w:sz w:val="20"/>
          <w:lang w:val="bg-BG"/>
        </w:rPr>
        <w:t xml:space="preserve">, за да обхване всяко използване на </w:t>
      </w:r>
      <w:r w:rsidR="00A57278">
        <w:rPr>
          <w:sz w:val="20"/>
          <w:lang w:val="bg-BG"/>
        </w:rPr>
        <w:t>слу</w:t>
      </w:r>
      <w:r w:rsidR="00C45B08">
        <w:rPr>
          <w:sz w:val="20"/>
          <w:lang w:val="bg-BG"/>
        </w:rPr>
        <w:t>жебното положение</w:t>
      </w:r>
      <w:r w:rsidRPr="008C08CD">
        <w:rPr>
          <w:sz w:val="20"/>
          <w:lang w:val="bg-BG"/>
        </w:rPr>
        <w:t xml:space="preserve"> на </w:t>
      </w:r>
      <w:r w:rsidR="001B5CD5">
        <w:rPr>
          <w:sz w:val="20"/>
          <w:lang w:val="bg-BG"/>
        </w:rPr>
        <w:t>длъжностното лице</w:t>
      </w:r>
      <w:r w:rsidRPr="008C08CD">
        <w:rPr>
          <w:sz w:val="20"/>
          <w:lang w:val="bg-BG"/>
        </w:rPr>
        <w:t xml:space="preserve">, независимо дали е в правомощията на длъжностното лице </w:t>
      </w:r>
      <w:r w:rsidR="00C45B08" w:rsidRPr="008C08CD">
        <w:rPr>
          <w:sz w:val="20"/>
          <w:lang w:val="bg-BG"/>
        </w:rPr>
        <w:t xml:space="preserve">[член 1 от Конвенцията; </w:t>
      </w:r>
      <w:r w:rsidRPr="008C08CD">
        <w:rPr>
          <w:sz w:val="20"/>
          <w:lang w:val="bg-BG"/>
        </w:rPr>
        <w:t>препоръка 1, буква а)</w:t>
      </w:r>
      <w:r w:rsidR="00C45B08">
        <w:rPr>
          <w:sz w:val="20"/>
          <w:lang w:val="bg-BG"/>
        </w:rPr>
        <w:t xml:space="preserve"> от доклада по фаза 3</w:t>
      </w:r>
      <w:r w:rsidRPr="008C08CD">
        <w:rPr>
          <w:sz w:val="20"/>
          <w:lang w:val="bg-BG"/>
        </w:rPr>
        <w:t>];</w:t>
      </w:r>
    </w:p>
    <w:p w14:paraId="2E38E76D" w14:textId="7B62E5B8" w:rsidR="00F17857" w:rsidRPr="008C08CD" w:rsidRDefault="00F17857" w:rsidP="00A57278">
      <w:pPr>
        <w:widowControl/>
        <w:tabs>
          <w:tab w:val="left" w:pos="1620"/>
          <w:tab w:val="left" w:pos="2340"/>
        </w:tabs>
        <w:spacing w:after="120"/>
        <w:ind w:left="2340" w:hanging="450"/>
        <w:rPr>
          <w:sz w:val="20"/>
          <w:lang w:val="bg-BG"/>
        </w:rPr>
      </w:pPr>
      <w:r w:rsidRPr="008C08CD">
        <w:rPr>
          <w:sz w:val="20"/>
          <w:lang w:val="bg-BG"/>
        </w:rPr>
        <w:t xml:space="preserve">б) </w:t>
      </w:r>
      <w:r w:rsidR="00A57278" w:rsidRPr="008C08CD">
        <w:rPr>
          <w:sz w:val="20"/>
          <w:lang w:val="bg-BG"/>
        </w:rPr>
        <w:tab/>
      </w:r>
      <w:r w:rsidRPr="008C08CD">
        <w:rPr>
          <w:sz w:val="20"/>
          <w:lang w:val="bg-BG"/>
        </w:rPr>
        <w:t>да оттег</w:t>
      </w:r>
      <w:r w:rsidR="00C45B08" w:rsidRPr="008C08CD">
        <w:rPr>
          <w:sz w:val="20"/>
          <w:lang w:val="bg-BG"/>
        </w:rPr>
        <w:t>ли</w:t>
      </w:r>
      <w:r w:rsidR="003970E7">
        <w:rPr>
          <w:sz w:val="20"/>
          <w:lang w:val="bg-BG"/>
        </w:rPr>
        <w:t xml:space="preserve">, освен ако не </w:t>
      </w:r>
      <w:r w:rsidR="00C45B08" w:rsidRPr="008C08CD">
        <w:rPr>
          <w:sz w:val="20"/>
          <w:lang w:val="bg-BG"/>
        </w:rPr>
        <w:t xml:space="preserve">изясни </w:t>
      </w:r>
      <w:r w:rsidR="003970E7" w:rsidRPr="008C08CD">
        <w:rPr>
          <w:sz w:val="20"/>
          <w:lang w:val="bg-BG"/>
        </w:rPr>
        <w:t xml:space="preserve">допълнително </w:t>
      </w:r>
      <w:r w:rsidR="00C45B08" w:rsidRPr="008C08CD">
        <w:rPr>
          <w:sz w:val="20"/>
          <w:lang w:val="bg-BG"/>
        </w:rPr>
        <w:t>чрез</w:t>
      </w:r>
      <w:r w:rsidRPr="008C08CD">
        <w:rPr>
          <w:sz w:val="20"/>
          <w:lang w:val="bg-BG"/>
        </w:rPr>
        <w:t xml:space="preserve"> съдебната практика</w:t>
      </w:r>
      <w:r w:rsidR="003970E7">
        <w:rPr>
          <w:sz w:val="20"/>
          <w:lang w:val="bg-BG"/>
        </w:rPr>
        <w:t>,</w:t>
      </w:r>
      <w:r w:rsidRPr="008C08CD">
        <w:rPr>
          <w:sz w:val="20"/>
          <w:lang w:val="bg-BG"/>
        </w:rPr>
        <w:t xml:space="preserve"> изискването за „съгласието на длъжностното лице“ за подкупи, дадени</w:t>
      </w:r>
      <w:r w:rsidR="00C45B08">
        <w:rPr>
          <w:sz w:val="20"/>
          <w:lang w:val="bg-BG"/>
        </w:rPr>
        <w:t xml:space="preserve"> в полза на</w:t>
      </w:r>
      <w:r w:rsidR="00C45B08" w:rsidRPr="008C08CD">
        <w:rPr>
          <w:sz w:val="20"/>
          <w:lang w:val="bg-BG"/>
        </w:rPr>
        <w:t xml:space="preserve"> трети лица</w:t>
      </w:r>
      <w:r w:rsidRPr="008C08CD">
        <w:rPr>
          <w:sz w:val="20"/>
          <w:lang w:val="bg-BG"/>
        </w:rPr>
        <w:t xml:space="preserve"> [член 1 от Конвенцията].</w:t>
      </w:r>
    </w:p>
    <w:p w14:paraId="5813023C" w14:textId="77777777" w:rsidR="00F17857" w:rsidRPr="008C08CD" w:rsidRDefault="00F17857" w:rsidP="00D634DE">
      <w:pPr>
        <w:widowControl/>
        <w:tabs>
          <w:tab w:val="left" w:pos="720"/>
          <w:tab w:val="left" w:pos="1620"/>
        </w:tabs>
        <w:spacing w:after="120"/>
        <w:ind w:firstLine="720"/>
        <w:rPr>
          <w:sz w:val="20"/>
          <w:lang w:val="bg-BG"/>
        </w:rPr>
      </w:pPr>
      <w:r w:rsidRPr="008C08CD">
        <w:rPr>
          <w:sz w:val="20"/>
          <w:lang w:val="bg-BG"/>
        </w:rPr>
        <w:t xml:space="preserve">8. </w:t>
      </w:r>
      <w:r w:rsidR="00D634DE">
        <w:rPr>
          <w:sz w:val="20"/>
          <w:lang w:val="bg-BG"/>
        </w:rPr>
        <w:t xml:space="preserve">  </w:t>
      </w:r>
      <w:r w:rsidRPr="008C08CD">
        <w:rPr>
          <w:sz w:val="20"/>
          <w:lang w:val="bg-BG"/>
        </w:rPr>
        <w:t xml:space="preserve">По отношение на </w:t>
      </w:r>
      <w:r w:rsidRPr="008C08CD">
        <w:rPr>
          <w:b/>
          <w:sz w:val="20"/>
          <w:lang w:val="bg-BG"/>
        </w:rPr>
        <w:t xml:space="preserve">санкциите </w:t>
      </w:r>
      <w:r w:rsidRPr="008C08CD">
        <w:rPr>
          <w:sz w:val="20"/>
          <w:lang w:val="bg-BG"/>
        </w:rPr>
        <w:t>Работната група препоръчва на България:</w:t>
      </w:r>
    </w:p>
    <w:p w14:paraId="6C499621" w14:textId="77777777" w:rsidR="00F17857" w:rsidRPr="008C08CD" w:rsidRDefault="00F17857" w:rsidP="00D634DE">
      <w:pPr>
        <w:widowControl/>
        <w:tabs>
          <w:tab w:val="left" w:pos="1620"/>
          <w:tab w:val="left" w:pos="2340"/>
        </w:tabs>
        <w:spacing w:after="120"/>
        <w:ind w:left="2340" w:hanging="450"/>
        <w:rPr>
          <w:sz w:val="20"/>
          <w:lang w:val="bg-BG"/>
        </w:rPr>
      </w:pPr>
      <w:r w:rsidRPr="008C08CD">
        <w:rPr>
          <w:sz w:val="20"/>
          <w:lang w:val="bg-BG"/>
        </w:rPr>
        <w:t xml:space="preserve">а) </w:t>
      </w:r>
      <w:r w:rsidR="00D634DE">
        <w:rPr>
          <w:sz w:val="20"/>
          <w:lang w:val="bg-BG"/>
        </w:rPr>
        <w:t xml:space="preserve">   </w:t>
      </w:r>
      <w:r w:rsidR="00D634DE">
        <w:rPr>
          <w:sz w:val="20"/>
          <w:lang w:val="bg-BG"/>
        </w:rPr>
        <w:tab/>
      </w:r>
      <w:r w:rsidR="00574BE6">
        <w:rPr>
          <w:sz w:val="20"/>
          <w:lang w:val="bg-BG"/>
        </w:rPr>
        <w:t xml:space="preserve">да </w:t>
      </w:r>
      <w:r w:rsidR="007D41CF" w:rsidRPr="007D41CF">
        <w:rPr>
          <w:sz w:val="20"/>
          <w:lang w:val="bg-BG"/>
        </w:rPr>
        <w:t>въведе разпоредба, с която квалифицирани случаи на подкуп на чуждо длъжностно лице да се санкционират по същия начин</w:t>
      </w:r>
      <w:r w:rsidR="007D41CF">
        <w:rPr>
          <w:sz w:val="20"/>
          <w:lang w:val="bg-BG"/>
        </w:rPr>
        <w:t xml:space="preserve"> както квалифицираните случаи на</w:t>
      </w:r>
      <w:r w:rsidR="007D41CF" w:rsidRPr="007D41CF">
        <w:rPr>
          <w:sz w:val="20"/>
          <w:lang w:val="bg-BG"/>
        </w:rPr>
        <w:t xml:space="preserve"> подкуп на местни длъжностни лица (член 3 на Конвенцията);</w:t>
      </w:r>
      <w:r w:rsidRPr="008C08CD">
        <w:rPr>
          <w:sz w:val="20"/>
          <w:lang w:val="bg-BG"/>
        </w:rPr>
        <w:t xml:space="preserve"> [член 3 от Конвенцията; Фаза 3, препоръка 3, буква б</w:t>
      </w:r>
      <w:r w:rsidR="007D41CF">
        <w:rPr>
          <w:sz w:val="20"/>
          <w:lang w:val="bg-BG"/>
        </w:rPr>
        <w:t>)</w:t>
      </w:r>
      <w:r w:rsidR="007D41CF" w:rsidRPr="007D41CF">
        <w:rPr>
          <w:sz w:val="20"/>
          <w:lang w:val="bg-BG"/>
        </w:rPr>
        <w:t xml:space="preserve"> </w:t>
      </w:r>
      <w:r w:rsidR="007D41CF">
        <w:rPr>
          <w:sz w:val="20"/>
          <w:lang w:val="bg-BG"/>
        </w:rPr>
        <w:t>от доклада по фаза 3</w:t>
      </w:r>
      <w:r w:rsidRPr="008C08CD">
        <w:rPr>
          <w:sz w:val="20"/>
          <w:lang w:val="bg-BG"/>
        </w:rPr>
        <w:t>];</w:t>
      </w:r>
    </w:p>
    <w:p w14:paraId="5E116420" w14:textId="44689683" w:rsidR="00F17857" w:rsidRPr="008C08CD" w:rsidRDefault="00F17857" w:rsidP="00D634DE">
      <w:pPr>
        <w:widowControl/>
        <w:tabs>
          <w:tab w:val="left" w:pos="1620"/>
          <w:tab w:val="left" w:pos="2340"/>
        </w:tabs>
        <w:spacing w:after="120"/>
        <w:ind w:left="2340" w:hanging="450"/>
        <w:rPr>
          <w:sz w:val="20"/>
          <w:lang w:val="bg-BG"/>
        </w:rPr>
      </w:pPr>
      <w:r w:rsidRPr="008C08CD">
        <w:rPr>
          <w:sz w:val="20"/>
          <w:lang w:val="bg-BG"/>
        </w:rPr>
        <w:t xml:space="preserve">б) </w:t>
      </w:r>
      <w:r w:rsidR="00E1010B">
        <w:rPr>
          <w:sz w:val="20"/>
          <w:lang w:val="bg-BG"/>
        </w:rPr>
        <w:t xml:space="preserve"> </w:t>
      </w:r>
      <w:r w:rsidRPr="008C08CD">
        <w:rPr>
          <w:sz w:val="20"/>
          <w:lang w:val="bg-BG"/>
        </w:rPr>
        <w:t>да предприеме всички необходими ст</w:t>
      </w:r>
      <w:r w:rsidR="00D634DE" w:rsidRPr="008C08CD">
        <w:rPr>
          <w:sz w:val="20"/>
          <w:lang w:val="bg-BG"/>
        </w:rPr>
        <w:t xml:space="preserve">ъпки, включително чрез насоки и </w:t>
      </w:r>
      <w:r w:rsidRPr="008C08CD">
        <w:rPr>
          <w:sz w:val="20"/>
          <w:lang w:val="bg-BG"/>
        </w:rPr>
        <w:t xml:space="preserve">обучение на съдебната власт, за да гарантира, че санкциите, наложени срещу физически лица за </w:t>
      </w:r>
      <w:r w:rsidR="007D41CF">
        <w:rPr>
          <w:sz w:val="20"/>
          <w:lang w:val="bg-BG"/>
        </w:rPr>
        <w:t>подкуп на чуждо длъжностно лице</w:t>
      </w:r>
      <w:r w:rsidRPr="008C08CD">
        <w:rPr>
          <w:sz w:val="20"/>
          <w:lang w:val="bg-BG"/>
        </w:rPr>
        <w:t>, са ефективни, пропорционални и възпиращи на практика [членове 3 и 5 от Конвенцията; Препорък</w:t>
      </w:r>
      <w:r w:rsidR="007D41CF">
        <w:rPr>
          <w:sz w:val="20"/>
          <w:lang w:val="bg-BG"/>
        </w:rPr>
        <w:t>а</w:t>
      </w:r>
      <w:r w:rsidRPr="008C08CD">
        <w:rPr>
          <w:sz w:val="20"/>
          <w:lang w:val="bg-BG"/>
        </w:rPr>
        <w:t xml:space="preserve"> </w:t>
      </w:r>
      <w:r w:rsidR="007D41CF" w:rsidRPr="00F17857">
        <w:rPr>
          <w:sz w:val="20"/>
        </w:rPr>
        <w:t>III</w:t>
      </w:r>
      <w:r w:rsidR="007D41CF" w:rsidRPr="008C08CD">
        <w:rPr>
          <w:sz w:val="20"/>
          <w:lang w:val="bg-BG"/>
        </w:rPr>
        <w:t xml:space="preserve"> (</w:t>
      </w:r>
      <w:r w:rsidR="007D41CF" w:rsidRPr="00F17857">
        <w:rPr>
          <w:sz w:val="20"/>
        </w:rPr>
        <w:t>i</w:t>
      </w:r>
      <w:r w:rsidR="007D41CF" w:rsidRPr="008C08CD">
        <w:rPr>
          <w:sz w:val="20"/>
          <w:lang w:val="bg-BG"/>
        </w:rPr>
        <w:t xml:space="preserve">) </w:t>
      </w:r>
      <w:r w:rsidRPr="008C08CD">
        <w:rPr>
          <w:sz w:val="20"/>
          <w:lang w:val="bg-BG"/>
        </w:rPr>
        <w:t>от 2009 г.</w:t>
      </w:r>
      <w:r w:rsidR="007D41CF">
        <w:rPr>
          <w:sz w:val="20"/>
          <w:lang w:val="bg-BG"/>
        </w:rPr>
        <w:t>;</w:t>
      </w:r>
      <w:r w:rsidR="007D41CF" w:rsidRPr="008C08CD">
        <w:rPr>
          <w:sz w:val="20"/>
          <w:lang w:val="bg-BG"/>
        </w:rPr>
        <w:t xml:space="preserve"> препоръка </w:t>
      </w:r>
      <w:r w:rsidRPr="008C08CD">
        <w:rPr>
          <w:sz w:val="20"/>
          <w:lang w:val="bg-BG"/>
        </w:rPr>
        <w:t>3 (а)</w:t>
      </w:r>
      <w:r w:rsidR="007D41CF">
        <w:rPr>
          <w:sz w:val="20"/>
          <w:lang w:val="bg-BG"/>
        </w:rPr>
        <w:t xml:space="preserve"> от доклада по фаза 3</w:t>
      </w:r>
      <w:r w:rsidRPr="008C08CD">
        <w:rPr>
          <w:sz w:val="20"/>
          <w:lang w:val="bg-BG"/>
        </w:rPr>
        <w:t>];</w:t>
      </w:r>
    </w:p>
    <w:p w14:paraId="5C3B0E71" w14:textId="3B5FE18E" w:rsidR="00F17857" w:rsidRPr="008C08CD" w:rsidRDefault="00F17857" w:rsidP="00EA072A">
      <w:pPr>
        <w:widowControl/>
        <w:tabs>
          <w:tab w:val="left" w:pos="1620"/>
          <w:tab w:val="left" w:pos="2250"/>
        </w:tabs>
        <w:spacing w:after="120"/>
        <w:ind w:left="2340" w:hanging="360"/>
        <w:rPr>
          <w:sz w:val="20"/>
          <w:lang w:val="bg-BG"/>
        </w:rPr>
      </w:pPr>
      <w:r w:rsidRPr="008C08CD">
        <w:rPr>
          <w:sz w:val="20"/>
          <w:lang w:val="bg-BG"/>
        </w:rPr>
        <w:lastRenderedPageBreak/>
        <w:t xml:space="preserve">в) </w:t>
      </w:r>
      <w:r w:rsidR="007D41CF">
        <w:rPr>
          <w:sz w:val="20"/>
          <w:lang w:val="bg-BG"/>
        </w:rPr>
        <w:t xml:space="preserve">  </w:t>
      </w:r>
      <w:r w:rsidRPr="008C08CD">
        <w:rPr>
          <w:sz w:val="20"/>
          <w:lang w:val="bg-BG"/>
        </w:rPr>
        <w:t xml:space="preserve">да </w:t>
      </w:r>
      <w:r w:rsidR="003970E7">
        <w:rPr>
          <w:sz w:val="20"/>
          <w:lang w:val="bg-BG"/>
        </w:rPr>
        <w:t xml:space="preserve">предприеме стъпки, за да </w:t>
      </w:r>
      <w:r w:rsidRPr="008C08CD">
        <w:rPr>
          <w:sz w:val="20"/>
          <w:lang w:val="bg-BG"/>
        </w:rPr>
        <w:t xml:space="preserve">гарантира, че прокурорите редовно </w:t>
      </w:r>
      <w:r w:rsidR="007D41CF">
        <w:rPr>
          <w:sz w:val="20"/>
          <w:lang w:val="bg-BG"/>
        </w:rPr>
        <w:t>търсят отнемане</w:t>
      </w:r>
      <w:r w:rsidR="00D634DE" w:rsidRPr="008C08CD">
        <w:rPr>
          <w:sz w:val="20"/>
          <w:lang w:val="bg-BG"/>
        </w:rPr>
        <w:t xml:space="preserve"> на подкупа, както </w:t>
      </w:r>
      <w:r w:rsidRPr="008C08CD">
        <w:rPr>
          <w:sz w:val="20"/>
          <w:lang w:val="bg-BG"/>
        </w:rPr>
        <w:t>и преки</w:t>
      </w:r>
      <w:r w:rsidR="003E1CBF" w:rsidRPr="008C08CD">
        <w:rPr>
          <w:sz w:val="20"/>
          <w:lang w:val="bg-BG"/>
        </w:rPr>
        <w:t xml:space="preserve">те и </w:t>
      </w:r>
      <w:r w:rsidR="005A0CF5">
        <w:rPr>
          <w:sz w:val="20"/>
          <w:lang w:val="bg-BG"/>
        </w:rPr>
        <w:t>непреките</w:t>
      </w:r>
      <w:r w:rsidR="003E1CBF" w:rsidRPr="008C08CD">
        <w:rPr>
          <w:sz w:val="20"/>
          <w:lang w:val="bg-BG"/>
        </w:rPr>
        <w:t xml:space="preserve"> </w:t>
      </w:r>
      <w:r w:rsidR="00EA072A">
        <w:rPr>
          <w:sz w:val="20"/>
          <w:lang w:val="bg-BG"/>
        </w:rPr>
        <w:t>облаги</w:t>
      </w:r>
      <w:r w:rsidR="003E1CBF" w:rsidRPr="008C08CD">
        <w:rPr>
          <w:sz w:val="20"/>
          <w:lang w:val="bg-BG"/>
        </w:rPr>
        <w:t xml:space="preserve"> от подкупа</w:t>
      </w:r>
      <w:r w:rsidRPr="008C08CD">
        <w:rPr>
          <w:sz w:val="20"/>
          <w:lang w:val="bg-BG"/>
        </w:rPr>
        <w:t xml:space="preserve">, получени от </w:t>
      </w:r>
      <w:r w:rsidR="007D41CF">
        <w:rPr>
          <w:sz w:val="20"/>
          <w:lang w:val="bg-BG"/>
        </w:rPr>
        <w:t>субекта на активния подкуп</w:t>
      </w:r>
      <w:r w:rsidR="003970E7">
        <w:rPr>
          <w:sz w:val="20"/>
          <w:lang w:val="bg-BG"/>
        </w:rPr>
        <w:t>, или парични санкции със съпоставим ефект</w:t>
      </w:r>
      <w:r w:rsidRPr="008C08CD">
        <w:rPr>
          <w:sz w:val="20"/>
          <w:lang w:val="bg-BG"/>
        </w:rPr>
        <w:t xml:space="preserve"> [член 3 от Конвенция, Фаза 3, Препоръка 4 (б)].</w:t>
      </w:r>
    </w:p>
    <w:p w14:paraId="60A5F7B0" w14:textId="77777777" w:rsidR="00C13683" w:rsidRPr="008C08CD" w:rsidRDefault="00C13683" w:rsidP="003E1CBF">
      <w:pPr>
        <w:widowControl/>
        <w:tabs>
          <w:tab w:val="left" w:pos="1620"/>
          <w:tab w:val="left" w:pos="1890"/>
        </w:tabs>
        <w:spacing w:after="120"/>
        <w:ind w:left="1080" w:hanging="360"/>
        <w:rPr>
          <w:sz w:val="20"/>
          <w:lang w:val="bg-BG"/>
        </w:rPr>
      </w:pPr>
      <w:r w:rsidRPr="008C08CD">
        <w:rPr>
          <w:sz w:val="20"/>
          <w:lang w:val="bg-BG"/>
        </w:rPr>
        <w:t xml:space="preserve">9. </w:t>
      </w:r>
      <w:r w:rsidR="003E1CBF" w:rsidRPr="008C08CD">
        <w:rPr>
          <w:sz w:val="20"/>
          <w:lang w:val="bg-BG"/>
        </w:rPr>
        <w:tab/>
      </w:r>
      <w:r w:rsidRPr="008C08CD">
        <w:rPr>
          <w:sz w:val="20"/>
          <w:lang w:val="bg-BG"/>
        </w:rPr>
        <w:t xml:space="preserve">По отношение на </w:t>
      </w:r>
      <w:r w:rsidRPr="008C08CD">
        <w:rPr>
          <w:b/>
          <w:sz w:val="20"/>
          <w:lang w:val="bg-BG"/>
        </w:rPr>
        <w:t>разследването и наказателното преследване</w:t>
      </w:r>
      <w:r w:rsidRPr="008C08CD">
        <w:rPr>
          <w:sz w:val="20"/>
          <w:lang w:val="bg-BG"/>
        </w:rPr>
        <w:t xml:space="preserve"> на </w:t>
      </w:r>
      <w:r w:rsidR="003E1CBF">
        <w:rPr>
          <w:sz w:val="20"/>
          <w:lang w:val="bg-BG"/>
        </w:rPr>
        <w:t xml:space="preserve">подкупа на </w:t>
      </w:r>
      <w:r w:rsidRPr="008C08CD">
        <w:rPr>
          <w:sz w:val="20"/>
          <w:lang w:val="bg-BG"/>
        </w:rPr>
        <w:t>чужди</w:t>
      </w:r>
      <w:r w:rsidR="003E1CBF">
        <w:rPr>
          <w:sz w:val="20"/>
          <w:lang w:val="bg-BG"/>
        </w:rPr>
        <w:t xml:space="preserve"> длъжностни лица</w:t>
      </w:r>
      <w:r w:rsidRPr="008C08CD">
        <w:rPr>
          <w:sz w:val="20"/>
          <w:lang w:val="bg-BG"/>
        </w:rPr>
        <w:t xml:space="preserve"> Работната група препоръчва на България:</w:t>
      </w:r>
    </w:p>
    <w:p w14:paraId="5A1C17B1" w14:textId="6ABFCD4C" w:rsidR="00C13683" w:rsidRDefault="00C13683" w:rsidP="003E1CBF">
      <w:pPr>
        <w:widowControl/>
        <w:tabs>
          <w:tab w:val="left" w:pos="1620"/>
          <w:tab w:val="left" w:pos="1890"/>
        </w:tabs>
        <w:spacing w:after="120"/>
        <w:ind w:left="2340" w:hanging="450"/>
        <w:rPr>
          <w:sz w:val="20"/>
          <w:lang w:val="bg-BG"/>
        </w:rPr>
      </w:pPr>
      <w:r w:rsidRPr="008C08CD">
        <w:rPr>
          <w:sz w:val="20"/>
          <w:lang w:val="bg-BG"/>
        </w:rPr>
        <w:t xml:space="preserve">а) </w:t>
      </w:r>
      <w:r w:rsidR="003E1CBF" w:rsidRPr="008C08CD">
        <w:rPr>
          <w:sz w:val="20"/>
          <w:lang w:val="bg-BG"/>
        </w:rPr>
        <w:tab/>
        <w:t>да вземе</w:t>
      </w:r>
      <w:r w:rsidRPr="008C08CD">
        <w:rPr>
          <w:sz w:val="20"/>
          <w:lang w:val="bg-BG"/>
        </w:rPr>
        <w:t xml:space="preserve"> активно участие в различните срещи на </w:t>
      </w:r>
      <w:r w:rsidR="003E1CBF">
        <w:rPr>
          <w:sz w:val="20"/>
          <w:lang w:val="bg-BG"/>
        </w:rPr>
        <w:t>Р</w:t>
      </w:r>
      <w:r w:rsidRPr="008C08CD">
        <w:rPr>
          <w:sz w:val="20"/>
          <w:lang w:val="bg-BG"/>
        </w:rPr>
        <w:t xml:space="preserve">аботната група, включително срещите на </w:t>
      </w:r>
      <w:r w:rsidR="003E1CBF">
        <w:rPr>
          <w:sz w:val="20"/>
          <w:lang w:val="bg-BG"/>
        </w:rPr>
        <w:t xml:space="preserve">служителите </w:t>
      </w:r>
      <w:r w:rsidRPr="008C08CD">
        <w:rPr>
          <w:sz w:val="20"/>
          <w:lang w:val="bg-BG"/>
        </w:rPr>
        <w:t>на правоприлагащите органи, и да разпростран</w:t>
      </w:r>
      <w:r w:rsidR="003E1CBF">
        <w:rPr>
          <w:sz w:val="20"/>
          <w:lang w:val="bg-BG"/>
        </w:rPr>
        <w:t>и</w:t>
      </w:r>
      <w:r w:rsidRPr="008C08CD">
        <w:rPr>
          <w:sz w:val="20"/>
          <w:lang w:val="bg-BG"/>
        </w:rPr>
        <w:t xml:space="preserve"> информация на национално равнище до съответните органи и заинтересованите страни относно прилагането на Конвенцията и </w:t>
      </w:r>
      <w:r w:rsidR="003E1CBF">
        <w:rPr>
          <w:sz w:val="20"/>
          <w:lang w:val="bg-BG"/>
        </w:rPr>
        <w:t>дейността</w:t>
      </w:r>
      <w:r w:rsidR="003E1CBF" w:rsidRPr="008C08CD">
        <w:rPr>
          <w:sz w:val="20"/>
          <w:lang w:val="bg-BG"/>
        </w:rPr>
        <w:t xml:space="preserve"> на Р</w:t>
      </w:r>
      <w:r w:rsidRPr="008C08CD">
        <w:rPr>
          <w:sz w:val="20"/>
          <w:lang w:val="bg-BG"/>
        </w:rPr>
        <w:t xml:space="preserve">аботната група [член 12 от Конвенцията; Препоръка </w:t>
      </w:r>
      <w:r w:rsidRPr="00C13683">
        <w:rPr>
          <w:sz w:val="20"/>
        </w:rPr>
        <w:t>XIV</w:t>
      </w:r>
      <w:r w:rsidRPr="008C08CD">
        <w:rPr>
          <w:sz w:val="20"/>
          <w:lang w:val="bg-BG"/>
        </w:rPr>
        <w:t xml:space="preserve"> (</w:t>
      </w:r>
      <w:r w:rsidRPr="00C13683">
        <w:rPr>
          <w:sz w:val="20"/>
        </w:rPr>
        <w:t>iv</w:t>
      </w:r>
      <w:r w:rsidRPr="008C08CD">
        <w:rPr>
          <w:sz w:val="20"/>
          <w:lang w:val="bg-BG"/>
        </w:rPr>
        <w:t xml:space="preserve">) и </w:t>
      </w:r>
      <w:r w:rsidRPr="00C13683">
        <w:rPr>
          <w:sz w:val="20"/>
        </w:rPr>
        <w:t>XV</w:t>
      </w:r>
      <w:r w:rsidRPr="008C08CD">
        <w:rPr>
          <w:sz w:val="20"/>
          <w:lang w:val="bg-BG"/>
        </w:rPr>
        <w:t xml:space="preserve"> от 2009 г.;</w:t>
      </w:r>
    </w:p>
    <w:p w14:paraId="72A8FDB8" w14:textId="76E0D4BC" w:rsidR="001938C8" w:rsidRPr="008C08CD" w:rsidRDefault="001938C8" w:rsidP="003E1CBF">
      <w:pPr>
        <w:widowControl/>
        <w:tabs>
          <w:tab w:val="left" w:pos="1620"/>
          <w:tab w:val="left" w:pos="1890"/>
        </w:tabs>
        <w:spacing w:after="120"/>
        <w:ind w:left="2340" w:hanging="450"/>
        <w:rPr>
          <w:sz w:val="20"/>
          <w:lang w:val="bg-BG"/>
        </w:rPr>
      </w:pPr>
      <w:r>
        <w:rPr>
          <w:sz w:val="20"/>
          <w:lang w:val="bg-BG"/>
        </w:rPr>
        <w:t>б)</w:t>
      </w:r>
      <w:r>
        <w:rPr>
          <w:sz w:val="20"/>
          <w:lang w:val="bg-BG"/>
        </w:rPr>
        <w:tab/>
      </w:r>
      <w:r w:rsidRPr="001938C8">
        <w:rPr>
          <w:sz w:val="20"/>
          <w:lang w:val="bg-BG"/>
        </w:rPr>
        <w:t>да увеличи използването на проактивни стъпки за събиране на информация от различни източници</w:t>
      </w:r>
      <w:r>
        <w:rPr>
          <w:sz w:val="20"/>
          <w:lang w:val="bg-BG"/>
        </w:rPr>
        <w:t xml:space="preserve"> за</w:t>
      </w:r>
      <w:r w:rsidRPr="001938C8">
        <w:rPr>
          <w:sz w:val="20"/>
          <w:lang w:val="bg-BG"/>
        </w:rPr>
        <w:t xml:space="preserve"> увеличаване на </w:t>
      </w:r>
      <w:r>
        <w:rPr>
          <w:sz w:val="20"/>
          <w:lang w:val="bg-BG"/>
        </w:rPr>
        <w:t>разкриваемостта</w:t>
      </w:r>
      <w:r w:rsidRPr="001938C8">
        <w:rPr>
          <w:sz w:val="20"/>
          <w:lang w:val="bg-BG"/>
        </w:rPr>
        <w:t xml:space="preserve"> [Конвенция, член 5 и коментар 27; Препоръка III, V и приложение I от 2009 г.].</w:t>
      </w:r>
    </w:p>
    <w:p w14:paraId="02C5CBB4" w14:textId="5B33DDEF" w:rsidR="00C13683" w:rsidRPr="008C08CD" w:rsidRDefault="001938C8" w:rsidP="003E1CBF">
      <w:pPr>
        <w:widowControl/>
        <w:tabs>
          <w:tab w:val="left" w:pos="1620"/>
          <w:tab w:val="left" w:pos="1890"/>
        </w:tabs>
        <w:spacing w:after="120"/>
        <w:ind w:left="2340" w:hanging="450"/>
        <w:rPr>
          <w:sz w:val="20"/>
          <w:lang w:val="bg-BG"/>
        </w:rPr>
      </w:pPr>
      <w:r>
        <w:rPr>
          <w:sz w:val="20"/>
          <w:lang w:val="bg-BG"/>
        </w:rPr>
        <w:t>в</w:t>
      </w:r>
      <w:r w:rsidR="00C13683" w:rsidRPr="008C08CD">
        <w:rPr>
          <w:sz w:val="20"/>
          <w:lang w:val="bg-BG"/>
        </w:rPr>
        <w:t xml:space="preserve">) </w:t>
      </w:r>
      <w:r w:rsidR="003E1CBF" w:rsidRPr="008C08CD">
        <w:rPr>
          <w:sz w:val="20"/>
          <w:lang w:val="bg-BG"/>
        </w:rPr>
        <w:tab/>
      </w:r>
      <w:r w:rsidR="00574BE6">
        <w:rPr>
          <w:sz w:val="20"/>
          <w:lang w:val="bg-BG"/>
        </w:rPr>
        <w:t xml:space="preserve">да </w:t>
      </w:r>
      <w:r w:rsidR="00C13683" w:rsidRPr="008C08CD">
        <w:rPr>
          <w:sz w:val="20"/>
          <w:lang w:val="bg-BG"/>
        </w:rPr>
        <w:t xml:space="preserve">гарантира, че всички твърдения за подкуп </w:t>
      </w:r>
      <w:r w:rsidR="003E1CBF">
        <w:rPr>
          <w:sz w:val="20"/>
          <w:lang w:val="bg-BG"/>
        </w:rPr>
        <w:t>на чужди длъжностни лица</w:t>
      </w:r>
      <w:r w:rsidR="00C13683" w:rsidRPr="008C08CD">
        <w:rPr>
          <w:sz w:val="20"/>
          <w:lang w:val="bg-BG"/>
        </w:rPr>
        <w:t xml:space="preserve"> </w:t>
      </w:r>
      <w:r w:rsidR="003E1CBF">
        <w:rPr>
          <w:sz w:val="20"/>
          <w:lang w:val="bg-BG"/>
        </w:rPr>
        <w:t>се</w:t>
      </w:r>
      <w:r w:rsidR="00C13683" w:rsidRPr="008C08CD">
        <w:rPr>
          <w:sz w:val="20"/>
          <w:lang w:val="bg-BG"/>
        </w:rPr>
        <w:t xml:space="preserve"> </w:t>
      </w:r>
      <w:r w:rsidR="003E1CBF" w:rsidRPr="008C08CD">
        <w:rPr>
          <w:sz w:val="20"/>
          <w:lang w:val="bg-BG"/>
        </w:rPr>
        <w:t>оценяват</w:t>
      </w:r>
      <w:r w:rsidR="00C13683" w:rsidRPr="008C08CD">
        <w:rPr>
          <w:sz w:val="20"/>
          <w:lang w:val="bg-BG"/>
        </w:rPr>
        <w:t xml:space="preserve"> </w:t>
      </w:r>
      <w:r w:rsidR="003E1CBF" w:rsidRPr="008C08CD">
        <w:rPr>
          <w:sz w:val="20"/>
          <w:lang w:val="bg-BG"/>
        </w:rPr>
        <w:t xml:space="preserve">надлежно </w:t>
      </w:r>
      <w:r w:rsidR="00C13683" w:rsidRPr="008C08CD">
        <w:rPr>
          <w:sz w:val="20"/>
          <w:lang w:val="bg-BG"/>
        </w:rPr>
        <w:t>от компетентните органи и</w:t>
      </w:r>
      <w:r w:rsidR="003E1CBF">
        <w:rPr>
          <w:sz w:val="20"/>
          <w:lang w:val="bg-BG"/>
        </w:rPr>
        <w:t xml:space="preserve"> че</w:t>
      </w:r>
      <w:r w:rsidR="00C13683" w:rsidRPr="008C08CD">
        <w:rPr>
          <w:sz w:val="20"/>
          <w:lang w:val="bg-BG"/>
        </w:rPr>
        <w:t xml:space="preserve">, когато е целесъобразно, </w:t>
      </w:r>
      <w:r w:rsidR="003E1CBF">
        <w:rPr>
          <w:sz w:val="20"/>
          <w:lang w:val="bg-BG"/>
        </w:rPr>
        <w:t xml:space="preserve">се </w:t>
      </w:r>
      <w:r w:rsidR="00C13683" w:rsidRPr="008C08CD">
        <w:rPr>
          <w:sz w:val="20"/>
          <w:lang w:val="bg-BG"/>
        </w:rPr>
        <w:t>образуват досъдебн</w:t>
      </w:r>
      <w:r w:rsidR="003E1CBF">
        <w:rPr>
          <w:sz w:val="20"/>
          <w:lang w:val="bg-BG"/>
        </w:rPr>
        <w:t>и</w:t>
      </w:r>
      <w:r w:rsidR="00C13683" w:rsidRPr="008C08CD">
        <w:rPr>
          <w:sz w:val="20"/>
          <w:lang w:val="bg-BG"/>
        </w:rPr>
        <w:t xml:space="preserve"> производств</w:t>
      </w:r>
      <w:r w:rsidR="003E1CBF">
        <w:rPr>
          <w:sz w:val="20"/>
          <w:lang w:val="bg-BG"/>
        </w:rPr>
        <w:t>а</w:t>
      </w:r>
      <w:r w:rsidR="00C13683" w:rsidRPr="008C08CD">
        <w:rPr>
          <w:sz w:val="20"/>
          <w:lang w:val="bg-BG"/>
        </w:rPr>
        <w:t xml:space="preserve"> [член 5 от Конвенцията и коментар 27; Препоръка от 2009 г., приложение </w:t>
      </w:r>
      <w:r w:rsidR="00C13683" w:rsidRPr="00C13683">
        <w:rPr>
          <w:sz w:val="20"/>
        </w:rPr>
        <w:t>I</w:t>
      </w:r>
      <w:r w:rsidR="00C13683" w:rsidRPr="008C08CD">
        <w:rPr>
          <w:sz w:val="20"/>
          <w:lang w:val="bg-BG"/>
        </w:rPr>
        <w:t>.</w:t>
      </w:r>
      <w:r w:rsidR="00C13683" w:rsidRPr="00C13683">
        <w:rPr>
          <w:sz w:val="20"/>
        </w:rPr>
        <w:t>D</w:t>
      </w:r>
      <w:r w:rsidR="00C13683" w:rsidRPr="008C08CD">
        <w:rPr>
          <w:sz w:val="20"/>
          <w:lang w:val="bg-BG"/>
        </w:rPr>
        <w:t>];</w:t>
      </w:r>
    </w:p>
    <w:p w14:paraId="7924692A" w14:textId="139BBEB5" w:rsidR="00C13683" w:rsidRPr="008C08CD" w:rsidRDefault="001B5CD5" w:rsidP="003E1CBF">
      <w:pPr>
        <w:widowControl/>
        <w:tabs>
          <w:tab w:val="left" w:pos="1620"/>
          <w:tab w:val="left" w:pos="1890"/>
        </w:tabs>
        <w:spacing w:after="120"/>
        <w:ind w:left="2340" w:hanging="450"/>
        <w:rPr>
          <w:sz w:val="20"/>
          <w:lang w:val="bg-BG"/>
        </w:rPr>
      </w:pPr>
      <w:r>
        <w:rPr>
          <w:sz w:val="20"/>
          <w:lang w:val="bg-BG"/>
        </w:rPr>
        <w:t>г</w:t>
      </w:r>
      <w:r w:rsidR="00C13683" w:rsidRPr="008C08CD">
        <w:rPr>
          <w:sz w:val="20"/>
          <w:lang w:val="bg-BG"/>
        </w:rPr>
        <w:t xml:space="preserve">) </w:t>
      </w:r>
      <w:r w:rsidR="003E1CBF" w:rsidRPr="008C08CD">
        <w:rPr>
          <w:sz w:val="20"/>
          <w:lang w:val="bg-BG"/>
        </w:rPr>
        <w:tab/>
      </w:r>
      <w:r w:rsidR="00C13683" w:rsidRPr="008C08CD">
        <w:rPr>
          <w:sz w:val="20"/>
          <w:lang w:val="bg-BG"/>
        </w:rPr>
        <w:t xml:space="preserve">да измени член 209, </w:t>
      </w:r>
      <w:r w:rsidR="001A5D2C">
        <w:rPr>
          <w:sz w:val="20"/>
          <w:lang w:val="bg-BG"/>
        </w:rPr>
        <w:t>ал.</w:t>
      </w:r>
      <w:r w:rsidR="00C13683" w:rsidRPr="008C08CD">
        <w:rPr>
          <w:sz w:val="20"/>
          <w:lang w:val="bg-BG"/>
        </w:rPr>
        <w:t xml:space="preserve"> 1 от </w:t>
      </w:r>
      <w:r w:rsidR="003E1CBF">
        <w:rPr>
          <w:sz w:val="20"/>
          <w:lang w:val="bg-BG"/>
        </w:rPr>
        <w:t>Н</w:t>
      </w:r>
      <w:r w:rsidR="00C13683" w:rsidRPr="008C08CD">
        <w:rPr>
          <w:sz w:val="20"/>
          <w:lang w:val="bg-BG"/>
        </w:rPr>
        <w:t>ПК, за да позволи анонимните съобщения да се считат за закон</w:t>
      </w:r>
      <w:r w:rsidR="003E1CBF">
        <w:rPr>
          <w:sz w:val="20"/>
          <w:lang w:val="bg-BG"/>
        </w:rPr>
        <w:t>ен</w:t>
      </w:r>
      <w:r w:rsidR="003E1CBF" w:rsidRPr="008C08CD">
        <w:rPr>
          <w:sz w:val="20"/>
          <w:lang w:val="bg-BG"/>
        </w:rPr>
        <w:t xml:space="preserve"> повод</w:t>
      </w:r>
      <w:r w:rsidR="00C13683" w:rsidRPr="008C08CD">
        <w:rPr>
          <w:sz w:val="20"/>
          <w:lang w:val="bg-BG"/>
        </w:rPr>
        <w:t>, като по този начин потенциално ще се увелич</w:t>
      </w:r>
      <w:r w:rsidR="001A5D2C">
        <w:rPr>
          <w:sz w:val="20"/>
          <w:lang w:val="bg-BG"/>
        </w:rPr>
        <w:t>ат</w:t>
      </w:r>
      <w:r w:rsidR="00C13683" w:rsidRPr="008C08CD">
        <w:rPr>
          <w:sz w:val="20"/>
          <w:lang w:val="bg-BG"/>
        </w:rPr>
        <w:t xml:space="preserve"> източни</w:t>
      </w:r>
      <w:r w:rsidR="001A5D2C">
        <w:rPr>
          <w:sz w:val="20"/>
          <w:lang w:val="bg-BG"/>
        </w:rPr>
        <w:t>ците</w:t>
      </w:r>
      <w:r w:rsidR="00C13683" w:rsidRPr="008C08CD">
        <w:rPr>
          <w:sz w:val="20"/>
          <w:lang w:val="bg-BG"/>
        </w:rPr>
        <w:t xml:space="preserve"> за разкриване на </w:t>
      </w:r>
      <w:r w:rsidR="001938C8">
        <w:rPr>
          <w:sz w:val="20"/>
          <w:lang w:val="bg-BG"/>
        </w:rPr>
        <w:t>престъпления</w:t>
      </w:r>
      <w:r w:rsidR="00C13683" w:rsidRPr="008C08CD">
        <w:rPr>
          <w:sz w:val="20"/>
          <w:lang w:val="bg-BG"/>
        </w:rPr>
        <w:t xml:space="preserve">[член 5 от Конвенцията и коментар 27; Препоръка </w:t>
      </w:r>
      <w:r w:rsidR="00C13683" w:rsidRPr="00C13683">
        <w:rPr>
          <w:sz w:val="20"/>
        </w:rPr>
        <w:t>IX</w:t>
      </w:r>
      <w:r w:rsidR="00C13683" w:rsidRPr="008C08CD">
        <w:rPr>
          <w:sz w:val="20"/>
          <w:lang w:val="bg-BG"/>
        </w:rPr>
        <w:t xml:space="preserve"> (</w:t>
      </w:r>
      <w:r w:rsidR="00C13683" w:rsidRPr="00C13683">
        <w:rPr>
          <w:sz w:val="20"/>
        </w:rPr>
        <w:t>i</w:t>
      </w:r>
      <w:r w:rsidR="00C13683" w:rsidRPr="008C08CD">
        <w:rPr>
          <w:sz w:val="20"/>
          <w:lang w:val="bg-BG"/>
        </w:rPr>
        <w:t>) и (</w:t>
      </w:r>
      <w:r w:rsidR="00C13683" w:rsidRPr="00C13683">
        <w:rPr>
          <w:sz w:val="20"/>
        </w:rPr>
        <w:t>ii</w:t>
      </w:r>
      <w:r w:rsidR="00C13683" w:rsidRPr="008C08CD">
        <w:rPr>
          <w:sz w:val="20"/>
          <w:lang w:val="bg-BG"/>
        </w:rPr>
        <w:t xml:space="preserve">) и приложение </w:t>
      </w:r>
      <w:r w:rsidR="00C13683" w:rsidRPr="00C13683">
        <w:rPr>
          <w:sz w:val="20"/>
        </w:rPr>
        <w:t>I</w:t>
      </w:r>
      <w:r w:rsidR="00C13683" w:rsidRPr="008C08CD">
        <w:rPr>
          <w:sz w:val="20"/>
          <w:lang w:val="bg-BG"/>
        </w:rPr>
        <w:t>.</w:t>
      </w:r>
      <w:r w:rsidR="00C13683" w:rsidRPr="00C13683">
        <w:rPr>
          <w:sz w:val="20"/>
        </w:rPr>
        <w:t>D</w:t>
      </w:r>
      <w:r w:rsidR="003E1CBF" w:rsidRPr="008C08CD">
        <w:rPr>
          <w:sz w:val="20"/>
          <w:lang w:val="bg-BG"/>
        </w:rPr>
        <w:t xml:space="preserve"> от 2009 г.</w:t>
      </w:r>
      <w:r w:rsidR="00C13683" w:rsidRPr="008C08CD">
        <w:rPr>
          <w:sz w:val="20"/>
          <w:lang w:val="bg-BG"/>
        </w:rPr>
        <w:t>];</w:t>
      </w:r>
    </w:p>
    <w:p w14:paraId="49176B79" w14:textId="3F74EC9D" w:rsidR="001B5CD5" w:rsidRPr="008C08CD" w:rsidRDefault="001B5CD5" w:rsidP="001B5CD5">
      <w:pPr>
        <w:widowControl/>
        <w:tabs>
          <w:tab w:val="left" w:pos="1620"/>
          <w:tab w:val="left" w:pos="1890"/>
        </w:tabs>
        <w:spacing w:after="120"/>
        <w:ind w:left="2340" w:hanging="450"/>
        <w:rPr>
          <w:sz w:val="20"/>
          <w:lang w:val="bg-BG"/>
        </w:rPr>
      </w:pPr>
      <w:r>
        <w:rPr>
          <w:sz w:val="20"/>
          <w:lang w:val="bg-BG"/>
        </w:rPr>
        <w:t>д</w:t>
      </w:r>
      <w:r w:rsidR="00C13683" w:rsidRPr="008C08CD">
        <w:rPr>
          <w:sz w:val="20"/>
          <w:lang w:val="bg-BG"/>
        </w:rPr>
        <w:t xml:space="preserve">) </w:t>
      </w:r>
      <w:r w:rsidR="003E1CBF" w:rsidRPr="008C08CD">
        <w:rPr>
          <w:sz w:val="20"/>
          <w:lang w:val="bg-BG"/>
        </w:rPr>
        <w:tab/>
      </w:r>
      <w:r w:rsidR="003E1CBF">
        <w:rPr>
          <w:sz w:val="20"/>
          <w:lang w:val="bg-BG"/>
        </w:rPr>
        <w:t xml:space="preserve">да </w:t>
      </w:r>
      <w:r w:rsidR="00C13683" w:rsidRPr="008C08CD">
        <w:rPr>
          <w:sz w:val="20"/>
          <w:lang w:val="bg-BG"/>
        </w:rPr>
        <w:t>възл</w:t>
      </w:r>
      <w:r w:rsidR="003E1CBF">
        <w:rPr>
          <w:sz w:val="20"/>
          <w:lang w:val="bg-BG"/>
        </w:rPr>
        <w:t>ожи</w:t>
      </w:r>
      <w:r w:rsidR="00C13683" w:rsidRPr="008C08CD">
        <w:rPr>
          <w:sz w:val="20"/>
          <w:lang w:val="bg-BG"/>
        </w:rPr>
        <w:t xml:space="preserve"> основната отговорност за </w:t>
      </w:r>
      <w:r w:rsidR="003E1CBF">
        <w:rPr>
          <w:sz w:val="20"/>
          <w:lang w:val="bg-BG"/>
        </w:rPr>
        <w:t xml:space="preserve">случаи на </w:t>
      </w:r>
      <w:r w:rsidR="00C13683" w:rsidRPr="008C08CD">
        <w:rPr>
          <w:sz w:val="20"/>
          <w:lang w:val="bg-BG"/>
        </w:rPr>
        <w:t>подкуп</w:t>
      </w:r>
      <w:r w:rsidR="003E1CBF">
        <w:rPr>
          <w:sz w:val="20"/>
          <w:lang w:val="bg-BG"/>
        </w:rPr>
        <w:t xml:space="preserve"> на чужди длъжностни лица</w:t>
      </w:r>
      <w:r w:rsidR="00C13683" w:rsidRPr="008C08CD">
        <w:rPr>
          <w:sz w:val="20"/>
          <w:lang w:val="bg-BG"/>
        </w:rPr>
        <w:t xml:space="preserve"> на конкретн</w:t>
      </w:r>
      <w:r w:rsidR="001938C8">
        <w:rPr>
          <w:sz w:val="20"/>
          <w:lang w:val="bg-BG"/>
        </w:rPr>
        <w:t>и</w:t>
      </w:r>
      <w:r w:rsidR="00C13683" w:rsidRPr="008C08CD">
        <w:rPr>
          <w:sz w:val="20"/>
          <w:lang w:val="bg-BG"/>
        </w:rPr>
        <w:t xml:space="preserve"> прокуратур</w:t>
      </w:r>
      <w:r w:rsidR="001938C8">
        <w:rPr>
          <w:sz w:val="20"/>
          <w:lang w:val="bg-BG"/>
        </w:rPr>
        <w:t>и по такъв начин, че да</w:t>
      </w:r>
      <w:r>
        <w:rPr>
          <w:sz w:val="20"/>
          <w:lang w:val="bg-BG"/>
        </w:rPr>
        <w:t xml:space="preserve"> </w:t>
      </w:r>
      <w:r w:rsidRPr="001B5CD5">
        <w:rPr>
          <w:sz w:val="20"/>
          <w:lang w:val="bg-BG"/>
        </w:rPr>
        <w:t xml:space="preserve">се осигури достатъчен приоритет </w:t>
      </w:r>
      <w:r w:rsidR="00C13683" w:rsidRPr="008C08CD">
        <w:rPr>
          <w:sz w:val="20"/>
          <w:lang w:val="bg-BG"/>
        </w:rPr>
        <w:t xml:space="preserve">на тяхното </w:t>
      </w:r>
      <w:r w:rsidR="003E1CBF">
        <w:rPr>
          <w:sz w:val="20"/>
          <w:lang w:val="bg-BG"/>
        </w:rPr>
        <w:t>разследване</w:t>
      </w:r>
      <w:r w:rsidR="00C13683" w:rsidRPr="008C08CD">
        <w:rPr>
          <w:sz w:val="20"/>
          <w:lang w:val="bg-BG"/>
        </w:rPr>
        <w:t>, да се подобри експерт</w:t>
      </w:r>
      <w:r w:rsidR="003E1CBF">
        <w:rPr>
          <w:sz w:val="20"/>
          <w:lang w:val="bg-BG"/>
        </w:rPr>
        <w:t>изата</w:t>
      </w:r>
      <w:r w:rsidR="00C13683" w:rsidRPr="008C08CD">
        <w:rPr>
          <w:sz w:val="20"/>
          <w:lang w:val="bg-BG"/>
        </w:rPr>
        <w:t xml:space="preserve"> и междуведомствената координация и да се улесни специална точка за контакт</w:t>
      </w:r>
      <w:r w:rsidR="001A5D2C">
        <w:rPr>
          <w:sz w:val="20"/>
          <w:lang w:val="bg-BG"/>
        </w:rPr>
        <w:t>, предназначена</w:t>
      </w:r>
      <w:r w:rsidR="00C13683" w:rsidRPr="008C08CD">
        <w:rPr>
          <w:sz w:val="20"/>
          <w:lang w:val="bg-BG"/>
        </w:rPr>
        <w:t xml:space="preserve"> за докладване на </w:t>
      </w:r>
      <w:r w:rsidR="001A5D2C">
        <w:rPr>
          <w:sz w:val="20"/>
          <w:lang w:val="bg-BG"/>
        </w:rPr>
        <w:t xml:space="preserve">твърдения </w:t>
      </w:r>
      <w:r w:rsidR="00C13683" w:rsidRPr="008C08CD">
        <w:rPr>
          <w:sz w:val="20"/>
          <w:lang w:val="bg-BG"/>
        </w:rPr>
        <w:t xml:space="preserve">за подкуп </w:t>
      </w:r>
      <w:r w:rsidR="00341A7B">
        <w:rPr>
          <w:sz w:val="20"/>
          <w:lang w:val="bg-BG"/>
        </w:rPr>
        <w:t>на чужди длъжностни лица от</w:t>
      </w:r>
      <w:r w:rsidR="00C13683" w:rsidRPr="008C08CD">
        <w:rPr>
          <w:sz w:val="20"/>
          <w:lang w:val="bg-BG"/>
        </w:rPr>
        <w:t xml:space="preserve"> </w:t>
      </w:r>
      <w:r w:rsidR="00341A7B">
        <w:rPr>
          <w:sz w:val="20"/>
          <w:lang w:val="bg-BG"/>
        </w:rPr>
        <w:t xml:space="preserve">страна на гружданите и </w:t>
      </w:r>
      <w:r w:rsidR="00C13683" w:rsidRPr="008C08CD">
        <w:rPr>
          <w:sz w:val="20"/>
          <w:lang w:val="bg-BG"/>
        </w:rPr>
        <w:t>правителствени</w:t>
      </w:r>
      <w:r w:rsidR="00341A7B">
        <w:rPr>
          <w:sz w:val="20"/>
          <w:lang w:val="bg-BG"/>
        </w:rPr>
        <w:t>те</w:t>
      </w:r>
      <w:r w:rsidR="00C13683" w:rsidRPr="008C08CD">
        <w:rPr>
          <w:sz w:val="20"/>
          <w:lang w:val="bg-BG"/>
        </w:rPr>
        <w:t xml:space="preserve"> агенции</w:t>
      </w:r>
      <w:r>
        <w:rPr>
          <w:sz w:val="20"/>
          <w:lang w:val="bg-BG"/>
        </w:rPr>
        <w:t xml:space="preserve">, и а да се предостави компетентност </w:t>
      </w:r>
      <w:r w:rsidRPr="001B5CD5">
        <w:rPr>
          <w:sz w:val="20"/>
          <w:lang w:val="bg-BG"/>
        </w:rPr>
        <w:t xml:space="preserve">по отношение на свързани престъпления </w:t>
      </w:r>
      <w:r w:rsidR="00C13683" w:rsidRPr="008C08CD">
        <w:rPr>
          <w:sz w:val="20"/>
          <w:lang w:val="bg-BG"/>
        </w:rPr>
        <w:t xml:space="preserve">[член 5 от Конвенцията и коментар 27; Препоръка от 2009 г., приложение </w:t>
      </w:r>
      <w:r w:rsidR="00C13683" w:rsidRPr="00C13683">
        <w:rPr>
          <w:sz w:val="20"/>
        </w:rPr>
        <w:t>I</w:t>
      </w:r>
      <w:r w:rsidR="00C13683" w:rsidRPr="008C08CD">
        <w:rPr>
          <w:sz w:val="20"/>
          <w:lang w:val="bg-BG"/>
        </w:rPr>
        <w:t>.</w:t>
      </w:r>
      <w:r w:rsidR="00C13683" w:rsidRPr="00C13683">
        <w:rPr>
          <w:sz w:val="20"/>
        </w:rPr>
        <w:t>D</w:t>
      </w:r>
      <w:r w:rsidR="00C13683" w:rsidRPr="008C08CD">
        <w:rPr>
          <w:sz w:val="20"/>
          <w:lang w:val="bg-BG"/>
        </w:rPr>
        <w:t>];</w:t>
      </w:r>
    </w:p>
    <w:p w14:paraId="25CB5732" w14:textId="03A60D11" w:rsidR="00C13683" w:rsidRPr="008C08CD" w:rsidRDefault="001B5CD5" w:rsidP="003E1CBF">
      <w:pPr>
        <w:widowControl/>
        <w:tabs>
          <w:tab w:val="left" w:pos="1620"/>
          <w:tab w:val="left" w:pos="1890"/>
        </w:tabs>
        <w:spacing w:after="120"/>
        <w:ind w:left="2340" w:hanging="450"/>
        <w:rPr>
          <w:sz w:val="20"/>
          <w:lang w:val="bg-BG"/>
        </w:rPr>
      </w:pPr>
      <w:r>
        <w:rPr>
          <w:sz w:val="20"/>
          <w:lang w:val="bg-BG"/>
        </w:rPr>
        <w:t>е</w:t>
      </w:r>
      <w:r w:rsidR="00C13683" w:rsidRPr="008C08CD">
        <w:rPr>
          <w:sz w:val="20"/>
          <w:lang w:val="bg-BG"/>
        </w:rPr>
        <w:t xml:space="preserve">) </w:t>
      </w:r>
      <w:r w:rsidR="003E1CBF" w:rsidRPr="008C08CD">
        <w:rPr>
          <w:sz w:val="20"/>
          <w:lang w:val="bg-BG"/>
        </w:rPr>
        <w:tab/>
      </w:r>
      <w:r w:rsidR="00341A7B">
        <w:rPr>
          <w:sz w:val="20"/>
          <w:lang w:val="bg-BG"/>
        </w:rPr>
        <w:t>да осигури</w:t>
      </w:r>
      <w:r w:rsidR="00C13683" w:rsidRPr="008C08CD">
        <w:rPr>
          <w:sz w:val="20"/>
          <w:lang w:val="bg-BG"/>
        </w:rPr>
        <w:t xml:space="preserve"> адекватни човешки и финансови ресурси за разследване и наказателно преследване на </w:t>
      </w:r>
      <w:r w:rsidR="00341A7B" w:rsidRPr="008C08CD">
        <w:rPr>
          <w:sz w:val="20"/>
          <w:lang w:val="bg-BG"/>
        </w:rPr>
        <w:t>физически и юридически лица</w:t>
      </w:r>
      <w:r w:rsidR="00341A7B">
        <w:rPr>
          <w:sz w:val="20"/>
          <w:lang w:val="bg-BG"/>
        </w:rPr>
        <w:t xml:space="preserve"> за подкуп на чужди длъжностни лица</w:t>
      </w:r>
      <w:r w:rsidR="00C13683" w:rsidRPr="008C08CD">
        <w:rPr>
          <w:sz w:val="20"/>
          <w:lang w:val="bg-BG"/>
        </w:rPr>
        <w:t>, включително наличиет</w:t>
      </w:r>
      <w:r w:rsidR="00C94ADE" w:rsidRPr="008C08CD">
        <w:rPr>
          <w:sz w:val="20"/>
          <w:lang w:val="bg-BG"/>
        </w:rPr>
        <w:t xml:space="preserve">о на </w:t>
      </w:r>
      <w:r w:rsidR="00D83EE9">
        <w:rPr>
          <w:sz w:val="20"/>
          <w:lang w:val="bg-BG"/>
        </w:rPr>
        <w:t>експертиза</w:t>
      </w:r>
      <w:r w:rsidR="00C94ADE" w:rsidRPr="008C08CD">
        <w:rPr>
          <w:sz w:val="20"/>
          <w:lang w:val="bg-BG"/>
        </w:rPr>
        <w:t xml:space="preserve"> в областта на съдебно</w:t>
      </w:r>
      <w:r w:rsidR="00D83EE9">
        <w:rPr>
          <w:sz w:val="20"/>
          <w:lang w:val="bg-BG"/>
        </w:rPr>
        <w:t xml:space="preserve">то </w:t>
      </w:r>
      <w:r w:rsidR="00C13683" w:rsidRPr="008C08CD">
        <w:rPr>
          <w:sz w:val="20"/>
          <w:lang w:val="bg-BG"/>
        </w:rPr>
        <w:t>счетовод</w:t>
      </w:r>
      <w:r w:rsidR="00D83EE9">
        <w:rPr>
          <w:sz w:val="20"/>
          <w:lang w:val="bg-BG"/>
        </w:rPr>
        <w:t>ство</w:t>
      </w:r>
      <w:r w:rsidR="00C13683" w:rsidRPr="008C08CD">
        <w:rPr>
          <w:sz w:val="20"/>
          <w:lang w:val="bg-BG"/>
        </w:rPr>
        <w:t xml:space="preserve"> и информационните технологии (член Член на Конвенцията и Коментар 27; Препоръка № 5 от Приложение 2009; препоръка 5 ( а)</w:t>
      </w:r>
      <w:r w:rsidR="00C94ADE">
        <w:rPr>
          <w:sz w:val="20"/>
          <w:lang w:val="bg-BG"/>
        </w:rPr>
        <w:t xml:space="preserve"> от доклада по фаза 3</w:t>
      </w:r>
      <w:r w:rsidR="00C13683" w:rsidRPr="008C08CD">
        <w:rPr>
          <w:sz w:val="20"/>
          <w:lang w:val="bg-BG"/>
        </w:rPr>
        <w:t>);</w:t>
      </w:r>
    </w:p>
    <w:p w14:paraId="274FCDFB" w14:textId="77777777" w:rsidR="00C13683" w:rsidRPr="008C08CD" w:rsidRDefault="00C13683" w:rsidP="003E1CBF">
      <w:pPr>
        <w:widowControl/>
        <w:tabs>
          <w:tab w:val="left" w:pos="1620"/>
          <w:tab w:val="left" w:pos="1890"/>
        </w:tabs>
        <w:spacing w:after="120"/>
        <w:ind w:left="1080" w:hanging="360"/>
        <w:rPr>
          <w:sz w:val="20"/>
          <w:lang w:val="bg-BG"/>
        </w:rPr>
      </w:pPr>
      <w:r w:rsidRPr="008C08CD">
        <w:rPr>
          <w:sz w:val="20"/>
          <w:lang w:val="bg-BG"/>
        </w:rPr>
        <w:t xml:space="preserve">10. </w:t>
      </w:r>
      <w:r w:rsidR="00DE338F">
        <w:rPr>
          <w:sz w:val="20"/>
          <w:lang w:val="bg-BG"/>
        </w:rPr>
        <w:t>По отношение на</w:t>
      </w:r>
      <w:r w:rsidRPr="008C08CD">
        <w:rPr>
          <w:sz w:val="20"/>
          <w:lang w:val="bg-BG"/>
        </w:rPr>
        <w:t xml:space="preserve"> </w:t>
      </w:r>
      <w:r w:rsidR="00DE338F" w:rsidRPr="008C08CD">
        <w:rPr>
          <w:b/>
          <w:sz w:val="20"/>
          <w:lang w:val="bg-BG"/>
        </w:rPr>
        <w:t>международното сътрудничество</w:t>
      </w:r>
      <w:r w:rsidR="00DE338F" w:rsidRPr="008C08CD">
        <w:rPr>
          <w:sz w:val="20"/>
          <w:lang w:val="bg-BG"/>
        </w:rPr>
        <w:t xml:space="preserve"> Р</w:t>
      </w:r>
      <w:r w:rsidRPr="008C08CD">
        <w:rPr>
          <w:sz w:val="20"/>
          <w:lang w:val="bg-BG"/>
        </w:rPr>
        <w:t>аботната група препоръчва на България:</w:t>
      </w:r>
    </w:p>
    <w:p w14:paraId="3B9DEF59" w14:textId="685CD50F" w:rsidR="00C13683" w:rsidRPr="008C08CD" w:rsidRDefault="00C13683" w:rsidP="00DE338F">
      <w:pPr>
        <w:widowControl/>
        <w:tabs>
          <w:tab w:val="left" w:pos="1620"/>
          <w:tab w:val="left" w:pos="1890"/>
        </w:tabs>
        <w:spacing w:after="120"/>
        <w:ind w:left="2340" w:hanging="450"/>
        <w:rPr>
          <w:sz w:val="20"/>
          <w:lang w:val="bg-BG"/>
        </w:rPr>
      </w:pPr>
      <w:r w:rsidRPr="008C08CD">
        <w:rPr>
          <w:sz w:val="20"/>
          <w:lang w:val="bg-BG"/>
        </w:rPr>
        <w:t xml:space="preserve">а) </w:t>
      </w:r>
      <w:r w:rsidR="00DE338F" w:rsidRPr="008C08CD">
        <w:rPr>
          <w:sz w:val="20"/>
          <w:lang w:val="bg-BG"/>
        </w:rPr>
        <w:tab/>
      </w:r>
      <w:r w:rsidR="00DE338F">
        <w:rPr>
          <w:sz w:val="20"/>
          <w:lang w:val="bg-BG"/>
        </w:rPr>
        <w:t xml:space="preserve">да </w:t>
      </w:r>
      <w:r w:rsidRPr="008C08CD">
        <w:rPr>
          <w:sz w:val="20"/>
          <w:lang w:val="bg-BG"/>
        </w:rPr>
        <w:t>поддържа подробна статистика за исканията за международно сътрудничество</w:t>
      </w:r>
      <w:r w:rsidR="003970E7">
        <w:rPr>
          <w:sz w:val="20"/>
          <w:lang w:val="bg-BG"/>
        </w:rPr>
        <w:t xml:space="preserve"> по дела за подкуп на чужди длъжностни лица</w:t>
      </w:r>
      <w:r w:rsidRPr="008C08CD">
        <w:rPr>
          <w:sz w:val="20"/>
          <w:lang w:val="bg-BG"/>
        </w:rPr>
        <w:t xml:space="preserve">, включително </w:t>
      </w:r>
      <w:r w:rsidR="00DE338F">
        <w:rPr>
          <w:sz w:val="20"/>
          <w:lang w:val="bg-BG"/>
        </w:rPr>
        <w:t>за</w:t>
      </w:r>
      <w:r w:rsidRPr="008C08CD">
        <w:rPr>
          <w:sz w:val="20"/>
          <w:lang w:val="bg-BG"/>
        </w:rPr>
        <w:t xml:space="preserve"> престъпление</w:t>
      </w:r>
      <w:r w:rsidR="00DE338F">
        <w:rPr>
          <w:sz w:val="20"/>
          <w:lang w:val="bg-BG"/>
        </w:rPr>
        <w:t>то, във връзка с което се отправя искането,</w:t>
      </w:r>
      <w:r w:rsidRPr="008C08CD">
        <w:rPr>
          <w:sz w:val="20"/>
          <w:lang w:val="bg-BG"/>
        </w:rPr>
        <w:t xml:space="preserve"> времето, необходимо за изпълнение, и естеството на търсената помощ [член 9 от Конвенцията; Препоръки </w:t>
      </w:r>
      <w:r w:rsidRPr="00C13683">
        <w:rPr>
          <w:sz w:val="20"/>
        </w:rPr>
        <w:t>III</w:t>
      </w:r>
      <w:r w:rsidRPr="008C08CD">
        <w:rPr>
          <w:sz w:val="20"/>
          <w:lang w:val="bg-BG"/>
        </w:rPr>
        <w:t xml:space="preserve"> (</w:t>
      </w:r>
      <w:r w:rsidRPr="00C13683">
        <w:rPr>
          <w:sz w:val="20"/>
        </w:rPr>
        <w:t>ix</w:t>
      </w:r>
      <w:r w:rsidRPr="008C08CD">
        <w:rPr>
          <w:sz w:val="20"/>
          <w:lang w:val="bg-BG"/>
        </w:rPr>
        <w:t xml:space="preserve">) и </w:t>
      </w:r>
      <w:r w:rsidRPr="00C13683">
        <w:rPr>
          <w:sz w:val="20"/>
        </w:rPr>
        <w:t>XIII</w:t>
      </w:r>
      <w:r w:rsidRPr="008C08CD">
        <w:rPr>
          <w:sz w:val="20"/>
          <w:lang w:val="bg-BG"/>
        </w:rPr>
        <w:t>);</w:t>
      </w:r>
      <w:r w:rsidR="00DE338F" w:rsidRPr="008C08CD">
        <w:rPr>
          <w:sz w:val="20"/>
          <w:lang w:val="bg-BG"/>
        </w:rPr>
        <w:t xml:space="preserve"> от 2009 г</w:t>
      </w:r>
      <w:r w:rsidR="00DE338F">
        <w:rPr>
          <w:sz w:val="20"/>
          <w:lang w:val="bg-BG"/>
        </w:rPr>
        <w:t>.</w:t>
      </w:r>
      <w:r w:rsidR="00DE338F" w:rsidRPr="008C08CD">
        <w:rPr>
          <w:sz w:val="20"/>
          <w:lang w:val="bg-BG"/>
        </w:rPr>
        <w:t>]</w:t>
      </w:r>
    </w:p>
    <w:p w14:paraId="34F40904" w14:textId="4C667D6F" w:rsidR="00C13683" w:rsidRPr="008C08CD" w:rsidRDefault="00DE338F" w:rsidP="00DE338F">
      <w:pPr>
        <w:widowControl/>
        <w:tabs>
          <w:tab w:val="left" w:pos="1620"/>
          <w:tab w:val="left" w:pos="1890"/>
        </w:tabs>
        <w:spacing w:after="120"/>
        <w:ind w:left="2340" w:hanging="450"/>
        <w:rPr>
          <w:sz w:val="20"/>
          <w:lang w:val="bg-BG"/>
        </w:rPr>
      </w:pPr>
      <w:r w:rsidRPr="008C08CD">
        <w:rPr>
          <w:sz w:val="20"/>
          <w:lang w:val="bg-BG"/>
        </w:rPr>
        <w:t>б) активно да използва</w:t>
      </w:r>
      <w:r w:rsidR="00C13683" w:rsidRPr="008C08CD">
        <w:rPr>
          <w:sz w:val="20"/>
          <w:lang w:val="bg-BG"/>
        </w:rPr>
        <w:t xml:space="preserve"> неофициални средства за международно сътрудничество</w:t>
      </w:r>
      <w:r w:rsidR="003970E7">
        <w:rPr>
          <w:sz w:val="20"/>
          <w:lang w:val="bg-BG"/>
        </w:rPr>
        <w:t xml:space="preserve"> по дела за подкуп на чужди длъжностни лица</w:t>
      </w:r>
      <w:r w:rsidR="00C13683" w:rsidRPr="008C08CD">
        <w:rPr>
          <w:sz w:val="20"/>
          <w:lang w:val="bg-BG"/>
        </w:rPr>
        <w:t>, включително чрез ангажиране със срещ</w:t>
      </w:r>
      <w:r>
        <w:rPr>
          <w:sz w:val="20"/>
          <w:lang w:val="bg-BG"/>
        </w:rPr>
        <w:t>ите</w:t>
      </w:r>
      <w:r w:rsidR="00C13683" w:rsidRPr="008C08CD">
        <w:rPr>
          <w:sz w:val="20"/>
          <w:lang w:val="bg-BG"/>
        </w:rPr>
        <w:t xml:space="preserve"> на </w:t>
      </w:r>
      <w:r>
        <w:rPr>
          <w:sz w:val="20"/>
          <w:lang w:val="bg-BG"/>
        </w:rPr>
        <w:t>служителите</w:t>
      </w:r>
      <w:r w:rsidR="00C13683" w:rsidRPr="008C08CD">
        <w:rPr>
          <w:sz w:val="20"/>
          <w:lang w:val="bg-BG"/>
        </w:rPr>
        <w:t xml:space="preserve"> на правоприлагащите органи (член 9 от Конвенцията; Препоръка </w:t>
      </w:r>
      <w:r w:rsidR="00C13683" w:rsidRPr="00C13683">
        <w:rPr>
          <w:sz w:val="20"/>
        </w:rPr>
        <w:t>XIII</w:t>
      </w:r>
      <w:r w:rsidR="00C13683" w:rsidRPr="008C08CD">
        <w:rPr>
          <w:sz w:val="20"/>
          <w:lang w:val="bg-BG"/>
        </w:rPr>
        <w:t xml:space="preserve"> (</w:t>
      </w:r>
      <w:r w:rsidR="00C13683" w:rsidRPr="00C13683">
        <w:rPr>
          <w:sz w:val="20"/>
        </w:rPr>
        <w:t>i</w:t>
      </w:r>
      <w:r w:rsidR="00C13683" w:rsidRPr="008C08CD">
        <w:rPr>
          <w:sz w:val="20"/>
          <w:lang w:val="bg-BG"/>
        </w:rPr>
        <w:t>) и (</w:t>
      </w:r>
      <w:r w:rsidR="00C13683" w:rsidRPr="00C13683">
        <w:rPr>
          <w:sz w:val="20"/>
        </w:rPr>
        <w:t>iii</w:t>
      </w:r>
      <w:r w:rsidR="00C13683" w:rsidRPr="008C08CD">
        <w:rPr>
          <w:sz w:val="20"/>
          <w:lang w:val="bg-BG"/>
        </w:rPr>
        <w:t>) от 2009 г.; препоръка 5 (в)</w:t>
      </w:r>
      <w:r>
        <w:rPr>
          <w:sz w:val="20"/>
          <w:lang w:val="bg-BG"/>
        </w:rPr>
        <w:t xml:space="preserve"> от доклада по фаза 3</w:t>
      </w:r>
      <w:r w:rsidR="00C13683" w:rsidRPr="008C08CD">
        <w:rPr>
          <w:sz w:val="20"/>
          <w:lang w:val="bg-BG"/>
        </w:rPr>
        <w:t>).</w:t>
      </w:r>
    </w:p>
    <w:p w14:paraId="110AB692" w14:textId="77777777" w:rsidR="00C13683" w:rsidRPr="008C08CD" w:rsidRDefault="00C13683" w:rsidP="00DE338F">
      <w:pPr>
        <w:widowControl/>
        <w:tabs>
          <w:tab w:val="left" w:pos="1620"/>
          <w:tab w:val="left" w:pos="1890"/>
        </w:tabs>
        <w:spacing w:after="120"/>
        <w:ind w:left="1080" w:hanging="360"/>
        <w:rPr>
          <w:sz w:val="20"/>
          <w:lang w:val="bg-BG"/>
        </w:rPr>
      </w:pPr>
      <w:r w:rsidRPr="008C08CD">
        <w:rPr>
          <w:sz w:val="20"/>
          <w:lang w:val="bg-BG"/>
        </w:rPr>
        <w:lastRenderedPageBreak/>
        <w:t>11. По отношение на</w:t>
      </w:r>
      <w:r w:rsidR="002C2A2D">
        <w:rPr>
          <w:sz w:val="20"/>
          <w:lang w:val="bg-BG"/>
        </w:rPr>
        <w:t xml:space="preserve"> </w:t>
      </w:r>
      <w:r w:rsidR="002C2A2D" w:rsidRPr="002C2A2D">
        <w:rPr>
          <w:b/>
          <w:sz w:val="20"/>
          <w:lang w:val="bg-BG"/>
        </w:rPr>
        <w:t>нарушенията, свързани с воденето на</w:t>
      </w:r>
      <w:r w:rsidR="00DE338F" w:rsidRPr="008C08CD">
        <w:rPr>
          <w:b/>
          <w:sz w:val="20"/>
          <w:lang w:val="bg-BG"/>
        </w:rPr>
        <w:t xml:space="preserve"> </w:t>
      </w:r>
      <w:r w:rsidR="002C2A2D" w:rsidRPr="008C08CD">
        <w:rPr>
          <w:b/>
          <w:sz w:val="20"/>
          <w:lang w:val="bg-BG"/>
        </w:rPr>
        <w:t>фалшиво счетоводство</w:t>
      </w:r>
      <w:r w:rsidR="002C2A2D">
        <w:rPr>
          <w:b/>
          <w:sz w:val="20"/>
          <w:lang w:val="bg-BG"/>
        </w:rPr>
        <w:t>,</w:t>
      </w:r>
      <w:r w:rsidR="00DE338F" w:rsidRPr="008C08CD">
        <w:rPr>
          <w:sz w:val="20"/>
          <w:lang w:val="bg-BG"/>
        </w:rPr>
        <w:t xml:space="preserve"> </w:t>
      </w:r>
      <w:r w:rsidRPr="008C08CD">
        <w:rPr>
          <w:sz w:val="20"/>
          <w:lang w:val="bg-BG"/>
        </w:rPr>
        <w:t>Работната група препоръчва на България:</w:t>
      </w:r>
    </w:p>
    <w:p w14:paraId="630AC9E4" w14:textId="06DBA385" w:rsidR="00C13683" w:rsidRPr="008C08CD" w:rsidRDefault="00C13683" w:rsidP="00DE338F">
      <w:pPr>
        <w:widowControl/>
        <w:tabs>
          <w:tab w:val="left" w:pos="1620"/>
          <w:tab w:val="left" w:pos="1890"/>
        </w:tabs>
        <w:spacing w:after="120"/>
        <w:ind w:left="2340" w:hanging="450"/>
        <w:rPr>
          <w:sz w:val="20"/>
          <w:lang w:val="bg-BG"/>
        </w:rPr>
      </w:pPr>
      <w:r w:rsidRPr="008C08CD">
        <w:rPr>
          <w:sz w:val="20"/>
          <w:lang w:val="bg-BG"/>
        </w:rPr>
        <w:t xml:space="preserve">а) </w:t>
      </w:r>
      <w:r w:rsidR="00DE338F" w:rsidRPr="008C08CD">
        <w:rPr>
          <w:sz w:val="20"/>
          <w:lang w:val="bg-BG"/>
        </w:rPr>
        <w:tab/>
      </w:r>
      <w:r w:rsidRPr="008C08CD">
        <w:rPr>
          <w:sz w:val="20"/>
          <w:lang w:val="bg-BG"/>
        </w:rPr>
        <w:t xml:space="preserve">повишаване на осведомеността за </w:t>
      </w:r>
      <w:r w:rsidR="002C2A2D">
        <w:rPr>
          <w:sz w:val="20"/>
          <w:lang w:val="bg-BG"/>
        </w:rPr>
        <w:t xml:space="preserve">новия </w:t>
      </w:r>
      <w:r w:rsidR="001938C8">
        <w:rPr>
          <w:sz w:val="20"/>
          <w:lang w:val="bg-BG"/>
        </w:rPr>
        <w:t xml:space="preserve">административен </w:t>
      </w:r>
      <w:r w:rsidR="002C2A2D">
        <w:rPr>
          <w:sz w:val="20"/>
          <w:lang w:val="bg-BG"/>
        </w:rPr>
        <w:t xml:space="preserve">състав на </w:t>
      </w:r>
      <w:r w:rsidR="002C2A2D" w:rsidRPr="008C08CD">
        <w:rPr>
          <w:sz w:val="20"/>
          <w:lang w:val="bg-BG"/>
        </w:rPr>
        <w:t>фалшиво счетоводство</w:t>
      </w:r>
      <w:r w:rsidRPr="008C08CD">
        <w:rPr>
          <w:sz w:val="20"/>
          <w:lang w:val="bg-BG"/>
        </w:rPr>
        <w:t xml:space="preserve"> </w:t>
      </w:r>
      <w:r w:rsidR="00280648" w:rsidRPr="008C08CD">
        <w:rPr>
          <w:sz w:val="20"/>
          <w:lang w:val="bg-BG"/>
        </w:rPr>
        <w:t>сред съответните практици</w:t>
      </w:r>
      <w:r w:rsidRPr="008C08CD">
        <w:rPr>
          <w:sz w:val="20"/>
          <w:lang w:val="bg-BG"/>
        </w:rPr>
        <w:t xml:space="preserve"> [член 8 от Конвенцията; Препоръка </w:t>
      </w:r>
      <w:r w:rsidRPr="00C13683">
        <w:rPr>
          <w:sz w:val="20"/>
        </w:rPr>
        <w:t>III</w:t>
      </w:r>
      <w:r w:rsidRPr="008C08CD">
        <w:rPr>
          <w:sz w:val="20"/>
          <w:lang w:val="bg-BG"/>
        </w:rPr>
        <w:t xml:space="preserve"> (</w:t>
      </w:r>
      <w:r w:rsidRPr="00C13683">
        <w:rPr>
          <w:sz w:val="20"/>
        </w:rPr>
        <w:t>i</w:t>
      </w:r>
      <w:r w:rsidRPr="008C08CD">
        <w:rPr>
          <w:sz w:val="20"/>
          <w:lang w:val="bg-BG"/>
        </w:rPr>
        <w:t xml:space="preserve">) и </w:t>
      </w:r>
      <w:r w:rsidRPr="00C13683">
        <w:rPr>
          <w:sz w:val="20"/>
        </w:rPr>
        <w:t>X</w:t>
      </w:r>
      <w:r w:rsidRPr="008C08CD">
        <w:rPr>
          <w:sz w:val="20"/>
          <w:lang w:val="bg-BG"/>
        </w:rPr>
        <w:t>.</w:t>
      </w:r>
      <w:r w:rsidRPr="00C13683">
        <w:rPr>
          <w:sz w:val="20"/>
        </w:rPr>
        <w:t>B</w:t>
      </w:r>
      <w:r w:rsidRPr="008C08CD">
        <w:rPr>
          <w:sz w:val="20"/>
          <w:lang w:val="bg-BG"/>
        </w:rPr>
        <w:t xml:space="preserve"> (</w:t>
      </w:r>
      <w:r w:rsidRPr="00C13683">
        <w:rPr>
          <w:sz w:val="20"/>
        </w:rPr>
        <w:t>iii</w:t>
      </w:r>
      <w:r w:rsidRPr="008C08CD">
        <w:rPr>
          <w:sz w:val="20"/>
          <w:lang w:val="bg-BG"/>
        </w:rPr>
        <w:t>) и (</w:t>
      </w:r>
      <w:r w:rsidRPr="00C13683">
        <w:rPr>
          <w:sz w:val="20"/>
        </w:rPr>
        <w:t>v</w:t>
      </w:r>
      <w:r w:rsidRPr="008C08CD">
        <w:rPr>
          <w:sz w:val="20"/>
          <w:lang w:val="bg-BG"/>
        </w:rPr>
        <w:t>) от 2009 г.];</w:t>
      </w:r>
    </w:p>
    <w:p w14:paraId="2FF01B47" w14:textId="77777777" w:rsidR="00C13683" w:rsidRPr="008C08CD" w:rsidRDefault="00C13683" w:rsidP="00DE338F">
      <w:pPr>
        <w:widowControl/>
        <w:tabs>
          <w:tab w:val="left" w:pos="1620"/>
          <w:tab w:val="left" w:pos="1890"/>
        </w:tabs>
        <w:spacing w:after="120"/>
        <w:ind w:left="2340" w:hanging="450"/>
        <w:rPr>
          <w:sz w:val="20"/>
          <w:lang w:val="bg-BG"/>
        </w:rPr>
      </w:pPr>
      <w:r w:rsidRPr="008C08CD">
        <w:rPr>
          <w:sz w:val="20"/>
          <w:lang w:val="bg-BG"/>
        </w:rPr>
        <w:t xml:space="preserve">б) </w:t>
      </w:r>
      <w:r w:rsidR="00DE338F" w:rsidRPr="008C08CD">
        <w:rPr>
          <w:sz w:val="20"/>
          <w:lang w:val="bg-BG"/>
        </w:rPr>
        <w:tab/>
      </w:r>
      <w:r w:rsidRPr="008C08CD">
        <w:rPr>
          <w:sz w:val="20"/>
          <w:lang w:val="bg-BG"/>
        </w:rPr>
        <w:t>да въведе адекватни санкции за фалшиво счетоводно нарушение с цел подкупване на чужд</w:t>
      </w:r>
      <w:r w:rsidR="00280648">
        <w:rPr>
          <w:sz w:val="20"/>
          <w:lang w:val="bg-BG"/>
        </w:rPr>
        <w:t>и</w:t>
      </w:r>
      <w:r w:rsidRPr="008C08CD">
        <w:rPr>
          <w:sz w:val="20"/>
          <w:lang w:val="bg-BG"/>
        </w:rPr>
        <w:t xml:space="preserve"> </w:t>
      </w:r>
      <w:r w:rsidR="00280648">
        <w:rPr>
          <w:sz w:val="20"/>
          <w:lang w:val="bg-BG"/>
        </w:rPr>
        <w:t>длъжностни лица</w:t>
      </w:r>
      <w:r w:rsidRPr="008C08CD">
        <w:rPr>
          <w:sz w:val="20"/>
          <w:lang w:val="bg-BG"/>
        </w:rPr>
        <w:t xml:space="preserve"> или за укриване на такъв подкуп [член 8 от Конвенцията; Препоръка </w:t>
      </w:r>
      <w:r w:rsidRPr="00C13683">
        <w:rPr>
          <w:sz w:val="20"/>
        </w:rPr>
        <w:t>III</w:t>
      </w:r>
      <w:r w:rsidRPr="008C08CD">
        <w:rPr>
          <w:sz w:val="20"/>
          <w:lang w:val="bg-BG"/>
        </w:rPr>
        <w:t xml:space="preserve"> (</w:t>
      </w:r>
      <w:r w:rsidRPr="00C13683">
        <w:rPr>
          <w:sz w:val="20"/>
        </w:rPr>
        <w:t>i</w:t>
      </w:r>
      <w:r w:rsidRPr="008C08CD">
        <w:rPr>
          <w:sz w:val="20"/>
          <w:lang w:val="bg-BG"/>
        </w:rPr>
        <w:t xml:space="preserve">) и </w:t>
      </w:r>
      <w:r w:rsidRPr="00C13683">
        <w:rPr>
          <w:sz w:val="20"/>
        </w:rPr>
        <w:t>X</w:t>
      </w:r>
      <w:r w:rsidRPr="008C08CD">
        <w:rPr>
          <w:sz w:val="20"/>
          <w:lang w:val="bg-BG"/>
        </w:rPr>
        <w:t>.</w:t>
      </w:r>
      <w:r w:rsidRPr="00C13683">
        <w:rPr>
          <w:sz w:val="20"/>
        </w:rPr>
        <w:t>A</w:t>
      </w:r>
      <w:r w:rsidRPr="008C08CD">
        <w:rPr>
          <w:sz w:val="20"/>
          <w:lang w:val="bg-BG"/>
        </w:rPr>
        <w:t xml:space="preserve"> (</w:t>
      </w:r>
      <w:r w:rsidRPr="00C13683">
        <w:rPr>
          <w:sz w:val="20"/>
        </w:rPr>
        <w:t>iii</w:t>
      </w:r>
      <w:r w:rsidRPr="008C08CD">
        <w:rPr>
          <w:sz w:val="20"/>
          <w:lang w:val="bg-BG"/>
        </w:rPr>
        <w:t xml:space="preserve">) от 2009 г.); </w:t>
      </w:r>
      <w:r w:rsidR="00280648" w:rsidRPr="008C08CD">
        <w:rPr>
          <w:sz w:val="20"/>
          <w:lang w:val="bg-BG"/>
        </w:rPr>
        <w:t>п</w:t>
      </w:r>
      <w:r w:rsidRPr="008C08CD">
        <w:rPr>
          <w:sz w:val="20"/>
          <w:lang w:val="bg-BG"/>
        </w:rPr>
        <w:t>репоръка 6 (а)</w:t>
      </w:r>
      <w:r w:rsidR="00280648">
        <w:rPr>
          <w:sz w:val="20"/>
          <w:lang w:val="bg-BG"/>
        </w:rPr>
        <w:t xml:space="preserve"> от доклада по фаза 3</w:t>
      </w:r>
      <w:r w:rsidRPr="008C08CD">
        <w:rPr>
          <w:sz w:val="20"/>
          <w:lang w:val="bg-BG"/>
        </w:rPr>
        <w:t>].</w:t>
      </w:r>
    </w:p>
    <w:p w14:paraId="29533867" w14:textId="77777777" w:rsidR="00C13683" w:rsidRPr="008C08CD" w:rsidRDefault="00C13683" w:rsidP="00C13683">
      <w:pPr>
        <w:widowControl/>
        <w:tabs>
          <w:tab w:val="left" w:pos="1620"/>
          <w:tab w:val="left" w:pos="1890"/>
        </w:tabs>
        <w:spacing w:after="120"/>
        <w:rPr>
          <w:b/>
          <w:i/>
          <w:sz w:val="20"/>
          <w:lang w:val="bg-BG"/>
        </w:rPr>
      </w:pPr>
      <w:r w:rsidRPr="008C08CD">
        <w:rPr>
          <w:b/>
          <w:i/>
          <w:sz w:val="20"/>
          <w:lang w:val="bg-BG"/>
        </w:rPr>
        <w:t>Препоръки относно отговорността и ангажираността с юридически лица</w:t>
      </w:r>
    </w:p>
    <w:p w14:paraId="78A79770" w14:textId="77777777" w:rsidR="00C13683" w:rsidRPr="008C08CD" w:rsidRDefault="00FD6875" w:rsidP="00FD6875">
      <w:pPr>
        <w:widowControl/>
        <w:tabs>
          <w:tab w:val="left" w:pos="720"/>
          <w:tab w:val="left" w:pos="1080"/>
          <w:tab w:val="left" w:pos="1170"/>
        </w:tabs>
        <w:spacing w:after="120"/>
        <w:ind w:left="1530" w:hanging="540"/>
        <w:rPr>
          <w:sz w:val="20"/>
          <w:lang w:val="bg-BG"/>
        </w:rPr>
      </w:pPr>
      <w:r w:rsidRPr="008C08CD">
        <w:rPr>
          <w:sz w:val="20"/>
          <w:lang w:val="bg-BG"/>
        </w:rPr>
        <w:tab/>
        <w:t xml:space="preserve">12. </w:t>
      </w:r>
      <w:r>
        <w:rPr>
          <w:sz w:val="20"/>
          <w:lang w:val="bg-BG"/>
        </w:rPr>
        <w:t>По отношение на</w:t>
      </w:r>
      <w:r w:rsidR="00C13683" w:rsidRPr="008C08CD">
        <w:rPr>
          <w:sz w:val="20"/>
          <w:lang w:val="bg-BG"/>
        </w:rPr>
        <w:t xml:space="preserve"> </w:t>
      </w:r>
      <w:r w:rsidR="00C13683" w:rsidRPr="008C08CD">
        <w:rPr>
          <w:b/>
          <w:sz w:val="20"/>
          <w:lang w:val="bg-BG"/>
        </w:rPr>
        <w:t>отг</w:t>
      </w:r>
      <w:r w:rsidRPr="008C08CD">
        <w:rPr>
          <w:b/>
          <w:sz w:val="20"/>
          <w:lang w:val="bg-BG"/>
        </w:rPr>
        <w:t>оворността на юридическите лица</w:t>
      </w:r>
      <w:r w:rsidR="00C13683" w:rsidRPr="008C08CD">
        <w:rPr>
          <w:sz w:val="20"/>
          <w:lang w:val="bg-BG"/>
        </w:rPr>
        <w:t xml:space="preserve"> Работната група </w:t>
      </w:r>
      <w:r>
        <w:rPr>
          <w:sz w:val="20"/>
          <w:lang w:val="bg-BG"/>
        </w:rPr>
        <w:t xml:space="preserve"> </w:t>
      </w:r>
      <w:r w:rsidR="00C13683" w:rsidRPr="008C08CD">
        <w:rPr>
          <w:sz w:val="20"/>
          <w:lang w:val="bg-BG"/>
        </w:rPr>
        <w:t>препоръчва на България:</w:t>
      </w:r>
    </w:p>
    <w:p w14:paraId="5069A397" w14:textId="77777777" w:rsidR="00FD6875" w:rsidRPr="00E73E0D" w:rsidRDefault="00C13683" w:rsidP="00FD6875">
      <w:pPr>
        <w:widowControl/>
        <w:tabs>
          <w:tab w:val="left" w:pos="1620"/>
          <w:tab w:val="left" w:pos="2160"/>
        </w:tabs>
        <w:spacing w:after="120"/>
        <w:ind w:left="2160" w:hanging="360"/>
        <w:rPr>
          <w:sz w:val="20"/>
          <w:lang w:val="bg-BG"/>
        </w:rPr>
      </w:pPr>
      <w:r w:rsidRPr="008C08CD">
        <w:rPr>
          <w:sz w:val="20"/>
          <w:lang w:val="bg-BG"/>
        </w:rPr>
        <w:t xml:space="preserve">а) </w:t>
      </w:r>
      <w:r w:rsidR="00FD6875" w:rsidRPr="008C08CD">
        <w:rPr>
          <w:sz w:val="20"/>
          <w:lang w:val="bg-BG"/>
        </w:rPr>
        <w:tab/>
      </w:r>
      <w:r w:rsidRPr="008C08CD">
        <w:rPr>
          <w:sz w:val="20"/>
          <w:lang w:val="bg-BG"/>
        </w:rPr>
        <w:t xml:space="preserve">да измени законодателството си, за да предостави юрисдикция </w:t>
      </w:r>
      <w:r w:rsidR="00FD6875">
        <w:rPr>
          <w:sz w:val="20"/>
          <w:lang w:val="bg-BG"/>
        </w:rPr>
        <w:t xml:space="preserve">за </w:t>
      </w:r>
      <w:r w:rsidR="00FD6875" w:rsidRPr="008C08CD">
        <w:rPr>
          <w:sz w:val="20"/>
          <w:lang w:val="bg-BG"/>
        </w:rPr>
        <w:t xml:space="preserve">преследване на български компании, в случаите когато </w:t>
      </w:r>
      <w:r w:rsidR="00E73E0D">
        <w:rPr>
          <w:sz w:val="20"/>
          <w:lang w:val="bg-BG"/>
        </w:rPr>
        <w:t xml:space="preserve">юридическото лице използва чужди граждани за </w:t>
      </w:r>
      <w:r w:rsidR="00FD6875" w:rsidRPr="008C08CD">
        <w:rPr>
          <w:sz w:val="20"/>
          <w:lang w:val="bg-BG"/>
        </w:rPr>
        <w:t xml:space="preserve">подкуп на чуждо длъжностно лице </w:t>
      </w:r>
      <w:r w:rsidR="00E73E0D">
        <w:rPr>
          <w:sz w:val="20"/>
          <w:lang w:val="bg-BG"/>
        </w:rPr>
        <w:t xml:space="preserve">от него име </w:t>
      </w:r>
      <w:r w:rsidRPr="008C08CD">
        <w:rPr>
          <w:sz w:val="20"/>
          <w:lang w:val="bg-BG"/>
        </w:rPr>
        <w:t>в чужбина [членове 2 и 4 от Конвенцията; препоръка 2 (а</w:t>
      </w:r>
      <w:r w:rsidR="00E73E0D">
        <w:rPr>
          <w:sz w:val="20"/>
          <w:lang w:val="bg-BG"/>
        </w:rPr>
        <w:t>)</w:t>
      </w:r>
      <w:r w:rsidR="00E73E0D" w:rsidRPr="008C08CD">
        <w:rPr>
          <w:sz w:val="20"/>
          <w:lang w:val="bg-BG"/>
        </w:rPr>
        <w:t xml:space="preserve"> </w:t>
      </w:r>
      <w:r w:rsidR="00E73E0D">
        <w:rPr>
          <w:sz w:val="20"/>
          <w:lang w:val="bg-BG"/>
        </w:rPr>
        <w:t xml:space="preserve">от доклада по </w:t>
      </w:r>
      <w:r w:rsidR="00E73E0D" w:rsidRPr="008C08CD">
        <w:rPr>
          <w:sz w:val="20"/>
          <w:lang w:val="bg-BG"/>
        </w:rPr>
        <w:t>Фаза 3</w:t>
      </w:r>
      <w:r w:rsidRPr="008C08CD">
        <w:rPr>
          <w:sz w:val="20"/>
          <w:lang w:val="bg-BG"/>
        </w:rPr>
        <w:t>]</w:t>
      </w:r>
      <w:r w:rsidR="00E73E0D">
        <w:rPr>
          <w:sz w:val="20"/>
          <w:lang w:val="bg-BG"/>
        </w:rPr>
        <w:t>;</w:t>
      </w:r>
    </w:p>
    <w:p w14:paraId="7FB5B417" w14:textId="77777777"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б) </w:t>
      </w:r>
      <w:r w:rsidR="00E73E0D" w:rsidRPr="008C08CD">
        <w:rPr>
          <w:sz w:val="20"/>
          <w:lang w:val="bg-BG"/>
        </w:rPr>
        <w:tab/>
      </w:r>
      <w:r w:rsidRPr="008C08CD">
        <w:rPr>
          <w:sz w:val="20"/>
          <w:lang w:val="bg-BG"/>
        </w:rPr>
        <w:t xml:space="preserve">спешно да измени съществуващата процедура и законодателство, ако е необходимо, за да гарантира, че производството срещу юридическо лице не се ограничава до случаите, когато физическото лице, извършило престъплението, е преследвано или осъдено [член 2 от Конвенцията; Препоръка от 2009 г. Приложение </w:t>
      </w:r>
      <w:r w:rsidRPr="00072DDE">
        <w:rPr>
          <w:sz w:val="20"/>
        </w:rPr>
        <w:t>I</w:t>
      </w:r>
      <w:r w:rsidRPr="008C08CD">
        <w:rPr>
          <w:sz w:val="20"/>
          <w:lang w:val="bg-BG"/>
        </w:rPr>
        <w:t>.</w:t>
      </w:r>
      <w:r w:rsidRPr="00072DDE">
        <w:rPr>
          <w:sz w:val="20"/>
        </w:rPr>
        <w:t>B</w:t>
      </w:r>
      <w:r w:rsidRPr="008C08CD">
        <w:rPr>
          <w:sz w:val="20"/>
          <w:lang w:val="bg-BG"/>
        </w:rPr>
        <w:t>; препоръка 2, буква в</w:t>
      </w:r>
      <w:r w:rsidR="00E73E0D">
        <w:rPr>
          <w:sz w:val="20"/>
          <w:lang w:val="bg-BG"/>
        </w:rPr>
        <w:t>) от доклада по</w:t>
      </w:r>
      <w:r w:rsidR="00E73E0D" w:rsidRPr="008C08CD">
        <w:rPr>
          <w:sz w:val="20"/>
          <w:lang w:val="bg-BG"/>
        </w:rPr>
        <w:t xml:space="preserve"> фаза 3</w:t>
      </w:r>
      <w:r w:rsidRPr="008C08CD">
        <w:rPr>
          <w:sz w:val="20"/>
          <w:lang w:val="bg-BG"/>
        </w:rPr>
        <w:t>];</w:t>
      </w:r>
    </w:p>
    <w:p w14:paraId="78CAC732" w14:textId="77777777"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в) </w:t>
      </w:r>
      <w:r w:rsidR="00E73E0D" w:rsidRPr="008C08CD">
        <w:rPr>
          <w:sz w:val="20"/>
          <w:lang w:val="bg-BG"/>
        </w:rPr>
        <w:tab/>
      </w:r>
      <w:r w:rsidR="00E73E0D">
        <w:rPr>
          <w:sz w:val="20"/>
          <w:lang w:val="bg-BG"/>
        </w:rPr>
        <w:t xml:space="preserve">да </w:t>
      </w:r>
      <w:r w:rsidR="00E73E0D" w:rsidRPr="008C08CD">
        <w:rPr>
          <w:sz w:val="20"/>
          <w:lang w:val="bg-BG"/>
        </w:rPr>
        <w:t>обмисли, когато е уместно,</w:t>
      </w:r>
      <w:r w:rsidRPr="008C08CD">
        <w:rPr>
          <w:sz w:val="20"/>
          <w:lang w:val="bg-BG"/>
        </w:rPr>
        <w:t xml:space="preserve"> комбиниране на производства</w:t>
      </w:r>
      <w:r w:rsidR="00E73E0D">
        <w:rPr>
          <w:sz w:val="20"/>
          <w:lang w:val="bg-BG"/>
        </w:rPr>
        <w:t>та</w:t>
      </w:r>
      <w:r w:rsidRPr="008C08CD">
        <w:rPr>
          <w:sz w:val="20"/>
          <w:lang w:val="bg-BG"/>
        </w:rPr>
        <w:t xml:space="preserve"> срещу физически и юридически лица по едно и също дело, следвайки практи</w:t>
      </w:r>
      <w:r w:rsidR="00E73E0D" w:rsidRPr="008C08CD">
        <w:rPr>
          <w:sz w:val="20"/>
          <w:lang w:val="bg-BG"/>
        </w:rPr>
        <w:t>ката на някои други членове на Р</w:t>
      </w:r>
      <w:r w:rsidRPr="008C08CD">
        <w:rPr>
          <w:sz w:val="20"/>
          <w:lang w:val="bg-BG"/>
        </w:rPr>
        <w:t>аботната група с не</w:t>
      </w:r>
      <w:r w:rsidR="00E73E0D">
        <w:rPr>
          <w:sz w:val="20"/>
          <w:lang w:val="bg-BG"/>
        </w:rPr>
        <w:t>наказателна</w:t>
      </w:r>
      <w:r w:rsidRPr="008C08CD">
        <w:rPr>
          <w:sz w:val="20"/>
          <w:lang w:val="bg-BG"/>
        </w:rPr>
        <w:t xml:space="preserve"> корпоративна отговорност [член 2 от Конвенцията; Препоръка от 2009 г., приложение </w:t>
      </w:r>
      <w:r w:rsidRPr="00072DDE">
        <w:rPr>
          <w:sz w:val="20"/>
        </w:rPr>
        <w:t>I</w:t>
      </w:r>
      <w:r w:rsidRPr="008C08CD">
        <w:rPr>
          <w:sz w:val="20"/>
          <w:lang w:val="bg-BG"/>
        </w:rPr>
        <w:t>.</w:t>
      </w:r>
      <w:r w:rsidRPr="00072DDE">
        <w:rPr>
          <w:sz w:val="20"/>
        </w:rPr>
        <w:t>D</w:t>
      </w:r>
      <w:r w:rsidRPr="008C08CD">
        <w:rPr>
          <w:sz w:val="20"/>
          <w:lang w:val="bg-BG"/>
        </w:rPr>
        <w:t>];</w:t>
      </w:r>
    </w:p>
    <w:p w14:paraId="1648B849" w14:textId="77777777"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г) </w:t>
      </w:r>
      <w:r w:rsidR="00E73E0D" w:rsidRPr="008C08CD">
        <w:rPr>
          <w:sz w:val="20"/>
          <w:lang w:val="bg-BG"/>
        </w:rPr>
        <w:tab/>
      </w:r>
      <w:r w:rsidRPr="008C08CD">
        <w:rPr>
          <w:sz w:val="20"/>
          <w:lang w:val="bg-BG"/>
        </w:rPr>
        <w:t>да предприем</w:t>
      </w:r>
      <w:r w:rsidR="00E73E0D">
        <w:rPr>
          <w:sz w:val="20"/>
          <w:lang w:val="bg-BG"/>
        </w:rPr>
        <w:t>е</w:t>
      </w:r>
      <w:r w:rsidR="00E73E0D" w:rsidRPr="008C08CD">
        <w:rPr>
          <w:sz w:val="20"/>
          <w:lang w:val="bg-BG"/>
        </w:rPr>
        <w:t xml:space="preserve"> стъпки, за да гарантира</w:t>
      </w:r>
      <w:r w:rsidRPr="008C08CD">
        <w:rPr>
          <w:sz w:val="20"/>
          <w:lang w:val="bg-BG"/>
        </w:rPr>
        <w:t>, че пълният набор о</w:t>
      </w:r>
      <w:r w:rsidR="00E73E0D" w:rsidRPr="008C08CD">
        <w:rPr>
          <w:sz w:val="20"/>
          <w:lang w:val="bg-BG"/>
        </w:rPr>
        <w:t>т инструменти за разследване в Н</w:t>
      </w:r>
      <w:r w:rsidRPr="008C08CD">
        <w:rPr>
          <w:sz w:val="20"/>
          <w:lang w:val="bg-BG"/>
        </w:rPr>
        <w:t xml:space="preserve">ПК, включително специални разузнавателни средства, са налични в производства срещу юридически лица [членове 2 и 5 от Конвенцията; Препоръка от 2009 г., приложение </w:t>
      </w:r>
      <w:r w:rsidRPr="00072DDE">
        <w:rPr>
          <w:sz w:val="20"/>
        </w:rPr>
        <w:t>I</w:t>
      </w:r>
      <w:r w:rsidRPr="008C08CD">
        <w:rPr>
          <w:sz w:val="20"/>
          <w:lang w:val="bg-BG"/>
        </w:rPr>
        <w:t>.</w:t>
      </w:r>
      <w:r w:rsidRPr="00072DDE">
        <w:rPr>
          <w:sz w:val="20"/>
        </w:rPr>
        <w:t>D</w:t>
      </w:r>
      <w:r w:rsidRPr="008C08CD">
        <w:rPr>
          <w:sz w:val="20"/>
          <w:lang w:val="bg-BG"/>
        </w:rPr>
        <w:t>; препоръка 2, буква б</w:t>
      </w:r>
      <w:r w:rsidR="00E73E0D">
        <w:rPr>
          <w:sz w:val="20"/>
          <w:lang w:val="bg-BG"/>
        </w:rPr>
        <w:t>)</w:t>
      </w:r>
      <w:r w:rsidR="00E73E0D" w:rsidRPr="008C08CD">
        <w:rPr>
          <w:sz w:val="20"/>
          <w:lang w:val="bg-BG"/>
        </w:rPr>
        <w:t xml:space="preserve"> </w:t>
      </w:r>
      <w:r w:rsidR="00E73E0D">
        <w:rPr>
          <w:sz w:val="20"/>
          <w:lang w:val="bg-BG"/>
        </w:rPr>
        <w:t xml:space="preserve">от доклада по </w:t>
      </w:r>
      <w:r w:rsidR="00E73E0D" w:rsidRPr="008C08CD">
        <w:rPr>
          <w:sz w:val="20"/>
          <w:lang w:val="bg-BG"/>
        </w:rPr>
        <w:t>Фаза 3</w:t>
      </w:r>
      <w:r w:rsidRPr="008C08CD">
        <w:rPr>
          <w:sz w:val="20"/>
          <w:lang w:val="bg-BG"/>
        </w:rPr>
        <w:t>];</w:t>
      </w:r>
    </w:p>
    <w:p w14:paraId="7ED28A61" w14:textId="2269242A"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д) </w:t>
      </w:r>
      <w:r w:rsidR="00E73E0D" w:rsidRPr="008C08CD">
        <w:rPr>
          <w:sz w:val="20"/>
          <w:lang w:val="bg-BG"/>
        </w:rPr>
        <w:tab/>
      </w:r>
      <w:r w:rsidR="00E64156" w:rsidRPr="00E64156">
        <w:rPr>
          <w:sz w:val="20"/>
          <w:lang w:val="bg-BG"/>
        </w:rPr>
        <w:t xml:space="preserve">предприема мерки, за да гарантира, че ограничените </w:t>
      </w:r>
      <w:r w:rsidR="00DC1C37">
        <w:rPr>
          <w:sz w:val="20"/>
          <w:lang w:val="bg-BG"/>
        </w:rPr>
        <w:t>условия</w:t>
      </w:r>
      <w:r w:rsidR="00E64156" w:rsidRPr="00E64156">
        <w:rPr>
          <w:sz w:val="20"/>
          <w:lang w:val="bg-BG"/>
        </w:rPr>
        <w:t xml:space="preserve"> за </w:t>
      </w:r>
      <w:r w:rsidR="00DC1C37">
        <w:rPr>
          <w:sz w:val="20"/>
          <w:lang w:val="bg-BG"/>
        </w:rPr>
        <w:t>редовно</w:t>
      </w:r>
      <w:r w:rsidR="00E64156" w:rsidRPr="00E64156">
        <w:rPr>
          <w:sz w:val="20"/>
          <w:lang w:val="bg-BG"/>
        </w:rPr>
        <w:t xml:space="preserve"> призоваване на представител на юридическо лице не </w:t>
      </w:r>
      <w:r w:rsidR="00DC1C37">
        <w:rPr>
          <w:sz w:val="20"/>
          <w:lang w:val="bg-BG"/>
        </w:rPr>
        <w:t>се явяват пречка за</w:t>
      </w:r>
      <w:r w:rsidR="00E64156" w:rsidRPr="00E64156">
        <w:rPr>
          <w:sz w:val="20"/>
          <w:lang w:val="bg-BG"/>
        </w:rPr>
        <w:t xml:space="preserve"> запо</w:t>
      </w:r>
      <w:r w:rsidR="00DC1C37">
        <w:rPr>
          <w:sz w:val="20"/>
          <w:lang w:val="bg-BG"/>
        </w:rPr>
        <w:t>чване на</w:t>
      </w:r>
      <w:r w:rsidR="00E64156" w:rsidRPr="00E64156">
        <w:rPr>
          <w:sz w:val="20"/>
          <w:lang w:val="bg-BG"/>
        </w:rPr>
        <w:t xml:space="preserve"> съдебно производство срещу юридически лица</w:t>
      </w:r>
      <w:r w:rsidR="00E64156" w:rsidRPr="00E64156" w:rsidDel="00E64156">
        <w:rPr>
          <w:sz w:val="20"/>
          <w:lang w:val="bg-BG"/>
        </w:rPr>
        <w:t xml:space="preserve"> </w:t>
      </w:r>
      <w:r w:rsidRPr="008C08CD">
        <w:rPr>
          <w:sz w:val="20"/>
          <w:lang w:val="bg-BG"/>
        </w:rPr>
        <w:t>[член 2 от Конвенцията];</w:t>
      </w:r>
    </w:p>
    <w:p w14:paraId="6E139E7A" w14:textId="77777777"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е) спешно да насочи вниманието на прокурорите към важността на предприемането на процедури за санкциониране на юридически лица за подкуп </w:t>
      </w:r>
      <w:r w:rsidR="006C787C">
        <w:rPr>
          <w:sz w:val="20"/>
          <w:lang w:val="bg-BG"/>
        </w:rPr>
        <w:t>на чужди длъжностни лица</w:t>
      </w:r>
      <w:r w:rsidRPr="008C08CD">
        <w:rPr>
          <w:sz w:val="20"/>
          <w:lang w:val="bg-BG"/>
        </w:rPr>
        <w:t>, включително чрез засилване на програми</w:t>
      </w:r>
      <w:r w:rsidR="006C787C">
        <w:rPr>
          <w:sz w:val="20"/>
          <w:lang w:val="bg-BG"/>
        </w:rPr>
        <w:t>те</w:t>
      </w:r>
      <w:r w:rsidRPr="008C08CD">
        <w:rPr>
          <w:sz w:val="20"/>
          <w:lang w:val="bg-BG"/>
        </w:rPr>
        <w:t xml:space="preserve"> за обучение </w:t>
      </w:r>
      <w:r w:rsidR="006C787C">
        <w:rPr>
          <w:sz w:val="20"/>
          <w:lang w:val="bg-BG"/>
        </w:rPr>
        <w:t xml:space="preserve">относно </w:t>
      </w:r>
      <w:r w:rsidR="006C787C" w:rsidRPr="008C08CD">
        <w:rPr>
          <w:sz w:val="20"/>
          <w:lang w:val="bg-BG"/>
        </w:rPr>
        <w:t>производството</w:t>
      </w:r>
      <w:r w:rsidRPr="008C08CD">
        <w:rPr>
          <w:sz w:val="20"/>
          <w:lang w:val="bg-BG"/>
        </w:rPr>
        <w:t xml:space="preserve"> срещу юридически лица [членове 2 и 3 от Конвенцията; Препоръка </w:t>
      </w:r>
      <w:r w:rsidRPr="00072DDE">
        <w:rPr>
          <w:sz w:val="20"/>
        </w:rPr>
        <w:t>III</w:t>
      </w:r>
      <w:r w:rsidRPr="008C08CD">
        <w:rPr>
          <w:sz w:val="20"/>
          <w:lang w:val="bg-BG"/>
        </w:rPr>
        <w:t xml:space="preserve"> (</w:t>
      </w:r>
      <w:r w:rsidRPr="00072DDE">
        <w:rPr>
          <w:sz w:val="20"/>
        </w:rPr>
        <w:t>ii</w:t>
      </w:r>
      <w:r w:rsidRPr="008C08CD">
        <w:rPr>
          <w:sz w:val="20"/>
          <w:lang w:val="bg-BG"/>
        </w:rPr>
        <w:t xml:space="preserve">) и приложение </w:t>
      </w:r>
      <w:r w:rsidRPr="00072DDE">
        <w:rPr>
          <w:sz w:val="20"/>
        </w:rPr>
        <w:t>I</w:t>
      </w:r>
      <w:r w:rsidRPr="008C08CD">
        <w:rPr>
          <w:sz w:val="20"/>
          <w:lang w:val="bg-BG"/>
        </w:rPr>
        <w:t>.</w:t>
      </w:r>
      <w:r w:rsidRPr="00072DDE">
        <w:rPr>
          <w:sz w:val="20"/>
        </w:rPr>
        <w:t>B</w:t>
      </w:r>
      <w:r w:rsidR="006C787C" w:rsidRPr="008C08CD">
        <w:rPr>
          <w:sz w:val="20"/>
          <w:lang w:val="bg-BG"/>
        </w:rPr>
        <w:t xml:space="preserve"> от 2009 г.</w:t>
      </w:r>
      <w:r w:rsidRPr="008C08CD">
        <w:rPr>
          <w:sz w:val="20"/>
          <w:lang w:val="bg-BG"/>
        </w:rPr>
        <w:t>];</w:t>
      </w:r>
    </w:p>
    <w:p w14:paraId="01B39640" w14:textId="77777777"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ж) </w:t>
      </w:r>
      <w:r w:rsidR="006C787C" w:rsidRPr="008C08CD">
        <w:rPr>
          <w:sz w:val="20"/>
          <w:lang w:val="bg-BG"/>
        </w:rPr>
        <w:tab/>
      </w:r>
      <w:r w:rsidR="006C787C">
        <w:rPr>
          <w:sz w:val="20"/>
          <w:lang w:val="bg-BG"/>
        </w:rPr>
        <w:t xml:space="preserve">да </w:t>
      </w:r>
      <w:r w:rsidR="006C787C" w:rsidRPr="008C08CD">
        <w:rPr>
          <w:sz w:val="20"/>
          <w:lang w:val="bg-BG"/>
        </w:rPr>
        <w:t xml:space="preserve">увеличи </w:t>
      </w:r>
      <w:r w:rsidR="006C787C">
        <w:rPr>
          <w:sz w:val="20"/>
          <w:lang w:val="bg-BG"/>
        </w:rPr>
        <w:t xml:space="preserve">максималния размер на </w:t>
      </w:r>
      <w:r w:rsidRPr="008C08CD">
        <w:rPr>
          <w:sz w:val="20"/>
          <w:lang w:val="bg-BG"/>
        </w:rPr>
        <w:t>санкции</w:t>
      </w:r>
      <w:r w:rsidR="006C787C">
        <w:rPr>
          <w:sz w:val="20"/>
          <w:lang w:val="bg-BG"/>
        </w:rPr>
        <w:t>те</w:t>
      </w:r>
      <w:r w:rsidRPr="008C08CD">
        <w:rPr>
          <w:sz w:val="20"/>
          <w:lang w:val="bg-BG"/>
        </w:rPr>
        <w:t xml:space="preserve"> за юридически лица до ниво, което е ефективно, пропорционално и възпиращо, както се изисква от член 3 от Конвенцията [членове 2 и 3 от Конвенцията];</w:t>
      </w:r>
    </w:p>
    <w:p w14:paraId="6197C654" w14:textId="6F8D088C"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t xml:space="preserve">з) </w:t>
      </w:r>
      <w:r w:rsidR="006C787C" w:rsidRPr="008C08CD">
        <w:rPr>
          <w:sz w:val="20"/>
          <w:lang w:val="bg-BG"/>
        </w:rPr>
        <w:tab/>
      </w:r>
      <w:r w:rsidRPr="008C08CD">
        <w:rPr>
          <w:sz w:val="20"/>
          <w:lang w:val="bg-BG"/>
        </w:rPr>
        <w:t xml:space="preserve">да измени законодателството си, за да позволи </w:t>
      </w:r>
      <w:r w:rsidR="00E64156" w:rsidRPr="00E64156">
        <w:rPr>
          <w:sz w:val="20"/>
          <w:lang w:val="bg-BG"/>
        </w:rPr>
        <w:t>преустановяване на участието или изключване от участие</w:t>
      </w:r>
      <w:r w:rsidR="00E64156">
        <w:rPr>
          <w:sz w:val="20"/>
          <w:lang w:val="bg-BG"/>
        </w:rPr>
        <w:t xml:space="preserve"> на</w:t>
      </w:r>
      <w:r w:rsidRPr="008C08CD">
        <w:rPr>
          <w:sz w:val="20"/>
          <w:lang w:val="bg-BG"/>
        </w:rPr>
        <w:t xml:space="preserve"> юридически лица</w:t>
      </w:r>
      <w:r w:rsidR="00E64156">
        <w:rPr>
          <w:sz w:val="20"/>
          <w:lang w:val="bg-BG"/>
        </w:rPr>
        <w:t xml:space="preserve"> в подходяща степен</w:t>
      </w:r>
      <w:r w:rsidRPr="008C08CD">
        <w:rPr>
          <w:sz w:val="20"/>
          <w:lang w:val="bg-BG"/>
        </w:rPr>
        <w:t xml:space="preserve"> [членове 2 и 3 от Конвенцията; Препоръка </w:t>
      </w:r>
      <w:r w:rsidRPr="00E64156">
        <w:rPr>
          <w:sz w:val="20"/>
          <w:lang w:val="bg-BG"/>
        </w:rPr>
        <w:t>XI</w:t>
      </w:r>
      <w:r w:rsidRPr="008C08CD">
        <w:rPr>
          <w:sz w:val="20"/>
          <w:lang w:val="bg-BG"/>
        </w:rPr>
        <w:t xml:space="preserve"> от 2009 г .; препоръка 12</w:t>
      </w:r>
      <w:r w:rsidR="006C787C">
        <w:rPr>
          <w:sz w:val="20"/>
          <w:lang w:val="bg-BG"/>
        </w:rPr>
        <w:t xml:space="preserve"> от доклада по </w:t>
      </w:r>
      <w:r w:rsidR="006C787C" w:rsidRPr="008C08CD">
        <w:rPr>
          <w:sz w:val="20"/>
          <w:lang w:val="bg-BG"/>
        </w:rPr>
        <w:t>фаза 3,</w:t>
      </w:r>
      <w:r w:rsidRPr="008C08CD">
        <w:rPr>
          <w:sz w:val="20"/>
          <w:lang w:val="bg-BG"/>
        </w:rPr>
        <w:t>];</w:t>
      </w:r>
    </w:p>
    <w:p w14:paraId="16A05D63" w14:textId="485FF16C" w:rsidR="00C13683" w:rsidRPr="008C08CD" w:rsidRDefault="00C13683" w:rsidP="00FD6875">
      <w:pPr>
        <w:widowControl/>
        <w:tabs>
          <w:tab w:val="left" w:pos="1620"/>
          <w:tab w:val="left" w:pos="2160"/>
        </w:tabs>
        <w:spacing w:after="120"/>
        <w:ind w:left="2160" w:hanging="360"/>
        <w:rPr>
          <w:sz w:val="20"/>
          <w:lang w:val="bg-BG"/>
        </w:rPr>
      </w:pPr>
      <w:r w:rsidRPr="008C08CD">
        <w:rPr>
          <w:sz w:val="20"/>
          <w:lang w:val="bg-BG"/>
        </w:rPr>
        <w:lastRenderedPageBreak/>
        <w:t>(</w:t>
      </w:r>
      <w:r w:rsidR="00A22BDC">
        <w:rPr>
          <w:sz w:val="20"/>
          <w:lang w:val="bg-BG"/>
        </w:rPr>
        <w:t>и</w:t>
      </w:r>
      <w:r w:rsidRPr="008C08CD">
        <w:rPr>
          <w:sz w:val="20"/>
          <w:lang w:val="bg-BG"/>
        </w:rPr>
        <w:t xml:space="preserve">) </w:t>
      </w:r>
      <w:r w:rsidR="006C787C" w:rsidRPr="008C08CD">
        <w:rPr>
          <w:sz w:val="20"/>
          <w:lang w:val="bg-BG"/>
        </w:rPr>
        <w:tab/>
      </w:r>
      <w:r w:rsidRPr="008C08CD">
        <w:rPr>
          <w:sz w:val="20"/>
          <w:lang w:val="bg-BG"/>
        </w:rPr>
        <w:t xml:space="preserve">да измени законодателството си, за да обхване изрично </w:t>
      </w:r>
      <w:r w:rsidR="005C4705">
        <w:rPr>
          <w:sz w:val="20"/>
          <w:lang w:val="bg-BG"/>
        </w:rPr>
        <w:t>отнемането</w:t>
      </w:r>
      <w:r w:rsidRPr="008C08CD">
        <w:rPr>
          <w:sz w:val="20"/>
          <w:lang w:val="bg-BG"/>
        </w:rPr>
        <w:t xml:space="preserve"> на подкупа от юридически лица [членове 2 и 3 от Конвенцията; препоръка 4 (а)</w:t>
      </w:r>
      <w:r w:rsidR="00FF0FF6">
        <w:rPr>
          <w:sz w:val="20"/>
          <w:lang w:val="bg-BG"/>
        </w:rPr>
        <w:t xml:space="preserve"> от доклада по фаза 3</w:t>
      </w:r>
      <w:r w:rsidRPr="008C08CD">
        <w:rPr>
          <w:sz w:val="20"/>
          <w:lang w:val="bg-BG"/>
        </w:rPr>
        <w:t>].</w:t>
      </w:r>
    </w:p>
    <w:p w14:paraId="212B536B" w14:textId="77777777" w:rsidR="00C13683" w:rsidRPr="008C08CD" w:rsidRDefault="00C13683" w:rsidP="00FF0FF6">
      <w:pPr>
        <w:widowControl/>
        <w:tabs>
          <w:tab w:val="left" w:pos="1620"/>
          <w:tab w:val="left" w:pos="1890"/>
        </w:tabs>
        <w:spacing w:after="120"/>
        <w:ind w:left="1530" w:hanging="450"/>
        <w:rPr>
          <w:sz w:val="20"/>
          <w:lang w:val="bg-BG"/>
        </w:rPr>
      </w:pPr>
      <w:r w:rsidRPr="008C08CD">
        <w:rPr>
          <w:sz w:val="20"/>
          <w:lang w:val="bg-BG"/>
        </w:rPr>
        <w:t xml:space="preserve">13. </w:t>
      </w:r>
      <w:r w:rsidR="00FF0FF6" w:rsidRPr="008C08CD">
        <w:rPr>
          <w:sz w:val="20"/>
          <w:lang w:val="bg-BG"/>
        </w:rPr>
        <w:tab/>
      </w:r>
      <w:r w:rsidRPr="008C08CD">
        <w:rPr>
          <w:sz w:val="20"/>
          <w:lang w:val="bg-BG"/>
        </w:rPr>
        <w:t xml:space="preserve">По отношение на </w:t>
      </w:r>
      <w:r w:rsidRPr="008C08CD">
        <w:rPr>
          <w:b/>
          <w:sz w:val="20"/>
          <w:lang w:val="bg-BG"/>
        </w:rPr>
        <w:t>ангажираността с частния сектор</w:t>
      </w:r>
      <w:r w:rsidR="000F35B2" w:rsidRPr="008C08CD">
        <w:rPr>
          <w:sz w:val="20"/>
          <w:lang w:val="bg-BG"/>
        </w:rPr>
        <w:t xml:space="preserve"> </w:t>
      </w:r>
      <w:r w:rsidRPr="008C08CD">
        <w:rPr>
          <w:sz w:val="20"/>
          <w:lang w:val="bg-BG"/>
        </w:rPr>
        <w:t>Работната група препоръчва на България:</w:t>
      </w:r>
    </w:p>
    <w:p w14:paraId="162BE90B"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а) </w:t>
      </w:r>
      <w:r w:rsidR="00FF0FF6" w:rsidRPr="008C08CD">
        <w:rPr>
          <w:sz w:val="20"/>
          <w:lang w:val="bg-BG"/>
        </w:rPr>
        <w:tab/>
      </w:r>
      <w:r w:rsidRPr="008C08CD">
        <w:rPr>
          <w:sz w:val="20"/>
          <w:lang w:val="bg-BG"/>
        </w:rPr>
        <w:t xml:space="preserve">да вземе приоритетно мерки за повишаване на осведомеността относно </w:t>
      </w:r>
      <w:r w:rsidR="00B61B61" w:rsidRPr="008C08CD">
        <w:rPr>
          <w:sz w:val="20"/>
          <w:lang w:val="bg-BG"/>
        </w:rPr>
        <w:t>престъплението подкуп на чужд</w:t>
      </w:r>
      <w:r w:rsidR="00B61B61">
        <w:rPr>
          <w:sz w:val="20"/>
          <w:lang w:val="bg-BG"/>
        </w:rPr>
        <w:t>о длъжностно лице</w:t>
      </w:r>
      <w:r w:rsidRPr="008C08CD">
        <w:rPr>
          <w:sz w:val="20"/>
          <w:lang w:val="bg-BG"/>
        </w:rPr>
        <w:t xml:space="preserve"> сред бизнес асоциациите и компаниите, включително </w:t>
      </w:r>
      <w:r w:rsidR="00B61B61">
        <w:rPr>
          <w:sz w:val="20"/>
          <w:lang w:val="bg-BG"/>
        </w:rPr>
        <w:t>малите и средни предприятия и държавните предприятия</w:t>
      </w:r>
      <w:r w:rsidRPr="008C08CD">
        <w:rPr>
          <w:sz w:val="20"/>
          <w:lang w:val="bg-BG"/>
        </w:rPr>
        <w:t xml:space="preserve">, </w:t>
      </w:r>
      <w:r w:rsidR="00B61B61">
        <w:rPr>
          <w:sz w:val="20"/>
          <w:lang w:val="bg-BG"/>
        </w:rPr>
        <w:t>с акцент</w:t>
      </w:r>
      <w:r w:rsidRPr="008C08CD">
        <w:rPr>
          <w:sz w:val="20"/>
          <w:lang w:val="bg-BG"/>
        </w:rPr>
        <w:t xml:space="preserve"> към онези, които извършват бизнес в държави и сектори с висок риск от корупция [Препоръка </w:t>
      </w:r>
      <w:r w:rsidRPr="00072DDE">
        <w:rPr>
          <w:sz w:val="20"/>
        </w:rPr>
        <w:t>III</w:t>
      </w:r>
      <w:r w:rsidRPr="008C08CD">
        <w:rPr>
          <w:sz w:val="20"/>
          <w:lang w:val="bg-BG"/>
        </w:rPr>
        <w:t xml:space="preserve"> от 2009 г. ( </w:t>
      </w:r>
      <w:r w:rsidRPr="00072DDE">
        <w:rPr>
          <w:sz w:val="20"/>
        </w:rPr>
        <w:t>i</w:t>
      </w:r>
      <w:r w:rsidRPr="008C08CD">
        <w:rPr>
          <w:sz w:val="20"/>
          <w:lang w:val="bg-BG"/>
        </w:rPr>
        <w:t>); препоръка 8 в)</w:t>
      </w:r>
      <w:r w:rsidR="00B61B61">
        <w:rPr>
          <w:sz w:val="20"/>
          <w:lang w:val="bg-BG"/>
        </w:rPr>
        <w:t xml:space="preserve"> от доклада по фаза 3</w:t>
      </w:r>
      <w:r w:rsidRPr="008C08CD">
        <w:rPr>
          <w:sz w:val="20"/>
          <w:lang w:val="bg-BG"/>
        </w:rPr>
        <w:t>];</w:t>
      </w:r>
    </w:p>
    <w:p w14:paraId="2D98152D"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б) </w:t>
      </w:r>
      <w:r w:rsidR="00FF0FF6" w:rsidRPr="008C08CD">
        <w:rPr>
          <w:sz w:val="20"/>
          <w:lang w:val="bg-BG"/>
        </w:rPr>
        <w:tab/>
      </w:r>
      <w:r w:rsidR="00BE42F4">
        <w:rPr>
          <w:sz w:val="20"/>
          <w:lang w:val="bg-BG"/>
        </w:rPr>
        <w:t xml:space="preserve">да </w:t>
      </w:r>
      <w:r w:rsidR="00B61B61" w:rsidRPr="008C08CD">
        <w:rPr>
          <w:sz w:val="20"/>
          <w:lang w:val="bg-BG"/>
        </w:rPr>
        <w:t>насърчи</w:t>
      </w:r>
      <w:r w:rsidRPr="008C08CD">
        <w:rPr>
          <w:sz w:val="20"/>
          <w:lang w:val="bg-BG"/>
        </w:rPr>
        <w:t xml:space="preserve"> разработването и прилагането на антикорупционни програми за вътрешен контрол, етика и </w:t>
      </w:r>
      <w:r w:rsidR="00BE42F4">
        <w:rPr>
          <w:sz w:val="20"/>
          <w:lang w:val="bg-BG"/>
        </w:rPr>
        <w:t>съответствие</w:t>
      </w:r>
      <w:r w:rsidRPr="008C08CD">
        <w:rPr>
          <w:sz w:val="20"/>
          <w:lang w:val="bg-BG"/>
        </w:rPr>
        <w:t xml:space="preserve"> от </w:t>
      </w:r>
      <w:r w:rsidR="00BE42F4">
        <w:rPr>
          <w:sz w:val="20"/>
          <w:lang w:val="bg-BG"/>
        </w:rPr>
        <w:t xml:space="preserve">страна на </w:t>
      </w:r>
      <w:r w:rsidRPr="008C08CD">
        <w:rPr>
          <w:sz w:val="20"/>
          <w:lang w:val="bg-BG"/>
        </w:rPr>
        <w:t xml:space="preserve">частния сектор, включително чрез Ръководството за добри практики [Препоръка </w:t>
      </w:r>
      <w:r w:rsidRPr="00072DDE">
        <w:rPr>
          <w:sz w:val="20"/>
        </w:rPr>
        <w:t>III</w:t>
      </w:r>
      <w:r w:rsidRPr="008C08CD">
        <w:rPr>
          <w:sz w:val="20"/>
          <w:lang w:val="bg-BG"/>
        </w:rPr>
        <w:t xml:space="preserve"> (</w:t>
      </w:r>
      <w:r w:rsidRPr="00072DDE">
        <w:rPr>
          <w:sz w:val="20"/>
        </w:rPr>
        <w:t>i</w:t>
      </w:r>
      <w:r w:rsidRPr="008C08CD">
        <w:rPr>
          <w:sz w:val="20"/>
          <w:lang w:val="bg-BG"/>
        </w:rPr>
        <w:t xml:space="preserve">), </w:t>
      </w:r>
      <w:r w:rsidRPr="00072DDE">
        <w:rPr>
          <w:sz w:val="20"/>
        </w:rPr>
        <w:t>X</w:t>
      </w:r>
      <w:r w:rsidRPr="008C08CD">
        <w:rPr>
          <w:sz w:val="20"/>
          <w:lang w:val="bg-BG"/>
        </w:rPr>
        <w:t>.</w:t>
      </w:r>
      <w:r w:rsidRPr="00072DDE">
        <w:rPr>
          <w:sz w:val="20"/>
        </w:rPr>
        <w:t>C</w:t>
      </w:r>
      <w:r w:rsidRPr="008C08CD">
        <w:rPr>
          <w:sz w:val="20"/>
          <w:lang w:val="bg-BG"/>
        </w:rPr>
        <w:t xml:space="preserve"> (</w:t>
      </w:r>
      <w:r w:rsidRPr="00072DDE">
        <w:rPr>
          <w:sz w:val="20"/>
        </w:rPr>
        <w:t>i</w:t>
      </w:r>
      <w:r w:rsidRPr="008C08CD">
        <w:rPr>
          <w:sz w:val="20"/>
          <w:lang w:val="bg-BG"/>
        </w:rPr>
        <w:t xml:space="preserve">) и приложение </w:t>
      </w:r>
      <w:r w:rsidRPr="00072DDE">
        <w:rPr>
          <w:sz w:val="20"/>
        </w:rPr>
        <w:t>II</w:t>
      </w:r>
      <w:r w:rsidR="00BE42F4" w:rsidRPr="008C08CD">
        <w:rPr>
          <w:sz w:val="20"/>
          <w:lang w:val="bg-BG"/>
        </w:rPr>
        <w:t xml:space="preserve"> от 2009 г.]</w:t>
      </w:r>
      <w:r w:rsidRPr="008C08CD">
        <w:rPr>
          <w:sz w:val="20"/>
          <w:lang w:val="bg-BG"/>
        </w:rPr>
        <w:t>.</w:t>
      </w:r>
    </w:p>
    <w:p w14:paraId="3E713272" w14:textId="77777777" w:rsidR="00C13683" w:rsidRPr="008C08CD" w:rsidRDefault="00C13683" w:rsidP="00C13683">
      <w:pPr>
        <w:widowControl/>
        <w:tabs>
          <w:tab w:val="left" w:pos="1620"/>
          <w:tab w:val="left" w:pos="1890"/>
        </w:tabs>
        <w:spacing w:after="120"/>
        <w:rPr>
          <w:b/>
          <w:i/>
          <w:sz w:val="20"/>
          <w:lang w:val="bg-BG"/>
        </w:rPr>
      </w:pPr>
      <w:r w:rsidRPr="008C08CD">
        <w:rPr>
          <w:b/>
          <w:i/>
          <w:sz w:val="20"/>
          <w:lang w:val="bg-BG"/>
        </w:rPr>
        <w:t>Препоръки относно други мерки, засягащи прилагането на Конвенцията</w:t>
      </w:r>
    </w:p>
    <w:p w14:paraId="17A903C0" w14:textId="77777777" w:rsidR="00C13683" w:rsidRPr="008C08CD" w:rsidRDefault="00C13683" w:rsidP="00FF0FF6">
      <w:pPr>
        <w:widowControl/>
        <w:tabs>
          <w:tab w:val="left" w:pos="1620"/>
          <w:tab w:val="left" w:pos="1890"/>
        </w:tabs>
        <w:spacing w:after="120"/>
        <w:ind w:left="2160" w:hanging="1080"/>
        <w:rPr>
          <w:sz w:val="20"/>
          <w:lang w:val="bg-BG"/>
        </w:rPr>
      </w:pPr>
      <w:r w:rsidRPr="008C08CD">
        <w:rPr>
          <w:sz w:val="20"/>
          <w:lang w:val="bg-BG"/>
        </w:rPr>
        <w:t xml:space="preserve">14. </w:t>
      </w:r>
      <w:r w:rsidR="00FF0FF6" w:rsidRPr="008C08CD">
        <w:rPr>
          <w:sz w:val="20"/>
          <w:lang w:val="bg-BG"/>
        </w:rPr>
        <w:tab/>
      </w:r>
      <w:r w:rsidRPr="008C08CD">
        <w:rPr>
          <w:sz w:val="20"/>
          <w:lang w:val="bg-BG"/>
        </w:rPr>
        <w:t xml:space="preserve">По отношение на </w:t>
      </w:r>
      <w:r w:rsidRPr="005C4705">
        <w:rPr>
          <w:b/>
          <w:sz w:val="20"/>
          <w:lang w:val="bg-BG"/>
        </w:rPr>
        <w:t>изпирането на пари</w:t>
      </w:r>
      <w:r w:rsidRPr="008C08CD">
        <w:rPr>
          <w:sz w:val="20"/>
          <w:lang w:val="bg-BG"/>
        </w:rPr>
        <w:t xml:space="preserve"> Работната група препоръчва на България:</w:t>
      </w:r>
    </w:p>
    <w:p w14:paraId="4A01A967"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а) </w:t>
      </w:r>
      <w:r w:rsidR="00BE42F4" w:rsidRPr="008C08CD">
        <w:rPr>
          <w:sz w:val="20"/>
          <w:lang w:val="bg-BG"/>
        </w:rPr>
        <w:tab/>
      </w:r>
      <w:r w:rsidRPr="008C08CD">
        <w:rPr>
          <w:sz w:val="20"/>
          <w:lang w:val="bg-BG"/>
        </w:rPr>
        <w:t xml:space="preserve">спешно </w:t>
      </w:r>
      <w:r w:rsidR="00BE42F4">
        <w:rPr>
          <w:sz w:val="20"/>
          <w:lang w:val="bg-BG"/>
        </w:rPr>
        <w:t xml:space="preserve">да </w:t>
      </w:r>
      <w:r w:rsidR="00BE42F4" w:rsidRPr="008C08CD">
        <w:rPr>
          <w:sz w:val="20"/>
          <w:lang w:val="bg-BG"/>
        </w:rPr>
        <w:t>повиши</w:t>
      </w:r>
      <w:r w:rsidRPr="008C08CD">
        <w:rPr>
          <w:sz w:val="20"/>
          <w:lang w:val="bg-BG"/>
        </w:rPr>
        <w:t xml:space="preserve"> осведомеността на нефинансовите институции относно рисковете от </w:t>
      </w:r>
      <w:r w:rsidR="00BE42F4">
        <w:rPr>
          <w:sz w:val="20"/>
          <w:lang w:val="bg-BG"/>
        </w:rPr>
        <w:t>подкуп на чужди длъжностни лица</w:t>
      </w:r>
      <w:r w:rsidRPr="008C08CD">
        <w:rPr>
          <w:sz w:val="20"/>
          <w:lang w:val="bg-BG"/>
        </w:rPr>
        <w:t xml:space="preserve"> [член 7 от Конвенцията; Препоръка </w:t>
      </w:r>
      <w:r w:rsidRPr="00072DDE">
        <w:rPr>
          <w:sz w:val="20"/>
        </w:rPr>
        <w:t>III</w:t>
      </w:r>
      <w:r w:rsidRPr="008C08CD">
        <w:rPr>
          <w:sz w:val="20"/>
          <w:lang w:val="bg-BG"/>
        </w:rPr>
        <w:t xml:space="preserve"> (</w:t>
      </w:r>
      <w:r w:rsidRPr="00072DDE">
        <w:rPr>
          <w:sz w:val="20"/>
        </w:rPr>
        <w:t>i</w:t>
      </w:r>
      <w:r w:rsidRPr="008C08CD">
        <w:rPr>
          <w:sz w:val="20"/>
          <w:lang w:val="bg-BG"/>
        </w:rPr>
        <w:t>) от 2009 г.];</w:t>
      </w:r>
    </w:p>
    <w:p w14:paraId="3CCCA74A"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б) </w:t>
      </w:r>
      <w:r w:rsidR="00FF0FF6" w:rsidRPr="008C08CD">
        <w:rPr>
          <w:sz w:val="20"/>
          <w:lang w:val="bg-BG"/>
        </w:rPr>
        <w:tab/>
      </w:r>
      <w:r w:rsidR="005C4705">
        <w:rPr>
          <w:sz w:val="20"/>
          <w:lang w:val="bg-BG"/>
        </w:rPr>
        <w:t xml:space="preserve">да </w:t>
      </w:r>
      <w:r w:rsidRPr="008C08CD">
        <w:rPr>
          <w:sz w:val="20"/>
          <w:lang w:val="bg-BG"/>
        </w:rPr>
        <w:t>предостав</w:t>
      </w:r>
      <w:r w:rsidR="00BE42F4">
        <w:rPr>
          <w:sz w:val="20"/>
          <w:lang w:val="bg-BG"/>
        </w:rPr>
        <w:t>и</w:t>
      </w:r>
      <w:r w:rsidRPr="008C08CD">
        <w:rPr>
          <w:sz w:val="20"/>
          <w:lang w:val="bg-BG"/>
        </w:rPr>
        <w:t xml:space="preserve"> конкретни насоки и типологии </w:t>
      </w:r>
      <w:r w:rsidR="00BE42F4">
        <w:rPr>
          <w:sz w:val="20"/>
          <w:lang w:val="bg-BG"/>
        </w:rPr>
        <w:t xml:space="preserve">относно подкупа на </w:t>
      </w:r>
      <w:r w:rsidRPr="008C08CD">
        <w:rPr>
          <w:sz w:val="20"/>
          <w:lang w:val="bg-BG"/>
        </w:rPr>
        <w:t xml:space="preserve">чужди </w:t>
      </w:r>
      <w:r w:rsidR="00BE42F4">
        <w:rPr>
          <w:sz w:val="20"/>
          <w:lang w:val="bg-BG"/>
        </w:rPr>
        <w:t>длъжностни лица</w:t>
      </w:r>
      <w:r w:rsidRPr="008C08CD">
        <w:rPr>
          <w:sz w:val="20"/>
          <w:lang w:val="bg-BG"/>
        </w:rPr>
        <w:t xml:space="preserve"> за всички задължени субекти [член 7 от Конвенцията; Препоръка </w:t>
      </w:r>
      <w:r w:rsidRPr="00072DDE">
        <w:rPr>
          <w:sz w:val="20"/>
        </w:rPr>
        <w:t>III</w:t>
      </w:r>
      <w:r w:rsidRPr="008C08CD">
        <w:rPr>
          <w:sz w:val="20"/>
          <w:lang w:val="bg-BG"/>
        </w:rPr>
        <w:t xml:space="preserve"> (</w:t>
      </w:r>
      <w:r w:rsidRPr="00072DDE">
        <w:rPr>
          <w:sz w:val="20"/>
        </w:rPr>
        <w:t>i</w:t>
      </w:r>
      <w:r w:rsidRPr="008C08CD">
        <w:rPr>
          <w:sz w:val="20"/>
          <w:lang w:val="bg-BG"/>
        </w:rPr>
        <w:t>) от 2009 г.];</w:t>
      </w:r>
    </w:p>
    <w:p w14:paraId="123A97AE"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в) </w:t>
      </w:r>
      <w:r w:rsidR="00FF0FF6" w:rsidRPr="008C08CD">
        <w:rPr>
          <w:sz w:val="20"/>
          <w:lang w:val="bg-BG"/>
        </w:rPr>
        <w:tab/>
      </w:r>
      <w:r w:rsidR="00BE42F4">
        <w:rPr>
          <w:sz w:val="20"/>
          <w:lang w:val="bg-BG"/>
        </w:rPr>
        <w:t xml:space="preserve">да </w:t>
      </w:r>
      <w:r w:rsidR="00BE42F4" w:rsidRPr="008C08CD">
        <w:rPr>
          <w:sz w:val="20"/>
          <w:lang w:val="bg-BG"/>
        </w:rPr>
        <w:t>поддържа</w:t>
      </w:r>
      <w:r w:rsidRPr="008C08CD">
        <w:rPr>
          <w:sz w:val="20"/>
          <w:lang w:val="bg-BG"/>
        </w:rPr>
        <w:t xml:space="preserve"> подро</w:t>
      </w:r>
      <w:r w:rsidR="00BE42F4" w:rsidRPr="008C08CD">
        <w:rPr>
          <w:sz w:val="20"/>
          <w:lang w:val="bg-BG"/>
        </w:rPr>
        <w:t>бна статистика за получените ДСС</w:t>
      </w:r>
      <w:r w:rsidRPr="008C08CD">
        <w:rPr>
          <w:sz w:val="20"/>
          <w:lang w:val="bg-BG"/>
        </w:rPr>
        <w:t xml:space="preserve">, за да позволят на </w:t>
      </w:r>
      <w:r w:rsidR="005C4705">
        <w:rPr>
          <w:sz w:val="20"/>
          <w:lang w:val="bg-BG"/>
        </w:rPr>
        <w:t>Д</w:t>
      </w:r>
      <w:r w:rsidR="00BE42F4">
        <w:rPr>
          <w:sz w:val="20"/>
          <w:lang w:val="bg-BG"/>
        </w:rPr>
        <w:t>ФР-ДАНС</w:t>
      </w:r>
      <w:r w:rsidRPr="008C08CD">
        <w:rPr>
          <w:sz w:val="20"/>
          <w:lang w:val="bg-BG"/>
        </w:rPr>
        <w:t xml:space="preserve"> да анализира задължените субекти, които докладват случаи, както и </w:t>
      </w:r>
      <w:r w:rsidR="00BE42F4">
        <w:rPr>
          <w:sz w:val="20"/>
          <w:lang w:val="bg-BG"/>
        </w:rPr>
        <w:t xml:space="preserve">за </w:t>
      </w:r>
      <w:r w:rsidRPr="008C08CD">
        <w:rPr>
          <w:sz w:val="20"/>
          <w:lang w:val="bg-BG"/>
        </w:rPr>
        <w:t>предикатно</w:t>
      </w:r>
      <w:r w:rsidR="00BE42F4">
        <w:rPr>
          <w:sz w:val="20"/>
          <w:lang w:val="bg-BG"/>
        </w:rPr>
        <w:t>то</w:t>
      </w:r>
      <w:r w:rsidRPr="008C08CD">
        <w:rPr>
          <w:sz w:val="20"/>
          <w:lang w:val="bg-BG"/>
        </w:rPr>
        <w:t xml:space="preserve"> престъпление [член 7 от Конвенцията; Препоръка </w:t>
      </w:r>
      <w:r w:rsidRPr="00072DDE">
        <w:rPr>
          <w:sz w:val="20"/>
        </w:rPr>
        <w:t>III</w:t>
      </w:r>
      <w:r w:rsidRPr="008C08CD">
        <w:rPr>
          <w:sz w:val="20"/>
          <w:lang w:val="bg-BG"/>
        </w:rPr>
        <w:t xml:space="preserve"> (</w:t>
      </w:r>
      <w:r w:rsidRPr="00072DDE">
        <w:rPr>
          <w:sz w:val="20"/>
        </w:rPr>
        <w:t>i</w:t>
      </w:r>
      <w:r w:rsidRPr="008C08CD">
        <w:rPr>
          <w:sz w:val="20"/>
          <w:lang w:val="bg-BG"/>
        </w:rPr>
        <w:t>) от 2009 г.];</w:t>
      </w:r>
    </w:p>
    <w:p w14:paraId="6CD9A0DC" w14:textId="77777777"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г) </w:t>
      </w:r>
      <w:r w:rsidR="00FF0FF6" w:rsidRPr="008C08CD">
        <w:rPr>
          <w:sz w:val="20"/>
          <w:lang w:val="bg-BG"/>
        </w:rPr>
        <w:tab/>
      </w:r>
      <w:r w:rsidR="005C4705">
        <w:rPr>
          <w:sz w:val="20"/>
          <w:lang w:val="bg-BG"/>
        </w:rPr>
        <w:t xml:space="preserve">да </w:t>
      </w:r>
      <w:r w:rsidRPr="008C08CD">
        <w:rPr>
          <w:sz w:val="20"/>
          <w:lang w:val="bg-BG"/>
        </w:rPr>
        <w:t>внедр</w:t>
      </w:r>
      <w:r w:rsidR="00BE42F4">
        <w:rPr>
          <w:sz w:val="20"/>
          <w:lang w:val="bg-BG"/>
        </w:rPr>
        <w:t xml:space="preserve">и </w:t>
      </w:r>
      <w:r w:rsidRPr="00072DDE">
        <w:rPr>
          <w:sz w:val="20"/>
        </w:rPr>
        <w:t>goAML</w:t>
      </w:r>
      <w:r w:rsidRPr="008C08CD">
        <w:rPr>
          <w:sz w:val="20"/>
          <w:lang w:val="bg-BG"/>
        </w:rPr>
        <w:t xml:space="preserve"> (или подобен) софтуер за улесняване на докладването на </w:t>
      </w:r>
      <w:r w:rsidR="00BE42F4">
        <w:rPr>
          <w:sz w:val="20"/>
          <w:lang w:val="bg-BG"/>
        </w:rPr>
        <w:t>ДСС</w:t>
      </w:r>
      <w:r w:rsidRPr="008C08CD">
        <w:rPr>
          <w:sz w:val="20"/>
          <w:lang w:val="bg-BG"/>
        </w:rPr>
        <w:t xml:space="preserve"> от задължени субекти [член 7 от Конвенцията; Препоръка </w:t>
      </w:r>
      <w:r w:rsidRPr="00072DDE">
        <w:rPr>
          <w:sz w:val="20"/>
        </w:rPr>
        <w:t>IX</w:t>
      </w:r>
      <w:r w:rsidRPr="008C08CD">
        <w:rPr>
          <w:sz w:val="20"/>
          <w:lang w:val="bg-BG"/>
        </w:rPr>
        <w:t xml:space="preserve"> (</w:t>
      </w:r>
      <w:r w:rsidRPr="00072DDE">
        <w:rPr>
          <w:sz w:val="20"/>
        </w:rPr>
        <w:t>i</w:t>
      </w:r>
      <w:r w:rsidRPr="008C08CD">
        <w:rPr>
          <w:sz w:val="20"/>
          <w:lang w:val="bg-BG"/>
        </w:rPr>
        <w:t>) от 2009 г.;</w:t>
      </w:r>
    </w:p>
    <w:p w14:paraId="73FD1007" w14:textId="2A122F13" w:rsidR="00C13683" w:rsidRPr="008C08CD" w:rsidRDefault="00C13683" w:rsidP="00FF0FF6">
      <w:pPr>
        <w:widowControl/>
        <w:tabs>
          <w:tab w:val="left" w:pos="1620"/>
          <w:tab w:val="left" w:pos="1890"/>
        </w:tabs>
        <w:spacing w:after="120"/>
        <w:ind w:left="2160" w:hanging="360"/>
        <w:rPr>
          <w:sz w:val="20"/>
          <w:lang w:val="bg-BG"/>
        </w:rPr>
      </w:pPr>
      <w:r w:rsidRPr="008C08CD">
        <w:rPr>
          <w:sz w:val="20"/>
          <w:lang w:val="bg-BG"/>
        </w:rPr>
        <w:t xml:space="preserve">д) </w:t>
      </w:r>
      <w:r w:rsidR="00BE42F4" w:rsidRPr="008C08CD">
        <w:rPr>
          <w:sz w:val="20"/>
          <w:lang w:val="bg-BG"/>
        </w:rPr>
        <w:tab/>
      </w:r>
      <w:r w:rsidR="00BE42F4">
        <w:rPr>
          <w:sz w:val="20"/>
          <w:lang w:val="bg-BG"/>
        </w:rPr>
        <w:t xml:space="preserve">да </w:t>
      </w:r>
      <w:r w:rsidR="00BE42F4" w:rsidRPr="008C08CD">
        <w:rPr>
          <w:sz w:val="20"/>
          <w:lang w:val="bg-BG"/>
        </w:rPr>
        <w:t>гарантира</w:t>
      </w:r>
      <w:r w:rsidR="005C4705">
        <w:rPr>
          <w:sz w:val="20"/>
          <w:lang w:val="bg-BG"/>
        </w:rPr>
        <w:t>, че компетентните органи на П</w:t>
      </w:r>
      <w:r w:rsidRPr="008C08CD">
        <w:rPr>
          <w:sz w:val="20"/>
          <w:lang w:val="bg-BG"/>
        </w:rPr>
        <w:t xml:space="preserve">рокуратурата, които получават аналитични доклади от </w:t>
      </w:r>
      <w:r w:rsidR="005C4705">
        <w:rPr>
          <w:sz w:val="20"/>
          <w:lang w:val="bg-BG"/>
        </w:rPr>
        <w:t>ДФР-ДАНС</w:t>
      </w:r>
      <w:r w:rsidRPr="008C08CD">
        <w:rPr>
          <w:sz w:val="20"/>
          <w:lang w:val="bg-BG"/>
        </w:rPr>
        <w:t>, и като част от подобрено</w:t>
      </w:r>
      <w:r w:rsidR="00BE42F4">
        <w:rPr>
          <w:sz w:val="20"/>
          <w:lang w:val="bg-BG"/>
        </w:rPr>
        <w:t>то</w:t>
      </w:r>
      <w:r w:rsidRPr="008C08CD">
        <w:rPr>
          <w:sz w:val="20"/>
          <w:lang w:val="bg-BG"/>
        </w:rPr>
        <w:t xml:space="preserve"> междуведомствено сътрудничество, предоставят по-редовна и по-подробна обратна връзка за </w:t>
      </w:r>
      <w:r w:rsidR="00A22BDC">
        <w:rPr>
          <w:sz w:val="20"/>
          <w:lang w:val="bg-BG"/>
        </w:rPr>
        <w:t>последващите действия</w:t>
      </w:r>
      <w:r w:rsidRPr="008C08CD">
        <w:rPr>
          <w:sz w:val="20"/>
          <w:lang w:val="bg-BG"/>
        </w:rPr>
        <w:t xml:space="preserve"> [член 7 от Конвенцията; Препоръка </w:t>
      </w:r>
      <w:r w:rsidRPr="00072DDE">
        <w:rPr>
          <w:sz w:val="20"/>
        </w:rPr>
        <w:t>IX</w:t>
      </w:r>
      <w:r w:rsidRPr="008C08CD">
        <w:rPr>
          <w:sz w:val="20"/>
          <w:lang w:val="bg-BG"/>
        </w:rPr>
        <w:t xml:space="preserve"> (</w:t>
      </w:r>
      <w:r w:rsidRPr="00072DDE">
        <w:rPr>
          <w:sz w:val="20"/>
        </w:rPr>
        <w:t>i</w:t>
      </w:r>
      <w:r w:rsidRPr="008C08CD">
        <w:rPr>
          <w:sz w:val="20"/>
          <w:lang w:val="bg-BG"/>
        </w:rPr>
        <w:t>) от 2009 г.].</w:t>
      </w:r>
    </w:p>
    <w:p w14:paraId="4E5CE357" w14:textId="77777777" w:rsidR="00C13683" w:rsidRPr="00072DDE" w:rsidRDefault="00C13683" w:rsidP="00FF0FF6">
      <w:pPr>
        <w:widowControl/>
        <w:tabs>
          <w:tab w:val="left" w:pos="1620"/>
          <w:tab w:val="left" w:pos="1890"/>
        </w:tabs>
        <w:spacing w:after="120"/>
        <w:ind w:left="2160" w:hanging="1080"/>
        <w:rPr>
          <w:sz w:val="20"/>
          <w:szCs w:val="20"/>
          <w:lang w:val="bg-BG"/>
        </w:rPr>
      </w:pPr>
      <w:r w:rsidRPr="00072DDE">
        <w:rPr>
          <w:sz w:val="20"/>
          <w:szCs w:val="20"/>
          <w:lang w:val="bg-BG"/>
        </w:rPr>
        <w:t xml:space="preserve">15. </w:t>
      </w:r>
      <w:r w:rsidR="00FF0FF6">
        <w:rPr>
          <w:sz w:val="20"/>
          <w:szCs w:val="20"/>
          <w:lang w:val="bg-BG"/>
        </w:rPr>
        <w:tab/>
      </w:r>
      <w:r w:rsidRPr="00072DDE">
        <w:rPr>
          <w:sz w:val="20"/>
          <w:szCs w:val="20"/>
          <w:lang w:val="bg-BG"/>
        </w:rPr>
        <w:t xml:space="preserve">По отношение на </w:t>
      </w:r>
      <w:r w:rsidRPr="00BE42F4">
        <w:rPr>
          <w:b/>
          <w:sz w:val="20"/>
          <w:szCs w:val="20"/>
          <w:lang w:val="bg-BG"/>
        </w:rPr>
        <w:t>данъчното облагане</w:t>
      </w:r>
      <w:r w:rsidR="00BE42F4">
        <w:rPr>
          <w:sz w:val="20"/>
          <w:szCs w:val="20"/>
          <w:lang w:val="bg-BG"/>
        </w:rPr>
        <w:t xml:space="preserve"> Р</w:t>
      </w:r>
      <w:r w:rsidRPr="00072DDE">
        <w:rPr>
          <w:sz w:val="20"/>
          <w:szCs w:val="20"/>
          <w:lang w:val="bg-BG"/>
        </w:rPr>
        <w:t>аботната група препоръчва на България:</w:t>
      </w:r>
    </w:p>
    <w:p w14:paraId="5C8A51C0" w14:textId="77777777" w:rsidR="00C13683" w:rsidRPr="00072DDE" w:rsidRDefault="00C13683" w:rsidP="00FF0FF6">
      <w:pPr>
        <w:widowControl/>
        <w:tabs>
          <w:tab w:val="left" w:pos="1620"/>
          <w:tab w:val="left" w:pos="1890"/>
          <w:tab w:val="left" w:pos="2160"/>
        </w:tabs>
        <w:spacing w:after="120"/>
        <w:ind w:left="2160" w:hanging="360"/>
        <w:rPr>
          <w:sz w:val="20"/>
          <w:szCs w:val="20"/>
          <w:lang w:val="bg-BG"/>
        </w:rPr>
      </w:pPr>
      <w:r w:rsidRPr="00072DDE">
        <w:rPr>
          <w:sz w:val="20"/>
          <w:szCs w:val="20"/>
          <w:lang w:val="bg-BG"/>
        </w:rPr>
        <w:t xml:space="preserve">а) </w:t>
      </w:r>
      <w:r w:rsidR="00FF0FF6">
        <w:rPr>
          <w:sz w:val="20"/>
          <w:szCs w:val="20"/>
          <w:lang w:val="bg-BG"/>
        </w:rPr>
        <w:tab/>
      </w:r>
      <w:r w:rsidR="00BE42F4">
        <w:rPr>
          <w:sz w:val="20"/>
          <w:szCs w:val="20"/>
          <w:lang w:val="bg-BG"/>
        </w:rPr>
        <w:t>да включи специфични модули за подкуп на чужди длъжностни лица</w:t>
      </w:r>
      <w:r w:rsidRPr="00072DDE">
        <w:rPr>
          <w:sz w:val="20"/>
          <w:szCs w:val="20"/>
          <w:lang w:val="bg-BG"/>
        </w:rPr>
        <w:t xml:space="preserve"> в програми</w:t>
      </w:r>
      <w:r w:rsidR="00BE42F4">
        <w:rPr>
          <w:sz w:val="20"/>
          <w:szCs w:val="20"/>
          <w:lang w:val="bg-BG"/>
        </w:rPr>
        <w:t>те</w:t>
      </w:r>
      <w:r w:rsidRPr="00072DDE">
        <w:rPr>
          <w:sz w:val="20"/>
          <w:szCs w:val="20"/>
          <w:lang w:val="bg-BG"/>
        </w:rPr>
        <w:t xml:space="preserve"> за обучение на персонала на НАП [Препоръка III (iii) и VIII (i</w:t>
      </w:r>
      <w:r w:rsidR="00BE42F4">
        <w:rPr>
          <w:sz w:val="20"/>
          <w:szCs w:val="20"/>
          <w:lang w:val="bg-BG"/>
        </w:rPr>
        <w:t>)</w:t>
      </w:r>
      <w:r w:rsidR="00BE42F4" w:rsidRPr="00BE42F4">
        <w:rPr>
          <w:sz w:val="20"/>
          <w:szCs w:val="20"/>
          <w:lang w:val="bg-BG"/>
        </w:rPr>
        <w:t xml:space="preserve"> </w:t>
      </w:r>
      <w:r w:rsidR="00BE42F4" w:rsidRPr="00072DDE">
        <w:rPr>
          <w:sz w:val="20"/>
          <w:szCs w:val="20"/>
          <w:lang w:val="bg-BG"/>
        </w:rPr>
        <w:t>от 2009 г.</w:t>
      </w:r>
      <w:r w:rsidRPr="00072DDE">
        <w:rPr>
          <w:sz w:val="20"/>
          <w:szCs w:val="20"/>
          <w:lang w:val="bg-BG"/>
        </w:rPr>
        <w:t>]; препоръка 7 (б</w:t>
      </w:r>
      <w:r w:rsidR="00BE42F4">
        <w:rPr>
          <w:sz w:val="20"/>
          <w:szCs w:val="20"/>
          <w:lang w:val="bg-BG"/>
        </w:rPr>
        <w:t>) от доклада по</w:t>
      </w:r>
      <w:r w:rsidR="00BE42F4" w:rsidRPr="00BE42F4">
        <w:rPr>
          <w:sz w:val="20"/>
          <w:szCs w:val="20"/>
          <w:lang w:val="bg-BG"/>
        </w:rPr>
        <w:t xml:space="preserve"> </w:t>
      </w:r>
      <w:r w:rsidR="00BE42F4">
        <w:rPr>
          <w:sz w:val="20"/>
          <w:szCs w:val="20"/>
          <w:lang w:val="bg-BG"/>
        </w:rPr>
        <w:t>фаза 3</w:t>
      </w:r>
      <w:r w:rsidRPr="00072DDE">
        <w:rPr>
          <w:sz w:val="20"/>
          <w:szCs w:val="20"/>
          <w:lang w:val="bg-BG"/>
        </w:rPr>
        <w:t>)];</w:t>
      </w:r>
    </w:p>
    <w:p w14:paraId="416F2817" w14:textId="77777777" w:rsidR="00C13683" w:rsidRPr="00072DDE" w:rsidRDefault="00C13683" w:rsidP="00FF0FF6">
      <w:pPr>
        <w:widowControl/>
        <w:tabs>
          <w:tab w:val="left" w:pos="1620"/>
          <w:tab w:val="left" w:pos="1890"/>
          <w:tab w:val="left" w:pos="2160"/>
        </w:tabs>
        <w:spacing w:after="120"/>
        <w:ind w:left="2160" w:hanging="360"/>
        <w:rPr>
          <w:sz w:val="20"/>
          <w:szCs w:val="20"/>
          <w:lang w:val="bg-BG"/>
        </w:rPr>
      </w:pPr>
      <w:r w:rsidRPr="00072DDE">
        <w:rPr>
          <w:sz w:val="20"/>
          <w:szCs w:val="20"/>
          <w:lang w:val="bg-BG"/>
        </w:rPr>
        <w:t xml:space="preserve">б) </w:t>
      </w:r>
      <w:r w:rsidR="00FF0FF6">
        <w:rPr>
          <w:sz w:val="20"/>
          <w:szCs w:val="20"/>
          <w:lang w:val="bg-BG"/>
        </w:rPr>
        <w:tab/>
      </w:r>
      <w:r w:rsidRPr="00072DDE">
        <w:rPr>
          <w:sz w:val="20"/>
          <w:szCs w:val="20"/>
          <w:lang w:val="bg-BG"/>
        </w:rPr>
        <w:t>да предостави обратна връзка и последващи действия по случаи, в които Н</w:t>
      </w:r>
      <w:r w:rsidR="00BE42F4">
        <w:rPr>
          <w:sz w:val="20"/>
          <w:szCs w:val="20"/>
          <w:lang w:val="bg-BG"/>
        </w:rPr>
        <w:t xml:space="preserve">АП е уведомила Прокуратурата за нередности </w:t>
      </w:r>
      <w:r w:rsidRPr="00072DDE">
        <w:rPr>
          <w:sz w:val="20"/>
          <w:szCs w:val="20"/>
          <w:lang w:val="bg-BG"/>
        </w:rPr>
        <w:t>[Препоръка III (iii) и VIII (i)</w:t>
      </w:r>
      <w:r w:rsidR="00BE42F4" w:rsidRPr="00BE42F4">
        <w:rPr>
          <w:sz w:val="20"/>
          <w:szCs w:val="20"/>
          <w:lang w:val="bg-BG"/>
        </w:rPr>
        <w:t xml:space="preserve"> </w:t>
      </w:r>
      <w:r w:rsidR="00BE42F4" w:rsidRPr="00072DDE">
        <w:rPr>
          <w:sz w:val="20"/>
          <w:szCs w:val="20"/>
          <w:lang w:val="bg-BG"/>
        </w:rPr>
        <w:t>от 2009 г.</w:t>
      </w:r>
      <w:r w:rsidRPr="00072DDE">
        <w:rPr>
          <w:sz w:val="20"/>
          <w:szCs w:val="20"/>
          <w:lang w:val="bg-BG"/>
        </w:rPr>
        <w:t>].</w:t>
      </w:r>
    </w:p>
    <w:p w14:paraId="6061BF10" w14:textId="77777777" w:rsidR="00C13683" w:rsidRPr="00072DDE" w:rsidRDefault="00C13683" w:rsidP="00FF0FF6">
      <w:pPr>
        <w:widowControl/>
        <w:tabs>
          <w:tab w:val="left" w:pos="1440"/>
          <w:tab w:val="left" w:pos="1620"/>
          <w:tab w:val="left" w:pos="1890"/>
        </w:tabs>
        <w:spacing w:after="120"/>
        <w:ind w:left="1620" w:hanging="540"/>
        <w:rPr>
          <w:sz w:val="20"/>
          <w:szCs w:val="20"/>
          <w:lang w:val="bg-BG"/>
        </w:rPr>
      </w:pPr>
      <w:r w:rsidRPr="00072DDE">
        <w:rPr>
          <w:sz w:val="20"/>
          <w:szCs w:val="20"/>
          <w:lang w:val="bg-BG"/>
        </w:rPr>
        <w:t xml:space="preserve">16. </w:t>
      </w:r>
      <w:r w:rsidR="00FF0FF6">
        <w:rPr>
          <w:sz w:val="20"/>
          <w:szCs w:val="20"/>
          <w:lang w:val="bg-BG"/>
        </w:rPr>
        <w:tab/>
      </w:r>
      <w:r w:rsidR="00FF0FF6">
        <w:rPr>
          <w:sz w:val="20"/>
          <w:szCs w:val="20"/>
          <w:lang w:val="bg-BG"/>
        </w:rPr>
        <w:tab/>
      </w:r>
      <w:r w:rsidRPr="00072DDE">
        <w:rPr>
          <w:sz w:val="20"/>
          <w:szCs w:val="20"/>
          <w:lang w:val="bg-BG"/>
        </w:rPr>
        <w:t xml:space="preserve">По отношение на </w:t>
      </w:r>
      <w:r w:rsidRPr="00234C2E">
        <w:rPr>
          <w:b/>
          <w:sz w:val="20"/>
          <w:szCs w:val="20"/>
          <w:lang w:val="bg-BG"/>
        </w:rPr>
        <w:t>официално подкреп</w:t>
      </w:r>
      <w:r w:rsidR="00AA7790">
        <w:rPr>
          <w:b/>
          <w:sz w:val="20"/>
          <w:szCs w:val="20"/>
          <w:lang w:val="bg-BG"/>
        </w:rPr>
        <w:t>е</w:t>
      </w:r>
      <w:r w:rsidRPr="00234C2E">
        <w:rPr>
          <w:b/>
          <w:sz w:val="20"/>
          <w:szCs w:val="20"/>
          <w:lang w:val="bg-BG"/>
        </w:rPr>
        <w:t>ните експортни кредити</w:t>
      </w:r>
      <w:r w:rsidRPr="00072DDE">
        <w:rPr>
          <w:sz w:val="20"/>
          <w:szCs w:val="20"/>
          <w:lang w:val="bg-BG"/>
        </w:rPr>
        <w:t xml:space="preserve"> Работната група препоръчва на България:</w:t>
      </w:r>
    </w:p>
    <w:p w14:paraId="20EBB84F" w14:textId="77777777" w:rsidR="00C13683" w:rsidRPr="00072DDE" w:rsidRDefault="00C13683" w:rsidP="00FF0FF6">
      <w:pPr>
        <w:widowControl/>
        <w:tabs>
          <w:tab w:val="left" w:pos="1620"/>
          <w:tab w:val="left" w:pos="1890"/>
          <w:tab w:val="left" w:pos="2160"/>
        </w:tabs>
        <w:spacing w:after="120"/>
        <w:ind w:left="2160" w:hanging="360"/>
        <w:rPr>
          <w:sz w:val="20"/>
          <w:szCs w:val="20"/>
          <w:lang w:val="bg-BG"/>
        </w:rPr>
      </w:pPr>
      <w:r w:rsidRPr="00072DDE">
        <w:rPr>
          <w:sz w:val="20"/>
          <w:szCs w:val="20"/>
          <w:lang w:val="bg-BG"/>
        </w:rPr>
        <w:t xml:space="preserve">а) </w:t>
      </w:r>
      <w:r w:rsidR="00FF0FF6">
        <w:rPr>
          <w:sz w:val="20"/>
          <w:szCs w:val="20"/>
          <w:lang w:val="bg-BG"/>
        </w:rPr>
        <w:tab/>
      </w:r>
      <w:r w:rsidRPr="00072DDE">
        <w:rPr>
          <w:sz w:val="20"/>
          <w:szCs w:val="20"/>
          <w:lang w:val="bg-BG"/>
        </w:rPr>
        <w:t xml:space="preserve">да се </w:t>
      </w:r>
      <w:r w:rsidR="00BE42F4">
        <w:rPr>
          <w:sz w:val="20"/>
          <w:szCs w:val="20"/>
          <w:lang w:val="bg-BG"/>
        </w:rPr>
        <w:t>присъедини към</w:t>
      </w:r>
      <w:r w:rsidRPr="00072DDE">
        <w:rPr>
          <w:sz w:val="20"/>
          <w:szCs w:val="20"/>
          <w:lang w:val="bg-BG"/>
        </w:rPr>
        <w:t xml:space="preserve"> Препоръката от 2019 г. относно подкупите и официално подкреп</w:t>
      </w:r>
      <w:r w:rsidR="00AA7790">
        <w:rPr>
          <w:sz w:val="20"/>
          <w:szCs w:val="20"/>
          <w:lang w:val="bg-BG"/>
        </w:rPr>
        <w:t>е</w:t>
      </w:r>
      <w:r w:rsidRPr="00072DDE">
        <w:rPr>
          <w:sz w:val="20"/>
          <w:szCs w:val="20"/>
          <w:lang w:val="bg-BG"/>
        </w:rPr>
        <w:t xml:space="preserve">ните експортни кредити, която след това следва да </w:t>
      </w:r>
      <w:r w:rsidRPr="00072DDE">
        <w:rPr>
          <w:sz w:val="20"/>
          <w:szCs w:val="20"/>
          <w:lang w:val="bg-BG"/>
        </w:rPr>
        <w:lastRenderedPageBreak/>
        <w:t xml:space="preserve">бъде приложена от </w:t>
      </w:r>
      <w:r w:rsidR="00BE42F4">
        <w:rPr>
          <w:sz w:val="20"/>
          <w:szCs w:val="20"/>
          <w:lang w:val="bg-BG"/>
        </w:rPr>
        <w:t>БАЕЗ</w:t>
      </w:r>
      <w:r w:rsidRPr="00072DDE">
        <w:rPr>
          <w:sz w:val="20"/>
          <w:szCs w:val="20"/>
          <w:lang w:val="bg-BG"/>
        </w:rPr>
        <w:t xml:space="preserve"> [Препоръка XII (ii) от 2009 г.; препоръка 11 (а)</w:t>
      </w:r>
      <w:r w:rsidR="00BE42F4" w:rsidRPr="00BE42F4">
        <w:rPr>
          <w:sz w:val="20"/>
          <w:szCs w:val="20"/>
          <w:lang w:val="bg-BG"/>
        </w:rPr>
        <w:t xml:space="preserve"> </w:t>
      </w:r>
      <w:r w:rsidR="00BE42F4">
        <w:rPr>
          <w:sz w:val="20"/>
          <w:szCs w:val="20"/>
          <w:lang w:val="bg-BG"/>
        </w:rPr>
        <w:t>от доклада по ф</w:t>
      </w:r>
      <w:r w:rsidR="00BE42F4" w:rsidRPr="00072DDE">
        <w:rPr>
          <w:sz w:val="20"/>
          <w:szCs w:val="20"/>
          <w:lang w:val="bg-BG"/>
        </w:rPr>
        <w:t>аза 3,</w:t>
      </w:r>
      <w:r w:rsidRPr="00072DDE">
        <w:rPr>
          <w:sz w:val="20"/>
          <w:szCs w:val="20"/>
          <w:lang w:val="bg-BG"/>
        </w:rPr>
        <w:t>];</w:t>
      </w:r>
    </w:p>
    <w:p w14:paraId="0E0A6CF8" w14:textId="77777777" w:rsidR="00C13683" w:rsidRPr="00072DDE" w:rsidRDefault="00C13683" w:rsidP="00FF0FF6">
      <w:pPr>
        <w:widowControl/>
        <w:tabs>
          <w:tab w:val="left" w:pos="1620"/>
          <w:tab w:val="left" w:pos="1890"/>
          <w:tab w:val="left" w:pos="2160"/>
        </w:tabs>
        <w:spacing w:after="120"/>
        <w:ind w:left="2160" w:hanging="360"/>
        <w:rPr>
          <w:sz w:val="20"/>
          <w:szCs w:val="20"/>
          <w:lang w:val="bg-BG"/>
        </w:rPr>
      </w:pPr>
      <w:r w:rsidRPr="00072DDE">
        <w:rPr>
          <w:sz w:val="20"/>
          <w:szCs w:val="20"/>
          <w:lang w:val="bg-BG"/>
        </w:rPr>
        <w:t xml:space="preserve">б) </w:t>
      </w:r>
      <w:r w:rsidR="00FF0FF6">
        <w:rPr>
          <w:sz w:val="20"/>
          <w:szCs w:val="20"/>
          <w:lang w:val="bg-BG"/>
        </w:rPr>
        <w:tab/>
      </w:r>
      <w:r w:rsidR="00E169C1">
        <w:rPr>
          <w:sz w:val="20"/>
          <w:szCs w:val="20"/>
          <w:lang w:val="bg-BG"/>
        </w:rPr>
        <w:t xml:space="preserve">да </w:t>
      </w:r>
      <w:r w:rsidRPr="00072DDE">
        <w:rPr>
          <w:sz w:val="20"/>
          <w:szCs w:val="20"/>
          <w:lang w:val="bg-BG"/>
        </w:rPr>
        <w:t>обмисл</w:t>
      </w:r>
      <w:r w:rsidR="00BE42F4">
        <w:rPr>
          <w:sz w:val="20"/>
          <w:szCs w:val="20"/>
          <w:lang w:val="bg-BG"/>
        </w:rPr>
        <w:t>и</w:t>
      </w:r>
      <w:r w:rsidRPr="00072DDE">
        <w:rPr>
          <w:sz w:val="20"/>
          <w:szCs w:val="20"/>
          <w:lang w:val="bg-BG"/>
        </w:rPr>
        <w:t xml:space="preserve"> консолидиране на антикорупционните правила и процедури на </w:t>
      </w:r>
      <w:r w:rsidR="00BE42F4">
        <w:rPr>
          <w:sz w:val="20"/>
          <w:szCs w:val="20"/>
          <w:lang w:val="bg-BG"/>
        </w:rPr>
        <w:t>БАЕЗ</w:t>
      </w:r>
      <w:r w:rsidRPr="00072DDE">
        <w:rPr>
          <w:sz w:val="20"/>
          <w:szCs w:val="20"/>
          <w:lang w:val="bg-BG"/>
        </w:rPr>
        <w:t>, за да се гарантира последователност и правилно изпълнение [Препоръка XII (ii) от 2009 г.; Препоръка за експортни кредити за 2019 г.];</w:t>
      </w:r>
    </w:p>
    <w:p w14:paraId="41031766" w14:textId="77777777" w:rsidR="00C13683" w:rsidRPr="00072DDE" w:rsidRDefault="00C13683" w:rsidP="00234C2E">
      <w:pPr>
        <w:widowControl/>
        <w:tabs>
          <w:tab w:val="left" w:pos="1620"/>
          <w:tab w:val="left" w:pos="1890"/>
        </w:tabs>
        <w:spacing w:after="120"/>
        <w:ind w:left="1620" w:hanging="540"/>
        <w:rPr>
          <w:sz w:val="20"/>
          <w:szCs w:val="20"/>
          <w:lang w:val="bg-BG"/>
        </w:rPr>
      </w:pPr>
      <w:r w:rsidRPr="00072DDE">
        <w:rPr>
          <w:sz w:val="20"/>
          <w:szCs w:val="20"/>
          <w:lang w:val="bg-BG"/>
        </w:rPr>
        <w:t xml:space="preserve">17. </w:t>
      </w:r>
      <w:r w:rsidR="00234C2E">
        <w:rPr>
          <w:sz w:val="20"/>
          <w:szCs w:val="20"/>
          <w:lang w:val="bg-BG"/>
        </w:rPr>
        <w:tab/>
      </w:r>
      <w:r w:rsidRPr="00072DDE">
        <w:rPr>
          <w:sz w:val="20"/>
          <w:szCs w:val="20"/>
          <w:lang w:val="bg-BG"/>
        </w:rPr>
        <w:t xml:space="preserve">По отношение на </w:t>
      </w:r>
      <w:r w:rsidRPr="00234C2E">
        <w:rPr>
          <w:b/>
          <w:sz w:val="20"/>
          <w:szCs w:val="20"/>
          <w:lang w:val="bg-BG"/>
        </w:rPr>
        <w:t>обществените поръчки</w:t>
      </w:r>
      <w:r w:rsidRPr="00072DDE">
        <w:rPr>
          <w:sz w:val="20"/>
          <w:szCs w:val="20"/>
          <w:lang w:val="bg-BG"/>
        </w:rPr>
        <w:t xml:space="preserve"> Работната група препоръчва на България:</w:t>
      </w:r>
    </w:p>
    <w:p w14:paraId="2EA56B76" w14:textId="18BC5114" w:rsidR="00C13683" w:rsidRPr="00072DDE" w:rsidRDefault="00FF0FF6" w:rsidP="00FF0FF6">
      <w:pPr>
        <w:widowControl/>
        <w:tabs>
          <w:tab w:val="left" w:pos="1620"/>
          <w:tab w:val="left" w:pos="1890"/>
        </w:tabs>
        <w:spacing w:after="120"/>
        <w:ind w:left="2250" w:hanging="450"/>
        <w:rPr>
          <w:sz w:val="20"/>
          <w:szCs w:val="20"/>
          <w:lang w:val="bg-BG"/>
        </w:rPr>
      </w:pPr>
      <w:r>
        <w:rPr>
          <w:sz w:val="20"/>
          <w:szCs w:val="20"/>
          <w:lang w:val="bg-BG"/>
        </w:rPr>
        <w:t>а)</w:t>
      </w:r>
      <w:r>
        <w:rPr>
          <w:sz w:val="20"/>
          <w:szCs w:val="20"/>
          <w:lang w:val="bg-BG"/>
        </w:rPr>
        <w:tab/>
      </w:r>
      <w:r w:rsidR="00234C2E">
        <w:rPr>
          <w:sz w:val="20"/>
          <w:szCs w:val="20"/>
          <w:lang w:val="bg-BG"/>
        </w:rPr>
        <w:t xml:space="preserve">да </w:t>
      </w:r>
      <w:r w:rsidR="00C13683" w:rsidRPr="00072DDE">
        <w:rPr>
          <w:sz w:val="20"/>
          <w:szCs w:val="20"/>
          <w:lang w:val="bg-BG"/>
        </w:rPr>
        <w:t>продължава</w:t>
      </w:r>
      <w:r w:rsidR="00234C2E">
        <w:rPr>
          <w:sz w:val="20"/>
          <w:szCs w:val="20"/>
          <w:lang w:val="bg-BG"/>
        </w:rPr>
        <w:t xml:space="preserve"> </w:t>
      </w:r>
      <w:r w:rsidR="00C13683" w:rsidRPr="00072DDE">
        <w:rPr>
          <w:sz w:val="20"/>
          <w:szCs w:val="20"/>
          <w:lang w:val="bg-BG"/>
        </w:rPr>
        <w:t xml:space="preserve">да обучава служителите на Агенцията за обществени поръчки </w:t>
      </w:r>
      <w:r w:rsidR="00E64156">
        <w:rPr>
          <w:sz w:val="20"/>
          <w:szCs w:val="20"/>
          <w:lang w:val="bg-BG"/>
        </w:rPr>
        <w:t xml:space="preserve">и на възложителите на обществени поръчки </w:t>
      </w:r>
      <w:r w:rsidR="00234C2E">
        <w:rPr>
          <w:sz w:val="20"/>
          <w:szCs w:val="20"/>
          <w:lang w:val="bg-BG"/>
        </w:rPr>
        <w:t>относно престъплението подкуп</w:t>
      </w:r>
      <w:r w:rsidR="00C13683" w:rsidRPr="00072DDE">
        <w:rPr>
          <w:sz w:val="20"/>
          <w:szCs w:val="20"/>
          <w:lang w:val="bg-BG"/>
        </w:rPr>
        <w:t xml:space="preserve"> </w:t>
      </w:r>
      <w:r w:rsidR="00234C2E">
        <w:rPr>
          <w:sz w:val="20"/>
          <w:szCs w:val="20"/>
          <w:lang w:val="bg-BG"/>
        </w:rPr>
        <w:t>на чужди длъжностни лица</w:t>
      </w:r>
      <w:r w:rsidR="00C13683" w:rsidRPr="00072DDE">
        <w:rPr>
          <w:sz w:val="20"/>
          <w:szCs w:val="20"/>
          <w:lang w:val="bg-BG"/>
        </w:rPr>
        <w:t xml:space="preserve">, включително за това как ефективно да извършват </w:t>
      </w:r>
      <w:r w:rsidR="002F53AE">
        <w:rPr>
          <w:sz w:val="20"/>
          <w:szCs w:val="20"/>
          <w:lang w:val="bg-BG"/>
        </w:rPr>
        <w:t xml:space="preserve"> комплексна</w:t>
      </w:r>
      <w:r w:rsidR="00C13683" w:rsidRPr="00072DDE">
        <w:rPr>
          <w:sz w:val="20"/>
          <w:szCs w:val="20"/>
          <w:lang w:val="bg-BG"/>
        </w:rPr>
        <w:t xml:space="preserve"> проверка във връзка с договори за обществени поръчки [Препоръка III (i) и XI (iii) от 2009 г .; Препоръка 12</w:t>
      </w:r>
      <w:r w:rsidR="00234C2E" w:rsidRPr="00234C2E">
        <w:rPr>
          <w:sz w:val="20"/>
          <w:szCs w:val="20"/>
          <w:lang w:val="bg-BG"/>
        </w:rPr>
        <w:t xml:space="preserve"> </w:t>
      </w:r>
      <w:r w:rsidR="00234C2E">
        <w:rPr>
          <w:sz w:val="20"/>
          <w:szCs w:val="20"/>
          <w:lang w:val="bg-BG"/>
        </w:rPr>
        <w:t>от доклада по ф</w:t>
      </w:r>
      <w:r w:rsidR="00234C2E" w:rsidRPr="00072DDE">
        <w:rPr>
          <w:sz w:val="20"/>
          <w:szCs w:val="20"/>
          <w:lang w:val="bg-BG"/>
        </w:rPr>
        <w:t>аза 3</w:t>
      </w:r>
      <w:r w:rsidR="00C13683" w:rsidRPr="00072DDE">
        <w:rPr>
          <w:sz w:val="20"/>
          <w:szCs w:val="20"/>
          <w:lang w:val="bg-BG"/>
        </w:rPr>
        <w:t>];</w:t>
      </w:r>
    </w:p>
    <w:p w14:paraId="1B186BAE" w14:textId="108DE65D" w:rsidR="00C13683" w:rsidRP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б) </w:t>
      </w:r>
      <w:r w:rsidR="00FF0FF6">
        <w:rPr>
          <w:sz w:val="20"/>
          <w:szCs w:val="20"/>
          <w:lang w:val="bg-BG"/>
        </w:rPr>
        <w:tab/>
      </w:r>
      <w:r w:rsidR="00E64156">
        <w:rPr>
          <w:sz w:val="20"/>
          <w:szCs w:val="20"/>
          <w:lang w:val="bg-BG"/>
        </w:rPr>
        <w:t>когато е подходящо,</w:t>
      </w:r>
      <w:r w:rsidRPr="00072DDE">
        <w:rPr>
          <w:sz w:val="20"/>
          <w:szCs w:val="20"/>
          <w:lang w:val="bg-BG"/>
        </w:rPr>
        <w:t xml:space="preserve"> </w:t>
      </w:r>
      <w:r w:rsidR="00E31D36">
        <w:rPr>
          <w:sz w:val="20"/>
          <w:szCs w:val="20"/>
          <w:lang w:val="bg-BG"/>
        </w:rPr>
        <w:t xml:space="preserve">да </w:t>
      </w:r>
      <w:r w:rsidRPr="00072DDE">
        <w:rPr>
          <w:sz w:val="20"/>
          <w:szCs w:val="20"/>
          <w:lang w:val="bg-BG"/>
        </w:rPr>
        <w:t xml:space="preserve">проверява </w:t>
      </w:r>
      <w:r w:rsidR="00E31D36">
        <w:rPr>
          <w:sz w:val="20"/>
          <w:szCs w:val="20"/>
          <w:lang w:val="bg-BG"/>
        </w:rPr>
        <w:t>списъците</w:t>
      </w:r>
      <w:r w:rsidRPr="00072DDE">
        <w:rPr>
          <w:sz w:val="20"/>
          <w:szCs w:val="20"/>
          <w:lang w:val="bg-BG"/>
        </w:rPr>
        <w:t xml:space="preserve"> </w:t>
      </w:r>
      <w:r w:rsidR="00E31D36">
        <w:rPr>
          <w:sz w:val="20"/>
          <w:szCs w:val="20"/>
          <w:lang w:val="bg-BG"/>
        </w:rPr>
        <w:t>с отстранени компании на</w:t>
      </w:r>
      <w:r w:rsidRPr="00072DDE">
        <w:rPr>
          <w:sz w:val="20"/>
          <w:szCs w:val="20"/>
          <w:lang w:val="bg-BG"/>
        </w:rPr>
        <w:t xml:space="preserve"> международни</w:t>
      </w:r>
      <w:r w:rsidR="00E31D36">
        <w:rPr>
          <w:sz w:val="20"/>
          <w:szCs w:val="20"/>
          <w:lang w:val="bg-BG"/>
        </w:rPr>
        <w:t>те</w:t>
      </w:r>
      <w:r w:rsidRPr="00072DDE">
        <w:rPr>
          <w:sz w:val="20"/>
          <w:szCs w:val="20"/>
          <w:lang w:val="bg-BG"/>
        </w:rPr>
        <w:t xml:space="preserve"> финансови институции [Препоръка XI, iii) от 2009 г.];</w:t>
      </w:r>
    </w:p>
    <w:p w14:paraId="12E7B593" w14:textId="46388E71" w:rsidR="00C13683" w:rsidRP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в) </w:t>
      </w:r>
      <w:r w:rsidR="00FF0FF6">
        <w:rPr>
          <w:sz w:val="20"/>
          <w:szCs w:val="20"/>
          <w:lang w:val="bg-BG"/>
        </w:rPr>
        <w:tab/>
      </w:r>
      <w:r w:rsidRPr="00072DDE">
        <w:rPr>
          <w:sz w:val="20"/>
          <w:szCs w:val="20"/>
          <w:lang w:val="bg-BG"/>
        </w:rPr>
        <w:t>да разгледа, когато е уместно</w:t>
      </w:r>
      <w:r w:rsidR="00E64156">
        <w:rPr>
          <w:sz w:val="20"/>
          <w:szCs w:val="20"/>
          <w:lang w:val="bg-BG"/>
        </w:rPr>
        <w:t xml:space="preserve"> в контекста на борбата с подкупването на чужди длъжностни лица</w:t>
      </w:r>
      <w:r w:rsidRPr="00072DDE">
        <w:rPr>
          <w:sz w:val="20"/>
          <w:szCs w:val="20"/>
          <w:lang w:val="bg-BG"/>
        </w:rPr>
        <w:t xml:space="preserve">, съществуването на антикорупционни </w:t>
      </w:r>
      <w:r w:rsidR="00E31D36">
        <w:rPr>
          <w:sz w:val="20"/>
          <w:szCs w:val="20"/>
          <w:lang w:val="bg-BG"/>
        </w:rPr>
        <w:t>програми за вътрешен контрол</w:t>
      </w:r>
      <w:r w:rsidRPr="00072DDE">
        <w:rPr>
          <w:sz w:val="20"/>
          <w:szCs w:val="20"/>
          <w:lang w:val="bg-BG"/>
        </w:rPr>
        <w:t>, етика и съответствие на</w:t>
      </w:r>
      <w:r w:rsidR="00E31D36">
        <w:rPr>
          <w:sz w:val="20"/>
          <w:szCs w:val="20"/>
          <w:lang w:val="bg-BG"/>
        </w:rPr>
        <w:t xml:space="preserve"> компаниите</w:t>
      </w:r>
      <w:r w:rsidRPr="00072DDE">
        <w:rPr>
          <w:sz w:val="20"/>
          <w:szCs w:val="20"/>
          <w:lang w:val="bg-BG"/>
        </w:rPr>
        <w:t xml:space="preserve">, търсещи </w:t>
      </w:r>
      <w:r w:rsidR="00E31D36">
        <w:rPr>
          <w:sz w:val="20"/>
          <w:szCs w:val="20"/>
          <w:lang w:val="bg-BG"/>
        </w:rPr>
        <w:t xml:space="preserve">да сключат </w:t>
      </w:r>
      <w:r w:rsidRPr="00072DDE">
        <w:rPr>
          <w:sz w:val="20"/>
          <w:szCs w:val="20"/>
          <w:lang w:val="bg-BG"/>
        </w:rPr>
        <w:t>договори за обществени поръчки [Препоръка XI, iii) от 2009 г.];</w:t>
      </w:r>
    </w:p>
    <w:p w14:paraId="5E2D8731" w14:textId="03C87F1B" w:rsidR="00C13683"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г) </w:t>
      </w:r>
      <w:r w:rsidR="00FF0FF6">
        <w:rPr>
          <w:sz w:val="20"/>
          <w:szCs w:val="20"/>
          <w:lang w:val="bg-BG"/>
        </w:rPr>
        <w:tab/>
      </w:r>
      <w:r w:rsidR="00A22BDC">
        <w:rPr>
          <w:sz w:val="20"/>
          <w:szCs w:val="20"/>
          <w:lang w:val="bg-BG"/>
        </w:rPr>
        <w:t>да включи</w:t>
      </w:r>
      <w:r w:rsidR="00E31D36">
        <w:rPr>
          <w:sz w:val="20"/>
          <w:szCs w:val="20"/>
          <w:lang w:val="bg-BG"/>
        </w:rPr>
        <w:t xml:space="preserve"> антикорупционни</w:t>
      </w:r>
      <w:r w:rsidRPr="00072DDE">
        <w:rPr>
          <w:sz w:val="20"/>
          <w:szCs w:val="20"/>
          <w:lang w:val="bg-BG"/>
        </w:rPr>
        <w:t xml:space="preserve"> клаузи в договорите за </w:t>
      </w:r>
      <w:r w:rsidR="00E31D36">
        <w:rPr>
          <w:sz w:val="20"/>
          <w:szCs w:val="20"/>
          <w:lang w:val="bg-BG"/>
        </w:rPr>
        <w:t xml:space="preserve">възлагане на </w:t>
      </w:r>
      <w:r w:rsidRPr="00072DDE">
        <w:rPr>
          <w:sz w:val="20"/>
          <w:szCs w:val="20"/>
          <w:lang w:val="bg-BG"/>
        </w:rPr>
        <w:t>обществени поръчки [Препоръка XI (iii) от 2009 г.].</w:t>
      </w:r>
    </w:p>
    <w:p w14:paraId="13A844E3" w14:textId="77777777" w:rsidR="00C13683" w:rsidRPr="00072DDE" w:rsidRDefault="00C13683" w:rsidP="00FF0FF6">
      <w:pPr>
        <w:widowControl/>
        <w:tabs>
          <w:tab w:val="left" w:pos="1620"/>
          <w:tab w:val="left" w:pos="1890"/>
        </w:tabs>
        <w:spacing w:after="120"/>
        <w:ind w:left="1620" w:hanging="450"/>
        <w:rPr>
          <w:sz w:val="20"/>
          <w:szCs w:val="20"/>
          <w:lang w:val="bg-BG"/>
        </w:rPr>
      </w:pPr>
      <w:r w:rsidRPr="00072DDE">
        <w:rPr>
          <w:sz w:val="20"/>
          <w:szCs w:val="20"/>
          <w:lang w:val="bg-BG"/>
        </w:rPr>
        <w:t xml:space="preserve">18. </w:t>
      </w:r>
      <w:r w:rsidR="00FF0FF6">
        <w:rPr>
          <w:sz w:val="20"/>
          <w:szCs w:val="20"/>
          <w:lang w:val="bg-BG"/>
        </w:rPr>
        <w:tab/>
      </w:r>
      <w:r w:rsidRPr="00072DDE">
        <w:rPr>
          <w:sz w:val="20"/>
          <w:szCs w:val="20"/>
          <w:lang w:val="bg-BG"/>
        </w:rPr>
        <w:t xml:space="preserve">По отношение на </w:t>
      </w:r>
      <w:r w:rsidRPr="00E31D36">
        <w:rPr>
          <w:b/>
          <w:sz w:val="20"/>
          <w:szCs w:val="20"/>
          <w:lang w:val="bg-BG"/>
        </w:rPr>
        <w:t>официалната помощ за развитие</w:t>
      </w:r>
      <w:r w:rsidR="00E31D36">
        <w:rPr>
          <w:sz w:val="20"/>
          <w:szCs w:val="20"/>
          <w:lang w:val="bg-BG"/>
        </w:rPr>
        <w:t xml:space="preserve"> (ОПР)</w:t>
      </w:r>
      <w:r w:rsidRPr="00072DDE">
        <w:rPr>
          <w:sz w:val="20"/>
          <w:szCs w:val="20"/>
          <w:lang w:val="bg-BG"/>
        </w:rPr>
        <w:t xml:space="preserve"> Работната група препоръчва на България:</w:t>
      </w:r>
    </w:p>
    <w:p w14:paraId="39676306" w14:textId="77777777" w:rsidR="00C13683" w:rsidRP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а) </w:t>
      </w:r>
      <w:r w:rsidR="00FF0FF6">
        <w:rPr>
          <w:sz w:val="20"/>
          <w:szCs w:val="20"/>
          <w:lang w:val="bg-BG"/>
        </w:rPr>
        <w:tab/>
      </w:r>
      <w:r w:rsidR="00E31D36">
        <w:rPr>
          <w:sz w:val="20"/>
          <w:szCs w:val="20"/>
          <w:lang w:val="bg-BG"/>
        </w:rPr>
        <w:t xml:space="preserve">да </w:t>
      </w:r>
      <w:r w:rsidRPr="00072DDE">
        <w:rPr>
          <w:sz w:val="20"/>
          <w:szCs w:val="20"/>
          <w:lang w:val="bg-BG"/>
        </w:rPr>
        <w:t>гарантира, че както физическите, така и юридическите лица, кандидатстващи за договори за ОПР, трябва да декларират, че не са осъждани за корупционни престъпления [Препоръка XI (ii) от 2009 г.; Препоръка 6 (ii) от 2016 г.];</w:t>
      </w:r>
    </w:p>
    <w:p w14:paraId="4E4EBD9D" w14:textId="77777777" w:rsidR="00C13683" w:rsidRP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б) </w:t>
      </w:r>
      <w:r w:rsidR="00FF0FF6">
        <w:rPr>
          <w:sz w:val="20"/>
          <w:szCs w:val="20"/>
          <w:lang w:val="bg-BG"/>
        </w:rPr>
        <w:tab/>
      </w:r>
      <w:r w:rsidR="00E31D36">
        <w:rPr>
          <w:sz w:val="20"/>
          <w:szCs w:val="20"/>
          <w:lang w:val="bg-BG"/>
        </w:rPr>
        <w:t xml:space="preserve">да </w:t>
      </w:r>
      <w:r w:rsidRPr="00072DDE">
        <w:rPr>
          <w:sz w:val="20"/>
          <w:szCs w:val="20"/>
          <w:lang w:val="bg-BG"/>
        </w:rPr>
        <w:t>проверява публично достъпни</w:t>
      </w:r>
      <w:r w:rsidR="00E31D36">
        <w:rPr>
          <w:sz w:val="20"/>
          <w:szCs w:val="20"/>
          <w:lang w:val="bg-BG"/>
        </w:rPr>
        <w:t>те</w:t>
      </w:r>
      <w:r w:rsidRPr="00072DDE">
        <w:rPr>
          <w:sz w:val="20"/>
          <w:szCs w:val="20"/>
          <w:lang w:val="bg-BG"/>
        </w:rPr>
        <w:t xml:space="preserve"> списъци </w:t>
      </w:r>
      <w:r w:rsidR="00FE3F1B">
        <w:rPr>
          <w:sz w:val="20"/>
          <w:szCs w:val="20"/>
          <w:lang w:val="bg-BG"/>
        </w:rPr>
        <w:t xml:space="preserve">със санкционирани </w:t>
      </w:r>
      <w:r w:rsidR="00E31D36">
        <w:rPr>
          <w:sz w:val="20"/>
          <w:szCs w:val="20"/>
          <w:lang w:val="bg-BG"/>
        </w:rPr>
        <w:t xml:space="preserve">компании </w:t>
      </w:r>
      <w:r w:rsidRPr="00072DDE">
        <w:rPr>
          <w:sz w:val="20"/>
          <w:szCs w:val="20"/>
          <w:lang w:val="bg-BG"/>
        </w:rPr>
        <w:t xml:space="preserve"> </w:t>
      </w:r>
      <w:r w:rsidR="00E31D36">
        <w:rPr>
          <w:sz w:val="20"/>
          <w:szCs w:val="20"/>
          <w:lang w:val="bg-BG"/>
        </w:rPr>
        <w:t xml:space="preserve">на </w:t>
      </w:r>
      <w:r w:rsidRPr="00072DDE">
        <w:rPr>
          <w:sz w:val="20"/>
          <w:szCs w:val="20"/>
          <w:lang w:val="bg-BG"/>
        </w:rPr>
        <w:t>международни</w:t>
      </w:r>
      <w:r w:rsidR="00E31D36">
        <w:rPr>
          <w:sz w:val="20"/>
          <w:szCs w:val="20"/>
          <w:lang w:val="bg-BG"/>
        </w:rPr>
        <w:t>те</w:t>
      </w:r>
      <w:r w:rsidRPr="00072DDE">
        <w:rPr>
          <w:sz w:val="20"/>
          <w:szCs w:val="20"/>
          <w:lang w:val="bg-BG"/>
        </w:rPr>
        <w:t xml:space="preserve"> финансови институции по време на процеса на подбор на кандидатите [Препоръка XI (ii) от 2009 г.; Препоръка 6 (iv) от 2016 г.];</w:t>
      </w:r>
    </w:p>
    <w:p w14:paraId="3DCD011C" w14:textId="77777777" w:rsidR="00C13683" w:rsidRP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в) </w:t>
      </w:r>
      <w:r w:rsidR="00E31D36">
        <w:rPr>
          <w:sz w:val="20"/>
          <w:szCs w:val="20"/>
          <w:lang w:val="bg-BG"/>
        </w:rPr>
        <w:tab/>
        <w:t>да предприем</w:t>
      </w:r>
      <w:r w:rsidR="00BD39CB">
        <w:rPr>
          <w:sz w:val="20"/>
          <w:szCs w:val="20"/>
          <w:lang w:val="bg-BG"/>
        </w:rPr>
        <w:t>а</w:t>
      </w:r>
      <w:r w:rsidRPr="00072DDE">
        <w:rPr>
          <w:sz w:val="20"/>
          <w:szCs w:val="20"/>
          <w:lang w:val="bg-BG"/>
        </w:rPr>
        <w:t xml:space="preserve"> подходяща </w:t>
      </w:r>
      <w:r w:rsidR="002F53AE">
        <w:rPr>
          <w:sz w:val="20"/>
          <w:szCs w:val="20"/>
          <w:lang w:val="bg-BG"/>
        </w:rPr>
        <w:t>комплексна</w:t>
      </w:r>
      <w:r w:rsidRPr="00072DDE">
        <w:rPr>
          <w:sz w:val="20"/>
          <w:szCs w:val="20"/>
          <w:lang w:val="bg-BG"/>
        </w:rPr>
        <w:t xml:space="preserve"> проверка, включително относно системите за управление на риска от корупция на заявителите, преди сключването на договори за ОПР [Препоръка XI (ii) от 2009 г.; Препоръка 6 (iii) от 2016 г.];</w:t>
      </w:r>
    </w:p>
    <w:p w14:paraId="7CB0572D" w14:textId="77777777" w:rsidR="00072DDE" w:rsidRDefault="00C13683" w:rsidP="00FF0FF6">
      <w:pPr>
        <w:widowControl/>
        <w:tabs>
          <w:tab w:val="left" w:pos="1620"/>
          <w:tab w:val="left" w:pos="1890"/>
        </w:tabs>
        <w:spacing w:after="120"/>
        <w:ind w:left="2250" w:hanging="450"/>
        <w:rPr>
          <w:sz w:val="20"/>
          <w:szCs w:val="20"/>
          <w:lang w:val="bg-BG"/>
        </w:rPr>
      </w:pPr>
      <w:r w:rsidRPr="00072DDE">
        <w:rPr>
          <w:sz w:val="20"/>
          <w:szCs w:val="20"/>
          <w:lang w:val="bg-BG"/>
        </w:rPr>
        <w:t xml:space="preserve">г) </w:t>
      </w:r>
      <w:r w:rsidR="00FF0FF6">
        <w:rPr>
          <w:sz w:val="20"/>
          <w:szCs w:val="20"/>
          <w:lang w:val="bg-BG"/>
        </w:rPr>
        <w:tab/>
      </w:r>
      <w:r w:rsidR="00BD39CB">
        <w:rPr>
          <w:sz w:val="20"/>
          <w:szCs w:val="20"/>
          <w:lang w:val="bg-BG"/>
        </w:rPr>
        <w:t>да включи</w:t>
      </w:r>
      <w:r w:rsidRPr="00072DDE">
        <w:rPr>
          <w:sz w:val="20"/>
          <w:szCs w:val="20"/>
          <w:lang w:val="bg-BG"/>
        </w:rPr>
        <w:t xml:space="preserve"> в </w:t>
      </w:r>
      <w:r w:rsidR="00BD39CB">
        <w:rPr>
          <w:sz w:val="20"/>
          <w:szCs w:val="20"/>
          <w:lang w:val="bg-BG"/>
        </w:rPr>
        <w:t>договорите за ОПР</w:t>
      </w:r>
      <w:r w:rsidRPr="00072DDE">
        <w:rPr>
          <w:sz w:val="20"/>
          <w:szCs w:val="20"/>
          <w:lang w:val="bg-BG"/>
        </w:rPr>
        <w:t xml:space="preserve"> клаузи за прекратяване, спиране или възстановяване на суми или други граждански и наказателни действия, когато е приложимо, в случай </w:t>
      </w:r>
      <w:r w:rsidR="00BD39CB">
        <w:rPr>
          <w:sz w:val="20"/>
          <w:szCs w:val="20"/>
          <w:lang w:val="bg-BG"/>
        </w:rPr>
        <w:t>че се открие</w:t>
      </w:r>
      <w:r w:rsidRPr="00072DDE">
        <w:rPr>
          <w:sz w:val="20"/>
          <w:szCs w:val="20"/>
          <w:lang w:val="bg-BG"/>
        </w:rPr>
        <w:t xml:space="preserve">, че партньорът по изпълнението </w:t>
      </w:r>
      <w:r w:rsidR="00BD39CB">
        <w:rPr>
          <w:sz w:val="20"/>
          <w:szCs w:val="20"/>
          <w:lang w:val="bg-BG"/>
        </w:rPr>
        <w:t xml:space="preserve">впоследствие </w:t>
      </w:r>
      <w:r w:rsidRPr="00072DDE">
        <w:rPr>
          <w:sz w:val="20"/>
          <w:szCs w:val="20"/>
          <w:lang w:val="bg-BG"/>
        </w:rPr>
        <w:t>е извършил корупция по време на договора [Препоръка XI от 2009 г. ( ii); Препоръка 8 (i) от 2016 г.].</w:t>
      </w:r>
    </w:p>
    <w:p w14:paraId="140D488B" w14:textId="77777777" w:rsidR="00072DDE" w:rsidRDefault="00072DDE" w:rsidP="00C13683">
      <w:pPr>
        <w:widowControl/>
        <w:tabs>
          <w:tab w:val="left" w:pos="1620"/>
          <w:tab w:val="left" w:pos="1890"/>
        </w:tabs>
        <w:spacing w:after="120"/>
        <w:rPr>
          <w:sz w:val="20"/>
          <w:szCs w:val="20"/>
          <w:lang w:val="bg-BG"/>
        </w:rPr>
      </w:pPr>
    </w:p>
    <w:p w14:paraId="5CA4C540" w14:textId="77777777" w:rsidR="00072DDE" w:rsidRPr="00FF0FF6" w:rsidRDefault="00FF0FF6" w:rsidP="00072DDE">
      <w:pPr>
        <w:widowControl/>
        <w:tabs>
          <w:tab w:val="left" w:pos="1620"/>
          <w:tab w:val="left" w:pos="1890"/>
        </w:tabs>
        <w:spacing w:after="120"/>
        <w:rPr>
          <w:b/>
          <w:sz w:val="24"/>
          <w:szCs w:val="24"/>
          <w:lang w:val="bg-BG"/>
        </w:rPr>
      </w:pPr>
      <w:r>
        <w:rPr>
          <w:b/>
          <w:sz w:val="24"/>
          <w:szCs w:val="24"/>
          <w:lang w:val="bg-BG"/>
        </w:rPr>
        <w:t>Последващи действия от Р</w:t>
      </w:r>
      <w:r w:rsidR="00072DDE" w:rsidRPr="00FF0FF6">
        <w:rPr>
          <w:b/>
          <w:sz w:val="24"/>
          <w:szCs w:val="24"/>
          <w:lang w:val="bg-BG"/>
        </w:rPr>
        <w:t>аботната група</w:t>
      </w:r>
    </w:p>
    <w:p w14:paraId="38301067" w14:textId="77777777" w:rsidR="00072DDE" w:rsidRPr="00072DDE" w:rsidRDefault="00072DDE" w:rsidP="00FF0FF6">
      <w:pPr>
        <w:widowControl/>
        <w:tabs>
          <w:tab w:val="left" w:pos="1620"/>
          <w:tab w:val="left" w:pos="1890"/>
        </w:tabs>
        <w:spacing w:after="120"/>
        <w:ind w:left="1620" w:hanging="450"/>
        <w:rPr>
          <w:sz w:val="20"/>
          <w:szCs w:val="20"/>
          <w:lang w:val="bg-BG"/>
        </w:rPr>
      </w:pPr>
      <w:r w:rsidRPr="00072DDE">
        <w:rPr>
          <w:sz w:val="20"/>
          <w:szCs w:val="20"/>
          <w:lang w:val="bg-BG"/>
        </w:rPr>
        <w:t>19. Работната група ще проследи въпросит</w:t>
      </w:r>
      <w:r w:rsidR="00BD39CB">
        <w:rPr>
          <w:sz w:val="20"/>
          <w:szCs w:val="20"/>
          <w:lang w:val="bg-BG"/>
        </w:rPr>
        <w:t>е по</w:t>
      </w:r>
      <w:r w:rsidRPr="00072DDE">
        <w:rPr>
          <w:sz w:val="20"/>
          <w:szCs w:val="20"/>
          <w:lang w:val="bg-BG"/>
        </w:rPr>
        <w:t>-долу с развитието на съдебната практика, практиката и законодателството:</w:t>
      </w:r>
    </w:p>
    <w:p w14:paraId="26F20554" w14:textId="77777777" w:rsidR="00072DDE" w:rsidRPr="00072DDE" w:rsidRDefault="00072DDE" w:rsidP="00FF0FF6">
      <w:pPr>
        <w:widowControl/>
        <w:tabs>
          <w:tab w:val="left" w:pos="1890"/>
          <w:tab w:val="left" w:pos="2250"/>
        </w:tabs>
        <w:spacing w:after="120"/>
        <w:ind w:left="2250" w:hanging="450"/>
        <w:rPr>
          <w:sz w:val="20"/>
          <w:szCs w:val="20"/>
          <w:lang w:val="bg-BG"/>
        </w:rPr>
      </w:pPr>
      <w:r w:rsidRPr="00072DDE">
        <w:rPr>
          <w:sz w:val="20"/>
          <w:szCs w:val="20"/>
          <w:lang w:val="bg-BG"/>
        </w:rPr>
        <w:t xml:space="preserve">а) </w:t>
      </w:r>
      <w:r w:rsidR="00FF0FF6">
        <w:rPr>
          <w:sz w:val="20"/>
          <w:szCs w:val="20"/>
          <w:lang w:val="bg-BG"/>
        </w:rPr>
        <w:tab/>
      </w:r>
      <w:r w:rsidRPr="00072DDE">
        <w:rPr>
          <w:sz w:val="20"/>
          <w:szCs w:val="20"/>
          <w:lang w:val="bg-BG"/>
        </w:rPr>
        <w:t xml:space="preserve">човешки и финансови ресурси, с които разполага прокуратурата в подкрепа на ефективното разкриване, разследване и наказателно преследване на </w:t>
      </w:r>
      <w:r w:rsidR="00BD39CB">
        <w:rPr>
          <w:sz w:val="20"/>
          <w:szCs w:val="20"/>
          <w:lang w:val="bg-BG"/>
        </w:rPr>
        <w:t>подкуп на чужди длъжностни лица</w:t>
      </w:r>
      <w:r w:rsidRPr="00072DDE">
        <w:rPr>
          <w:sz w:val="20"/>
          <w:szCs w:val="20"/>
          <w:lang w:val="bg-BG"/>
        </w:rPr>
        <w:t xml:space="preserve"> [член 5 от Конвенцията и коментар 27; Препоръка от 2009 г., приложение I.D; препоръка 5 (а</w:t>
      </w:r>
      <w:r w:rsidR="00BD39CB">
        <w:rPr>
          <w:sz w:val="20"/>
          <w:szCs w:val="20"/>
          <w:lang w:val="bg-BG"/>
        </w:rPr>
        <w:t>) от доклада по</w:t>
      </w:r>
      <w:r w:rsidR="00BD39CB" w:rsidRPr="00BD39CB">
        <w:rPr>
          <w:sz w:val="20"/>
          <w:szCs w:val="20"/>
          <w:lang w:val="bg-BG"/>
        </w:rPr>
        <w:t xml:space="preserve"> </w:t>
      </w:r>
      <w:r w:rsidR="00BD39CB">
        <w:rPr>
          <w:sz w:val="20"/>
          <w:szCs w:val="20"/>
          <w:lang w:val="bg-BG"/>
        </w:rPr>
        <w:t>фаза 3</w:t>
      </w:r>
      <w:r w:rsidRPr="00072DDE">
        <w:rPr>
          <w:sz w:val="20"/>
          <w:szCs w:val="20"/>
          <w:lang w:val="bg-BG"/>
        </w:rPr>
        <w:t>];</w:t>
      </w:r>
    </w:p>
    <w:p w14:paraId="2DC32D0D" w14:textId="77777777" w:rsidR="00072DDE" w:rsidRPr="00072DDE" w:rsidRDefault="00072DDE" w:rsidP="00FF0FF6">
      <w:pPr>
        <w:widowControl/>
        <w:tabs>
          <w:tab w:val="left" w:pos="1890"/>
          <w:tab w:val="left" w:pos="2250"/>
        </w:tabs>
        <w:spacing w:after="120"/>
        <w:ind w:left="2250" w:hanging="450"/>
        <w:rPr>
          <w:sz w:val="20"/>
          <w:szCs w:val="20"/>
          <w:lang w:val="bg-BG"/>
        </w:rPr>
      </w:pPr>
      <w:r w:rsidRPr="00072DDE">
        <w:rPr>
          <w:sz w:val="20"/>
          <w:szCs w:val="20"/>
          <w:lang w:val="bg-BG"/>
        </w:rPr>
        <w:lastRenderedPageBreak/>
        <w:t xml:space="preserve">(б) </w:t>
      </w:r>
      <w:r w:rsidR="00E65F9C">
        <w:rPr>
          <w:sz w:val="20"/>
          <w:szCs w:val="20"/>
          <w:lang w:val="bg-BG"/>
        </w:rPr>
        <w:t xml:space="preserve"> </w:t>
      </w:r>
      <w:r w:rsidRPr="00072DDE">
        <w:rPr>
          <w:sz w:val="20"/>
          <w:szCs w:val="20"/>
          <w:lang w:val="bg-BG"/>
        </w:rPr>
        <w:t xml:space="preserve">мониторинг на медийните </w:t>
      </w:r>
      <w:r w:rsidR="00BD39CB">
        <w:rPr>
          <w:sz w:val="20"/>
          <w:szCs w:val="20"/>
          <w:lang w:val="bg-BG"/>
        </w:rPr>
        <w:t>публикации</w:t>
      </w:r>
      <w:r w:rsidRPr="00072DDE">
        <w:rPr>
          <w:sz w:val="20"/>
          <w:szCs w:val="20"/>
          <w:lang w:val="bg-BG"/>
        </w:rPr>
        <w:t xml:space="preserve"> съгласно заповедта на главния прокурор [член 5 от Конвенцията и коментар 27; Препоръка от 2009 г., приложение I.D];</w:t>
      </w:r>
    </w:p>
    <w:p w14:paraId="33A414C7" w14:textId="77777777" w:rsidR="00072DDE" w:rsidRPr="00072DDE" w:rsidRDefault="00072DDE" w:rsidP="00FF0FF6">
      <w:pPr>
        <w:widowControl/>
        <w:tabs>
          <w:tab w:val="left" w:pos="1890"/>
          <w:tab w:val="left" w:pos="2250"/>
        </w:tabs>
        <w:spacing w:after="120"/>
        <w:ind w:left="2250" w:hanging="450"/>
        <w:rPr>
          <w:sz w:val="20"/>
          <w:szCs w:val="20"/>
          <w:lang w:val="bg-BG"/>
        </w:rPr>
      </w:pPr>
      <w:r w:rsidRPr="00072DDE">
        <w:rPr>
          <w:sz w:val="20"/>
          <w:szCs w:val="20"/>
          <w:lang w:val="bg-BG"/>
        </w:rPr>
        <w:t xml:space="preserve">в) </w:t>
      </w:r>
      <w:r w:rsidR="00FF0FF6">
        <w:rPr>
          <w:sz w:val="20"/>
          <w:szCs w:val="20"/>
          <w:lang w:val="bg-BG"/>
        </w:rPr>
        <w:tab/>
      </w:r>
      <w:r w:rsidRPr="00072DDE">
        <w:rPr>
          <w:sz w:val="20"/>
          <w:szCs w:val="20"/>
          <w:lang w:val="bg-BG"/>
        </w:rPr>
        <w:t>координация между следователи и прокурори [член 5 от Конвенцията и коментар 27; Препоръка от 2009 г., приложение I.D];</w:t>
      </w:r>
    </w:p>
    <w:p w14:paraId="38BDF3F4" w14:textId="77777777" w:rsidR="00072DDE" w:rsidRDefault="00072DDE" w:rsidP="00FF0FF6">
      <w:pPr>
        <w:widowControl/>
        <w:tabs>
          <w:tab w:val="left" w:pos="1890"/>
          <w:tab w:val="left" w:pos="2250"/>
        </w:tabs>
        <w:spacing w:after="120"/>
        <w:ind w:left="2250" w:hanging="450"/>
        <w:rPr>
          <w:sz w:val="20"/>
          <w:szCs w:val="20"/>
          <w:lang w:val="bg-BG"/>
        </w:rPr>
      </w:pPr>
      <w:r w:rsidRPr="00072DDE">
        <w:rPr>
          <w:sz w:val="20"/>
          <w:szCs w:val="20"/>
          <w:lang w:val="bg-BG"/>
        </w:rPr>
        <w:t xml:space="preserve">г) </w:t>
      </w:r>
      <w:r w:rsidR="00FF0FF6">
        <w:rPr>
          <w:sz w:val="20"/>
          <w:szCs w:val="20"/>
          <w:lang w:val="bg-BG"/>
        </w:rPr>
        <w:tab/>
      </w:r>
      <w:r w:rsidRPr="00072DDE">
        <w:rPr>
          <w:sz w:val="20"/>
          <w:szCs w:val="20"/>
          <w:lang w:val="bg-BG"/>
        </w:rPr>
        <w:t xml:space="preserve">брой и причини за </w:t>
      </w:r>
      <w:r w:rsidR="00BD39CB">
        <w:rPr>
          <w:sz w:val="20"/>
          <w:szCs w:val="20"/>
          <w:lang w:val="bg-BG"/>
        </w:rPr>
        <w:t xml:space="preserve">върнатите от </w:t>
      </w:r>
      <w:r w:rsidRPr="00072DDE">
        <w:rPr>
          <w:sz w:val="20"/>
          <w:szCs w:val="20"/>
          <w:lang w:val="bg-BG"/>
        </w:rPr>
        <w:t xml:space="preserve">съдилищата </w:t>
      </w:r>
      <w:r w:rsidR="00BD39CB">
        <w:rPr>
          <w:sz w:val="20"/>
          <w:szCs w:val="20"/>
          <w:lang w:val="bg-BG"/>
        </w:rPr>
        <w:t xml:space="preserve">дела </w:t>
      </w:r>
      <w:r w:rsidRPr="00072DDE">
        <w:rPr>
          <w:sz w:val="20"/>
          <w:szCs w:val="20"/>
          <w:lang w:val="bg-BG"/>
        </w:rPr>
        <w:t>на органи</w:t>
      </w:r>
      <w:r w:rsidR="00E65F9C">
        <w:rPr>
          <w:sz w:val="20"/>
          <w:szCs w:val="20"/>
          <w:lang w:val="bg-BG"/>
        </w:rPr>
        <w:t>те на</w:t>
      </w:r>
      <w:r w:rsidR="00BD39CB">
        <w:rPr>
          <w:sz w:val="20"/>
          <w:szCs w:val="20"/>
          <w:lang w:val="bg-BG"/>
        </w:rPr>
        <w:t xml:space="preserve"> </w:t>
      </w:r>
      <w:r w:rsidR="00E65F9C">
        <w:rPr>
          <w:sz w:val="20"/>
          <w:szCs w:val="20"/>
          <w:lang w:val="bg-BG"/>
        </w:rPr>
        <w:t>досъдебното производство</w:t>
      </w:r>
      <w:r w:rsidR="00E65F9C" w:rsidRPr="00072DDE">
        <w:rPr>
          <w:sz w:val="20"/>
          <w:szCs w:val="20"/>
          <w:lang w:val="bg-BG"/>
        </w:rPr>
        <w:t xml:space="preserve"> </w:t>
      </w:r>
      <w:r w:rsidRPr="00072DDE">
        <w:rPr>
          <w:sz w:val="20"/>
          <w:szCs w:val="20"/>
          <w:lang w:val="bg-BG"/>
        </w:rPr>
        <w:t>[член 5 от Конвенцията; Препоръка от 2009 г., приложение I.D; Фаза 3 последващи действия 13 (а)];</w:t>
      </w:r>
    </w:p>
    <w:p w14:paraId="12929C8F" w14:textId="6DDA2F09" w:rsidR="00B06786" w:rsidRPr="00072DDE" w:rsidRDefault="00B06786" w:rsidP="00B06786">
      <w:pPr>
        <w:widowControl/>
        <w:tabs>
          <w:tab w:val="left" w:pos="1890"/>
          <w:tab w:val="left" w:pos="2250"/>
        </w:tabs>
        <w:spacing w:after="120"/>
        <w:ind w:left="2250" w:hanging="450"/>
        <w:rPr>
          <w:sz w:val="20"/>
          <w:szCs w:val="20"/>
          <w:lang w:val="bg-BG"/>
        </w:rPr>
      </w:pPr>
      <w:r>
        <w:rPr>
          <w:sz w:val="20"/>
          <w:szCs w:val="20"/>
          <w:lang w:val="bg-BG"/>
        </w:rPr>
        <w:t>д)</w:t>
      </w:r>
      <w:r>
        <w:rPr>
          <w:sz w:val="20"/>
          <w:szCs w:val="20"/>
          <w:lang w:val="bg-BG"/>
        </w:rPr>
        <w:tab/>
      </w:r>
      <w:r w:rsidRPr="00B06786">
        <w:rPr>
          <w:sz w:val="20"/>
          <w:szCs w:val="20"/>
          <w:lang w:val="bg-BG"/>
        </w:rPr>
        <w:t xml:space="preserve">дали прокурорите, които водят дела за подкуп </w:t>
      </w:r>
      <w:r>
        <w:rPr>
          <w:sz w:val="20"/>
          <w:szCs w:val="20"/>
          <w:lang w:val="bg-BG"/>
        </w:rPr>
        <w:t>на чужди длъжностни лица</w:t>
      </w:r>
      <w:r w:rsidRPr="00B06786">
        <w:rPr>
          <w:sz w:val="20"/>
          <w:szCs w:val="20"/>
          <w:lang w:val="bg-BG"/>
        </w:rPr>
        <w:t xml:space="preserve">, са подложени на потенциална политическа или </w:t>
      </w:r>
      <w:r>
        <w:rPr>
          <w:sz w:val="20"/>
          <w:szCs w:val="20"/>
          <w:lang w:val="bg-BG"/>
        </w:rPr>
        <w:t>друга неправомерна намеса чрез Г</w:t>
      </w:r>
      <w:r w:rsidRPr="00B06786">
        <w:rPr>
          <w:sz w:val="20"/>
          <w:szCs w:val="20"/>
          <w:lang w:val="bg-BG"/>
        </w:rPr>
        <w:t>лавния прокурор [член 5 от Конвенцията].</w:t>
      </w:r>
    </w:p>
    <w:p w14:paraId="6A44B36D" w14:textId="2ECB28DF" w:rsidR="00072DDE" w:rsidRPr="00072DDE" w:rsidRDefault="00B06786" w:rsidP="00FF0FF6">
      <w:pPr>
        <w:widowControl/>
        <w:tabs>
          <w:tab w:val="left" w:pos="1890"/>
          <w:tab w:val="left" w:pos="2250"/>
        </w:tabs>
        <w:spacing w:after="120"/>
        <w:ind w:left="2250" w:hanging="450"/>
        <w:rPr>
          <w:sz w:val="20"/>
          <w:szCs w:val="20"/>
          <w:lang w:val="bg-BG"/>
        </w:rPr>
      </w:pPr>
      <w:r>
        <w:rPr>
          <w:sz w:val="20"/>
          <w:szCs w:val="20"/>
          <w:lang w:val="bg-BG"/>
        </w:rPr>
        <w:t>е</w:t>
      </w:r>
      <w:r w:rsidR="00072DDE" w:rsidRPr="00072DDE">
        <w:rPr>
          <w:sz w:val="20"/>
          <w:szCs w:val="20"/>
          <w:lang w:val="bg-BG"/>
        </w:rPr>
        <w:t xml:space="preserve">) </w:t>
      </w:r>
      <w:r w:rsidR="00FF0FF6">
        <w:rPr>
          <w:sz w:val="20"/>
          <w:szCs w:val="20"/>
          <w:lang w:val="bg-BG"/>
        </w:rPr>
        <w:tab/>
      </w:r>
      <w:r>
        <w:rPr>
          <w:sz w:val="20"/>
          <w:szCs w:val="20"/>
          <w:lang w:val="bg-BG"/>
        </w:rPr>
        <w:t xml:space="preserve">когато е относимо, </w:t>
      </w:r>
      <w:r w:rsidR="00072DDE" w:rsidRPr="00072DDE">
        <w:rPr>
          <w:sz w:val="20"/>
          <w:szCs w:val="20"/>
          <w:lang w:val="bg-BG"/>
        </w:rPr>
        <w:t xml:space="preserve">причини за прекратяване на </w:t>
      </w:r>
      <w:r w:rsidR="00BD39CB">
        <w:rPr>
          <w:sz w:val="20"/>
          <w:szCs w:val="20"/>
          <w:lang w:val="bg-BG"/>
        </w:rPr>
        <w:t>дела за подкуп на чужди длъжностни лица</w:t>
      </w:r>
      <w:r w:rsidR="00072DDE" w:rsidRPr="00072DDE">
        <w:rPr>
          <w:sz w:val="20"/>
          <w:szCs w:val="20"/>
          <w:lang w:val="bg-BG"/>
        </w:rPr>
        <w:t xml:space="preserve"> [член 5 от Конвенцията и коментар 27; Препоръка от 2009 г., приложение I.D];</w:t>
      </w:r>
    </w:p>
    <w:p w14:paraId="68A449FE" w14:textId="42EBB77F" w:rsidR="00072DDE" w:rsidRDefault="00B06786" w:rsidP="00FF0FF6">
      <w:pPr>
        <w:widowControl/>
        <w:tabs>
          <w:tab w:val="left" w:pos="1890"/>
          <w:tab w:val="left" w:pos="2250"/>
        </w:tabs>
        <w:spacing w:after="120"/>
        <w:ind w:left="2250" w:hanging="450"/>
        <w:rPr>
          <w:sz w:val="20"/>
          <w:szCs w:val="20"/>
          <w:lang w:val="bg-BG"/>
        </w:rPr>
      </w:pPr>
      <w:r>
        <w:rPr>
          <w:sz w:val="20"/>
          <w:szCs w:val="20"/>
          <w:lang w:val="bg-BG"/>
        </w:rPr>
        <w:t>ж</w:t>
      </w:r>
      <w:r w:rsidR="00072DDE" w:rsidRPr="00072DDE">
        <w:rPr>
          <w:sz w:val="20"/>
          <w:szCs w:val="20"/>
          <w:lang w:val="bg-BG"/>
        </w:rPr>
        <w:t xml:space="preserve">) </w:t>
      </w:r>
      <w:r w:rsidR="00FF0FF6">
        <w:rPr>
          <w:sz w:val="20"/>
          <w:szCs w:val="20"/>
          <w:lang w:val="bg-BG"/>
        </w:rPr>
        <w:tab/>
      </w:r>
      <w:r w:rsidR="00072DDE" w:rsidRPr="00072DDE">
        <w:rPr>
          <w:sz w:val="20"/>
          <w:szCs w:val="20"/>
          <w:lang w:val="bg-BG"/>
        </w:rPr>
        <w:t xml:space="preserve">въздействие на решението на Съда на ЕС върху </w:t>
      </w:r>
      <w:r w:rsidR="002D43B6">
        <w:rPr>
          <w:sz w:val="20"/>
          <w:szCs w:val="20"/>
          <w:lang w:val="bg-BG"/>
        </w:rPr>
        <w:t>правната рамка</w:t>
      </w:r>
      <w:r w:rsidR="00072DDE" w:rsidRPr="00072DDE">
        <w:rPr>
          <w:sz w:val="20"/>
          <w:szCs w:val="20"/>
          <w:lang w:val="bg-BG"/>
        </w:rPr>
        <w:t xml:space="preserve"> </w:t>
      </w:r>
      <w:r w:rsidR="002D43B6">
        <w:rPr>
          <w:sz w:val="20"/>
          <w:szCs w:val="20"/>
          <w:lang w:val="bg-BG"/>
        </w:rPr>
        <w:t>за</w:t>
      </w:r>
      <w:r w:rsidR="00072DDE" w:rsidRPr="00072DDE">
        <w:rPr>
          <w:sz w:val="20"/>
          <w:szCs w:val="20"/>
          <w:lang w:val="bg-BG"/>
        </w:rPr>
        <w:t xml:space="preserve"> екстрадиция </w:t>
      </w:r>
      <w:r w:rsidR="002D43B6">
        <w:rPr>
          <w:sz w:val="20"/>
          <w:szCs w:val="20"/>
          <w:lang w:val="bg-BG"/>
        </w:rPr>
        <w:t>в</w:t>
      </w:r>
      <w:r w:rsidR="00072DDE" w:rsidRPr="00072DDE">
        <w:rPr>
          <w:sz w:val="20"/>
          <w:szCs w:val="20"/>
          <w:lang w:val="bg-BG"/>
        </w:rPr>
        <w:t xml:space="preserve"> България [член 9 от Конвенцията];</w:t>
      </w:r>
    </w:p>
    <w:p w14:paraId="41B0F23B" w14:textId="13C3E6AD" w:rsidR="00B06786" w:rsidRPr="00072DDE" w:rsidRDefault="00B06786" w:rsidP="00FF0FF6">
      <w:pPr>
        <w:widowControl/>
        <w:tabs>
          <w:tab w:val="left" w:pos="1890"/>
          <w:tab w:val="left" w:pos="2250"/>
        </w:tabs>
        <w:spacing w:after="120"/>
        <w:ind w:left="2250" w:hanging="450"/>
        <w:rPr>
          <w:sz w:val="20"/>
          <w:szCs w:val="20"/>
          <w:lang w:val="bg-BG"/>
        </w:rPr>
      </w:pPr>
      <w:r w:rsidRPr="00B06786">
        <w:rPr>
          <w:sz w:val="20"/>
          <w:szCs w:val="20"/>
          <w:lang w:val="bg-BG"/>
        </w:rPr>
        <w:t xml:space="preserve">(з) </w:t>
      </w:r>
      <w:r>
        <w:rPr>
          <w:sz w:val="20"/>
          <w:szCs w:val="20"/>
          <w:lang w:val="bg-BG"/>
        </w:rPr>
        <w:tab/>
      </w:r>
      <w:r w:rsidRPr="00B06786">
        <w:rPr>
          <w:sz w:val="20"/>
          <w:szCs w:val="20"/>
          <w:lang w:val="bg-BG"/>
        </w:rPr>
        <w:t>дали стандартът за отговорност на България е достатъчно широк, за да обхване голямото разнообразие от системи за вземане на решения в юридическите лица [Конвенция, член 2; Препоръка III(ii) от 2009 г. и приложение I.B];</w:t>
      </w:r>
    </w:p>
    <w:p w14:paraId="1D8CE81A" w14:textId="67EB5DB9" w:rsidR="00B06786" w:rsidRPr="00072DDE" w:rsidRDefault="00B06786" w:rsidP="00B06786">
      <w:pPr>
        <w:widowControl/>
        <w:tabs>
          <w:tab w:val="left" w:pos="1890"/>
          <w:tab w:val="left" w:pos="2250"/>
        </w:tabs>
        <w:spacing w:after="120"/>
        <w:ind w:left="2250" w:hanging="450"/>
        <w:rPr>
          <w:sz w:val="20"/>
          <w:szCs w:val="20"/>
          <w:lang w:val="bg-BG"/>
        </w:rPr>
      </w:pPr>
      <w:r>
        <w:rPr>
          <w:sz w:val="20"/>
          <w:szCs w:val="20"/>
          <w:lang w:val="bg-BG"/>
        </w:rPr>
        <w:t>и</w:t>
      </w:r>
      <w:r w:rsidR="00072DDE" w:rsidRPr="00072DDE">
        <w:rPr>
          <w:sz w:val="20"/>
          <w:szCs w:val="20"/>
          <w:lang w:val="bg-BG"/>
        </w:rPr>
        <w:t xml:space="preserve">) </w:t>
      </w:r>
      <w:r w:rsidR="00FF0FF6">
        <w:rPr>
          <w:sz w:val="20"/>
          <w:szCs w:val="20"/>
          <w:lang w:val="bg-BG"/>
        </w:rPr>
        <w:tab/>
      </w:r>
      <w:r w:rsidR="00072DDE" w:rsidRPr="00072DDE">
        <w:rPr>
          <w:sz w:val="20"/>
          <w:szCs w:val="20"/>
          <w:lang w:val="bg-BG"/>
        </w:rPr>
        <w:t xml:space="preserve">прилагане на членове 83, </w:t>
      </w:r>
      <w:r w:rsidR="00E65F9C">
        <w:rPr>
          <w:sz w:val="20"/>
          <w:szCs w:val="20"/>
          <w:lang w:val="bg-BG"/>
        </w:rPr>
        <w:t>ал.</w:t>
      </w:r>
      <w:r w:rsidR="00072DDE" w:rsidRPr="00072DDE">
        <w:rPr>
          <w:sz w:val="20"/>
          <w:szCs w:val="20"/>
          <w:lang w:val="bg-BG"/>
        </w:rPr>
        <w:t xml:space="preserve"> 3 и 4 от </w:t>
      </w:r>
      <w:r w:rsidR="002D43B6">
        <w:rPr>
          <w:sz w:val="20"/>
          <w:szCs w:val="20"/>
          <w:lang w:val="bg-BG"/>
        </w:rPr>
        <w:t>ЗАНН</w:t>
      </w:r>
      <w:r w:rsidR="00072DDE" w:rsidRPr="00072DDE">
        <w:rPr>
          <w:sz w:val="20"/>
          <w:szCs w:val="20"/>
          <w:lang w:val="bg-BG"/>
        </w:rPr>
        <w:t xml:space="preserve"> относно отговорността на </w:t>
      </w:r>
      <w:r w:rsidR="002D43B6">
        <w:rPr>
          <w:sz w:val="20"/>
          <w:szCs w:val="20"/>
          <w:lang w:val="bg-BG"/>
        </w:rPr>
        <w:t>правоприемника в</w:t>
      </w:r>
      <w:r w:rsidR="00072DDE" w:rsidRPr="00072DDE">
        <w:rPr>
          <w:sz w:val="20"/>
          <w:szCs w:val="20"/>
          <w:lang w:val="bg-BG"/>
        </w:rPr>
        <w:t xml:space="preserve"> практика</w:t>
      </w:r>
      <w:r w:rsidR="00DD3E26">
        <w:rPr>
          <w:sz w:val="20"/>
          <w:szCs w:val="20"/>
          <w:lang w:val="bg-BG"/>
        </w:rPr>
        <w:t>та</w:t>
      </w:r>
      <w:r w:rsidR="00072DDE" w:rsidRPr="00072DDE">
        <w:rPr>
          <w:sz w:val="20"/>
          <w:szCs w:val="20"/>
          <w:lang w:val="bg-BG"/>
        </w:rPr>
        <w:t xml:space="preserve"> [член 2 от Конвенцията; Препоръка III (ii) от 2009 г. и приложение I.B];</w:t>
      </w:r>
    </w:p>
    <w:p w14:paraId="764DF045" w14:textId="4B777333" w:rsidR="00E65F9C" w:rsidRDefault="00B06786" w:rsidP="00E65F9C">
      <w:pPr>
        <w:widowControl/>
        <w:tabs>
          <w:tab w:val="left" w:pos="1890"/>
          <w:tab w:val="left" w:pos="2250"/>
        </w:tabs>
        <w:ind w:left="2160" w:hanging="360"/>
        <w:rPr>
          <w:sz w:val="20"/>
          <w:szCs w:val="20"/>
          <w:lang w:val="bg-BG"/>
        </w:rPr>
      </w:pPr>
      <w:r>
        <w:rPr>
          <w:sz w:val="20"/>
          <w:szCs w:val="20"/>
          <w:lang w:val="bg-BG"/>
        </w:rPr>
        <w:t>й</w:t>
      </w:r>
      <w:r w:rsidR="00072DDE" w:rsidRPr="00072DDE">
        <w:rPr>
          <w:sz w:val="20"/>
          <w:szCs w:val="20"/>
          <w:lang w:val="bg-BG"/>
        </w:rPr>
        <w:t xml:space="preserve">) </w:t>
      </w:r>
      <w:r w:rsidR="00FF0FF6">
        <w:rPr>
          <w:sz w:val="20"/>
          <w:szCs w:val="20"/>
          <w:lang w:val="bg-BG"/>
        </w:rPr>
        <w:tab/>
      </w:r>
      <w:r w:rsidR="00E65F9C">
        <w:rPr>
          <w:sz w:val="20"/>
          <w:szCs w:val="20"/>
          <w:lang w:val="bg-BG"/>
        </w:rPr>
        <w:t xml:space="preserve"> </w:t>
      </w:r>
      <w:r w:rsidR="00072DDE" w:rsidRPr="00072DDE">
        <w:rPr>
          <w:sz w:val="20"/>
          <w:szCs w:val="20"/>
          <w:lang w:val="bg-BG"/>
        </w:rPr>
        <w:t>дали прокур</w:t>
      </w:r>
      <w:r w:rsidR="00DD3E26">
        <w:rPr>
          <w:sz w:val="20"/>
          <w:szCs w:val="20"/>
          <w:lang w:val="bg-BG"/>
        </w:rPr>
        <w:t>орите активно водят производства</w:t>
      </w:r>
      <w:r w:rsidR="00072DDE" w:rsidRPr="00072DDE">
        <w:rPr>
          <w:sz w:val="20"/>
          <w:szCs w:val="20"/>
          <w:lang w:val="bg-BG"/>
        </w:rPr>
        <w:t xml:space="preserve"> срещу юридически лица за </w:t>
      </w:r>
      <w:r w:rsidR="00E65F9C">
        <w:rPr>
          <w:sz w:val="20"/>
          <w:szCs w:val="20"/>
          <w:lang w:val="bg-BG"/>
        </w:rPr>
        <w:t xml:space="preserve">  </w:t>
      </w:r>
    </w:p>
    <w:p w14:paraId="270790B7" w14:textId="77777777" w:rsidR="00072DDE" w:rsidRDefault="00E65F9C" w:rsidP="00E65F9C">
      <w:pPr>
        <w:widowControl/>
        <w:tabs>
          <w:tab w:val="left" w:pos="1890"/>
          <w:tab w:val="left" w:pos="2250"/>
        </w:tabs>
        <w:ind w:left="2160" w:hanging="360"/>
        <w:rPr>
          <w:sz w:val="20"/>
          <w:szCs w:val="20"/>
          <w:lang w:val="bg-BG"/>
        </w:rPr>
      </w:pPr>
      <w:r>
        <w:rPr>
          <w:sz w:val="20"/>
          <w:szCs w:val="20"/>
          <w:lang w:val="bg-BG"/>
        </w:rPr>
        <w:t xml:space="preserve">        </w:t>
      </w:r>
      <w:r w:rsidR="00072DDE" w:rsidRPr="00072DDE">
        <w:rPr>
          <w:sz w:val="20"/>
          <w:szCs w:val="20"/>
          <w:lang w:val="bg-BG"/>
        </w:rPr>
        <w:t xml:space="preserve">подкуп </w:t>
      </w:r>
      <w:r w:rsidR="00DD3E26">
        <w:rPr>
          <w:sz w:val="20"/>
          <w:szCs w:val="20"/>
          <w:lang w:val="bg-BG"/>
        </w:rPr>
        <w:t>на чужди длъжностни лица</w:t>
      </w:r>
      <w:r w:rsidR="00072DDE" w:rsidRPr="00072DDE">
        <w:rPr>
          <w:sz w:val="20"/>
          <w:szCs w:val="20"/>
          <w:lang w:val="bg-BG"/>
        </w:rPr>
        <w:t xml:space="preserve"> и свързани с него престъпления </w:t>
      </w:r>
      <w:r>
        <w:rPr>
          <w:sz w:val="20"/>
          <w:szCs w:val="20"/>
          <w:lang w:val="bg-BG"/>
        </w:rPr>
        <w:t xml:space="preserve"> </w:t>
      </w:r>
      <w:r w:rsidR="00072DDE" w:rsidRPr="00072DDE">
        <w:rPr>
          <w:sz w:val="20"/>
          <w:szCs w:val="20"/>
          <w:lang w:val="bg-BG"/>
        </w:rPr>
        <w:t>(Препоръка от 2009 г. III (i), I</w:t>
      </w:r>
      <w:r w:rsidR="00DD3E26">
        <w:rPr>
          <w:sz w:val="20"/>
          <w:szCs w:val="20"/>
          <w:lang w:val="bg-BG"/>
        </w:rPr>
        <w:t xml:space="preserve">V и приложения I.A и D; </w:t>
      </w:r>
      <w:r w:rsidR="00072DDE" w:rsidRPr="00072DDE">
        <w:rPr>
          <w:sz w:val="20"/>
          <w:szCs w:val="20"/>
          <w:lang w:val="bg-BG"/>
        </w:rPr>
        <w:t>препоръка 5 (б)</w:t>
      </w:r>
      <w:r w:rsidR="00DD3E26">
        <w:rPr>
          <w:sz w:val="20"/>
          <w:szCs w:val="20"/>
          <w:lang w:val="bg-BG"/>
        </w:rPr>
        <w:t xml:space="preserve"> от доклада по фаза 3</w:t>
      </w:r>
      <w:r w:rsidR="00072DDE" w:rsidRPr="00072DDE">
        <w:rPr>
          <w:sz w:val="20"/>
          <w:szCs w:val="20"/>
          <w:lang w:val="bg-BG"/>
        </w:rPr>
        <w:t>];</w:t>
      </w:r>
    </w:p>
    <w:p w14:paraId="68477A72" w14:textId="77777777" w:rsidR="00E65F9C" w:rsidRPr="00072DDE" w:rsidRDefault="00E65F9C" w:rsidP="00E65F9C">
      <w:pPr>
        <w:widowControl/>
        <w:tabs>
          <w:tab w:val="left" w:pos="1890"/>
          <w:tab w:val="left" w:pos="2250"/>
        </w:tabs>
        <w:ind w:left="2160" w:hanging="360"/>
        <w:rPr>
          <w:sz w:val="20"/>
          <w:szCs w:val="20"/>
          <w:lang w:val="bg-BG"/>
        </w:rPr>
      </w:pPr>
    </w:p>
    <w:p w14:paraId="19314993" w14:textId="408B4212" w:rsidR="00072DDE" w:rsidRPr="00072DDE" w:rsidRDefault="00B06786" w:rsidP="00FF0FF6">
      <w:pPr>
        <w:widowControl/>
        <w:tabs>
          <w:tab w:val="left" w:pos="1890"/>
          <w:tab w:val="left" w:pos="2250"/>
        </w:tabs>
        <w:spacing w:after="120"/>
        <w:ind w:left="2160" w:hanging="360"/>
        <w:rPr>
          <w:sz w:val="20"/>
          <w:szCs w:val="20"/>
          <w:lang w:val="bg-BG"/>
        </w:rPr>
      </w:pPr>
      <w:r>
        <w:rPr>
          <w:sz w:val="20"/>
          <w:szCs w:val="20"/>
          <w:lang w:val="bg-BG"/>
        </w:rPr>
        <w:t>к</w:t>
      </w:r>
      <w:r w:rsidR="00072DDE" w:rsidRPr="00072DDE">
        <w:rPr>
          <w:sz w:val="20"/>
          <w:szCs w:val="20"/>
          <w:lang w:val="bg-BG"/>
        </w:rPr>
        <w:t xml:space="preserve">) </w:t>
      </w:r>
      <w:r w:rsidR="00FF0FF6">
        <w:rPr>
          <w:sz w:val="20"/>
          <w:szCs w:val="20"/>
          <w:lang w:val="bg-BG"/>
        </w:rPr>
        <w:tab/>
      </w:r>
      <w:r w:rsidR="00072DDE" w:rsidRPr="00072DDE">
        <w:rPr>
          <w:sz w:val="20"/>
          <w:szCs w:val="20"/>
          <w:lang w:val="bg-BG"/>
        </w:rPr>
        <w:t>дали санкциите, наложени срещу юридически лица, са ефективни, пропорционални и възпиращи [членове 2, 3 и 5 от Конвенцията];</w:t>
      </w:r>
    </w:p>
    <w:p w14:paraId="12E03DEF" w14:textId="39727E83" w:rsidR="00072DDE" w:rsidRPr="00072DDE" w:rsidRDefault="00B06786" w:rsidP="00FF0FF6">
      <w:pPr>
        <w:widowControl/>
        <w:tabs>
          <w:tab w:val="left" w:pos="1890"/>
          <w:tab w:val="left" w:pos="2250"/>
        </w:tabs>
        <w:spacing w:after="120"/>
        <w:ind w:left="2160" w:hanging="360"/>
        <w:rPr>
          <w:sz w:val="20"/>
          <w:szCs w:val="20"/>
          <w:lang w:val="bg-BG"/>
        </w:rPr>
      </w:pPr>
      <w:r>
        <w:rPr>
          <w:sz w:val="20"/>
          <w:szCs w:val="20"/>
          <w:lang w:val="bg-BG"/>
        </w:rPr>
        <w:t>л</w:t>
      </w:r>
      <w:r w:rsidR="00072DDE" w:rsidRPr="00072DDE">
        <w:rPr>
          <w:sz w:val="20"/>
          <w:szCs w:val="20"/>
          <w:lang w:val="bg-BG"/>
        </w:rPr>
        <w:t xml:space="preserve">) прилагане на практика на член 83а, </w:t>
      </w:r>
      <w:r w:rsidR="008E3B8F">
        <w:rPr>
          <w:sz w:val="20"/>
          <w:szCs w:val="20"/>
          <w:lang w:val="bg-BG"/>
        </w:rPr>
        <w:t>ал.</w:t>
      </w:r>
      <w:r w:rsidR="00072DDE" w:rsidRPr="00072DDE">
        <w:rPr>
          <w:sz w:val="20"/>
          <w:szCs w:val="20"/>
          <w:lang w:val="bg-BG"/>
        </w:rPr>
        <w:t xml:space="preserve"> 5 от </w:t>
      </w:r>
      <w:r w:rsidR="00DD3E26">
        <w:rPr>
          <w:sz w:val="20"/>
          <w:szCs w:val="20"/>
          <w:lang w:val="bg-BG"/>
        </w:rPr>
        <w:t>ЗАНН</w:t>
      </w:r>
      <w:r w:rsidR="00072DDE" w:rsidRPr="00072DDE">
        <w:rPr>
          <w:sz w:val="20"/>
          <w:szCs w:val="20"/>
          <w:lang w:val="bg-BG"/>
        </w:rPr>
        <w:t xml:space="preserve"> относно изчисляването на санкции</w:t>
      </w:r>
      <w:r w:rsidR="00DD3E26">
        <w:rPr>
          <w:sz w:val="20"/>
          <w:szCs w:val="20"/>
          <w:lang w:val="bg-BG"/>
        </w:rPr>
        <w:t>те</w:t>
      </w:r>
      <w:r w:rsidR="00072DDE" w:rsidRPr="00072DDE">
        <w:rPr>
          <w:sz w:val="20"/>
          <w:szCs w:val="20"/>
          <w:lang w:val="bg-BG"/>
        </w:rPr>
        <w:t xml:space="preserve"> срещу юридически лица [членове 2, 3 и 5 от Конвенцията; Препоръка от 2019 г., приложение I.B];</w:t>
      </w:r>
    </w:p>
    <w:p w14:paraId="3FB4AFC6" w14:textId="786C367C" w:rsidR="00072DDE" w:rsidRDefault="00B06786" w:rsidP="00FF0FF6">
      <w:pPr>
        <w:widowControl/>
        <w:tabs>
          <w:tab w:val="left" w:pos="1890"/>
          <w:tab w:val="left" w:pos="2250"/>
        </w:tabs>
        <w:spacing w:after="120"/>
        <w:ind w:left="2160" w:hanging="360"/>
        <w:rPr>
          <w:sz w:val="20"/>
          <w:szCs w:val="20"/>
          <w:lang w:val="bg-BG"/>
        </w:rPr>
      </w:pPr>
      <w:r>
        <w:rPr>
          <w:sz w:val="20"/>
          <w:szCs w:val="20"/>
          <w:lang w:val="bg-BG"/>
        </w:rPr>
        <w:t>м</w:t>
      </w:r>
      <w:r w:rsidR="00072DDE" w:rsidRPr="00072DDE">
        <w:rPr>
          <w:sz w:val="20"/>
          <w:szCs w:val="20"/>
          <w:lang w:val="bg-BG"/>
        </w:rPr>
        <w:t xml:space="preserve">) </w:t>
      </w:r>
      <w:r w:rsidR="00FF0FF6">
        <w:rPr>
          <w:sz w:val="20"/>
          <w:szCs w:val="20"/>
          <w:lang w:val="bg-BG"/>
        </w:rPr>
        <w:tab/>
      </w:r>
      <w:r w:rsidR="00DD3E26">
        <w:rPr>
          <w:sz w:val="20"/>
          <w:szCs w:val="20"/>
          <w:lang w:val="bg-BG"/>
        </w:rPr>
        <w:t>ретроактивно прилагане на забраната за приспадане на подкупа на чужди длъжностни лица за данъчни цели</w:t>
      </w:r>
      <w:r w:rsidR="00072DDE" w:rsidRPr="00072DDE">
        <w:rPr>
          <w:sz w:val="20"/>
          <w:szCs w:val="20"/>
          <w:lang w:val="bg-BG"/>
        </w:rPr>
        <w:t xml:space="preserve"> [Препоръка VIII (i) от 2009 г .; препоръка 7 (а)</w:t>
      </w:r>
      <w:r w:rsidR="00DD3E26">
        <w:rPr>
          <w:sz w:val="20"/>
          <w:szCs w:val="20"/>
          <w:lang w:val="bg-BG"/>
        </w:rPr>
        <w:t xml:space="preserve"> от доклада по фаза 3</w:t>
      </w:r>
      <w:r w:rsidR="00072DDE" w:rsidRPr="00072DDE">
        <w:rPr>
          <w:sz w:val="20"/>
          <w:szCs w:val="20"/>
          <w:lang w:val="bg-BG"/>
        </w:rPr>
        <w:t>;</w:t>
      </w:r>
    </w:p>
    <w:p w14:paraId="0ECB0A86" w14:textId="66E8C90F" w:rsidR="009756D4" w:rsidRPr="00072DDE" w:rsidRDefault="009756D4" w:rsidP="00FF0FF6">
      <w:pPr>
        <w:widowControl/>
        <w:tabs>
          <w:tab w:val="left" w:pos="1890"/>
          <w:tab w:val="left" w:pos="2250"/>
        </w:tabs>
        <w:spacing w:after="120"/>
        <w:ind w:left="2160" w:hanging="360"/>
        <w:rPr>
          <w:sz w:val="20"/>
          <w:szCs w:val="20"/>
          <w:lang w:val="bg-BG"/>
        </w:rPr>
      </w:pPr>
      <w:r>
        <w:rPr>
          <w:sz w:val="20"/>
          <w:szCs w:val="20"/>
          <w:lang w:val="bg-BG"/>
        </w:rPr>
        <w:t>н</w:t>
      </w:r>
      <w:r w:rsidRPr="00072DDE">
        <w:rPr>
          <w:sz w:val="20"/>
          <w:szCs w:val="20"/>
          <w:lang w:val="bg-BG"/>
        </w:rPr>
        <w:t xml:space="preserve">) </w:t>
      </w:r>
      <w:r>
        <w:rPr>
          <w:sz w:val="20"/>
          <w:szCs w:val="20"/>
          <w:lang w:val="bg-BG"/>
        </w:rPr>
        <w:tab/>
      </w:r>
      <w:r w:rsidRPr="00072DDE">
        <w:rPr>
          <w:sz w:val="20"/>
          <w:szCs w:val="20"/>
          <w:lang w:val="bg-BG"/>
        </w:rPr>
        <w:t>приемане на проектозакона за подпомагане на развитието и хуманитарна помощ [2009 г. Препоръка XI (ii); Препоръка от 2016 г .; Препоръка 10 от</w:t>
      </w:r>
      <w:r>
        <w:rPr>
          <w:sz w:val="20"/>
          <w:szCs w:val="20"/>
          <w:lang w:val="bg-BG"/>
        </w:rPr>
        <w:t xml:space="preserve"> доклада по</w:t>
      </w:r>
      <w:r w:rsidRPr="00072DDE">
        <w:rPr>
          <w:sz w:val="20"/>
          <w:szCs w:val="20"/>
          <w:lang w:val="bg-BG"/>
        </w:rPr>
        <w:t xml:space="preserve"> фаза 3].</w:t>
      </w:r>
    </w:p>
    <w:p w14:paraId="43291DB9" w14:textId="1CAC0867" w:rsidR="000A7845" w:rsidRPr="0043182F" w:rsidRDefault="00D15445" w:rsidP="003B7623">
      <w:pPr>
        <w:pStyle w:val="Heading1"/>
        <w:framePr w:wrap="notBeside" w:x="1321" w:y="77"/>
        <w:numPr>
          <w:ilvl w:val="0"/>
          <w:numId w:val="0"/>
        </w:numPr>
        <w:ind w:left="113"/>
        <w:rPr>
          <w:lang w:val="bg-BG"/>
        </w:rPr>
      </w:pPr>
      <w:r w:rsidRPr="0043182F">
        <w:rPr>
          <w:lang w:val="bg-BG"/>
        </w:rPr>
        <w:lastRenderedPageBreak/>
        <w:t xml:space="preserve">Приложение 1: Препоръки </w:t>
      </w:r>
      <w:r w:rsidR="00385BCB" w:rsidRPr="0043182F">
        <w:rPr>
          <w:lang w:val="bg-BG"/>
        </w:rPr>
        <w:t xml:space="preserve">към България по </w:t>
      </w:r>
      <w:r w:rsidR="00673F1F" w:rsidRPr="0043182F">
        <w:rPr>
          <w:lang w:val="bg-BG"/>
        </w:rPr>
        <w:t>Фаза</w:t>
      </w:r>
      <w:r w:rsidR="00385BCB" w:rsidRPr="0043182F">
        <w:rPr>
          <w:lang w:val="bg-BG"/>
        </w:rPr>
        <w:t xml:space="preserve"> 3</w:t>
      </w:r>
      <w:r w:rsidRPr="0043182F">
        <w:rPr>
          <w:lang w:val="bg-BG"/>
        </w:rPr>
        <w:t xml:space="preserve"> и оценка на изпълнението от Работната група по подкупите през 2013 г.</w:t>
      </w:r>
    </w:p>
    <w:p w14:paraId="1B661CCC" w14:textId="77777777" w:rsidR="000A7845" w:rsidRPr="0043182F" w:rsidRDefault="000A7845" w:rsidP="005330C7">
      <w:pPr>
        <w:pStyle w:val="Para0"/>
        <w:rPr>
          <w:lang w:val="bg-BG"/>
        </w:rPr>
      </w:pPr>
    </w:p>
    <w:p w14:paraId="376B88BD" w14:textId="77777777" w:rsidR="00066E81" w:rsidRPr="008C08CD" w:rsidRDefault="00066E81" w:rsidP="00066E81">
      <w:pPr>
        <w:pStyle w:val="Para0"/>
        <w:rPr>
          <w:lang w:val="bg-BG"/>
        </w:rPr>
      </w:pP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3"/>
        <w:gridCol w:w="7443"/>
        <w:gridCol w:w="1278"/>
      </w:tblGrid>
      <w:tr w:rsidR="00066E81" w:rsidRPr="009811EF" w14:paraId="7DC2722E" w14:textId="77777777" w:rsidTr="00D30A42">
        <w:trPr>
          <w:tblHeader/>
        </w:trPr>
        <w:tc>
          <w:tcPr>
            <w:tcW w:w="8010" w:type="dxa"/>
            <w:gridSpan w:val="3"/>
            <w:tcBorders>
              <w:top w:val="nil"/>
              <w:left w:val="nil"/>
              <w:bottom w:val="single" w:sz="4" w:space="0" w:color="auto"/>
              <w:right w:val="single" w:sz="4" w:space="0" w:color="auto"/>
            </w:tcBorders>
            <w:vAlign w:val="center"/>
            <w:hideMark/>
          </w:tcPr>
          <w:p w14:paraId="33699134" w14:textId="77777777" w:rsidR="00066E81" w:rsidRPr="009811EF" w:rsidRDefault="00066E81" w:rsidP="00FD6875">
            <w:pPr>
              <w:widowControl/>
              <w:spacing w:after="200" w:line="276" w:lineRule="auto"/>
              <w:jc w:val="left"/>
              <w:rPr>
                <w:rFonts w:cs="Arial"/>
                <w:b/>
                <w:sz w:val="20"/>
                <w:szCs w:val="20"/>
                <w:lang w:val="bg-BG"/>
              </w:rPr>
            </w:pPr>
            <w:r w:rsidRPr="009811EF">
              <w:rPr>
                <w:rFonts w:cs="Arial"/>
                <w:b/>
                <w:sz w:val="20"/>
                <w:szCs w:val="20"/>
                <w:lang w:val="bg-BG"/>
              </w:rPr>
              <w:t>Препоръки на Работната група по фаза 3</w:t>
            </w:r>
          </w:p>
        </w:tc>
        <w:tc>
          <w:tcPr>
            <w:tcW w:w="1278" w:type="dxa"/>
            <w:tcBorders>
              <w:top w:val="single" w:sz="4" w:space="0" w:color="auto"/>
              <w:left w:val="single" w:sz="4" w:space="0" w:color="auto"/>
              <w:bottom w:val="single" w:sz="4" w:space="0" w:color="auto"/>
              <w:right w:val="single" w:sz="4" w:space="0" w:color="auto"/>
            </w:tcBorders>
            <w:hideMark/>
          </w:tcPr>
          <w:p w14:paraId="73F449DC" w14:textId="77777777" w:rsidR="00066E81" w:rsidRPr="008C08CD" w:rsidRDefault="00066E81" w:rsidP="00066E81">
            <w:pPr>
              <w:widowControl/>
              <w:spacing w:after="200" w:line="276" w:lineRule="auto"/>
              <w:jc w:val="left"/>
              <w:rPr>
                <w:rFonts w:cs="Arial"/>
                <w:b/>
                <w:i/>
                <w:sz w:val="20"/>
                <w:szCs w:val="20"/>
                <w:lang w:val="bg-BG"/>
              </w:rPr>
            </w:pPr>
            <w:r w:rsidRPr="00B447F4">
              <w:rPr>
                <w:rFonts w:cs="Arial"/>
                <w:b/>
                <w:i/>
                <w:sz w:val="20"/>
                <w:szCs w:val="20"/>
                <w:lang w:val="bg-BG"/>
              </w:rPr>
              <w:t>Писмено проследяване</w:t>
            </w:r>
            <w:r w:rsidRPr="008C08CD">
              <w:rPr>
                <w:rFonts w:cs="Arial"/>
                <w:b/>
                <w:i/>
                <w:sz w:val="20"/>
                <w:szCs w:val="20"/>
                <w:lang w:val="bg-BG"/>
              </w:rPr>
              <w:br/>
            </w:r>
            <w:r w:rsidRPr="009811EF">
              <w:rPr>
                <w:rFonts w:cs="Arial"/>
                <w:b/>
                <w:i/>
                <w:sz w:val="20"/>
                <w:szCs w:val="20"/>
                <w:lang w:val="bg-BG"/>
              </w:rPr>
              <w:t xml:space="preserve">Май </w:t>
            </w:r>
            <w:r w:rsidRPr="008C08CD">
              <w:rPr>
                <w:rFonts w:cs="Arial"/>
                <w:b/>
                <w:i/>
                <w:sz w:val="20"/>
                <w:szCs w:val="20"/>
                <w:lang w:val="bg-BG"/>
              </w:rPr>
              <w:t>2013</w:t>
            </w:r>
          </w:p>
        </w:tc>
      </w:tr>
      <w:tr w:rsidR="00066E81" w:rsidRPr="009811EF" w14:paraId="40A3E6E8" w14:textId="77777777" w:rsidTr="00D30A42">
        <w:tc>
          <w:tcPr>
            <w:tcW w:w="9288" w:type="dxa"/>
            <w:gridSpan w:val="4"/>
            <w:tcBorders>
              <w:top w:val="single" w:sz="4" w:space="0" w:color="auto"/>
              <w:left w:val="single" w:sz="4" w:space="0" w:color="auto"/>
              <w:bottom w:val="single" w:sz="4" w:space="0" w:color="auto"/>
              <w:right w:val="single" w:sz="4" w:space="0" w:color="auto"/>
            </w:tcBorders>
            <w:hideMark/>
          </w:tcPr>
          <w:p w14:paraId="27A35941" w14:textId="77777777" w:rsidR="00066E81" w:rsidRPr="008C08CD" w:rsidRDefault="00066E81" w:rsidP="00FD6875">
            <w:pPr>
              <w:widowControl/>
              <w:spacing w:after="200" w:line="276" w:lineRule="auto"/>
              <w:jc w:val="left"/>
              <w:rPr>
                <w:rFonts w:cs="Arial"/>
                <w:b/>
                <w:i/>
                <w:sz w:val="20"/>
                <w:szCs w:val="20"/>
                <w:lang w:val="bg-BG"/>
              </w:rPr>
            </w:pPr>
            <w:r w:rsidRPr="009811EF">
              <w:rPr>
                <w:rFonts w:cs="Arial"/>
                <w:b/>
                <w:bCs/>
                <w:i/>
                <w:iCs/>
                <w:sz w:val="20"/>
                <w:szCs w:val="20"/>
                <w:lang w:val="bg-BG"/>
              </w:rPr>
              <w:t>Препоръки за гарантиране на ефективно разследване, наказателно преследване и санкциониране на подкупването на чужди длъжностни лица.</w:t>
            </w:r>
          </w:p>
        </w:tc>
      </w:tr>
      <w:tr w:rsidR="00066E81" w:rsidRPr="005F281C" w14:paraId="09A84AF1"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ADE3961" w14:textId="77777777" w:rsidR="00066E81" w:rsidRPr="008C08CD" w:rsidRDefault="00066E81" w:rsidP="00FD6875">
            <w:pPr>
              <w:widowControl/>
              <w:spacing w:after="200" w:line="276" w:lineRule="auto"/>
              <w:jc w:val="left"/>
              <w:rPr>
                <w:rFonts w:cs="Arial"/>
                <w:sz w:val="20"/>
                <w:szCs w:val="20"/>
                <w:lang w:val="bg-BG"/>
              </w:rPr>
            </w:pPr>
            <w:r w:rsidRPr="008C08CD">
              <w:rPr>
                <w:rFonts w:cs="Arial"/>
                <w:sz w:val="20"/>
                <w:szCs w:val="20"/>
                <w:lang w:val="bg-BG"/>
              </w:rPr>
              <w:t>1.</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6A4C3C0A" w14:textId="77777777" w:rsidR="00066E81" w:rsidRPr="008C08CD" w:rsidRDefault="00066E81" w:rsidP="00FD6875">
            <w:pPr>
              <w:widowControl/>
              <w:spacing w:after="200" w:line="276" w:lineRule="auto"/>
              <w:jc w:val="left"/>
              <w:rPr>
                <w:rFonts w:cs="Arial"/>
                <w:i/>
                <w:sz w:val="20"/>
                <w:szCs w:val="20"/>
                <w:lang w:val="bg-BG"/>
              </w:rPr>
            </w:pPr>
            <w:r w:rsidRPr="009811EF">
              <w:rPr>
                <w:rFonts w:cs="Arial"/>
                <w:sz w:val="20"/>
                <w:szCs w:val="20"/>
                <w:lang w:val="bg-BG"/>
              </w:rPr>
              <w:t xml:space="preserve">Относно </w:t>
            </w:r>
            <w:r w:rsidRPr="008C08CD">
              <w:rPr>
                <w:rFonts w:cs="Arial"/>
                <w:sz w:val="20"/>
                <w:szCs w:val="20"/>
                <w:u w:val="single"/>
                <w:lang w:val="bg-BG"/>
              </w:rPr>
              <w:t>престъплението подкуп на чуждо длъжностно лице</w:t>
            </w:r>
            <w:r w:rsidRPr="009811EF">
              <w:rPr>
                <w:rFonts w:cs="Arial"/>
                <w:sz w:val="20"/>
                <w:szCs w:val="20"/>
                <w:lang w:val="bg-BG"/>
              </w:rPr>
              <w:t xml:space="preserve"> Работната група препоръчва България:</w:t>
            </w:r>
          </w:p>
        </w:tc>
      </w:tr>
      <w:tr w:rsidR="00066E81" w:rsidRPr="009811EF" w14:paraId="5F7339FB" w14:textId="77777777" w:rsidTr="00D30A42">
        <w:tc>
          <w:tcPr>
            <w:tcW w:w="534" w:type="dxa"/>
            <w:tcBorders>
              <w:top w:val="single" w:sz="4" w:space="0" w:color="auto"/>
              <w:left w:val="single" w:sz="4" w:space="0" w:color="auto"/>
              <w:bottom w:val="single" w:sz="4" w:space="0" w:color="auto"/>
              <w:right w:val="single" w:sz="4" w:space="0" w:color="auto"/>
            </w:tcBorders>
            <w:vAlign w:val="center"/>
            <w:hideMark/>
          </w:tcPr>
          <w:p w14:paraId="184FA3F8" w14:textId="77777777" w:rsidR="00066E81" w:rsidRPr="008C08CD" w:rsidRDefault="00066E81" w:rsidP="00FD6875">
            <w:pPr>
              <w:widowControl/>
              <w:spacing w:after="200" w:line="276" w:lineRule="auto"/>
              <w:jc w:val="left"/>
              <w:rPr>
                <w:rFonts w:cs="Arial"/>
                <w:sz w:val="20"/>
                <w:szCs w:val="20"/>
                <w:lang w:val="bg-BG"/>
              </w:rPr>
            </w:pPr>
          </w:p>
        </w:tc>
        <w:tc>
          <w:tcPr>
            <w:tcW w:w="7476" w:type="dxa"/>
            <w:gridSpan w:val="2"/>
            <w:tcBorders>
              <w:top w:val="single" w:sz="4" w:space="0" w:color="auto"/>
              <w:left w:val="single" w:sz="4" w:space="0" w:color="auto"/>
              <w:bottom w:val="single" w:sz="4" w:space="0" w:color="auto"/>
              <w:right w:val="single" w:sz="4" w:space="0" w:color="auto"/>
            </w:tcBorders>
            <w:vAlign w:val="center"/>
            <w:hideMark/>
          </w:tcPr>
          <w:p w14:paraId="42521F36" w14:textId="77777777" w:rsidR="00066E81" w:rsidRPr="008C08CD" w:rsidRDefault="00066E81" w:rsidP="00C45B08">
            <w:pPr>
              <w:widowControl/>
              <w:numPr>
                <w:ilvl w:val="0"/>
                <w:numId w:val="35"/>
              </w:numPr>
              <w:spacing w:after="200" w:line="276" w:lineRule="auto"/>
              <w:jc w:val="left"/>
              <w:rPr>
                <w:rFonts w:cs="Arial"/>
                <w:sz w:val="20"/>
                <w:szCs w:val="20"/>
                <w:lang w:val="bg-BG"/>
              </w:rPr>
            </w:pPr>
            <w:r w:rsidRPr="008C08CD">
              <w:rPr>
                <w:rFonts w:cs="Arial"/>
                <w:sz w:val="20"/>
                <w:szCs w:val="20"/>
                <w:lang w:val="bg-BG"/>
              </w:rPr>
              <w:t xml:space="preserve">да измени състава на престъплението подкуп на чуждо длъжностно лице, за да се обхванат и случаите на подкуп, когато длъжностното лице действа извън своите правомощия (извън действията по служба), както и да криминализира изрично подкупите, давани </w:t>
            </w:r>
            <w:r w:rsidR="00C45B08">
              <w:rPr>
                <w:rFonts w:cs="Arial"/>
                <w:sz w:val="20"/>
                <w:szCs w:val="20"/>
                <w:lang w:val="bg-BG"/>
              </w:rPr>
              <w:t xml:space="preserve">в полза </w:t>
            </w:r>
            <w:r w:rsidRPr="008C08CD">
              <w:rPr>
                <w:rFonts w:cs="Arial"/>
                <w:sz w:val="20"/>
                <w:szCs w:val="20"/>
                <w:lang w:val="bg-BG"/>
              </w:rPr>
              <w:t>на трети лица (чл. 1 на Конвенцията).</w:t>
            </w:r>
          </w:p>
        </w:tc>
        <w:tc>
          <w:tcPr>
            <w:tcW w:w="1278" w:type="dxa"/>
            <w:tcBorders>
              <w:top w:val="single" w:sz="4" w:space="0" w:color="auto"/>
              <w:left w:val="single" w:sz="4" w:space="0" w:color="auto"/>
              <w:bottom w:val="single" w:sz="4" w:space="0" w:color="auto"/>
              <w:right w:val="single" w:sz="4" w:space="0" w:color="auto"/>
            </w:tcBorders>
            <w:vAlign w:val="center"/>
            <w:hideMark/>
          </w:tcPr>
          <w:p w14:paraId="63842458" w14:textId="77777777" w:rsidR="00066E81" w:rsidRPr="009811EF" w:rsidRDefault="008B6BC8" w:rsidP="00FD6875">
            <w:pPr>
              <w:widowControl/>
              <w:spacing w:after="200" w:line="276" w:lineRule="auto"/>
              <w:jc w:val="left"/>
              <w:rPr>
                <w:rFonts w:cs="Arial"/>
                <w:i/>
                <w:sz w:val="20"/>
                <w:szCs w:val="20"/>
                <w:lang w:val="bg-BG"/>
              </w:rPr>
            </w:pPr>
            <w:r w:rsidRPr="009811EF">
              <w:rPr>
                <w:rFonts w:cs="Arial"/>
                <w:i/>
                <w:sz w:val="20"/>
                <w:szCs w:val="20"/>
                <w:lang w:val="bg-BG"/>
              </w:rPr>
              <w:t>Неизпълнена</w:t>
            </w:r>
          </w:p>
        </w:tc>
      </w:tr>
      <w:tr w:rsidR="00066E81" w:rsidRPr="009811EF" w14:paraId="23EA4070"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2842F3E" w14:textId="77777777" w:rsidR="00066E81" w:rsidRPr="008C08CD" w:rsidRDefault="00066E81" w:rsidP="00FD6875">
            <w:pPr>
              <w:widowControl/>
              <w:spacing w:after="200" w:line="276" w:lineRule="auto"/>
              <w:jc w:val="left"/>
              <w:rPr>
                <w:rFonts w:cs="Arial"/>
                <w:sz w:val="20"/>
                <w:szCs w:val="20"/>
                <w:lang w:val="bg-BG"/>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04154E4B" w14:textId="77777777" w:rsidR="00066E81" w:rsidRPr="008C08CD" w:rsidRDefault="008B6BC8" w:rsidP="008B6BC8">
            <w:pPr>
              <w:widowControl/>
              <w:numPr>
                <w:ilvl w:val="0"/>
                <w:numId w:val="35"/>
              </w:numPr>
              <w:spacing w:after="200" w:line="276" w:lineRule="auto"/>
              <w:jc w:val="left"/>
              <w:rPr>
                <w:rFonts w:cs="Arial"/>
                <w:sz w:val="20"/>
                <w:szCs w:val="20"/>
                <w:lang w:val="bg-BG"/>
              </w:rPr>
            </w:pPr>
            <w:r w:rsidRPr="008C08CD">
              <w:rPr>
                <w:rFonts w:cs="Arial"/>
                <w:sz w:val="20"/>
                <w:szCs w:val="20"/>
                <w:lang w:val="bg-BG"/>
              </w:rPr>
              <w:t>да  предприеме мерки</w:t>
            </w:r>
            <w:r w:rsidRPr="009811EF">
              <w:rPr>
                <w:rFonts w:cs="Arial"/>
                <w:sz w:val="20"/>
                <w:szCs w:val="20"/>
                <w:lang w:val="bg-BG"/>
              </w:rPr>
              <w:t>, за да гарантира, че</w:t>
            </w:r>
            <w:r w:rsidRPr="008C08CD">
              <w:rPr>
                <w:rFonts w:cs="Arial"/>
                <w:sz w:val="20"/>
                <w:szCs w:val="20"/>
                <w:lang w:val="bg-BG"/>
              </w:rPr>
              <w:t xml:space="preserve">  съдиите, прокурорите и  следователите </w:t>
            </w:r>
            <w:r w:rsidRPr="009811EF">
              <w:rPr>
                <w:rFonts w:cs="Arial"/>
                <w:sz w:val="20"/>
                <w:szCs w:val="20"/>
                <w:lang w:val="bg-BG"/>
              </w:rPr>
              <w:t>са</w:t>
            </w:r>
            <w:r w:rsidRPr="008C08CD">
              <w:rPr>
                <w:rFonts w:cs="Arial"/>
                <w:sz w:val="20"/>
                <w:szCs w:val="20"/>
                <w:lang w:val="bg-BG"/>
              </w:rPr>
              <w:t xml:space="preserve"> осведомени, че престъплението подкуп </w:t>
            </w:r>
            <w:r w:rsidRPr="009811EF">
              <w:rPr>
                <w:rFonts w:cs="Arial"/>
                <w:sz w:val="20"/>
                <w:szCs w:val="20"/>
                <w:lang w:val="bg-BG"/>
              </w:rPr>
              <w:t>включва</w:t>
            </w:r>
            <w:r w:rsidRPr="008C08CD">
              <w:rPr>
                <w:rFonts w:cs="Arial"/>
                <w:sz w:val="20"/>
                <w:szCs w:val="20"/>
                <w:lang w:val="bg-BG"/>
              </w:rPr>
              <w:t xml:space="preserve"> </w:t>
            </w:r>
            <w:r w:rsidRPr="009811EF">
              <w:rPr>
                <w:rFonts w:cs="Arial"/>
                <w:sz w:val="20"/>
                <w:szCs w:val="20"/>
                <w:lang w:val="bg-BG"/>
              </w:rPr>
              <w:t xml:space="preserve">и </w:t>
            </w:r>
            <w:r w:rsidRPr="008C08CD">
              <w:rPr>
                <w:rFonts w:cs="Arial"/>
                <w:sz w:val="20"/>
                <w:szCs w:val="20"/>
                <w:lang w:val="bg-BG"/>
              </w:rPr>
              <w:t>подкупи с нематериален характер (чл. 1 на Конвенцията; Препоръката от 2009 г. III(i)).</w:t>
            </w:r>
          </w:p>
        </w:tc>
        <w:tc>
          <w:tcPr>
            <w:tcW w:w="1278" w:type="dxa"/>
            <w:tcBorders>
              <w:top w:val="single" w:sz="4" w:space="0" w:color="auto"/>
              <w:left w:val="single" w:sz="4" w:space="0" w:color="auto"/>
              <w:bottom w:val="single" w:sz="4" w:space="0" w:color="auto"/>
              <w:right w:val="single" w:sz="4" w:space="0" w:color="auto"/>
            </w:tcBorders>
            <w:vAlign w:val="center"/>
          </w:tcPr>
          <w:p w14:paraId="406954E2" w14:textId="77777777" w:rsidR="00066E81" w:rsidRPr="009811EF" w:rsidRDefault="008B6BC8" w:rsidP="00FD6875">
            <w:pPr>
              <w:widowControl/>
              <w:spacing w:after="200" w:line="276" w:lineRule="auto"/>
              <w:jc w:val="left"/>
              <w:rPr>
                <w:rFonts w:cs="Arial"/>
                <w:i/>
                <w:sz w:val="20"/>
                <w:szCs w:val="20"/>
                <w:lang w:val="bg-BG"/>
              </w:rPr>
            </w:pPr>
            <w:r w:rsidRPr="009811EF">
              <w:rPr>
                <w:rFonts w:cs="Arial"/>
                <w:i/>
                <w:sz w:val="20"/>
                <w:szCs w:val="20"/>
                <w:lang w:val="bg-BG"/>
              </w:rPr>
              <w:t>Изпълнена</w:t>
            </w:r>
          </w:p>
        </w:tc>
      </w:tr>
      <w:tr w:rsidR="00066E81" w:rsidRPr="005F281C" w14:paraId="021A7B8D"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CB6D676" w14:textId="77777777" w:rsidR="00066E81" w:rsidRPr="008C08CD" w:rsidRDefault="00066E81" w:rsidP="00FD6875">
            <w:pPr>
              <w:widowControl/>
              <w:spacing w:after="200" w:line="276" w:lineRule="auto"/>
              <w:jc w:val="left"/>
              <w:rPr>
                <w:rFonts w:cs="Arial"/>
                <w:sz w:val="20"/>
                <w:szCs w:val="20"/>
                <w:lang w:val="bg-BG"/>
              </w:rPr>
            </w:pPr>
            <w:r w:rsidRPr="008C08CD">
              <w:rPr>
                <w:rFonts w:cs="Arial"/>
                <w:sz w:val="20"/>
                <w:szCs w:val="20"/>
                <w:lang w:val="bg-BG"/>
              </w:rPr>
              <w:t>2.</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3D4E5B89" w14:textId="77777777" w:rsidR="00066E81" w:rsidRPr="008C08CD" w:rsidRDefault="008B6BC8" w:rsidP="008C08CD">
            <w:pPr>
              <w:widowControl/>
              <w:spacing w:after="200" w:line="276" w:lineRule="auto"/>
              <w:ind w:hanging="12"/>
              <w:rPr>
                <w:rFonts w:cs="Arial"/>
                <w:sz w:val="20"/>
                <w:szCs w:val="20"/>
                <w:lang w:val="bg-BG"/>
              </w:rPr>
            </w:pPr>
            <w:r w:rsidRPr="009811EF">
              <w:rPr>
                <w:rFonts w:cs="Arial"/>
                <w:sz w:val="20"/>
                <w:szCs w:val="20"/>
                <w:lang w:val="bg-BG"/>
              </w:rPr>
              <w:t xml:space="preserve">По отношение на </w:t>
            </w:r>
            <w:r w:rsidRPr="009811EF">
              <w:rPr>
                <w:rFonts w:cs="Arial"/>
                <w:sz w:val="20"/>
                <w:szCs w:val="20"/>
                <w:u w:val="single"/>
                <w:lang w:val="bg-BG"/>
              </w:rPr>
              <w:t>отговорността на юридическите лица</w:t>
            </w:r>
            <w:r w:rsidRPr="009811EF">
              <w:rPr>
                <w:rFonts w:cs="Arial"/>
                <w:sz w:val="20"/>
                <w:szCs w:val="20"/>
                <w:lang w:val="bg-BG"/>
              </w:rPr>
              <w:t xml:space="preserve"> Работната група препоръчва България да измени съществено режима по </w:t>
            </w:r>
            <w:r w:rsidRPr="00B447F4">
              <w:rPr>
                <w:rFonts w:cs="Arial"/>
                <w:sz w:val="20"/>
                <w:szCs w:val="20"/>
                <w:lang w:val="bg-BG"/>
              </w:rPr>
              <w:t>Закона за административните нарушения и наказания (ЗАНН</w:t>
            </w:r>
            <w:r w:rsidRPr="00781047">
              <w:rPr>
                <w:rFonts w:cs="Arial"/>
                <w:sz w:val="20"/>
                <w:szCs w:val="20"/>
                <w:lang w:val="bg-BG"/>
              </w:rPr>
              <w:t>), за да гарантира, че:</w:t>
            </w:r>
          </w:p>
        </w:tc>
      </w:tr>
      <w:tr w:rsidR="00E2198F" w:rsidRPr="00E2198F" w14:paraId="47E64E4D" w14:textId="77777777" w:rsidTr="00D30A42">
        <w:tc>
          <w:tcPr>
            <w:tcW w:w="534" w:type="dxa"/>
            <w:tcBorders>
              <w:top w:val="single" w:sz="4" w:space="0" w:color="auto"/>
              <w:left w:val="single" w:sz="4" w:space="0" w:color="auto"/>
              <w:bottom w:val="single" w:sz="4" w:space="0" w:color="auto"/>
              <w:right w:val="single" w:sz="4" w:space="0" w:color="auto"/>
            </w:tcBorders>
            <w:vAlign w:val="center"/>
            <w:hideMark/>
          </w:tcPr>
          <w:p w14:paraId="4D028F76" w14:textId="77777777" w:rsidR="00066E81" w:rsidRPr="008C08CD" w:rsidRDefault="00066E81" w:rsidP="00FD6875">
            <w:pPr>
              <w:widowControl/>
              <w:spacing w:after="200" w:line="276" w:lineRule="auto"/>
              <w:jc w:val="left"/>
              <w:rPr>
                <w:rFonts w:cs="Arial"/>
                <w:sz w:val="20"/>
                <w:szCs w:val="20"/>
                <w:lang w:val="bg-BG"/>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76468765" w14:textId="77777777" w:rsidR="00066E81" w:rsidRPr="008C08CD" w:rsidRDefault="008B6BC8" w:rsidP="008B6BC8">
            <w:pPr>
              <w:widowControl/>
              <w:numPr>
                <w:ilvl w:val="0"/>
                <w:numId w:val="36"/>
              </w:numPr>
              <w:spacing w:after="200" w:line="276" w:lineRule="auto"/>
              <w:jc w:val="left"/>
              <w:rPr>
                <w:rFonts w:cs="Arial"/>
                <w:sz w:val="20"/>
                <w:szCs w:val="20"/>
                <w:lang w:val="bg-BG"/>
              </w:rPr>
            </w:pPr>
            <w:r w:rsidRPr="008C08CD">
              <w:rPr>
                <w:rFonts w:cs="Arial"/>
                <w:sz w:val="20"/>
                <w:szCs w:val="20"/>
                <w:lang w:val="bg-BG"/>
              </w:rPr>
              <w:t xml:space="preserve"> </w:t>
            </w:r>
            <w:r w:rsidRPr="00E2198F">
              <w:rPr>
                <w:rFonts w:cs="Arial"/>
                <w:sz w:val="20"/>
                <w:szCs w:val="20"/>
                <w:lang w:val="bg-BG"/>
              </w:rPr>
              <w:t xml:space="preserve">разполага с </w:t>
            </w:r>
            <w:r w:rsidRPr="008C08CD">
              <w:rPr>
                <w:rFonts w:cs="Arial"/>
                <w:sz w:val="20"/>
                <w:szCs w:val="20"/>
                <w:lang w:val="bg-BG"/>
              </w:rPr>
              <w:t>юрисдикция за преследване на български компании, в случаите когато лице, което не е български гражданин извърши подкуп на чуждо длъжностно лице извън  България (членове 2 и 4 на Конвенцията)</w:t>
            </w:r>
            <w:r w:rsidRPr="00E2198F">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C52342" w14:textId="77777777" w:rsidR="00066E81" w:rsidRPr="008C08CD" w:rsidRDefault="008B6BC8" w:rsidP="00FD6875">
            <w:pPr>
              <w:widowControl/>
              <w:spacing w:after="200" w:line="276" w:lineRule="auto"/>
              <w:jc w:val="left"/>
              <w:rPr>
                <w:rFonts w:cs="Arial"/>
                <w:sz w:val="20"/>
                <w:szCs w:val="20"/>
                <w:lang w:val="bg-BG"/>
              </w:rPr>
            </w:pPr>
            <w:r w:rsidRPr="008C08CD">
              <w:rPr>
                <w:rFonts w:cs="Arial"/>
                <w:sz w:val="20"/>
                <w:szCs w:val="20"/>
                <w:lang w:val="bg-BG"/>
              </w:rPr>
              <w:t>Неизпълнена</w:t>
            </w:r>
          </w:p>
        </w:tc>
      </w:tr>
      <w:tr w:rsidR="00E2198F" w:rsidRPr="00E2198F" w14:paraId="582958A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956CA12"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4192F62C" w14:textId="77777777" w:rsidR="00066E81" w:rsidRPr="008C08CD" w:rsidRDefault="008B6BC8" w:rsidP="009811EF">
            <w:pPr>
              <w:pStyle w:val="ListParagraph"/>
              <w:numPr>
                <w:ilvl w:val="0"/>
                <w:numId w:val="36"/>
              </w:numPr>
              <w:spacing w:after="120"/>
              <w:contextualSpacing w:val="0"/>
              <w:rPr>
                <w:rFonts w:cs="Arial"/>
                <w:sz w:val="20"/>
                <w:szCs w:val="20"/>
                <w:lang w:val="bg-BG"/>
              </w:rPr>
            </w:pPr>
            <w:r w:rsidRPr="00E2198F">
              <w:rPr>
                <w:rFonts w:cs="Arial"/>
                <w:sz w:val="20"/>
                <w:szCs w:val="20"/>
                <w:lang w:val="bg-BG"/>
              </w:rPr>
              <w:t>разследването и преследването на юридическите лица за подкупване на чужди длъжностни лица не са повлияни от факторите, посочени в чл.5 от Конвенцията, както и че пълният набор от средства за разследване по НПК са приложими в такива случаи (членове 2 и 5 на Конвенцията, Препоръката от 2009 г., IV и Приложение I(D));</w:t>
            </w:r>
          </w:p>
        </w:tc>
        <w:tc>
          <w:tcPr>
            <w:tcW w:w="1278" w:type="dxa"/>
            <w:tcBorders>
              <w:top w:val="single" w:sz="4" w:space="0" w:color="auto"/>
              <w:left w:val="single" w:sz="4" w:space="0" w:color="auto"/>
              <w:bottom w:val="single" w:sz="4" w:space="0" w:color="auto"/>
              <w:right w:val="single" w:sz="4" w:space="0" w:color="auto"/>
            </w:tcBorders>
            <w:vAlign w:val="center"/>
          </w:tcPr>
          <w:p w14:paraId="3DFAC376" w14:textId="77777777" w:rsidR="00066E81" w:rsidRPr="008C08CD" w:rsidRDefault="008B6BC8" w:rsidP="00FD6875">
            <w:pPr>
              <w:widowControl/>
              <w:spacing w:after="200" w:line="276" w:lineRule="auto"/>
              <w:jc w:val="left"/>
              <w:rPr>
                <w:rFonts w:cs="Arial"/>
                <w:i/>
                <w:sz w:val="20"/>
                <w:szCs w:val="20"/>
                <w:lang w:val="bg-BG"/>
              </w:rPr>
            </w:pPr>
            <w:r w:rsidRPr="00E2198F">
              <w:rPr>
                <w:rFonts w:cs="Arial"/>
                <w:i/>
                <w:sz w:val="20"/>
                <w:szCs w:val="20"/>
                <w:lang w:val="bg-BG"/>
              </w:rPr>
              <w:t>Неизпълнена</w:t>
            </w:r>
          </w:p>
        </w:tc>
      </w:tr>
      <w:tr w:rsidR="00E2198F" w:rsidRPr="00E2198F" w14:paraId="19AE2FC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453B4095"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0D297145" w14:textId="77777777" w:rsidR="00066E81" w:rsidRPr="00E2198F" w:rsidRDefault="008B6BC8" w:rsidP="009811EF">
            <w:pPr>
              <w:widowControl/>
              <w:numPr>
                <w:ilvl w:val="0"/>
                <w:numId w:val="36"/>
              </w:numPr>
              <w:spacing w:after="200" w:line="276" w:lineRule="auto"/>
              <w:jc w:val="left"/>
              <w:rPr>
                <w:rFonts w:cs="Arial"/>
                <w:sz w:val="20"/>
                <w:szCs w:val="20"/>
                <w:lang w:val="bg-BG"/>
              </w:rPr>
            </w:pPr>
            <w:r w:rsidRPr="00E2198F">
              <w:rPr>
                <w:rFonts w:cs="Arial"/>
                <w:sz w:val="20"/>
                <w:szCs w:val="20"/>
                <w:lang w:val="bg-BG"/>
              </w:rPr>
              <w:t xml:space="preserve">има </w:t>
            </w:r>
            <w:r w:rsidRPr="008C08CD">
              <w:rPr>
                <w:rFonts w:cs="Arial"/>
                <w:sz w:val="20"/>
                <w:szCs w:val="20"/>
                <w:lang w:val="bg-BG"/>
              </w:rPr>
              <w:t xml:space="preserve">ясна процедурна рамка, която определя компетентния съд за разглеждане на дела срещу юридически лица и която не </w:t>
            </w:r>
            <w:r w:rsidR="009811EF" w:rsidRPr="00E2198F">
              <w:rPr>
                <w:rFonts w:cs="Arial"/>
                <w:sz w:val="20"/>
                <w:szCs w:val="20"/>
                <w:lang w:val="bg-BG"/>
              </w:rPr>
              <w:t>възпрепятства</w:t>
            </w:r>
            <w:r w:rsidRPr="00E2198F">
              <w:rPr>
                <w:rFonts w:cs="Arial"/>
                <w:sz w:val="20"/>
                <w:szCs w:val="20"/>
                <w:lang w:val="bg-BG"/>
              </w:rPr>
              <w:t xml:space="preserve"> образуването на производства срещу юридическите лица, когато производството срещу физическото лице е прекратено или не е образувано поради някое от съдържащите се в НПК основания (член 2 на Конвенцията, Препоръката от 2009 г., IV и Приложение I(D)).</w:t>
            </w:r>
          </w:p>
        </w:tc>
        <w:tc>
          <w:tcPr>
            <w:tcW w:w="1278" w:type="dxa"/>
            <w:tcBorders>
              <w:top w:val="single" w:sz="4" w:space="0" w:color="auto"/>
              <w:left w:val="single" w:sz="4" w:space="0" w:color="auto"/>
              <w:bottom w:val="single" w:sz="4" w:space="0" w:color="auto"/>
              <w:right w:val="single" w:sz="4" w:space="0" w:color="auto"/>
            </w:tcBorders>
            <w:vAlign w:val="center"/>
          </w:tcPr>
          <w:p w14:paraId="09EB0F14" w14:textId="77777777" w:rsidR="00066E81" w:rsidRPr="00E2198F" w:rsidRDefault="008B6BC8" w:rsidP="00FD6875">
            <w:pPr>
              <w:widowControl/>
              <w:spacing w:after="200" w:line="276" w:lineRule="auto"/>
              <w:jc w:val="left"/>
              <w:rPr>
                <w:rFonts w:cs="Arial"/>
                <w:i/>
                <w:sz w:val="20"/>
                <w:szCs w:val="20"/>
                <w:lang w:val="bg-BG"/>
              </w:rPr>
            </w:pPr>
            <w:r w:rsidRPr="00E2198F">
              <w:rPr>
                <w:rFonts w:cs="Arial"/>
                <w:i/>
                <w:sz w:val="20"/>
                <w:szCs w:val="20"/>
                <w:lang w:val="bg-BG"/>
              </w:rPr>
              <w:t>Неизпълнена</w:t>
            </w:r>
          </w:p>
        </w:tc>
      </w:tr>
      <w:tr w:rsidR="00E2198F" w:rsidRPr="00E2198F" w14:paraId="219C637C" w14:textId="77777777" w:rsidTr="00D30A42">
        <w:tc>
          <w:tcPr>
            <w:tcW w:w="534" w:type="dxa"/>
            <w:tcBorders>
              <w:top w:val="single" w:sz="4" w:space="0" w:color="auto"/>
              <w:left w:val="single" w:sz="4" w:space="0" w:color="auto"/>
              <w:bottom w:val="single" w:sz="4" w:space="0" w:color="auto"/>
              <w:right w:val="single" w:sz="4" w:space="0" w:color="auto"/>
            </w:tcBorders>
            <w:vAlign w:val="center"/>
            <w:hideMark/>
          </w:tcPr>
          <w:p w14:paraId="4A6BEA5E" w14:textId="77777777" w:rsidR="00066E81" w:rsidRPr="00E2198F" w:rsidRDefault="00066E81" w:rsidP="00FD6875">
            <w:pPr>
              <w:widowControl/>
              <w:spacing w:after="200" w:line="276" w:lineRule="auto"/>
              <w:jc w:val="left"/>
              <w:rPr>
                <w:rFonts w:cs="Arial"/>
                <w:sz w:val="20"/>
                <w:szCs w:val="20"/>
              </w:rPr>
            </w:pPr>
            <w:r w:rsidRPr="00E2198F">
              <w:rPr>
                <w:rFonts w:cs="Arial"/>
                <w:sz w:val="20"/>
                <w:szCs w:val="20"/>
              </w:rPr>
              <w:t>3.</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290AE267" w14:textId="77777777" w:rsidR="00066E81" w:rsidRPr="008C08CD" w:rsidRDefault="009811EF" w:rsidP="009811EF">
            <w:pPr>
              <w:widowControl/>
              <w:spacing w:after="200" w:line="276" w:lineRule="auto"/>
              <w:jc w:val="left"/>
              <w:rPr>
                <w:rFonts w:cs="Arial"/>
                <w:sz w:val="20"/>
                <w:szCs w:val="20"/>
                <w:lang w:val="bg-BG"/>
              </w:rPr>
            </w:pPr>
            <w:r w:rsidRPr="008C08CD">
              <w:rPr>
                <w:rFonts w:cs="Arial"/>
                <w:sz w:val="20"/>
                <w:szCs w:val="20"/>
                <w:lang w:val="bg-BG"/>
              </w:rPr>
              <w:t>Относно санкциите Работната група препоръчва България да:</w:t>
            </w:r>
          </w:p>
        </w:tc>
      </w:tr>
      <w:tr w:rsidR="00E2198F" w:rsidRPr="00E2198F" w14:paraId="4A136BB0"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07A14C44"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51F7735E" w14:textId="77777777" w:rsidR="00066E81" w:rsidRPr="008C08CD" w:rsidRDefault="009811EF" w:rsidP="009811EF">
            <w:pPr>
              <w:widowControl/>
              <w:numPr>
                <w:ilvl w:val="0"/>
                <w:numId w:val="37"/>
              </w:numPr>
              <w:spacing w:after="200" w:line="276" w:lineRule="auto"/>
              <w:jc w:val="left"/>
              <w:rPr>
                <w:rFonts w:cs="Arial"/>
                <w:sz w:val="20"/>
                <w:szCs w:val="20"/>
                <w:lang w:val="bg-BG"/>
              </w:rPr>
            </w:pPr>
            <w:r w:rsidRPr="008C08CD">
              <w:rPr>
                <w:rFonts w:cs="Arial"/>
                <w:sz w:val="20"/>
                <w:szCs w:val="20"/>
                <w:lang w:val="bg-BG"/>
              </w:rPr>
              <w:t>гарантира, че налаганите на практика наказания за подкуп на чужди длъжностни лица по отношение на физически лица са ефективни, пропорционални и разубеждаващи във всички случаи на подкупване на чужди длъжностни лица (член 3 на Конвенцията);</w:t>
            </w:r>
          </w:p>
        </w:tc>
        <w:tc>
          <w:tcPr>
            <w:tcW w:w="1278" w:type="dxa"/>
            <w:tcBorders>
              <w:top w:val="single" w:sz="4" w:space="0" w:color="auto"/>
              <w:left w:val="single" w:sz="4" w:space="0" w:color="auto"/>
              <w:bottom w:val="single" w:sz="4" w:space="0" w:color="auto"/>
              <w:right w:val="single" w:sz="4" w:space="0" w:color="auto"/>
            </w:tcBorders>
            <w:vAlign w:val="center"/>
          </w:tcPr>
          <w:p w14:paraId="1D11AC80" w14:textId="77777777" w:rsidR="00066E81" w:rsidRPr="008C08CD" w:rsidRDefault="009811EF" w:rsidP="00FD6875">
            <w:pPr>
              <w:widowControl/>
              <w:spacing w:after="200" w:line="276" w:lineRule="auto"/>
              <w:jc w:val="left"/>
              <w:rPr>
                <w:rFonts w:cs="Arial"/>
                <w:i/>
                <w:sz w:val="20"/>
                <w:szCs w:val="20"/>
                <w:lang w:val="bg-BG"/>
              </w:rPr>
            </w:pPr>
            <w:r w:rsidRPr="00E2198F">
              <w:rPr>
                <w:rFonts w:cs="Arial"/>
                <w:i/>
                <w:sz w:val="20"/>
                <w:szCs w:val="20"/>
                <w:lang w:val="bg-BG"/>
              </w:rPr>
              <w:t>Частично изпълнена</w:t>
            </w:r>
          </w:p>
        </w:tc>
      </w:tr>
      <w:tr w:rsidR="00E2198F" w:rsidRPr="00E2198F" w14:paraId="4E2D9253"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61719D3"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1F469A28" w14:textId="77777777" w:rsidR="00066E81" w:rsidRPr="008C08CD" w:rsidRDefault="009811EF" w:rsidP="009811EF">
            <w:pPr>
              <w:widowControl/>
              <w:numPr>
                <w:ilvl w:val="0"/>
                <w:numId w:val="37"/>
              </w:numPr>
              <w:spacing w:after="200" w:line="276" w:lineRule="auto"/>
              <w:jc w:val="left"/>
              <w:rPr>
                <w:rFonts w:cs="Arial"/>
                <w:sz w:val="20"/>
                <w:szCs w:val="20"/>
                <w:lang w:val="bg-BG"/>
              </w:rPr>
            </w:pPr>
            <w:r w:rsidRPr="008C08CD">
              <w:rPr>
                <w:rFonts w:cs="Arial"/>
                <w:sz w:val="20"/>
                <w:szCs w:val="20"/>
                <w:lang w:val="bg-BG"/>
              </w:rPr>
              <w:t>въведе разпоредба, с която квалифицираните случаи на подкуп на чуждо длъжностно лице да се санкционират по същия начин както квалифицирания подкуп на местни длъжностни лица (член 3 на Конвенцията);</w:t>
            </w:r>
          </w:p>
        </w:tc>
        <w:tc>
          <w:tcPr>
            <w:tcW w:w="1278" w:type="dxa"/>
            <w:tcBorders>
              <w:top w:val="single" w:sz="4" w:space="0" w:color="auto"/>
              <w:left w:val="single" w:sz="4" w:space="0" w:color="auto"/>
              <w:bottom w:val="single" w:sz="4" w:space="0" w:color="auto"/>
              <w:right w:val="single" w:sz="4" w:space="0" w:color="auto"/>
            </w:tcBorders>
            <w:vAlign w:val="center"/>
          </w:tcPr>
          <w:p w14:paraId="7294B696" w14:textId="77777777" w:rsidR="00066E81" w:rsidRPr="008C08CD" w:rsidRDefault="009811EF" w:rsidP="00FD6875">
            <w:pPr>
              <w:widowControl/>
              <w:spacing w:after="200" w:line="276" w:lineRule="auto"/>
              <w:jc w:val="left"/>
              <w:rPr>
                <w:rFonts w:cs="Arial"/>
                <w:i/>
                <w:sz w:val="20"/>
                <w:szCs w:val="20"/>
                <w:lang w:val="bg-BG"/>
              </w:rPr>
            </w:pPr>
            <w:r w:rsidRPr="00E2198F">
              <w:rPr>
                <w:rFonts w:cs="Arial"/>
                <w:i/>
                <w:sz w:val="20"/>
                <w:szCs w:val="20"/>
                <w:lang w:val="bg-BG"/>
              </w:rPr>
              <w:t>Неизпълнена</w:t>
            </w:r>
          </w:p>
        </w:tc>
      </w:tr>
      <w:tr w:rsidR="00E2198F" w:rsidRPr="00E2198F" w14:paraId="3E6EB40F"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4553617A"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ACF71AB" w14:textId="77777777" w:rsidR="00066E81" w:rsidRPr="00E2198F" w:rsidRDefault="009811EF" w:rsidP="009811EF">
            <w:pPr>
              <w:widowControl/>
              <w:numPr>
                <w:ilvl w:val="0"/>
                <w:numId w:val="37"/>
              </w:numPr>
              <w:spacing w:after="200" w:line="276" w:lineRule="auto"/>
              <w:jc w:val="left"/>
              <w:rPr>
                <w:rFonts w:cs="Arial"/>
                <w:sz w:val="20"/>
                <w:szCs w:val="20"/>
                <w:lang w:val="bg-BG"/>
              </w:rPr>
            </w:pPr>
            <w:r w:rsidRPr="00E2198F">
              <w:rPr>
                <w:rFonts w:cs="Arial"/>
                <w:sz w:val="20"/>
                <w:szCs w:val="20"/>
                <w:lang w:val="bg-BG"/>
              </w:rPr>
              <w:t>увеличи максималния размер на санкцията, приложима по отношение на юридически лица в случаите, в които получената облага от юридическото лице е неимуществена или когато стойността на облагата не може да бъде установена (член 3 на Конвенцията).</w:t>
            </w:r>
          </w:p>
        </w:tc>
        <w:tc>
          <w:tcPr>
            <w:tcW w:w="1278" w:type="dxa"/>
            <w:tcBorders>
              <w:top w:val="single" w:sz="4" w:space="0" w:color="auto"/>
              <w:left w:val="single" w:sz="4" w:space="0" w:color="auto"/>
              <w:bottom w:val="single" w:sz="4" w:space="0" w:color="auto"/>
              <w:right w:val="single" w:sz="4" w:space="0" w:color="auto"/>
            </w:tcBorders>
            <w:vAlign w:val="center"/>
          </w:tcPr>
          <w:p w14:paraId="7348799F" w14:textId="77777777" w:rsidR="00066E81" w:rsidRPr="00E2198F" w:rsidRDefault="009811EF" w:rsidP="00FD6875">
            <w:pPr>
              <w:widowControl/>
              <w:spacing w:after="200" w:line="276" w:lineRule="auto"/>
              <w:jc w:val="left"/>
              <w:rPr>
                <w:rFonts w:cs="Arial"/>
                <w:i/>
                <w:sz w:val="20"/>
                <w:szCs w:val="20"/>
                <w:lang w:val="bg-BG"/>
              </w:rPr>
            </w:pPr>
            <w:r w:rsidRPr="00E2198F">
              <w:rPr>
                <w:rFonts w:cs="Arial"/>
                <w:i/>
                <w:sz w:val="20"/>
                <w:szCs w:val="20"/>
                <w:lang w:val="bg-BG"/>
              </w:rPr>
              <w:t>Неизпълнена</w:t>
            </w:r>
          </w:p>
        </w:tc>
      </w:tr>
      <w:tr w:rsidR="00E2198F" w:rsidRPr="00E2198F" w14:paraId="3AC1B7DA" w14:textId="77777777" w:rsidTr="00D30A42">
        <w:tc>
          <w:tcPr>
            <w:tcW w:w="534" w:type="dxa"/>
            <w:tcBorders>
              <w:top w:val="single" w:sz="4" w:space="0" w:color="auto"/>
              <w:left w:val="single" w:sz="4" w:space="0" w:color="auto"/>
              <w:bottom w:val="single" w:sz="4" w:space="0" w:color="auto"/>
              <w:right w:val="single" w:sz="4" w:space="0" w:color="auto"/>
            </w:tcBorders>
            <w:vAlign w:val="center"/>
            <w:hideMark/>
          </w:tcPr>
          <w:p w14:paraId="37FE817C" w14:textId="77777777" w:rsidR="00066E81" w:rsidRPr="00E2198F" w:rsidRDefault="00066E81" w:rsidP="00FD6875">
            <w:pPr>
              <w:widowControl/>
              <w:spacing w:after="200" w:line="276" w:lineRule="auto"/>
              <w:jc w:val="left"/>
              <w:rPr>
                <w:rFonts w:cs="Arial"/>
                <w:sz w:val="20"/>
                <w:szCs w:val="20"/>
              </w:rPr>
            </w:pPr>
            <w:r w:rsidRPr="00E2198F">
              <w:rPr>
                <w:rFonts w:cs="Arial"/>
                <w:sz w:val="20"/>
                <w:szCs w:val="20"/>
              </w:rPr>
              <w:t>4.</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39BA4A50" w14:textId="77777777" w:rsidR="00066E81" w:rsidRPr="008C08CD" w:rsidRDefault="009811EF" w:rsidP="00FD6875">
            <w:pPr>
              <w:widowControl/>
              <w:spacing w:after="200" w:line="276" w:lineRule="auto"/>
              <w:jc w:val="left"/>
              <w:rPr>
                <w:rFonts w:cs="Arial"/>
                <w:sz w:val="20"/>
                <w:szCs w:val="20"/>
                <w:lang w:val="bg-BG"/>
              </w:rPr>
            </w:pPr>
            <w:r w:rsidRPr="008C08CD">
              <w:rPr>
                <w:rFonts w:cs="Arial"/>
                <w:sz w:val="20"/>
                <w:szCs w:val="20"/>
                <w:lang w:val="bg-BG"/>
              </w:rPr>
              <w:t>Относно отнемането Работната група препоръчва България да:</w:t>
            </w:r>
          </w:p>
        </w:tc>
      </w:tr>
      <w:tr w:rsidR="00E2198F" w:rsidRPr="00E2198F" w14:paraId="65756D45"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34B70967" w14:textId="77777777" w:rsidR="00066E81" w:rsidRPr="00E2198F"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6CF07AC6" w14:textId="77777777" w:rsidR="00066E81" w:rsidRPr="008C08CD" w:rsidRDefault="009811EF" w:rsidP="009811EF">
            <w:pPr>
              <w:widowControl/>
              <w:numPr>
                <w:ilvl w:val="0"/>
                <w:numId w:val="38"/>
              </w:numPr>
              <w:spacing w:after="200" w:line="276" w:lineRule="auto"/>
              <w:jc w:val="left"/>
              <w:rPr>
                <w:rFonts w:cs="Arial"/>
                <w:sz w:val="20"/>
                <w:szCs w:val="20"/>
                <w:lang w:val="bg-BG"/>
              </w:rPr>
            </w:pPr>
            <w:r w:rsidRPr="008C08CD">
              <w:rPr>
                <w:rFonts w:cs="Arial"/>
                <w:sz w:val="20"/>
                <w:szCs w:val="20"/>
                <w:lang w:val="bg-BG"/>
              </w:rPr>
              <w:t>рационализира законодателството си относно отнемането и да го измени така, че то да включва изрично (i) отнемането на подкупа от юридически лица; и (ii) отнемането от физически и юридически лица на облагите, придобити непряко от лицето, дало подкупа, както и имущество, което е в притежание на трети страни</w:t>
            </w:r>
          </w:p>
        </w:tc>
        <w:tc>
          <w:tcPr>
            <w:tcW w:w="1278" w:type="dxa"/>
            <w:tcBorders>
              <w:top w:val="single" w:sz="4" w:space="0" w:color="auto"/>
              <w:left w:val="single" w:sz="4" w:space="0" w:color="auto"/>
              <w:bottom w:val="single" w:sz="4" w:space="0" w:color="auto"/>
              <w:right w:val="single" w:sz="4" w:space="0" w:color="auto"/>
            </w:tcBorders>
            <w:vAlign w:val="center"/>
          </w:tcPr>
          <w:p w14:paraId="60A2ED45" w14:textId="77777777" w:rsidR="00066E81" w:rsidRPr="008C08CD" w:rsidRDefault="009811EF" w:rsidP="00FD6875">
            <w:pPr>
              <w:widowControl/>
              <w:spacing w:after="200" w:line="276" w:lineRule="auto"/>
              <w:jc w:val="left"/>
              <w:rPr>
                <w:rFonts w:cs="Arial"/>
                <w:i/>
                <w:sz w:val="20"/>
                <w:szCs w:val="20"/>
                <w:lang w:val="bg-BG"/>
              </w:rPr>
            </w:pPr>
            <w:r w:rsidRPr="00E2198F">
              <w:rPr>
                <w:rFonts w:cs="Arial"/>
                <w:i/>
                <w:sz w:val="20"/>
                <w:szCs w:val="20"/>
                <w:lang w:val="bg-BG"/>
              </w:rPr>
              <w:t>Незизпълнена</w:t>
            </w:r>
          </w:p>
        </w:tc>
      </w:tr>
      <w:tr w:rsidR="00066E81" w:rsidRPr="00753331" w14:paraId="4F5F1345"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4EDDDE9"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1467186D" w14:textId="77777777" w:rsidR="00066E81" w:rsidRPr="00753331" w:rsidRDefault="009811EF" w:rsidP="009811EF">
            <w:pPr>
              <w:widowControl/>
              <w:numPr>
                <w:ilvl w:val="0"/>
                <w:numId w:val="38"/>
              </w:numPr>
              <w:spacing w:after="200" w:line="276" w:lineRule="auto"/>
              <w:jc w:val="left"/>
              <w:rPr>
                <w:rFonts w:cs="Arial"/>
                <w:sz w:val="20"/>
                <w:szCs w:val="20"/>
              </w:rPr>
            </w:pPr>
            <w:proofErr w:type="gramStart"/>
            <w:r w:rsidRPr="009811EF">
              <w:rPr>
                <w:rFonts w:cs="Arial"/>
                <w:sz w:val="20"/>
                <w:szCs w:val="20"/>
              </w:rPr>
              <w:t>предприеме</w:t>
            </w:r>
            <w:proofErr w:type="gramEnd"/>
            <w:r w:rsidRPr="009811EF">
              <w:rPr>
                <w:rFonts w:cs="Arial"/>
                <w:sz w:val="20"/>
                <w:szCs w:val="20"/>
              </w:rPr>
              <w:t xml:space="preserve"> мерки, за да гарантира, че прокурорите изискват редовно отнемането на подкупа, както и на пряко и непряко придобитото от лицето, даващо подкупа (член 3 на Конвенцията).</w:t>
            </w:r>
          </w:p>
        </w:tc>
        <w:tc>
          <w:tcPr>
            <w:tcW w:w="1278" w:type="dxa"/>
            <w:tcBorders>
              <w:top w:val="single" w:sz="4" w:space="0" w:color="auto"/>
              <w:left w:val="single" w:sz="4" w:space="0" w:color="auto"/>
              <w:bottom w:val="single" w:sz="4" w:space="0" w:color="auto"/>
              <w:right w:val="single" w:sz="4" w:space="0" w:color="auto"/>
            </w:tcBorders>
            <w:vAlign w:val="center"/>
          </w:tcPr>
          <w:p w14:paraId="5220CCD6" w14:textId="77777777" w:rsidR="00066E81" w:rsidRPr="008C08CD" w:rsidRDefault="009811EF"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A6235F" w:rsidRPr="00753331" w14:paraId="6819AFE7"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0D731CA1" w14:textId="77777777" w:rsidR="00A6235F" w:rsidRPr="00753331" w:rsidRDefault="00A6235F" w:rsidP="00FD6875">
            <w:pPr>
              <w:widowControl/>
              <w:spacing w:after="200" w:line="276" w:lineRule="auto"/>
              <w:jc w:val="left"/>
              <w:rPr>
                <w:rFonts w:cs="Arial"/>
                <w:sz w:val="20"/>
                <w:szCs w:val="20"/>
              </w:rPr>
            </w:pPr>
            <w:r w:rsidRPr="00753331">
              <w:rPr>
                <w:rFonts w:cs="Arial"/>
                <w:sz w:val="20"/>
                <w:szCs w:val="20"/>
              </w:rPr>
              <w:t>5.</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141E08CF" w14:textId="77777777" w:rsidR="00A6235F" w:rsidRPr="00A6235F" w:rsidRDefault="00A6235F" w:rsidP="00A6235F">
            <w:pPr>
              <w:rPr>
                <w:rFonts w:cs="Arial"/>
                <w:sz w:val="20"/>
                <w:szCs w:val="20"/>
              </w:rPr>
            </w:pPr>
            <w:r w:rsidRPr="00A6235F">
              <w:rPr>
                <w:rFonts w:cs="Arial"/>
                <w:sz w:val="20"/>
                <w:szCs w:val="20"/>
              </w:rPr>
              <w:t xml:space="preserve">Относно </w:t>
            </w:r>
            <w:r w:rsidRPr="00781047">
              <w:rPr>
                <w:rFonts w:cs="Arial"/>
                <w:sz w:val="20"/>
                <w:szCs w:val="20"/>
                <w:u w:val="single"/>
              </w:rPr>
              <w:t>разследването и наказателното преследване</w:t>
            </w:r>
            <w:r w:rsidRPr="00A6235F">
              <w:rPr>
                <w:rFonts w:cs="Arial"/>
                <w:sz w:val="20"/>
                <w:szCs w:val="20"/>
              </w:rPr>
              <w:t xml:space="preserve"> Работната група препоръчва България да:</w:t>
            </w:r>
          </w:p>
          <w:p w14:paraId="5F44A924" w14:textId="77777777" w:rsidR="00A6235F" w:rsidRPr="00753331" w:rsidRDefault="00A6235F" w:rsidP="00FD6875">
            <w:pPr>
              <w:widowControl/>
              <w:spacing w:after="200" w:line="276" w:lineRule="auto"/>
              <w:jc w:val="left"/>
              <w:rPr>
                <w:rFonts w:cs="Arial"/>
                <w:i/>
                <w:sz w:val="20"/>
                <w:szCs w:val="20"/>
              </w:rPr>
            </w:pPr>
          </w:p>
        </w:tc>
      </w:tr>
      <w:tr w:rsidR="00066E81" w:rsidRPr="00753331" w14:paraId="0D9D499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3C7E2B5A"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4F51EDE4" w14:textId="77777777" w:rsidR="00066E81" w:rsidRPr="00753331" w:rsidRDefault="00A6235F" w:rsidP="00A6235F">
            <w:pPr>
              <w:widowControl/>
              <w:numPr>
                <w:ilvl w:val="0"/>
                <w:numId w:val="42"/>
              </w:numPr>
              <w:spacing w:after="200" w:line="276" w:lineRule="auto"/>
              <w:jc w:val="left"/>
              <w:rPr>
                <w:rFonts w:cs="Arial"/>
                <w:sz w:val="20"/>
                <w:szCs w:val="20"/>
              </w:rPr>
            </w:pPr>
            <w:r w:rsidRPr="00A6235F">
              <w:rPr>
                <w:rFonts w:cs="Arial"/>
                <w:sz w:val="20"/>
                <w:szCs w:val="20"/>
              </w:rPr>
              <w:t>осигури необходимите човешки и финансови ресурси за разследвания и наказателни преследвания на физически и юридически лица за подкупване на чужди длъжностни лица, включително и наличието на опит в изготвянето на съдебно-счетоводни експертизи и в информационните технологии (членове 2 и 3 на Конвенцията, Препоръката от 2009 г. IV и Приложение I(D));</w:t>
            </w:r>
          </w:p>
        </w:tc>
        <w:tc>
          <w:tcPr>
            <w:tcW w:w="1278" w:type="dxa"/>
            <w:tcBorders>
              <w:top w:val="single" w:sz="4" w:space="0" w:color="auto"/>
              <w:left w:val="single" w:sz="4" w:space="0" w:color="auto"/>
              <w:bottom w:val="single" w:sz="4" w:space="0" w:color="auto"/>
              <w:right w:val="single" w:sz="4" w:space="0" w:color="auto"/>
            </w:tcBorders>
            <w:vAlign w:val="center"/>
          </w:tcPr>
          <w:p w14:paraId="152027A3"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343BC2DF"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61D1A97"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059212E9" w14:textId="77777777" w:rsidR="00066E81" w:rsidRPr="00753331" w:rsidRDefault="00A6235F" w:rsidP="00A6235F">
            <w:pPr>
              <w:widowControl/>
              <w:numPr>
                <w:ilvl w:val="0"/>
                <w:numId w:val="42"/>
              </w:numPr>
              <w:spacing w:after="200" w:line="276" w:lineRule="auto"/>
              <w:jc w:val="left"/>
              <w:rPr>
                <w:rFonts w:cs="Arial"/>
                <w:sz w:val="20"/>
                <w:szCs w:val="20"/>
              </w:rPr>
            </w:pPr>
            <w:r w:rsidRPr="00A6235F">
              <w:rPr>
                <w:rFonts w:cs="Arial"/>
                <w:sz w:val="20"/>
                <w:szCs w:val="20"/>
              </w:rPr>
              <w:t>обучи съдиите, прокурорите и следователите по производствата срещу юридическите лица и сложните финансови дела и да предприеме стъпки за да гарантира, че такива разследвания се провеждат във всички възможни случаи (Препоръката от 2009 г., III (i) и IV и Приложение I(A) и (D));</w:t>
            </w:r>
          </w:p>
        </w:tc>
        <w:tc>
          <w:tcPr>
            <w:tcW w:w="1278" w:type="dxa"/>
            <w:tcBorders>
              <w:top w:val="single" w:sz="4" w:space="0" w:color="auto"/>
              <w:left w:val="single" w:sz="4" w:space="0" w:color="auto"/>
              <w:bottom w:val="single" w:sz="4" w:space="0" w:color="auto"/>
              <w:right w:val="single" w:sz="4" w:space="0" w:color="auto"/>
            </w:tcBorders>
            <w:vAlign w:val="center"/>
          </w:tcPr>
          <w:p w14:paraId="4FEC3861"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4B377446"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3AFB27C"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365F3835" w14:textId="77777777" w:rsidR="00066E81" w:rsidRPr="00753331" w:rsidRDefault="00A6235F" w:rsidP="00B447F4">
            <w:pPr>
              <w:widowControl/>
              <w:numPr>
                <w:ilvl w:val="0"/>
                <w:numId w:val="42"/>
              </w:numPr>
              <w:spacing w:after="200" w:line="276" w:lineRule="auto"/>
              <w:jc w:val="left"/>
              <w:rPr>
                <w:rFonts w:cs="Arial"/>
                <w:sz w:val="20"/>
                <w:szCs w:val="20"/>
              </w:rPr>
            </w:pPr>
            <w:r w:rsidRPr="00A6235F">
              <w:rPr>
                <w:rFonts w:cs="Arial"/>
                <w:sz w:val="20"/>
                <w:szCs w:val="20"/>
              </w:rPr>
              <w:t>вземе мерки</w:t>
            </w:r>
            <w:r w:rsidR="00B447F4">
              <w:rPr>
                <w:rFonts w:cs="Arial"/>
                <w:sz w:val="20"/>
                <w:szCs w:val="20"/>
                <w:lang w:val="bg-BG"/>
              </w:rPr>
              <w:t>,</w:t>
            </w:r>
            <w:r w:rsidRPr="00A6235F">
              <w:rPr>
                <w:rFonts w:cs="Arial"/>
                <w:sz w:val="20"/>
                <w:szCs w:val="20"/>
              </w:rPr>
              <w:t xml:space="preserve"> за да гарантира, че българските институции са по-активни при търсенето на международна правна помощ (член 9 </w:t>
            </w:r>
            <w:r w:rsidR="00B447F4">
              <w:rPr>
                <w:rFonts w:cs="Arial"/>
                <w:sz w:val="20"/>
                <w:szCs w:val="20"/>
                <w:lang w:val="bg-BG"/>
              </w:rPr>
              <w:t>от</w:t>
            </w:r>
            <w:r w:rsidRPr="00A6235F">
              <w:rPr>
                <w:rFonts w:cs="Arial"/>
                <w:sz w:val="20"/>
                <w:szCs w:val="20"/>
              </w:rPr>
              <w:t xml:space="preserve"> Конвенцията, Препоръката от 2009 г., XIII (i) и (iii));</w:t>
            </w:r>
          </w:p>
        </w:tc>
        <w:tc>
          <w:tcPr>
            <w:tcW w:w="1278" w:type="dxa"/>
            <w:tcBorders>
              <w:top w:val="single" w:sz="4" w:space="0" w:color="auto"/>
              <w:left w:val="single" w:sz="4" w:space="0" w:color="auto"/>
              <w:bottom w:val="single" w:sz="4" w:space="0" w:color="auto"/>
              <w:right w:val="single" w:sz="4" w:space="0" w:color="auto"/>
            </w:tcBorders>
            <w:vAlign w:val="center"/>
          </w:tcPr>
          <w:p w14:paraId="7DFC1826"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518BE9F5"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29746EAF"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72C6ED76" w14:textId="77777777" w:rsidR="00066E81" w:rsidRPr="00753331" w:rsidRDefault="00A6235F" w:rsidP="00A6235F">
            <w:pPr>
              <w:widowControl/>
              <w:numPr>
                <w:ilvl w:val="0"/>
                <w:numId w:val="42"/>
              </w:numPr>
              <w:spacing w:after="200" w:line="276" w:lineRule="auto"/>
              <w:jc w:val="left"/>
              <w:rPr>
                <w:rFonts w:cs="Arial"/>
                <w:sz w:val="20"/>
                <w:szCs w:val="20"/>
              </w:rPr>
            </w:pPr>
            <w:r w:rsidRPr="00A6235F">
              <w:rPr>
                <w:rFonts w:cs="Arial"/>
                <w:sz w:val="20"/>
                <w:szCs w:val="20"/>
              </w:rPr>
              <w:t>издаде официална писмена процедура за възлагане на случаи на подкуп на чуждо длъжностно лице на съответните прокурорски и следствени органи (член 5 от Конвенцията);</w:t>
            </w:r>
          </w:p>
        </w:tc>
        <w:tc>
          <w:tcPr>
            <w:tcW w:w="1278" w:type="dxa"/>
            <w:tcBorders>
              <w:top w:val="single" w:sz="4" w:space="0" w:color="auto"/>
              <w:left w:val="single" w:sz="4" w:space="0" w:color="auto"/>
              <w:bottom w:val="single" w:sz="4" w:space="0" w:color="auto"/>
              <w:right w:val="single" w:sz="4" w:space="0" w:color="auto"/>
            </w:tcBorders>
            <w:vAlign w:val="center"/>
          </w:tcPr>
          <w:p w14:paraId="5490C96B"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2662D13B"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F9B3EE8"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01C9417F" w14:textId="77777777" w:rsidR="00066E81" w:rsidRPr="00753331" w:rsidRDefault="00A6235F" w:rsidP="00A6235F">
            <w:pPr>
              <w:widowControl/>
              <w:numPr>
                <w:ilvl w:val="0"/>
                <w:numId w:val="42"/>
              </w:numPr>
              <w:spacing w:after="200" w:line="276" w:lineRule="auto"/>
              <w:jc w:val="left"/>
              <w:rPr>
                <w:rFonts w:cs="Arial"/>
                <w:sz w:val="20"/>
                <w:szCs w:val="20"/>
              </w:rPr>
            </w:pPr>
            <w:r w:rsidRPr="00A6235F">
              <w:rPr>
                <w:rFonts w:cs="Arial"/>
                <w:sz w:val="20"/>
                <w:szCs w:val="20"/>
              </w:rPr>
              <w:t>поддържа статистика за броя, източниците и последващото разследване на случаи на предполагаемо подкупване на чужди длъжностни лица и разгледа начините за публикуване на предоставената на съдилищата информация, както е посочено в препор</w:t>
            </w:r>
            <w:r w:rsidR="00B447F4">
              <w:rPr>
                <w:rFonts w:cs="Arial"/>
                <w:sz w:val="20"/>
                <w:szCs w:val="20"/>
              </w:rPr>
              <w:t>ъка 4 от проверката по фаза 2 (</w:t>
            </w:r>
            <w:r w:rsidRPr="00A6235F">
              <w:rPr>
                <w:rFonts w:cs="Arial"/>
                <w:sz w:val="20"/>
                <w:szCs w:val="20"/>
              </w:rPr>
              <w:t>Препоръката от 2009 г., III (i));</w:t>
            </w:r>
          </w:p>
        </w:tc>
        <w:tc>
          <w:tcPr>
            <w:tcW w:w="1278" w:type="dxa"/>
            <w:tcBorders>
              <w:top w:val="single" w:sz="4" w:space="0" w:color="auto"/>
              <w:left w:val="single" w:sz="4" w:space="0" w:color="auto"/>
              <w:bottom w:val="single" w:sz="4" w:space="0" w:color="auto"/>
              <w:right w:val="single" w:sz="4" w:space="0" w:color="auto"/>
            </w:tcBorders>
            <w:vAlign w:val="center"/>
          </w:tcPr>
          <w:p w14:paraId="20E25851"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729C6CF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38017896"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B7BD627" w14:textId="77777777" w:rsidR="00066E81" w:rsidRPr="00753331" w:rsidRDefault="00A6235F" w:rsidP="00A6235F">
            <w:pPr>
              <w:widowControl/>
              <w:numPr>
                <w:ilvl w:val="0"/>
                <w:numId w:val="42"/>
              </w:numPr>
              <w:spacing w:after="200" w:line="276" w:lineRule="auto"/>
              <w:jc w:val="left"/>
              <w:rPr>
                <w:rFonts w:cs="Arial"/>
                <w:sz w:val="20"/>
                <w:szCs w:val="20"/>
              </w:rPr>
            </w:pPr>
            <w:r w:rsidRPr="00A6235F">
              <w:rPr>
                <w:rFonts w:cs="Arial"/>
                <w:sz w:val="20"/>
                <w:szCs w:val="20"/>
              </w:rPr>
              <w:t>създаде централизиран механизъм за периодичен преглед и оценка на подхода на правоприлагането и ефективността на усилията по правоприлагане на различните институции, участващи в борбата с подкупването на чужди длъжностни лица, както е посочено в препоръка 14 от проверката по Фаза 2 (членове 1 и 5 от Конвенцията и Препоръката от 2009, V).</w:t>
            </w:r>
          </w:p>
        </w:tc>
        <w:tc>
          <w:tcPr>
            <w:tcW w:w="1278" w:type="dxa"/>
            <w:tcBorders>
              <w:top w:val="single" w:sz="4" w:space="0" w:color="auto"/>
              <w:left w:val="single" w:sz="4" w:space="0" w:color="auto"/>
              <w:bottom w:val="single" w:sz="4" w:space="0" w:color="auto"/>
              <w:right w:val="single" w:sz="4" w:space="0" w:color="auto"/>
            </w:tcBorders>
            <w:vAlign w:val="center"/>
          </w:tcPr>
          <w:p w14:paraId="48D370D5" w14:textId="77777777" w:rsidR="00066E81" w:rsidRPr="00A6235F" w:rsidRDefault="00A6235F"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7FBD6DDE" w14:textId="77777777" w:rsidTr="00D30A42">
        <w:tc>
          <w:tcPr>
            <w:tcW w:w="9288" w:type="dxa"/>
            <w:gridSpan w:val="4"/>
            <w:tcBorders>
              <w:top w:val="single" w:sz="4" w:space="0" w:color="auto"/>
              <w:left w:val="single" w:sz="4" w:space="0" w:color="auto"/>
              <w:bottom w:val="single" w:sz="4" w:space="0" w:color="auto"/>
              <w:right w:val="single" w:sz="4" w:space="0" w:color="auto"/>
            </w:tcBorders>
            <w:vAlign w:val="center"/>
          </w:tcPr>
          <w:p w14:paraId="760D853D" w14:textId="77777777" w:rsidR="00066E81" w:rsidRPr="00B447F4" w:rsidRDefault="00B447F4" w:rsidP="00FD6875">
            <w:pPr>
              <w:widowControl/>
              <w:spacing w:after="200" w:line="276" w:lineRule="auto"/>
              <w:jc w:val="left"/>
              <w:rPr>
                <w:rFonts w:cs="Arial"/>
                <w:b/>
                <w:bCs/>
                <w:i/>
                <w:iCs/>
                <w:sz w:val="20"/>
                <w:szCs w:val="20"/>
                <w:lang w:val="bg-BG"/>
              </w:rPr>
            </w:pPr>
            <w:r w:rsidRPr="00B447F4">
              <w:rPr>
                <w:rFonts w:cs="Arial"/>
                <w:b/>
                <w:bCs/>
                <w:i/>
                <w:iCs/>
                <w:sz w:val="20"/>
                <w:szCs w:val="20"/>
                <w:lang w:val="bg-BG"/>
              </w:rPr>
              <w:t>Препоръки за гарантиране на ефективно предотвратяване и разкриване на случаи на подкуп на чужди длъжностни лица.</w:t>
            </w:r>
          </w:p>
        </w:tc>
      </w:tr>
      <w:tr w:rsidR="00066E81" w:rsidRPr="00753331" w14:paraId="14B223E7"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212CCF77"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6.</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4F1FDEC6" w14:textId="77777777" w:rsidR="00066E81" w:rsidRPr="00B447F4" w:rsidRDefault="00B447F4" w:rsidP="00FD6875">
            <w:pPr>
              <w:widowControl/>
              <w:spacing w:after="200" w:line="276" w:lineRule="auto"/>
              <w:jc w:val="left"/>
              <w:rPr>
                <w:rFonts w:cs="Arial"/>
                <w:sz w:val="20"/>
                <w:szCs w:val="20"/>
                <w:lang w:val="bg-BG"/>
              </w:rPr>
            </w:pPr>
            <w:r w:rsidRPr="00B447F4">
              <w:rPr>
                <w:rFonts w:cs="Arial"/>
                <w:sz w:val="20"/>
                <w:szCs w:val="20"/>
                <w:lang w:val="bg-BG"/>
              </w:rPr>
              <w:t xml:space="preserve">Относно </w:t>
            </w:r>
            <w:r w:rsidRPr="00B447F4">
              <w:rPr>
                <w:rFonts w:cs="Arial"/>
                <w:sz w:val="20"/>
                <w:szCs w:val="20"/>
                <w:u w:val="single"/>
                <w:lang w:val="bg-BG"/>
              </w:rPr>
              <w:t>счетоводните изисквания, външния одит, вътрешния контрол и етика и лоялност</w:t>
            </w:r>
            <w:r w:rsidRPr="00B447F4">
              <w:rPr>
                <w:rFonts w:cs="Arial"/>
                <w:sz w:val="20"/>
                <w:szCs w:val="20"/>
                <w:lang w:val="bg-BG"/>
              </w:rPr>
              <w:t xml:space="preserve"> Работната група препоръчва България да:</w:t>
            </w:r>
          </w:p>
        </w:tc>
      </w:tr>
      <w:tr w:rsidR="00066E81" w:rsidRPr="00753331" w14:paraId="508DF7C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111823D2"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6622ED07" w14:textId="77777777" w:rsidR="00066E81" w:rsidRPr="00753331" w:rsidRDefault="00781047" w:rsidP="00066E81">
            <w:pPr>
              <w:widowControl/>
              <w:numPr>
                <w:ilvl w:val="0"/>
                <w:numId w:val="39"/>
              </w:numPr>
              <w:spacing w:after="200" w:line="276" w:lineRule="auto"/>
              <w:jc w:val="left"/>
              <w:rPr>
                <w:rFonts w:cs="Arial"/>
                <w:sz w:val="20"/>
                <w:szCs w:val="20"/>
              </w:rPr>
            </w:pPr>
            <w:r w:rsidRPr="00781047">
              <w:rPr>
                <w:rFonts w:cs="Arial"/>
                <w:sz w:val="20"/>
                <w:szCs w:val="20"/>
                <w:lang w:val="bg-BG"/>
              </w:rPr>
              <w:t>въведе ефективни, пропорционални и възпиращи санкции за фалшиво осчетоводяване и да организира повече обучения и да повиши осведомеността по отношение на престъплението подкуп на чуждо длъжностно лице сред лицата</w:t>
            </w:r>
            <w:r>
              <w:rPr>
                <w:rFonts w:cs="Arial"/>
                <w:sz w:val="20"/>
                <w:szCs w:val="20"/>
                <w:lang w:val="bg-BG"/>
              </w:rPr>
              <w:t>,</w:t>
            </w:r>
            <w:r w:rsidRPr="00781047">
              <w:rPr>
                <w:rFonts w:cs="Arial"/>
                <w:sz w:val="20"/>
                <w:szCs w:val="20"/>
                <w:lang w:val="bg-BG"/>
              </w:rPr>
              <w:t xml:space="preserve"> упражняващи счетоводни и одиторски професии (повтаряне на препоръка 3 от Фаза 2) (член 8 от Конвенцията, Препоръката от 2009 III (i) и X (A (iii)));</w:t>
            </w:r>
          </w:p>
        </w:tc>
        <w:tc>
          <w:tcPr>
            <w:tcW w:w="1278" w:type="dxa"/>
            <w:tcBorders>
              <w:top w:val="single" w:sz="4" w:space="0" w:color="auto"/>
              <w:left w:val="single" w:sz="4" w:space="0" w:color="auto"/>
              <w:bottom w:val="single" w:sz="4" w:space="0" w:color="auto"/>
              <w:right w:val="single" w:sz="4" w:space="0" w:color="auto"/>
            </w:tcBorders>
            <w:vAlign w:val="center"/>
          </w:tcPr>
          <w:p w14:paraId="64EC1928" w14:textId="77777777" w:rsidR="00066E81" w:rsidRPr="00E2198F" w:rsidRDefault="00E2198F" w:rsidP="00FD6875">
            <w:pPr>
              <w:widowControl/>
              <w:spacing w:after="200" w:line="276" w:lineRule="auto"/>
              <w:jc w:val="left"/>
              <w:rPr>
                <w:rFonts w:cs="Arial"/>
                <w:i/>
                <w:sz w:val="20"/>
                <w:szCs w:val="20"/>
                <w:lang w:val="bg-BG"/>
              </w:rPr>
            </w:pPr>
            <w:r>
              <w:rPr>
                <w:rFonts w:cs="Arial"/>
                <w:i/>
                <w:sz w:val="20"/>
                <w:szCs w:val="20"/>
                <w:lang w:val="bg-BG"/>
              </w:rPr>
              <w:t>Неизпълнена</w:t>
            </w:r>
          </w:p>
        </w:tc>
      </w:tr>
      <w:tr w:rsidR="00066E81" w:rsidRPr="00753331" w14:paraId="5B69428C"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167B534"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329F8E44" w14:textId="77777777" w:rsidR="00066E81" w:rsidRPr="00753331" w:rsidRDefault="00781047" w:rsidP="00781047">
            <w:pPr>
              <w:widowControl/>
              <w:numPr>
                <w:ilvl w:val="0"/>
                <w:numId w:val="39"/>
              </w:numPr>
              <w:spacing w:after="200" w:line="276" w:lineRule="auto"/>
              <w:jc w:val="left"/>
              <w:rPr>
                <w:rFonts w:cs="Arial"/>
                <w:sz w:val="20"/>
                <w:szCs w:val="20"/>
              </w:rPr>
            </w:pPr>
            <w:proofErr w:type="gramStart"/>
            <w:r w:rsidRPr="00781047">
              <w:rPr>
                <w:rFonts w:cs="Arial"/>
                <w:sz w:val="20"/>
                <w:szCs w:val="20"/>
              </w:rPr>
              <w:t>поощрява</w:t>
            </w:r>
            <w:proofErr w:type="gramEnd"/>
            <w:r w:rsidRPr="00781047">
              <w:rPr>
                <w:rFonts w:cs="Arial"/>
                <w:sz w:val="20"/>
                <w:szCs w:val="20"/>
              </w:rPr>
              <w:t xml:space="preserve"> компаниите </w:t>
            </w:r>
            <w:r>
              <w:rPr>
                <w:rFonts w:cs="Arial"/>
                <w:sz w:val="20"/>
                <w:szCs w:val="20"/>
                <w:lang w:val="bg-BG"/>
              </w:rPr>
              <w:t>да въведат</w:t>
            </w:r>
            <w:r w:rsidRPr="00781047">
              <w:rPr>
                <w:rFonts w:cs="Arial"/>
                <w:sz w:val="20"/>
                <w:szCs w:val="20"/>
              </w:rPr>
              <w:t xml:space="preserve"> етични кодекси и програми за </w:t>
            </w:r>
            <w:r>
              <w:rPr>
                <w:rFonts w:cs="Arial"/>
                <w:sz w:val="20"/>
                <w:szCs w:val="20"/>
                <w:lang w:val="bg-BG"/>
              </w:rPr>
              <w:t>съответствие</w:t>
            </w:r>
            <w:r w:rsidRPr="00781047">
              <w:rPr>
                <w:rFonts w:cs="Arial"/>
                <w:sz w:val="20"/>
                <w:szCs w:val="20"/>
              </w:rPr>
              <w:t xml:space="preserve">, както и да </w:t>
            </w:r>
            <w:r>
              <w:rPr>
                <w:rFonts w:cs="Arial"/>
                <w:sz w:val="20"/>
                <w:szCs w:val="20"/>
                <w:lang w:val="bg-BG"/>
              </w:rPr>
              <w:t>насърчи</w:t>
            </w:r>
            <w:r w:rsidRPr="00781047">
              <w:rPr>
                <w:rFonts w:cs="Arial"/>
                <w:sz w:val="20"/>
                <w:szCs w:val="20"/>
              </w:rPr>
              <w:t xml:space="preserve"> прилагането на мерките, препоръчани с „Ръководството за добри практики по вътрешен контрол, етика и лоялност“ и ясно да определи в чии правомощия попада това </w:t>
            </w:r>
            <w:r>
              <w:rPr>
                <w:rFonts w:cs="Arial"/>
                <w:sz w:val="20"/>
                <w:szCs w:val="20"/>
                <w:lang w:val="bg-BG"/>
              </w:rPr>
              <w:t>насърчаване</w:t>
            </w:r>
            <w:r w:rsidRPr="00781047">
              <w:rPr>
                <w:rFonts w:cs="Arial"/>
                <w:sz w:val="20"/>
                <w:szCs w:val="20"/>
              </w:rPr>
              <w:t xml:space="preserve"> (Препоръката от 2009 X (С) и Приложение ІІ).</w:t>
            </w:r>
          </w:p>
        </w:tc>
        <w:tc>
          <w:tcPr>
            <w:tcW w:w="1278" w:type="dxa"/>
            <w:tcBorders>
              <w:top w:val="single" w:sz="4" w:space="0" w:color="auto"/>
              <w:left w:val="single" w:sz="4" w:space="0" w:color="auto"/>
              <w:bottom w:val="single" w:sz="4" w:space="0" w:color="auto"/>
              <w:right w:val="single" w:sz="4" w:space="0" w:color="auto"/>
            </w:tcBorders>
            <w:vAlign w:val="center"/>
          </w:tcPr>
          <w:p w14:paraId="2E21A2A4" w14:textId="77777777" w:rsidR="00066E81" w:rsidRPr="00E2198F" w:rsidRDefault="00E2198F"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69D7DB82"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02ACDF2"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7.</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352BBBFE" w14:textId="77777777" w:rsidR="00066E81" w:rsidRPr="00781047" w:rsidRDefault="00781047" w:rsidP="00FD6875">
            <w:pPr>
              <w:widowControl/>
              <w:spacing w:after="200" w:line="276" w:lineRule="auto"/>
              <w:jc w:val="left"/>
              <w:rPr>
                <w:rFonts w:cs="Arial"/>
                <w:sz w:val="20"/>
                <w:szCs w:val="20"/>
                <w:lang w:val="bg-BG"/>
              </w:rPr>
            </w:pPr>
            <w:r w:rsidRPr="00781047">
              <w:rPr>
                <w:rFonts w:cs="Arial"/>
                <w:sz w:val="20"/>
                <w:szCs w:val="20"/>
                <w:lang w:val="bg-BG"/>
              </w:rPr>
              <w:t xml:space="preserve">Относно </w:t>
            </w:r>
            <w:r w:rsidRPr="00781047">
              <w:rPr>
                <w:rFonts w:cs="Arial"/>
                <w:sz w:val="20"/>
                <w:szCs w:val="20"/>
                <w:u w:val="single"/>
                <w:lang w:val="bg-BG"/>
              </w:rPr>
              <w:t>данъчните мерки</w:t>
            </w:r>
            <w:r w:rsidRPr="00781047">
              <w:rPr>
                <w:rFonts w:cs="Arial"/>
                <w:sz w:val="20"/>
                <w:szCs w:val="20"/>
                <w:lang w:val="bg-BG"/>
              </w:rPr>
              <w:t xml:space="preserve"> Работната група препоръчва България да изпълни декларираното си намерение да:</w:t>
            </w:r>
          </w:p>
        </w:tc>
      </w:tr>
      <w:tr w:rsidR="00066E81" w:rsidRPr="00753331" w14:paraId="2022262F"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190CFB12"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208AA26" w14:textId="77777777" w:rsidR="00066E81" w:rsidRPr="00753331" w:rsidRDefault="00781047" w:rsidP="00066E81">
            <w:pPr>
              <w:widowControl/>
              <w:numPr>
                <w:ilvl w:val="0"/>
                <w:numId w:val="43"/>
              </w:numPr>
              <w:spacing w:after="200" w:line="276" w:lineRule="auto"/>
              <w:jc w:val="left"/>
              <w:rPr>
                <w:rFonts w:cs="Arial"/>
                <w:sz w:val="20"/>
                <w:szCs w:val="20"/>
              </w:rPr>
            </w:pPr>
            <w:r w:rsidRPr="00781047">
              <w:rPr>
                <w:rFonts w:cs="Arial"/>
                <w:sz w:val="20"/>
                <w:szCs w:val="20"/>
                <w:lang w:val="bg-BG"/>
              </w:rPr>
              <w:t>въведе изрична забрана за данъчно приспадане на подкупи, вкл. такива</w:t>
            </w:r>
            <w:r>
              <w:rPr>
                <w:rFonts w:cs="Arial"/>
                <w:sz w:val="20"/>
                <w:szCs w:val="20"/>
                <w:lang w:val="bg-BG"/>
              </w:rPr>
              <w:t>,</w:t>
            </w:r>
            <w:r w:rsidRPr="00781047">
              <w:rPr>
                <w:rFonts w:cs="Arial"/>
                <w:sz w:val="20"/>
                <w:szCs w:val="20"/>
                <w:lang w:val="bg-BG"/>
              </w:rPr>
              <w:t xml:space="preserve"> платени на чужди длъжностни лица и да преразгледа данъчното си законодателство, за да идентифицира и отстрани евентуалните </w:t>
            </w:r>
            <w:r w:rsidRPr="00781047">
              <w:rPr>
                <w:rFonts w:cs="Arial"/>
                <w:sz w:val="20"/>
                <w:szCs w:val="20"/>
                <w:lang w:val="bg-BG"/>
              </w:rPr>
              <w:lastRenderedPageBreak/>
              <w:t>пропуски, които позволяват укриването на суми</w:t>
            </w:r>
            <w:r>
              <w:rPr>
                <w:rFonts w:cs="Arial"/>
                <w:sz w:val="20"/>
                <w:szCs w:val="20"/>
                <w:lang w:val="bg-BG"/>
              </w:rPr>
              <w:t>,</w:t>
            </w:r>
            <w:r w:rsidRPr="00781047">
              <w:rPr>
                <w:rFonts w:cs="Arial"/>
                <w:sz w:val="20"/>
                <w:szCs w:val="20"/>
                <w:lang w:val="bg-BG"/>
              </w:rPr>
              <w:t xml:space="preserve"> платени за подкупи</w:t>
            </w:r>
            <w:r>
              <w:rPr>
                <w:rFonts w:cs="Arial"/>
                <w:sz w:val="20"/>
                <w:szCs w:val="20"/>
                <w:lang w:val="bg-BG"/>
              </w:rPr>
              <w:t>,</w:t>
            </w:r>
            <w:r w:rsidRPr="00781047">
              <w:rPr>
                <w:rFonts w:cs="Arial"/>
                <w:sz w:val="20"/>
                <w:szCs w:val="20"/>
                <w:lang w:val="bg-BG"/>
              </w:rPr>
              <w:t xml:space="preserve"> като разходи, подлежащи на данъчно приспадане (Препоръката от 2009 VІІІ</w:t>
            </w:r>
            <w:r w:rsidRPr="00781047">
              <w:rPr>
                <w:rFonts w:cs="Arial"/>
                <w:sz w:val="20"/>
                <w:szCs w:val="20"/>
                <w:lang w:val="ru-RU"/>
              </w:rPr>
              <w:t>(</w:t>
            </w:r>
            <w:r w:rsidRPr="00781047">
              <w:rPr>
                <w:rFonts w:cs="Arial"/>
                <w:sz w:val="20"/>
                <w:szCs w:val="20"/>
                <w:lang w:val="en-US"/>
              </w:rPr>
              <w:t>i</w:t>
            </w:r>
            <w:r w:rsidRPr="00781047">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tcPr>
          <w:p w14:paraId="417427A8" w14:textId="77777777" w:rsidR="00066E81" w:rsidRPr="00753331" w:rsidRDefault="00E2198F" w:rsidP="00E2198F">
            <w:pPr>
              <w:widowControl/>
              <w:spacing w:after="200" w:line="276" w:lineRule="auto"/>
              <w:jc w:val="left"/>
              <w:rPr>
                <w:rFonts w:cs="Arial"/>
                <w:i/>
                <w:sz w:val="20"/>
                <w:szCs w:val="20"/>
              </w:rPr>
            </w:pPr>
            <w:r>
              <w:rPr>
                <w:rFonts w:cs="Arial"/>
                <w:i/>
                <w:sz w:val="20"/>
                <w:szCs w:val="20"/>
              </w:rPr>
              <w:lastRenderedPageBreak/>
              <w:t>Изпълнена</w:t>
            </w:r>
          </w:p>
        </w:tc>
      </w:tr>
      <w:tr w:rsidR="00066E81" w:rsidRPr="00753331" w14:paraId="27AC8132"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591F9DDB"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CF7D106" w14:textId="77777777" w:rsidR="00066E81" w:rsidRPr="00753331" w:rsidRDefault="00781047" w:rsidP="00066E81">
            <w:pPr>
              <w:widowControl/>
              <w:numPr>
                <w:ilvl w:val="0"/>
                <w:numId w:val="43"/>
              </w:numPr>
              <w:spacing w:after="200" w:line="276" w:lineRule="auto"/>
              <w:jc w:val="left"/>
              <w:rPr>
                <w:rFonts w:cs="Arial"/>
                <w:sz w:val="20"/>
                <w:szCs w:val="20"/>
              </w:rPr>
            </w:pPr>
            <w:r w:rsidRPr="00781047">
              <w:rPr>
                <w:rFonts w:cs="Arial"/>
                <w:sz w:val="20"/>
                <w:szCs w:val="20"/>
                <w:lang w:val="bg-BG"/>
              </w:rPr>
              <w:t>предостави ръководство и обучение на данъчните инспектори за видовете разходи, които съставляват подкупи на чужди длъжностни лица, като използват Наръчника на ОИСР за данъчни инспектори</w:t>
            </w:r>
            <w:r w:rsidRPr="00781047">
              <w:rPr>
                <w:rFonts w:cs="Arial"/>
                <w:sz w:val="20"/>
                <w:szCs w:val="20"/>
                <w:lang w:val="ru-RU"/>
              </w:rPr>
              <w:t xml:space="preserve"> </w:t>
            </w:r>
            <w:r w:rsidRPr="00781047">
              <w:rPr>
                <w:rFonts w:cs="Arial"/>
                <w:sz w:val="20"/>
                <w:szCs w:val="20"/>
                <w:lang w:val="bg-BG"/>
              </w:rPr>
              <w:t>(Препоръката от 2009 VІІІ</w:t>
            </w:r>
            <w:r w:rsidRPr="00781047">
              <w:rPr>
                <w:rFonts w:cs="Arial"/>
                <w:sz w:val="20"/>
                <w:szCs w:val="20"/>
                <w:lang w:val="ru-RU"/>
              </w:rPr>
              <w:t>(</w:t>
            </w:r>
            <w:r w:rsidRPr="00781047">
              <w:rPr>
                <w:rFonts w:cs="Arial"/>
                <w:sz w:val="20"/>
                <w:szCs w:val="20"/>
                <w:lang w:val="en-US"/>
              </w:rPr>
              <w:t>i</w:t>
            </w:r>
            <w:r w:rsidRPr="00781047">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tcPr>
          <w:p w14:paraId="3A1A8D53" w14:textId="77777777" w:rsidR="00066E81" w:rsidRPr="00D86CA6" w:rsidRDefault="00D86CA6"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7314B5B1"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1FE51F0D"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8.</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33E4FEEE" w14:textId="77777777" w:rsidR="00066E81" w:rsidRPr="00781047" w:rsidRDefault="00781047" w:rsidP="00FD6875">
            <w:pPr>
              <w:widowControl/>
              <w:spacing w:after="200" w:line="276" w:lineRule="auto"/>
              <w:jc w:val="left"/>
              <w:rPr>
                <w:rFonts w:cs="Arial"/>
                <w:sz w:val="20"/>
                <w:szCs w:val="20"/>
                <w:lang w:val="bg-BG"/>
              </w:rPr>
            </w:pPr>
            <w:r w:rsidRPr="00781047">
              <w:rPr>
                <w:rFonts w:cs="Arial"/>
                <w:sz w:val="20"/>
                <w:szCs w:val="20"/>
                <w:lang w:val="bg-BG"/>
              </w:rPr>
              <w:t xml:space="preserve">Относно </w:t>
            </w:r>
            <w:r w:rsidRPr="00781047">
              <w:rPr>
                <w:rFonts w:cs="Arial"/>
                <w:sz w:val="20"/>
                <w:szCs w:val="20"/>
                <w:u w:val="single"/>
                <w:lang w:val="bg-BG"/>
              </w:rPr>
              <w:t>повишаването на осведомеността</w:t>
            </w:r>
            <w:r w:rsidRPr="00781047">
              <w:rPr>
                <w:rFonts w:cs="Arial"/>
                <w:sz w:val="20"/>
                <w:szCs w:val="20"/>
                <w:lang w:val="bg-BG"/>
              </w:rPr>
              <w:t xml:space="preserve"> Работната група препоръчва</w:t>
            </w:r>
            <w:r w:rsidR="00D86CA6" w:rsidRPr="00781047">
              <w:rPr>
                <w:rFonts w:cs="Arial"/>
                <w:sz w:val="20"/>
                <w:szCs w:val="20"/>
                <w:lang w:val="bg-BG"/>
              </w:rPr>
              <w:t xml:space="preserve"> </w:t>
            </w:r>
            <w:r w:rsidR="00D86CA6">
              <w:rPr>
                <w:rFonts w:cs="Arial"/>
                <w:sz w:val="20"/>
                <w:szCs w:val="20"/>
                <w:lang w:val="bg-BG"/>
              </w:rPr>
              <w:t xml:space="preserve">на </w:t>
            </w:r>
            <w:r w:rsidR="00D86CA6" w:rsidRPr="00781047">
              <w:rPr>
                <w:rFonts w:cs="Arial"/>
                <w:sz w:val="20"/>
                <w:szCs w:val="20"/>
                <w:lang w:val="bg-BG"/>
              </w:rPr>
              <w:t>България</w:t>
            </w:r>
            <w:r w:rsidR="00D86CA6">
              <w:rPr>
                <w:rFonts w:cs="Arial"/>
                <w:sz w:val="20"/>
                <w:szCs w:val="20"/>
                <w:lang w:val="bg-BG"/>
              </w:rPr>
              <w:t xml:space="preserve"> да</w:t>
            </w:r>
            <w:r w:rsidRPr="00781047">
              <w:rPr>
                <w:rFonts w:cs="Arial"/>
                <w:sz w:val="20"/>
                <w:szCs w:val="20"/>
                <w:lang w:val="bg-BG"/>
              </w:rPr>
              <w:t>:</w:t>
            </w:r>
          </w:p>
        </w:tc>
      </w:tr>
      <w:tr w:rsidR="00066E81" w:rsidRPr="00753331" w14:paraId="695461D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C8B4135"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05517C7A" w14:textId="77777777" w:rsidR="00066E81" w:rsidRPr="00753331" w:rsidRDefault="00D86CA6" w:rsidP="00D86CA6">
            <w:pPr>
              <w:widowControl/>
              <w:numPr>
                <w:ilvl w:val="0"/>
                <w:numId w:val="41"/>
              </w:numPr>
              <w:spacing w:after="200" w:line="276" w:lineRule="auto"/>
              <w:jc w:val="left"/>
              <w:rPr>
                <w:rFonts w:cs="Arial"/>
                <w:sz w:val="20"/>
                <w:szCs w:val="20"/>
              </w:rPr>
            </w:pPr>
            <w:r w:rsidRPr="00781047">
              <w:rPr>
                <w:rFonts w:cs="Arial"/>
                <w:sz w:val="20"/>
                <w:szCs w:val="20"/>
                <w:lang w:val="bg-BG"/>
              </w:rPr>
              <w:t xml:space="preserve">обърне изрично внимание на борбата с подкупването на чужди длъжностни лица в международните сделки </w:t>
            </w:r>
            <w:r w:rsidR="00781047" w:rsidRPr="00781047">
              <w:rPr>
                <w:rFonts w:cs="Arial"/>
                <w:sz w:val="20"/>
                <w:szCs w:val="20"/>
                <w:lang w:val="bg-BG"/>
              </w:rPr>
              <w:t>в своята антикорупционна политика (Препоръката от 2009 ІІ и ІІІ</w:t>
            </w:r>
            <w:r w:rsidR="00781047" w:rsidRPr="00781047">
              <w:rPr>
                <w:rFonts w:cs="Arial"/>
                <w:sz w:val="20"/>
                <w:szCs w:val="20"/>
                <w:lang w:val="ru-RU"/>
              </w:rPr>
              <w:t>(</w:t>
            </w:r>
            <w:r w:rsidR="00781047" w:rsidRPr="00781047">
              <w:rPr>
                <w:rFonts w:cs="Arial"/>
                <w:sz w:val="20"/>
                <w:szCs w:val="20"/>
                <w:lang w:val="en-US"/>
              </w:rPr>
              <w:t>i</w:t>
            </w:r>
            <w:r w:rsidR="00781047" w:rsidRPr="00781047">
              <w:rPr>
                <w:rFonts w:cs="Arial"/>
                <w:sz w:val="20"/>
                <w:szCs w:val="20"/>
                <w:lang w:val="ru-RU"/>
              </w:rPr>
              <w:t>))</w:t>
            </w:r>
            <w:r w:rsidR="00781047" w:rsidRPr="00781047">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tcPr>
          <w:p w14:paraId="22210F4B" w14:textId="77777777" w:rsidR="00066E81" w:rsidRPr="00D86CA6" w:rsidRDefault="00D86CA6" w:rsidP="00FD6875">
            <w:pPr>
              <w:widowControl/>
              <w:spacing w:after="200" w:line="276" w:lineRule="auto"/>
              <w:jc w:val="left"/>
              <w:rPr>
                <w:rFonts w:cs="Arial"/>
                <w:i/>
                <w:sz w:val="20"/>
                <w:szCs w:val="20"/>
                <w:lang w:val="bg-BG"/>
              </w:rPr>
            </w:pPr>
            <w:r>
              <w:rPr>
                <w:rFonts w:cs="Arial"/>
                <w:i/>
                <w:sz w:val="20"/>
                <w:szCs w:val="20"/>
                <w:lang w:val="bg-BG"/>
              </w:rPr>
              <w:t>Неизпълнена</w:t>
            </w:r>
          </w:p>
        </w:tc>
      </w:tr>
      <w:tr w:rsidR="00066E81" w:rsidRPr="00753331" w14:paraId="18441F83"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53AA51C"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15DD16DD" w14:textId="77777777" w:rsidR="00066E81" w:rsidRPr="00753331" w:rsidRDefault="00781047" w:rsidP="00066E81">
            <w:pPr>
              <w:widowControl/>
              <w:numPr>
                <w:ilvl w:val="0"/>
                <w:numId w:val="41"/>
              </w:numPr>
              <w:spacing w:after="200" w:line="276" w:lineRule="auto"/>
              <w:jc w:val="left"/>
              <w:rPr>
                <w:rFonts w:cs="Arial"/>
                <w:sz w:val="20"/>
                <w:szCs w:val="20"/>
              </w:rPr>
            </w:pPr>
            <w:r w:rsidRPr="00781047">
              <w:rPr>
                <w:rFonts w:cs="Arial"/>
                <w:sz w:val="20"/>
                <w:szCs w:val="20"/>
                <w:lang w:val="bg-BG"/>
              </w:rPr>
              <w:t xml:space="preserve">да повиши осведомеността за престъплението подкуп на чуждо длъжностно лице сред съответните министерства и да предоставя редовно обучение за престъплението и задълженията за докладване на служителите в държавните институции, които биха могли да играят роля в разкриването и докладването на такива случаи, вкл. служителите на Министерството на външните работи (Препоръката от 2009 </w:t>
            </w:r>
            <w:r w:rsidRPr="00781047">
              <w:rPr>
                <w:rFonts w:cs="Arial"/>
                <w:sz w:val="20"/>
                <w:szCs w:val="20"/>
                <w:lang w:val="en-US"/>
              </w:rPr>
              <w:t>III</w:t>
            </w:r>
            <w:r w:rsidRPr="00781047">
              <w:rPr>
                <w:rFonts w:cs="Arial"/>
                <w:sz w:val="20"/>
                <w:szCs w:val="20"/>
                <w:lang w:val="ru-RU"/>
              </w:rPr>
              <w:t>(</w:t>
            </w:r>
            <w:r w:rsidRPr="00781047">
              <w:rPr>
                <w:rFonts w:cs="Arial"/>
                <w:sz w:val="20"/>
                <w:szCs w:val="20"/>
                <w:lang w:val="en-US"/>
              </w:rPr>
              <w:t>i</w:t>
            </w:r>
            <w:r w:rsidRPr="00781047">
              <w:rPr>
                <w:rFonts w:cs="Arial"/>
                <w:sz w:val="20"/>
                <w:szCs w:val="20"/>
                <w:lang w:val="ru-RU"/>
              </w:rPr>
              <w:t xml:space="preserve">) </w:t>
            </w:r>
            <w:r w:rsidRPr="00781047">
              <w:rPr>
                <w:rFonts w:cs="Arial"/>
                <w:sz w:val="20"/>
                <w:szCs w:val="20"/>
                <w:lang w:val="bg-BG"/>
              </w:rPr>
              <w:t xml:space="preserve">и </w:t>
            </w:r>
            <w:r w:rsidRPr="00781047">
              <w:rPr>
                <w:rFonts w:cs="Arial"/>
                <w:sz w:val="20"/>
                <w:szCs w:val="20"/>
                <w:lang w:val="en-US"/>
              </w:rPr>
              <w:t>IX</w:t>
            </w:r>
            <w:r w:rsidRPr="00781047">
              <w:rPr>
                <w:rFonts w:cs="Arial"/>
                <w:sz w:val="20"/>
                <w:szCs w:val="20"/>
                <w:lang w:val="ru-RU"/>
              </w:rPr>
              <w:t>(</w:t>
            </w:r>
            <w:r w:rsidRPr="00781047">
              <w:rPr>
                <w:rFonts w:cs="Arial"/>
                <w:sz w:val="20"/>
                <w:szCs w:val="20"/>
                <w:lang w:val="en-US"/>
              </w:rPr>
              <w:t>ii</w:t>
            </w:r>
            <w:r w:rsidRPr="00781047">
              <w:rPr>
                <w:rFonts w:cs="Arial"/>
                <w:sz w:val="20"/>
                <w:szCs w:val="20"/>
                <w:lang w:val="ru-RU"/>
              </w:rPr>
              <w:t>))</w:t>
            </w:r>
            <w:r w:rsidRPr="00781047">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tcPr>
          <w:p w14:paraId="5DC2E125" w14:textId="77777777" w:rsidR="00066E81" w:rsidRPr="00D86CA6" w:rsidRDefault="00D86CA6"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118022D4"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08799A9E"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3C2D5173" w14:textId="77777777" w:rsidR="00066E81" w:rsidRPr="00753331" w:rsidRDefault="00781047" w:rsidP="00781047">
            <w:pPr>
              <w:widowControl/>
              <w:numPr>
                <w:ilvl w:val="0"/>
                <w:numId w:val="41"/>
              </w:numPr>
              <w:spacing w:after="200" w:line="276" w:lineRule="auto"/>
              <w:jc w:val="left"/>
              <w:rPr>
                <w:rFonts w:cs="Arial"/>
                <w:sz w:val="20"/>
                <w:szCs w:val="20"/>
              </w:rPr>
            </w:pPr>
            <w:proofErr w:type="gramStart"/>
            <w:r w:rsidRPr="00781047">
              <w:rPr>
                <w:rFonts w:cs="Arial"/>
                <w:sz w:val="20"/>
                <w:szCs w:val="20"/>
              </w:rPr>
              <w:t>да</w:t>
            </w:r>
            <w:proofErr w:type="gramEnd"/>
            <w:r w:rsidRPr="00781047">
              <w:rPr>
                <w:rFonts w:cs="Arial"/>
                <w:sz w:val="20"/>
                <w:szCs w:val="20"/>
              </w:rPr>
              <w:t xml:space="preserve"> повиши осведомеността на частния сектор за престъплението, в сътрудничество с Изпълнителната агенция за насърчаване на малките и средни предприятия и бизнес организациите (Препоръката от 2009 III(i)).</w:t>
            </w:r>
          </w:p>
        </w:tc>
        <w:tc>
          <w:tcPr>
            <w:tcW w:w="1278" w:type="dxa"/>
            <w:tcBorders>
              <w:top w:val="single" w:sz="4" w:space="0" w:color="auto"/>
              <w:left w:val="single" w:sz="4" w:space="0" w:color="auto"/>
              <w:bottom w:val="single" w:sz="4" w:space="0" w:color="auto"/>
              <w:right w:val="single" w:sz="4" w:space="0" w:color="auto"/>
            </w:tcBorders>
            <w:vAlign w:val="center"/>
          </w:tcPr>
          <w:p w14:paraId="319A8F81" w14:textId="77777777" w:rsidR="00066E81" w:rsidRPr="00D86CA6" w:rsidRDefault="00D86CA6"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4B6BDD2F"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7BC4E61F"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9.</w:t>
            </w: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4BBD1B90" w14:textId="77777777" w:rsidR="00066E81" w:rsidRPr="00781047" w:rsidRDefault="00781047" w:rsidP="00781047">
            <w:pPr>
              <w:widowControl/>
              <w:spacing w:after="200" w:line="276" w:lineRule="auto"/>
              <w:rPr>
                <w:rFonts w:cs="Arial"/>
                <w:sz w:val="20"/>
                <w:szCs w:val="20"/>
                <w:lang w:val="bg-BG"/>
              </w:rPr>
            </w:pPr>
            <w:r w:rsidRPr="00781047">
              <w:rPr>
                <w:rFonts w:cs="Arial"/>
                <w:sz w:val="20"/>
                <w:szCs w:val="20"/>
                <w:lang w:val="bg-BG"/>
              </w:rPr>
              <w:t xml:space="preserve">Относно </w:t>
            </w:r>
            <w:r w:rsidRPr="00781047">
              <w:rPr>
                <w:rFonts w:cs="Arial"/>
                <w:sz w:val="20"/>
                <w:szCs w:val="20"/>
                <w:u w:val="single"/>
                <w:lang w:val="bg-BG"/>
              </w:rPr>
              <w:t>защитата на лицата, подаващи сигнали</w:t>
            </w:r>
            <w:r w:rsidR="00D86CA6">
              <w:rPr>
                <w:rFonts w:cs="Arial"/>
                <w:sz w:val="20"/>
                <w:szCs w:val="20"/>
                <w:u w:val="single"/>
                <w:lang w:val="bg-BG"/>
              </w:rPr>
              <w:t>,</w:t>
            </w:r>
            <w:r w:rsidRPr="00781047">
              <w:rPr>
                <w:rFonts w:cs="Arial"/>
                <w:sz w:val="20"/>
                <w:szCs w:val="20"/>
                <w:lang w:val="bg-BG"/>
              </w:rPr>
              <w:t xml:space="preserve"> Работната група препоръчва България да разгледа</w:t>
            </w:r>
            <w:r w:rsidRPr="00781047">
              <w:rPr>
                <w:rFonts w:cs="Arial"/>
                <w:sz w:val="20"/>
                <w:szCs w:val="20"/>
                <w:lang w:val="ru-RU"/>
              </w:rPr>
              <w:t xml:space="preserve"> </w:t>
            </w:r>
            <w:r w:rsidRPr="00781047">
              <w:rPr>
                <w:rFonts w:cs="Arial"/>
                <w:sz w:val="20"/>
                <w:szCs w:val="20"/>
                <w:lang w:val="bg-BG"/>
              </w:rPr>
              <w:t xml:space="preserve">възможността за разширяване на наскоро приетите разпоредби за защита на лицата, подаващи сигнали за конфликт на интереси и до случаите на подкуп на чуждо длъжностно лице или да въведе друг механизъм, който да гарантира, че лицата от публичния и частния сектор, които добросъвестно и при наличие на разумни доводи подават сигнали до компетентните ведомства за подозрения за подкупи на чужди длъжностни лица, са защитени от дискриминационни или дисциплинарни действия. Освен това Работната група препоръчва България да предприеме необходимите мерки за повишаване на осведомеността за тези механизми (Препоръката от 2009 </w:t>
            </w:r>
            <w:r w:rsidRPr="00781047">
              <w:rPr>
                <w:rFonts w:cs="Arial"/>
                <w:sz w:val="20"/>
                <w:szCs w:val="20"/>
                <w:lang w:val="en-US"/>
              </w:rPr>
              <w:t>IX</w:t>
            </w:r>
            <w:r w:rsidRPr="00781047">
              <w:rPr>
                <w:rFonts w:cs="Arial"/>
                <w:sz w:val="20"/>
                <w:szCs w:val="20"/>
                <w:lang w:val="ru-RU"/>
              </w:rPr>
              <w:t>(</w:t>
            </w:r>
            <w:r w:rsidRPr="00781047">
              <w:rPr>
                <w:rFonts w:cs="Arial"/>
                <w:sz w:val="20"/>
                <w:szCs w:val="20"/>
                <w:lang w:val="en-US"/>
              </w:rPr>
              <w:t>iii</w:t>
            </w:r>
            <w:r w:rsidRPr="00781047">
              <w:rPr>
                <w:rFonts w:cs="Arial"/>
                <w:sz w:val="20"/>
                <w:szCs w:val="20"/>
                <w:lang w:val="ru-RU"/>
              </w:rPr>
              <w:t>))</w:t>
            </w:r>
            <w:r w:rsidRPr="00781047">
              <w:rPr>
                <w:rFonts w:cs="Arial"/>
                <w:sz w:val="20"/>
                <w:szCs w:val="20"/>
                <w:lang w:val="bg-BG"/>
              </w:rPr>
              <w:t>.</w:t>
            </w:r>
          </w:p>
        </w:tc>
        <w:tc>
          <w:tcPr>
            <w:tcW w:w="1278" w:type="dxa"/>
            <w:tcBorders>
              <w:top w:val="single" w:sz="4" w:space="0" w:color="auto"/>
              <w:left w:val="single" w:sz="4" w:space="0" w:color="auto"/>
              <w:bottom w:val="single" w:sz="4" w:space="0" w:color="auto"/>
              <w:right w:val="single" w:sz="4" w:space="0" w:color="auto"/>
            </w:tcBorders>
            <w:vAlign w:val="center"/>
          </w:tcPr>
          <w:p w14:paraId="30D73729" w14:textId="77777777" w:rsidR="00066E81" w:rsidRPr="00781047" w:rsidRDefault="00781047" w:rsidP="00FD6875">
            <w:pPr>
              <w:widowControl/>
              <w:spacing w:after="200" w:line="276" w:lineRule="auto"/>
              <w:jc w:val="left"/>
              <w:rPr>
                <w:rFonts w:cs="Arial"/>
                <w:i/>
                <w:sz w:val="20"/>
                <w:szCs w:val="20"/>
                <w:lang w:val="bg-BG"/>
              </w:rPr>
            </w:pPr>
            <w:r>
              <w:rPr>
                <w:rFonts w:cs="Arial"/>
                <w:i/>
                <w:sz w:val="20"/>
                <w:szCs w:val="20"/>
                <w:lang w:val="bg-BG"/>
              </w:rPr>
              <w:t>Частично изпълнена</w:t>
            </w:r>
          </w:p>
        </w:tc>
      </w:tr>
      <w:tr w:rsidR="00066E81" w:rsidRPr="00753331" w14:paraId="7D154D97"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0411443F"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 xml:space="preserve">10. </w:t>
            </w: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573D524" w14:textId="77777777" w:rsidR="00066E81" w:rsidRPr="00781047" w:rsidRDefault="00781047" w:rsidP="00FD6875">
            <w:pPr>
              <w:widowControl/>
              <w:spacing w:after="200" w:line="276" w:lineRule="auto"/>
              <w:jc w:val="left"/>
              <w:rPr>
                <w:rFonts w:cs="Arial"/>
                <w:sz w:val="20"/>
                <w:szCs w:val="20"/>
                <w:lang w:val="ru-RU"/>
              </w:rPr>
            </w:pPr>
            <w:r w:rsidRPr="00781047">
              <w:rPr>
                <w:rFonts w:cs="Arial"/>
                <w:sz w:val="20"/>
                <w:szCs w:val="20"/>
                <w:lang w:val="bg-BG"/>
              </w:rPr>
              <w:t xml:space="preserve">Относно </w:t>
            </w:r>
            <w:r w:rsidRPr="00781047">
              <w:rPr>
                <w:rFonts w:cs="Arial"/>
                <w:sz w:val="20"/>
                <w:szCs w:val="20"/>
                <w:u w:val="single"/>
                <w:lang w:val="bg-BG"/>
              </w:rPr>
              <w:t>официалната помощ за развитие</w:t>
            </w:r>
            <w:r w:rsidRPr="00781047">
              <w:rPr>
                <w:rFonts w:cs="Arial"/>
                <w:sz w:val="20"/>
                <w:szCs w:val="20"/>
                <w:lang w:val="bg-BG"/>
              </w:rPr>
              <w:t xml:space="preserve"> Работната група препоръчва България в хода</w:t>
            </w:r>
            <w:r w:rsidRPr="00781047">
              <w:rPr>
                <w:rFonts w:cs="Arial"/>
                <w:sz w:val="20"/>
                <w:szCs w:val="20"/>
                <w:lang w:val="ru-RU"/>
              </w:rPr>
              <w:t xml:space="preserve"> на раз</w:t>
            </w:r>
            <w:r w:rsidRPr="00781047">
              <w:rPr>
                <w:rFonts w:cs="Arial"/>
                <w:sz w:val="20"/>
                <w:szCs w:val="20"/>
                <w:lang w:val="bg-BG"/>
              </w:rPr>
              <w:t>работването</w:t>
            </w:r>
            <w:r w:rsidRPr="00781047">
              <w:rPr>
                <w:rFonts w:cs="Arial"/>
                <w:sz w:val="20"/>
                <w:szCs w:val="20"/>
                <w:lang w:val="ru-RU"/>
              </w:rPr>
              <w:t xml:space="preserve"> на своите политики и процедури по предоставяне на офцициална помощ за развитие, да приеме мерки за предотвратяването, разкриването и докл</w:t>
            </w:r>
            <w:r w:rsidR="00D86CA6">
              <w:rPr>
                <w:rFonts w:cs="Arial"/>
                <w:sz w:val="20"/>
                <w:szCs w:val="20"/>
                <w:lang w:val="ru-RU"/>
              </w:rPr>
              <w:t>адването на случаи на подкуп</w:t>
            </w:r>
            <w:r w:rsidRPr="00781047">
              <w:rPr>
                <w:rFonts w:cs="Arial"/>
                <w:sz w:val="20"/>
                <w:szCs w:val="20"/>
                <w:lang w:val="ru-RU"/>
              </w:rPr>
              <w:t xml:space="preserve"> на чужди длъжностни лица в процедурите по предоствяне и изпълнение на договори за официална помощ за развитие </w:t>
            </w:r>
            <w:r w:rsidRPr="00781047">
              <w:rPr>
                <w:rFonts w:cs="Arial"/>
                <w:sz w:val="20"/>
                <w:szCs w:val="20"/>
                <w:lang w:val="bg-BG"/>
              </w:rPr>
              <w:t xml:space="preserve">(Препоръката от 2009 </w:t>
            </w:r>
            <w:r w:rsidRPr="00781047">
              <w:rPr>
                <w:rFonts w:cs="Arial"/>
                <w:sz w:val="20"/>
                <w:szCs w:val="20"/>
                <w:lang w:val="en-US"/>
              </w:rPr>
              <w:t>II</w:t>
            </w:r>
            <w:r w:rsidRPr="00781047">
              <w:rPr>
                <w:rFonts w:cs="Arial"/>
                <w:sz w:val="20"/>
                <w:szCs w:val="20"/>
                <w:lang w:val="ru-RU"/>
              </w:rPr>
              <w:t xml:space="preserve">, </w:t>
            </w:r>
            <w:r w:rsidRPr="00781047">
              <w:rPr>
                <w:rFonts w:cs="Arial"/>
                <w:sz w:val="20"/>
                <w:szCs w:val="20"/>
                <w:lang w:val="en-US"/>
              </w:rPr>
              <w:t>IX</w:t>
            </w:r>
            <w:r w:rsidRPr="00781047">
              <w:rPr>
                <w:rFonts w:cs="Arial"/>
                <w:sz w:val="20"/>
                <w:szCs w:val="20"/>
                <w:lang w:val="ru-RU"/>
              </w:rPr>
              <w:t>(</w:t>
            </w:r>
            <w:r w:rsidRPr="00781047">
              <w:rPr>
                <w:rFonts w:cs="Arial"/>
                <w:sz w:val="20"/>
                <w:szCs w:val="20"/>
                <w:lang w:val="en-US"/>
              </w:rPr>
              <w:t>i</w:t>
            </w:r>
            <w:r w:rsidRPr="00781047">
              <w:rPr>
                <w:rFonts w:cs="Arial"/>
                <w:sz w:val="20"/>
                <w:szCs w:val="20"/>
                <w:lang w:val="ru-RU"/>
              </w:rPr>
              <w:t xml:space="preserve">) </w:t>
            </w:r>
            <w:r w:rsidRPr="00781047">
              <w:rPr>
                <w:rFonts w:cs="Arial"/>
                <w:sz w:val="20"/>
                <w:szCs w:val="20"/>
                <w:lang w:val="bg-BG"/>
              </w:rPr>
              <w:t xml:space="preserve">и </w:t>
            </w:r>
            <w:r w:rsidRPr="00781047">
              <w:rPr>
                <w:rFonts w:cs="Arial"/>
                <w:sz w:val="20"/>
                <w:szCs w:val="20"/>
                <w:lang w:val="en-US"/>
              </w:rPr>
              <w:t>IX</w:t>
            </w:r>
            <w:r w:rsidRPr="00781047">
              <w:rPr>
                <w:rFonts w:cs="Arial"/>
                <w:sz w:val="20"/>
                <w:szCs w:val="20"/>
                <w:lang w:val="ru-RU"/>
              </w:rPr>
              <w:t>(</w:t>
            </w:r>
            <w:r w:rsidRPr="00781047">
              <w:rPr>
                <w:rFonts w:cs="Arial"/>
                <w:sz w:val="20"/>
                <w:szCs w:val="20"/>
                <w:lang w:val="en-US"/>
              </w:rPr>
              <w:t>ii</w:t>
            </w:r>
            <w:r w:rsidRPr="00781047">
              <w:rPr>
                <w:rFonts w:cs="Arial"/>
                <w:sz w:val="20"/>
                <w:szCs w:val="20"/>
                <w:lang w:val="ru-RU"/>
              </w:rPr>
              <w:t>)).</w:t>
            </w:r>
          </w:p>
        </w:tc>
        <w:tc>
          <w:tcPr>
            <w:tcW w:w="1278" w:type="dxa"/>
            <w:tcBorders>
              <w:top w:val="single" w:sz="4" w:space="0" w:color="auto"/>
              <w:left w:val="single" w:sz="4" w:space="0" w:color="auto"/>
              <w:bottom w:val="single" w:sz="4" w:space="0" w:color="auto"/>
              <w:right w:val="single" w:sz="4" w:space="0" w:color="auto"/>
            </w:tcBorders>
            <w:vAlign w:val="center"/>
          </w:tcPr>
          <w:p w14:paraId="67C49F04" w14:textId="77777777" w:rsidR="00066E81" w:rsidRPr="00781047" w:rsidRDefault="00781047" w:rsidP="00FD6875">
            <w:pPr>
              <w:widowControl/>
              <w:spacing w:after="200" w:line="276" w:lineRule="auto"/>
              <w:jc w:val="left"/>
              <w:rPr>
                <w:rFonts w:cs="Arial"/>
                <w:i/>
                <w:sz w:val="20"/>
                <w:szCs w:val="20"/>
                <w:lang w:val="bg-BG"/>
              </w:rPr>
            </w:pPr>
            <w:r>
              <w:rPr>
                <w:rFonts w:cs="Arial"/>
                <w:i/>
                <w:sz w:val="20"/>
                <w:szCs w:val="20"/>
                <w:lang w:val="bg-BG"/>
              </w:rPr>
              <w:t>Неизпълнена</w:t>
            </w:r>
          </w:p>
        </w:tc>
      </w:tr>
      <w:tr w:rsidR="00066E81" w:rsidRPr="00753331" w14:paraId="1F8B3200"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354EA4B3"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11.</w:t>
            </w:r>
          </w:p>
        </w:tc>
        <w:tc>
          <w:tcPr>
            <w:tcW w:w="8754" w:type="dxa"/>
            <w:gridSpan w:val="3"/>
            <w:tcBorders>
              <w:top w:val="single" w:sz="4" w:space="0" w:color="auto"/>
              <w:left w:val="single" w:sz="4" w:space="0" w:color="auto"/>
              <w:bottom w:val="single" w:sz="4" w:space="0" w:color="auto"/>
              <w:right w:val="single" w:sz="4" w:space="0" w:color="auto"/>
            </w:tcBorders>
            <w:vAlign w:val="center"/>
          </w:tcPr>
          <w:p w14:paraId="251130D5" w14:textId="77777777" w:rsidR="00066E81" w:rsidRPr="00753331" w:rsidRDefault="00D86CA6" w:rsidP="00D86CA6">
            <w:pPr>
              <w:widowControl/>
              <w:spacing w:after="200" w:line="276" w:lineRule="auto"/>
              <w:jc w:val="left"/>
              <w:rPr>
                <w:rFonts w:cs="Arial"/>
                <w:sz w:val="20"/>
                <w:szCs w:val="20"/>
              </w:rPr>
            </w:pPr>
            <w:r w:rsidRPr="00D86CA6">
              <w:rPr>
                <w:rFonts w:cs="Arial"/>
                <w:sz w:val="20"/>
                <w:szCs w:val="20"/>
                <w:lang w:val="ru-RU"/>
              </w:rPr>
              <w:t xml:space="preserve">Относно </w:t>
            </w:r>
            <w:r w:rsidRPr="00D86CA6">
              <w:rPr>
                <w:rFonts w:cs="Arial"/>
                <w:sz w:val="20"/>
                <w:szCs w:val="20"/>
                <w:u w:val="single"/>
                <w:lang w:val="ru-RU"/>
              </w:rPr>
              <w:t xml:space="preserve">официално </w:t>
            </w:r>
            <w:r>
              <w:rPr>
                <w:rFonts w:cs="Arial"/>
                <w:sz w:val="20"/>
                <w:szCs w:val="20"/>
                <w:u w:val="single"/>
                <w:lang w:val="ru-RU"/>
              </w:rPr>
              <w:t>гарантираните</w:t>
            </w:r>
            <w:r w:rsidRPr="00D86CA6">
              <w:rPr>
                <w:rFonts w:cs="Arial"/>
                <w:sz w:val="20"/>
                <w:szCs w:val="20"/>
                <w:u w:val="single"/>
                <w:lang w:val="ru-RU"/>
              </w:rPr>
              <w:t xml:space="preserve"> експортни кредити</w:t>
            </w:r>
            <w:r w:rsidRPr="00D86CA6">
              <w:rPr>
                <w:rFonts w:cs="Arial"/>
                <w:sz w:val="20"/>
                <w:szCs w:val="20"/>
                <w:lang w:val="ru-RU"/>
              </w:rPr>
              <w:t>, Работната група препоръчва България да:</w:t>
            </w:r>
          </w:p>
        </w:tc>
      </w:tr>
      <w:tr w:rsidR="00066E81" w:rsidRPr="00753331" w14:paraId="49601C8D"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3A09DC94"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275FE48C" w14:textId="77777777" w:rsidR="00066E81" w:rsidRPr="00753331" w:rsidRDefault="00D86CA6" w:rsidP="00D86CA6">
            <w:pPr>
              <w:widowControl/>
              <w:numPr>
                <w:ilvl w:val="0"/>
                <w:numId w:val="44"/>
              </w:numPr>
              <w:spacing w:after="200" w:line="276" w:lineRule="auto"/>
              <w:jc w:val="left"/>
              <w:rPr>
                <w:rFonts w:cs="Arial"/>
                <w:sz w:val="20"/>
                <w:szCs w:val="20"/>
              </w:rPr>
            </w:pPr>
            <w:r>
              <w:rPr>
                <w:rFonts w:cs="Arial"/>
                <w:sz w:val="20"/>
                <w:szCs w:val="20"/>
                <w:lang w:val="bg-BG"/>
              </w:rPr>
              <w:t>се присъедини към</w:t>
            </w:r>
            <w:r w:rsidRPr="00D86CA6">
              <w:rPr>
                <w:rFonts w:cs="Arial"/>
                <w:sz w:val="20"/>
                <w:szCs w:val="20"/>
              </w:rPr>
              <w:t xml:space="preserve"> Препоръката от 2006</w:t>
            </w:r>
            <w:r>
              <w:rPr>
                <w:rFonts w:cs="Arial"/>
                <w:sz w:val="20"/>
                <w:szCs w:val="20"/>
                <w:lang w:val="bg-BG"/>
              </w:rPr>
              <w:t xml:space="preserve"> </w:t>
            </w:r>
            <w:r w:rsidRPr="00D86CA6">
              <w:rPr>
                <w:rFonts w:cs="Arial"/>
                <w:sz w:val="20"/>
                <w:szCs w:val="20"/>
              </w:rPr>
              <w:t xml:space="preserve">г. на Съвета относно подкупите и официално </w:t>
            </w:r>
            <w:r>
              <w:rPr>
                <w:rFonts w:cs="Arial"/>
                <w:sz w:val="20"/>
                <w:szCs w:val="20"/>
                <w:lang w:val="bg-BG"/>
              </w:rPr>
              <w:t>гарантираните</w:t>
            </w:r>
            <w:r w:rsidRPr="00D86CA6">
              <w:rPr>
                <w:rFonts w:cs="Arial"/>
                <w:sz w:val="20"/>
                <w:szCs w:val="20"/>
              </w:rPr>
              <w:t xml:space="preserve"> експортни кредити (Препоръката от 2009 </w:t>
            </w:r>
            <w:r w:rsidRPr="00D86CA6">
              <w:rPr>
                <w:rFonts w:cs="Arial"/>
                <w:sz w:val="20"/>
                <w:szCs w:val="20"/>
              </w:rPr>
              <w:lastRenderedPageBreak/>
              <w:t>XII(i));</w:t>
            </w:r>
          </w:p>
        </w:tc>
        <w:tc>
          <w:tcPr>
            <w:tcW w:w="1278" w:type="dxa"/>
            <w:tcBorders>
              <w:top w:val="single" w:sz="4" w:space="0" w:color="auto"/>
              <w:left w:val="single" w:sz="4" w:space="0" w:color="auto"/>
              <w:bottom w:val="single" w:sz="4" w:space="0" w:color="auto"/>
              <w:right w:val="single" w:sz="4" w:space="0" w:color="auto"/>
            </w:tcBorders>
            <w:vAlign w:val="center"/>
          </w:tcPr>
          <w:p w14:paraId="24CF8CFA" w14:textId="77777777" w:rsidR="00066E81" w:rsidRPr="00E2198F" w:rsidRDefault="00E2198F" w:rsidP="00FD6875">
            <w:pPr>
              <w:widowControl/>
              <w:spacing w:after="200" w:line="276" w:lineRule="auto"/>
              <w:jc w:val="left"/>
              <w:rPr>
                <w:rFonts w:cs="Arial"/>
                <w:i/>
                <w:sz w:val="20"/>
                <w:szCs w:val="20"/>
                <w:lang w:val="bg-BG"/>
              </w:rPr>
            </w:pPr>
            <w:r>
              <w:rPr>
                <w:rFonts w:cs="Arial"/>
                <w:i/>
                <w:sz w:val="20"/>
                <w:szCs w:val="20"/>
                <w:lang w:val="bg-BG"/>
              </w:rPr>
              <w:lastRenderedPageBreak/>
              <w:t>Неизпълнена</w:t>
            </w:r>
          </w:p>
        </w:tc>
      </w:tr>
      <w:tr w:rsidR="00066E81" w:rsidRPr="00753331" w14:paraId="6A5BE369"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07341CE0" w14:textId="77777777" w:rsidR="00066E81" w:rsidRPr="00753331" w:rsidRDefault="00066E81" w:rsidP="00FD6875">
            <w:pPr>
              <w:widowControl/>
              <w:spacing w:after="200" w:line="276" w:lineRule="auto"/>
              <w:jc w:val="left"/>
              <w:rPr>
                <w:rFonts w:cs="Arial"/>
                <w:sz w:val="20"/>
                <w:szCs w:val="20"/>
              </w:rPr>
            </w:pP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75447412" w14:textId="77777777" w:rsidR="00066E81" w:rsidRPr="00753331" w:rsidRDefault="00D86CA6" w:rsidP="00066E81">
            <w:pPr>
              <w:widowControl/>
              <w:numPr>
                <w:ilvl w:val="0"/>
                <w:numId w:val="44"/>
              </w:numPr>
              <w:spacing w:after="200" w:line="276" w:lineRule="auto"/>
              <w:jc w:val="left"/>
              <w:rPr>
                <w:rFonts w:cs="Arial"/>
                <w:sz w:val="20"/>
                <w:szCs w:val="20"/>
              </w:rPr>
            </w:pPr>
            <w:r w:rsidRPr="00D86CA6">
              <w:rPr>
                <w:rFonts w:cs="Arial"/>
                <w:sz w:val="20"/>
                <w:szCs w:val="20"/>
                <w:lang w:val="ru-RU"/>
              </w:rPr>
              <w:t xml:space="preserve">въведе мерки за информиране на заявителите относно правните последици от даването на подкупи на чужди длъжностни лица, да изисква от заявителите попълването на анти-корупционни декларации и да полага нужното старание в процеса по предоставянето на кредитиране/застраховане (включително посредством използването на наличните черни списъци) и да докладва подозрения за подкупване на чужди длъжностни лица в операциите, свързани с експортни кредити </w:t>
            </w:r>
            <w:r w:rsidRPr="00D86CA6">
              <w:rPr>
                <w:rFonts w:cs="Arial"/>
                <w:sz w:val="20"/>
                <w:szCs w:val="20"/>
                <w:lang w:val="bg-BG"/>
              </w:rPr>
              <w:t>(Препоръката от 2</w:t>
            </w:r>
            <w:r w:rsidRPr="00D86CA6">
              <w:rPr>
                <w:rFonts w:cs="Arial"/>
                <w:sz w:val="20"/>
                <w:szCs w:val="20"/>
                <w:lang w:val="ru-RU"/>
              </w:rPr>
              <w:t xml:space="preserve">009 </w:t>
            </w:r>
            <w:r w:rsidRPr="00D86CA6">
              <w:rPr>
                <w:rFonts w:cs="Arial"/>
                <w:sz w:val="20"/>
                <w:szCs w:val="20"/>
                <w:lang w:val="en-US"/>
              </w:rPr>
              <w:t>XII</w:t>
            </w:r>
            <w:r w:rsidRPr="00D86CA6">
              <w:rPr>
                <w:rFonts w:cs="Arial"/>
                <w:sz w:val="20"/>
                <w:szCs w:val="20"/>
                <w:lang w:val="ru-RU"/>
              </w:rPr>
              <w:t>(</w:t>
            </w:r>
            <w:r w:rsidRPr="00D86CA6">
              <w:rPr>
                <w:rFonts w:cs="Arial"/>
                <w:sz w:val="20"/>
                <w:szCs w:val="20"/>
                <w:lang w:val="en-US"/>
              </w:rPr>
              <w:t>i</w:t>
            </w:r>
            <w:r w:rsidRPr="00D86CA6">
              <w:rPr>
                <w:rFonts w:cs="Arial"/>
                <w:sz w:val="20"/>
                <w:szCs w:val="20"/>
                <w:lang w:val="ru-RU"/>
              </w:rPr>
              <w:t>)).</w:t>
            </w:r>
          </w:p>
        </w:tc>
        <w:tc>
          <w:tcPr>
            <w:tcW w:w="1278" w:type="dxa"/>
            <w:tcBorders>
              <w:top w:val="single" w:sz="4" w:space="0" w:color="auto"/>
              <w:left w:val="single" w:sz="4" w:space="0" w:color="auto"/>
              <w:bottom w:val="single" w:sz="4" w:space="0" w:color="auto"/>
              <w:right w:val="single" w:sz="4" w:space="0" w:color="auto"/>
            </w:tcBorders>
            <w:vAlign w:val="center"/>
          </w:tcPr>
          <w:p w14:paraId="5E25C74E" w14:textId="77777777" w:rsidR="00066E81" w:rsidRPr="00E2198F" w:rsidRDefault="00E2198F" w:rsidP="00FD6875">
            <w:pPr>
              <w:widowControl/>
              <w:spacing w:after="200" w:line="276" w:lineRule="auto"/>
              <w:jc w:val="left"/>
              <w:rPr>
                <w:rFonts w:cs="Arial"/>
                <w:i/>
                <w:sz w:val="20"/>
                <w:szCs w:val="20"/>
                <w:lang w:val="bg-BG"/>
              </w:rPr>
            </w:pPr>
            <w:r>
              <w:rPr>
                <w:rFonts w:cs="Arial"/>
                <w:i/>
                <w:sz w:val="20"/>
                <w:szCs w:val="20"/>
                <w:lang w:val="bg-BG"/>
              </w:rPr>
              <w:t>Изпълнена</w:t>
            </w:r>
          </w:p>
        </w:tc>
      </w:tr>
      <w:tr w:rsidR="00066E81" w:rsidRPr="00753331" w14:paraId="526903F6" w14:textId="77777777" w:rsidTr="00D30A42">
        <w:tc>
          <w:tcPr>
            <w:tcW w:w="534" w:type="dxa"/>
            <w:tcBorders>
              <w:top w:val="single" w:sz="4" w:space="0" w:color="auto"/>
              <w:left w:val="single" w:sz="4" w:space="0" w:color="auto"/>
              <w:bottom w:val="single" w:sz="4" w:space="0" w:color="auto"/>
              <w:right w:val="single" w:sz="4" w:space="0" w:color="auto"/>
            </w:tcBorders>
            <w:vAlign w:val="center"/>
          </w:tcPr>
          <w:p w14:paraId="62301872"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 xml:space="preserve">12. </w:t>
            </w: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6A26BD6E" w14:textId="77777777" w:rsidR="00D86CA6" w:rsidRPr="00D86CA6" w:rsidRDefault="00D86CA6" w:rsidP="00D86CA6">
            <w:pPr>
              <w:widowControl/>
              <w:spacing w:after="200" w:line="276" w:lineRule="auto"/>
              <w:jc w:val="left"/>
              <w:rPr>
                <w:rFonts w:cs="Arial"/>
                <w:sz w:val="20"/>
                <w:szCs w:val="20"/>
                <w:lang w:val="ru-RU"/>
              </w:rPr>
            </w:pPr>
            <w:r w:rsidRPr="00D86CA6">
              <w:rPr>
                <w:rFonts w:cs="Arial"/>
                <w:sz w:val="20"/>
                <w:szCs w:val="20"/>
                <w:lang w:val="ru-RU"/>
              </w:rPr>
              <w:t xml:space="preserve">Относно </w:t>
            </w:r>
            <w:r w:rsidRPr="00D86CA6">
              <w:rPr>
                <w:rFonts w:cs="Arial"/>
                <w:sz w:val="20"/>
                <w:szCs w:val="20"/>
                <w:u w:val="single"/>
                <w:lang w:val="ru-RU"/>
              </w:rPr>
              <w:t>обществените поръчки</w:t>
            </w:r>
            <w:r w:rsidRPr="00D86CA6">
              <w:rPr>
                <w:rFonts w:cs="Arial"/>
                <w:sz w:val="20"/>
                <w:szCs w:val="20"/>
                <w:lang w:val="ru-RU"/>
              </w:rPr>
              <w:t xml:space="preserve"> Работната група препоръчва България да въведе правна разпоредба, която да позволи отстраняването на юридически лица от процедури по възлагане на обществени поръчки, да предостави </w:t>
            </w:r>
            <w:r w:rsidRPr="00D86CA6">
              <w:rPr>
                <w:rFonts w:cs="Arial"/>
                <w:sz w:val="20"/>
                <w:szCs w:val="20"/>
                <w:lang w:val="bg-BG"/>
              </w:rPr>
              <w:t>ръководство</w:t>
            </w:r>
            <w:r w:rsidRPr="00D86CA6">
              <w:rPr>
                <w:rFonts w:cs="Arial"/>
                <w:sz w:val="20"/>
                <w:szCs w:val="20"/>
                <w:lang w:val="ru-RU"/>
              </w:rPr>
              <w:t xml:space="preserve"> на възлож</w:t>
            </w:r>
            <w:r>
              <w:rPr>
                <w:rFonts w:cs="Arial"/>
                <w:sz w:val="20"/>
                <w:szCs w:val="20"/>
                <w:lang w:val="ru-RU"/>
              </w:rPr>
              <w:t>ителите на обществени поръчки относно извършването на</w:t>
            </w:r>
            <w:r w:rsidRPr="00D86CA6">
              <w:rPr>
                <w:rFonts w:cs="Arial"/>
                <w:sz w:val="20"/>
                <w:szCs w:val="20"/>
                <w:lang w:val="ru-RU"/>
              </w:rPr>
              <w:t xml:space="preserve"> </w:t>
            </w:r>
            <w:r w:rsidR="002F53AE">
              <w:rPr>
                <w:rFonts w:cs="Arial"/>
                <w:sz w:val="20"/>
                <w:szCs w:val="20"/>
                <w:lang w:val="ru-RU"/>
              </w:rPr>
              <w:t xml:space="preserve">комплексна </w:t>
            </w:r>
            <w:r>
              <w:rPr>
                <w:rFonts w:cs="Arial"/>
                <w:sz w:val="20"/>
                <w:szCs w:val="20"/>
                <w:lang w:val="ru-RU"/>
              </w:rPr>
              <w:t>проверка на кандидатите</w:t>
            </w:r>
            <w:r w:rsidRPr="00D86CA6">
              <w:rPr>
                <w:rFonts w:cs="Arial"/>
                <w:sz w:val="20"/>
                <w:szCs w:val="20"/>
                <w:lang w:val="ru-RU"/>
              </w:rPr>
              <w:t xml:space="preserve"> и да разгледа въпроса за </w:t>
            </w:r>
            <w:r w:rsidR="00E2198F">
              <w:rPr>
                <w:rFonts w:cs="Arial"/>
                <w:sz w:val="20"/>
                <w:szCs w:val="20"/>
                <w:lang w:val="ru-RU"/>
              </w:rPr>
              <w:t>поддържането</w:t>
            </w:r>
            <w:r w:rsidRPr="00D86CA6">
              <w:rPr>
                <w:rFonts w:cs="Arial"/>
                <w:sz w:val="20"/>
                <w:szCs w:val="20"/>
                <w:lang w:val="ru-RU"/>
              </w:rPr>
              <w:t xml:space="preserve"> на списък с физически и юридически лица, осъдени за подкуп, който да може да бъде ползван от договарящите ведомства </w:t>
            </w:r>
            <w:r w:rsidRPr="00D86CA6">
              <w:rPr>
                <w:rFonts w:cs="Arial"/>
                <w:sz w:val="20"/>
                <w:szCs w:val="20"/>
                <w:lang w:val="bg-BG"/>
              </w:rPr>
              <w:t>(Препоръката от 2009 ХІ))</w:t>
            </w:r>
            <w:r w:rsidRPr="00D86CA6">
              <w:rPr>
                <w:rFonts w:cs="Arial"/>
                <w:sz w:val="20"/>
                <w:szCs w:val="20"/>
                <w:lang w:val="ru-RU"/>
              </w:rPr>
              <w:t>.</w:t>
            </w:r>
          </w:p>
          <w:p w14:paraId="6B3E1401" w14:textId="77777777" w:rsidR="00066E81" w:rsidRPr="00753331" w:rsidRDefault="00066E81" w:rsidP="00FD6875">
            <w:pPr>
              <w:widowControl/>
              <w:spacing w:after="200" w:line="276" w:lineRule="auto"/>
              <w:jc w:val="left"/>
              <w:rPr>
                <w:rFonts w:cs="Arial"/>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tcPr>
          <w:p w14:paraId="47924B8C" w14:textId="77777777" w:rsidR="00066E81" w:rsidRPr="00E2198F" w:rsidRDefault="00E2198F" w:rsidP="00FD6875">
            <w:pPr>
              <w:widowControl/>
              <w:spacing w:after="200" w:line="276" w:lineRule="auto"/>
              <w:jc w:val="left"/>
              <w:rPr>
                <w:rFonts w:cs="Arial"/>
                <w:i/>
                <w:sz w:val="20"/>
                <w:szCs w:val="20"/>
                <w:lang w:val="bg-BG"/>
              </w:rPr>
            </w:pPr>
            <w:r>
              <w:rPr>
                <w:rFonts w:cs="Arial"/>
                <w:i/>
                <w:sz w:val="20"/>
                <w:szCs w:val="20"/>
                <w:lang w:val="bg-BG"/>
              </w:rPr>
              <w:t>Неизпълнена</w:t>
            </w:r>
          </w:p>
        </w:tc>
      </w:tr>
      <w:tr w:rsidR="00066E81" w:rsidRPr="00753331" w14:paraId="758DAB83" w14:textId="77777777" w:rsidTr="00D30A42">
        <w:tc>
          <w:tcPr>
            <w:tcW w:w="8010" w:type="dxa"/>
            <w:gridSpan w:val="3"/>
            <w:tcBorders>
              <w:top w:val="single" w:sz="4" w:space="0" w:color="auto"/>
              <w:left w:val="nil"/>
              <w:bottom w:val="single" w:sz="4" w:space="0" w:color="auto"/>
              <w:right w:val="single" w:sz="4" w:space="0" w:color="auto"/>
            </w:tcBorders>
            <w:vAlign w:val="center"/>
          </w:tcPr>
          <w:p w14:paraId="21C9E6DC" w14:textId="77777777" w:rsidR="00066E81" w:rsidRPr="00E2198F" w:rsidRDefault="00E2198F" w:rsidP="00FD6875">
            <w:pPr>
              <w:widowControl/>
              <w:spacing w:after="200" w:line="276" w:lineRule="auto"/>
              <w:jc w:val="left"/>
              <w:rPr>
                <w:rFonts w:cs="Arial"/>
                <w:b/>
                <w:sz w:val="20"/>
                <w:szCs w:val="20"/>
                <w:u w:val="single"/>
                <w:lang w:val="ru-RU"/>
              </w:rPr>
            </w:pPr>
            <w:r w:rsidRPr="00E2198F">
              <w:rPr>
                <w:rFonts w:cs="Arial"/>
                <w:b/>
                <w:sz w:val="20"/>
                <w:szCs w:val="20"/>
                <w:u w:val="single"/>
                <w:lang w:val="ru-RU"/>
              </w:rPr>
              <w:t>Въпроси, изискващи по-нататъшно проследяване от Работната група:</w:t>
            </w:r>
          </w:p>
        </w:tc>
        <w:tc>
          <w:tcPr>
            <w:tcW w:w="1278" w:type="dxa"/>
            <w:tcBorders>
              <w:top w:val="single" w:sz="4" w:space="0" w:color="auto"/>
              <w:left w:val="single" w:sz="4" w:space="0" w:color="auto"/>
              <w:bottom w:val="single" w:sz="4" w:space="0" w:color="auto"/>
              <w:right w:val="single" w:sz="4" w:space="0" w:color="auto"/>
            </w:tcBorders>
            <w:vAlign w:val="center"/>
          </w:tcPr>
          <w:p w14:paraId="59AA4E60" w14:textId="77777777" w:rsidR="00066E81" w:rsidRPr="00753331" w:rsidRDefault="00066E81" w:rsidP="00FD6875">
            <w:pPr>
              <w:widowControl/>
              <w:spacing w:after="200" w:line="276" w:lineRule="auto"/>
              <w:jc w:val="left"/>
              <w:rPr>
                <w:rFonts w:cs="Arial"/>
                <w:b/>
                <w:i/>
                <w:sz w:val="20"/>
                <w:szCs w:val="20"/>
              </w:rPr>
            </w:pPr>
          </w:p>
        </w:tc>
      </w:tr>
      <w:tr w:rsidR="00066E81" w:rsidRPr="00753331" w14:paraId="0113A42A" w14:textId="77777777" w:rsidTr="00D30A42">
        <w:tc>
          <w:tcPr>
            <w:tcW w:w="567" w:type="dxa"/>
            <w:gridSpan w:val="2"/>
            <w:tcBorders>
              <w:top w:val="single" w:sz="4" w:space="0" w:color="auto"/>
              <w:left w:val="single" w:sz="4" w:space="0" w:color="auto"/>
              <w:bottom w:val="single" w:sz="4" w:space="0" w:color="auto"/>
              <w:right w:val="single" w:sz="4" w:space="0" w:color="auto"/>
            </w:tcBorders>
            <w:vAlign w:val="center"/>
          </w:tcPr>
          <w:p w14:paraId="56F9BD58" w14:textId="77777777" w:rsidR="00066E81" w:rsidRPr="00753331" w:rsidRDefault="00066E81" w:rsidP="00FD6875">
            <w:pPr>
              <w:widowControl/>
              <w:spacing w:after="200" w:line="276" w:lineRule="auto"/>
              <w:jc w:val="left"/>
              <w:rPr>
                <w:rFonts w:cs="Arial"/>
                <w:sz w:val="20"/>
                <w:szCs w:val="20"/>
              </w:rPr>
            </w:pPr>
            <w:r w:rsidRPr="00753331">
              <w:rPr>
                <w:rFonts w:cs="Arial"/>
                <w:sz w:val="20"/>
                <w:szCs w:val="20"/>
              </w:rPr>
              <w:t>13.</w:t>
            </w:r>
          </w:p>
        </w:tc>
        <w:tc>
          <w:tcPr>
            <w:tcW w:w="8721" w:type="dxa"/>
            <w:gridSpan w:val="2"/>
            <w:tcBorders>
              <w:top w:val="single" w:sz="4" w:space="0" w:color="auto"/>
              <w:left w:val="single" w:sz="4" w:space="0" w:color="auto"/>
              <w:bottom w:val="single" w:sz="4" w:space="0" w:color="auto"/>
              <w:right w:val="single" w:sz="4" w:space="0" w:color="auto"/>
            </w:tcBorders>
            <w:vAlign w:val="center"/>
          </w:tcPr>
          <w:p w14:paraId="45E1C371" w14:textId="77777777" w:rsidR="00066E81" w:rsidRPr="00E2198F" w:rsidRDefault="00E2198F" w:rsidP="00FD6875">
            <w:pPr>
              <w:widowControl/>
              <w:spacing w:after="200" w:line="276" w:lineRule="auto"/>
              <w:jc w:val="left"/>
              <w:rPr>
                <w:rFonts w:cs="Arial"/>
                <w:sz w:val="20"/>
                <w:szCs w:val="20"/>
                <w:lang w:val="ru-RU"/>
              </w:rPr>
            </w:pPr>
            <w:r w:rsidRPr="00E2198F">
              <w:rPr>
                <w:rFonts w:cs="Arial"/>
                <w:sz w:val="20"/>
                <w:szCs w:val="20"/>
                <w:lang w:val="ru-RU"/>
              </w:rPr>
              <w:t>Работната група ще проследи следните въпроси в светлината на развитието на практиката:</w:t>
            </w:r>
          </w:p>
        </w:tc>
      </w:tr>
      <w:tr w:rsidR="00066E81" w:rsidRPr="00753331" w14:paraId="30B6543C" w14:textId="77777777" w:rsidTr="00D30A42">
        <w:tc>
          <w:tcPr>
            <w:tcW w:w="567" w:type="dxa"/>
            <w:gridSpan w:val="2"/>
            <w:tcBorders>
              <w:top w:val="single" w:sz="4" w:space="0" w:color="auto"/>
              <w:left w:val="single" w:sz="4" w:space="0" w:color="auto"/>
              <w:bottom w:val="single" w:sz="4" w:space="0" w:color="auto"/>
              <w:right w:val="single" w:sz="4" w:space="0" w:color="auto"/>
            </w:tcBorders>
            <w:vAlign w:val="center"/>
          </w:tcPr>
          <w:p w14:paraId="698D9820" w14:textId="77777777" w:rsidR="00066E81" w:rsidRPr="00753331" w:rsidRDefault="00066E81" w:rsidP="00FD6875">
            <w:pPr>
              <w:widowControl/>
              <w:spacing w:after="200" w:line="276" w:lineRule="auto"/>
              <w:jc w:val="left"/>
              <w:rPr>
                <w:rFonts w:cs="Arial"/>
                <w:sz w:val="20"/>
                <w:szCs w:val="20"/>
              </w:rPr>
            </w:pPr>
          </w:p>
        </w:tc>
        <w:tc>
          <w:tcPr>
            <w:tcW w:w="7443" w:type="dxa"/>
            <w:tcBorders>
              <w:top w:val="single" w:sz="4" w:space="0" w:color="auto"/>
              <w:left w:val="single" w:sz="4" w:space="0" w:color="auto"/>
              <w:bottom w:val="single" w:sz="4" w:space="0" w:color="auto"/>
              <w:right w:val="single" w:sz="4" w:space="0" w:color="auto"/>
            </w:tcBorders>
            <w:vAlign w:val="center"/>
          </w:tcPr>
          <w:p w14:paraId="7811FEA8" w14:textId="77777777" w:rsidR="00066E81" w:rsidRPr="00753331" w:rsidRDefault="00E2198F" w:rsidP="00E2198F">
            <w:pPr>
              <w:widowControl/>
              <w:numPr>
                <w:ilvl w:val="0"/>
                <w:numId w:val="40"/>
              </w:numPr>
              <w:spacing w:after="200" w:line="276" w:lineRule="auto"/>
              <w:jc w:val="left"/>
              <w:rPr>
                <w:rFonts w:cs="Arial"/>
                <w:sz w:val="20"/>
                <w:szCs w:val="20"/>
              </w:rPr>
            </w:pPr>
            <w:r w:rsidRPr="00E2198F">
              <w:rPr>
                <w:rFonts w:cs="Arial"/>
                <w:sz w:val="20"/>
                <w:szCs w:val="20"/>
                <w:lang w:val="ru-RU"/>
              </w:rPr>
              <w:t xml:space="preserve">Броя и причините за връщането на дела от съдилищата на органите на досъдебното производство (Член 5 </w:t>
            </w:r>
            <w:r>
              <w:rPr>
                <w:rFonts w:cs="Arial"/>
                <w:sz w:val="20"/>
                <w:szCs w:val="20"/>
                <w:lang w:val="ru-RU"/>
              </w:rPr>
              <w:t>от</w:t>
            </w:r>
            <w:r w:rsidRPr="00E2198F">
              <w:rPr>
                <w:rFonts w:cs="Arial"/>
                <w:sz w:val="20"/>
                <w:szCs w:val="20"/>
                <w:lang w:val="ru-RU"/>
              </w:rPr>
              <w:t xml:space="preserve"> Конвенцията и </w:t>
            </w:r>
            <w:r w:rsidRPr="00E2198F">
              <w:rPr>
                <w:rFonts w:cs="Arial"/>
                <w:sz w:val="20"/>
                <w:szCs w:val="20"/>
                <w:lang w:val="bg-BG"/>
              </w:rPr>
              <w:t xml:space="preserve">Препоръката от 2009 Приложение </w:t>
            </w:r>
            <w:r w:rsidRPr="00E2198F">
              <w:rPr>
                <w:rFonts w:cs="Arial"/>
                <w:sz w:val="20"/>
                <w:szCs w:val="20"/>
                <w:lang w:val="en-US"/>
              </w:rPr>
              <w:t>I</w:t>
            </w:r>
            <w:r w:rsidRPr="00E2198F">
              <w:rPr>
                <w:rFonts w:cs="Arial"/>
                <w:sz w:val="20"/>
                <w:szCs w:val="20"/>
                <w:lang w:val="ru-RU"/>
              </w:rPr>
              <w:t>(</w:t>
            </w:r>
            <w:r w:rsidRPr="00E2198F">
              <w:rPr>
                <w:rFonts w:cs="Arial"/>
                <w:sz w:val="20"/>
                <w:szCs w:val="20"/>
                <w:lang w:val="en-US"/>
              </w:rPr>
              <w:t>D</w:t>
            </w:r>
            <w:r w:rsidRPr="00E2198F">
              <w:rPr>
                <w:rFonts w:cs="Arial"/>
                <w:sz w:val="20"/>
                <w:szCs w:val="20"/>
                <w:lang w:val="ru-RU"/>
              </w:rPr>
              <w:t>));</w:t>
            </w:r>
          </w:p>
        </w:tc>
        <w:tc>
          <w:tcPr>
            <w:tcW w:w="1278" w:type="dxa"/>
            <w:tcBorders>
              <w:top w:val="single" w:sz="4" w:space="0" w:color="auto"/>
              <w:left w:val="single" w:sz="4" w:space="0" w:color="auto"/>
              <w:bottom w:val="single" w:sz="4" w:space="0" w:color="auto"/>
              <w:right w:val="single" w:sz="4" w:space="0" w:color="auto"/>
            </w:tcBorders>
            <w:vAlign w:val="center"/>
          </w:tcPr>
          <w:p w14:paraId="65636213" w14:textId="77777777" w:rsidR="00066E81" w:rsidRPr="00753331" w:rsidRDefault="00E2198F" w:rsidP="00E2198F">
            <w:pPr>
              <w:widowControl/>
              <w:spacing w:after="200" w:line="276" w:lineRule="auto"/>
              <w:jc w:val="left"/>
              <w:rPr>
                <w:rFonts w:cs="Arial"/>
                <w:sz w:val="20"/>
                <w:szCs w:val="20"/>
              </w:rPr>
            </w:pPr>
            <w:r>
              <w:rPr>
                <w:rFonts w:cs="Arial"/>
                <w:i/>
                <w:sz w:val="20"/>
                <w:szCs w:val="20"/>
                <w:lang w:val="bg-BG"/>
              </w:rPr>
              <w:t>Проследяване във фаза 4</w:t>
            </w:r>
          </w:p>
        </w:tc>
      </w:tr>
      <w:tr w:rsidR="00066E81" w:rsidRPr="00753331" w14:paraId="1B9D88B8" w14:textId="77777777" w:rsidTr="00D30A42">
        <w:tc>
          <w:tcPr>
            <w:tcW w:w="567" w:type="dxa"/>
            <w:gridSpan w:val="2"/>
            <w:tcBorders>
              <w:top w:val="single" w:sz="4" w:space="0" w:color="auto"/>
              <w:left w:val="single" w:sz="4" w:space="0" w:color="auto"/>
              <w:bottom w:val="single" w:sz="4" w:space="0" w:color="auto"/>
              <w:right w:val="single" w:sz="4" w:space="0" w:color="auto"/>
            </w:tcBorders>
            <w:vAlign w:val="center"/>
          </w:tcPr>
          <w:p w14:paraId="5DCA59C3" w14:textId="77777777" w:rsidR="00066E81" w:rsidRPr="00753331" w:rsidRDefault="00066E81" w:rsidP="00FD6875">
            <w:pPr>
              <w:widowControl/>
              <w:spacing w:after="200" w:line="276" w:lineRule="auto"/>
              <w:jc w:val="left"/>
              <w:rPr>
                <w:rFonts w:cs="Arial"/>
                <w:sz w:val="20"/>
                <w:szCs w:val="20"/>
              </w:rPr>
            </w:pPr>
          </w:p>
        </w:tc>
        <w:tc>
          <w:tcPr>
            <w:tcW w:w="7443" w:type="dxa"/>
            <w:tcBorders>
              <w:top w:val="single" w:sz="4" w:space="0" w:color="auto"/>
              <w:left w:val="single" w:sz="4" w:space="0" w:color="auto"/>
              <w:bottom w:val="single" w:sz="4" w:space="0" w:color="auto"/>
              <w:right w:val="single" w:sz="4" w:space="0" w:color="auto"/>
            </w:tcBorders>
            <w:vAlign w:val="center"/>
          </w:tcPr>
          <w:p w14:paraId="36E2711F" w14:textId="77777777" w:rsidR="00066E81" w:rsidRPr="00753331" w:rsidRDefault="00E2198F" w:rsidP="00E2198F">
            <w:pPr>
              <w:widowControl/>
              <w:numPr>
                <w:ilvl w:val="0"/>
                <w:numId w:val="40"/>
              </w:numPr>
              <w:spacing w:after="200" w:line="276" w:lineRule="auto"/>
              <w:jc w:val="left"/>
              <w:rPr>
                <w:rFonts w:cs="Arial"/>
                <w:sz w:val="20"/>
                <w:szCs w:val="20"/>
              </w:rPr>
            </w:pPr>
            <w:r w:rsidRPr="00E2198F">
              <w:rPr>
                <w:rFonts w:cs="Arial"/>
                <w:sz w:val="20"/>
                <w:szCs w:val="20"/>
                <w:lang w:val="ru-RU"/>
              </w:rPr>
              <w:t xml:space="preserve">Времетраенето на предварителните проверки, в случаите когато е налична достатъчно информация за образуване на досъдебно производство (Член 5 </w:t>
            </w:r>
            <w:r>
              <w:rPr>
                <w:rFonts w:cs="Arial"/>
                <w:sz w:val="20"/>
                <w:szCs w:val="20"/>
                <w:lang w:val="ru-RU"/>
              </w:rPr>
              <w:t xml:space="preserve">от </w:t>
            </w:r>
            <w:r w:rsidRPr="00E2198F">
              <w:rPr>
                <w:rFonts w:cs="Arial"/>
                <w:sz w:val="20"/>
                <w:szCs w:val="20"/>
                <w:lang w:val="ru-RU"/>
              </w:rPr>
              <w:t xml:space="preserve">Конвенцията и </w:t>
            </w:r>
            <w:r w:rsidRPr="00E2198F">
              <w:rPr>
                <w:rFonts w:cs="Arial"/>
                <w:sz w:val="20"/>
                <w:szCs w:val="20"/>
                <w:lang w:val="bg-BG"/>
              </w:rPr>
              <w:t xml:space="preserve">Препоръката от 2009 Приложение </w:t>
            </w:r>
            <w:r w:rsidRPr="00E2198F">
              <w:rPr>
                <w:rFonts w:cs="Arial"/>
                <w:sz w:val="20"/>
                <w:szCs w:val="20"/>
                <w:lang w:val="en-US"/>
              </w:rPr>
              <w:t>I</w:t>
            </w:r>
            <w:r w:rsidRPr="00E2198F">
              <w:rPr>
                <w:rFonts w:cs="Arial"/>
                <w:sz w:val="20"/>
                <w:szCs w:val="20"/>
                <w:lang w:val="ru-RU"/>
              </w:rPr>
              <w:t>(</w:t>
            </w:r>
            <w:r w:rsidRPr="00E2198F">
              <w:rPr>
                <w:rFonts w:cs="Arial"/>
                <w:sz w:val="20"/>
                <w:szCs w:val="20"/>
                <w:lang w:val="en-US"/>
              </w:rPr>
              <w:t>D</w:t>
            </w:r>
            <w:r w:rsidRPr="00E2198F">
              <w:rPr>
                <w:rFonts w:cs="Arial"/>
                <w:sz w:val="20"/>
                <w:szCs w:val="20"/>
                <w:lang w:val="ru-RU"/>
              </w:rPr>
              <w:t>));</w:t>
            </w:r>
          </w:p>
        </w:tc>
        <w:tc>
          <w:tcPr>
            <w:tcW w:w="1278" w:type="dxa"/>
            <w:tcBorders>
              <w:top w:val="single" w:sz="4" w:space="0" w:color="auto"/>
              <w:left w:val="single" w:sz="4" w:space="0" w:color="auto"/>
              <w:bottom w:val="single" w:sz="4" w:space="0" w:color="auto"/>
              <w:right w:val="single" w:sz="4" w:space="0" w:color="auto"/>
            </w:tcBorders>
            <w:vAlign w:val="center"/>
          </w:tcPr>
          <w:p w14:paraId="281A7F97" w14:textId="77777777" w:rsidR="00066E81" w:rsidRPr="00753331" w:rsidRDefault="00E2198F" w:rsidP="00FD6875">
            <w:pPr>
              <w:widowControl/>
              <w:spacing w:after="200" w:line="276" w:lineRule="auto"/>
              <w:jc w:val="left"/>
              <w:rPr>
                <w:rFonts w:cs="Arial"/>
                <w:sz w:val="20"/>
                <w:szCs w:val="20"/>
              </w:rPr>
            </w:pPr>
            <w:r w:rsidRPr="00E2198F">
              <w:rPr>
                <w:rFonts w:cs="Arial"/>
                <w:i/>
                <w:sz w:val="20"/>
                <w:szCs w:val="20"/>
              </w:rPr>
              <w:t>Проследяване във фаза 4</w:t>
            </w:r>
          </w:p>
        </w:tc>
      </w:tr>
    </w:tbl>
    <w:p w14:paraId="0592AB8D" w14:textId="77777777" w:rsidR="000A7845" w:rsidRPr="0043182F" w:rsidRDefault="000A7845">
      <w:pPr>
        <w:widowControl/>
        <w:spacing w:after="200" w:line="276" w:lineRule="auto"/>
        <w:jc w:val="left"/>
        <w:rPr>
          <w:color w:val="000000" w:themeColor="text1"/>
          <w:sz w:val="20"/>
          <w:lang w:val="bg-BG"/>
        </w:rPr>
      </w:pPr>
      <w:r w:rsidRPr="0043182F">
        <w:rPr>
          <w:lang w:val="bg-BG"/>
        </w:rPr>
        <w:br w:type="page"/>
      </w:r>
    </w:p>
    <w:p w14:paraId="66CBF63E" w14:textId="77777777" w:rsidR="000A7845" w:rsidRPr="0043182F" w:rsidRDefault="00D15445" w:rsidP="003F2025">
      <w:pPr>
        <w:pStyle w:val="Heading1"/>
        <w:framePr w:wrap="notBeside" w:x="1396" w:y="32"/>
        <w:numPr>
          <w:ilvl w:val="0"/>
          <w:numId w:val="0"/>
        </w:numPr>
        <w:ind w:left="113"/>
        <w:rPr>
          <w:lang w:val="bg-BG"/>
        </w:rPr>
      </w:pPr>
      <w:r w:rsidRPr="0043182F">
        <w:rPr>
          <w:lang w:val="bg-BG"/>
        </w:rPr>
        <w:lastRenderedPageBreak/>
        <w:t xml:space="preserve">Приложение 2: Списък на участниците във </w:t>
      </w:r>
      <w:r w:rsidR="00CD1C55">
        <w:rPr>
          <w:lang w:val="bg-BG"/>
        </w:rPr>
        <w:t>виртуалното посещение</w:t>
      </w:r>
    </w:p>
    <w:p w14:paraId="39B2A74E" w14:textId="77777777" w:rsidR="00EC2390" w:rsidRPr="0043182F" w:rsidRDefault="00EC2390" w:rsidP="003F2025">
      <w:pPr>
        <w:pStyle w:val="Para0"/>
        <w:rPr>
          <w:rFonts w:cstheme="minorHAnsi"/>
          <w:b/>
          <w:szCs w:val="20"/>
          <w:lang w:val="bg-BG"/>
        </w:rPr>
      </w:pPr>
    </w:p>
    <w:tbl>
      <w:tblPr>
        <w:tblW w:w="9108" w:type="dxa"/>
        <w:tblLayout w:type="fixed"/>
        <w:tblLook w:val="04A0" w:firstRow="1" w:lastRow="0" w:firstColumn="1" w:lastColumn="0" w:noHBand="0" w:noVBand="1"/>
      </w:tblPr>
      <w:tblGrid>
        <w:gridCol w:w="4842"/>
        <w:gridCol w:w="4266"/>
      </w:tblGrid>
      <w:tr w:rsidR="00EC2390" w:rsidRPr="00EC2390" w14:paraId="372300F5" w14:textId="77777777" w:rsidTr="006C5579">
        <w:trPr>
          <w:trHeight w:val="787"/>
        </w:trPr>
        <w:tc>
          <w:tcPr>
            <w:tcW w:w="4842" w:type="dxa"/>
          </w:tcPr>
          <w:tbl>
            <w:tblPr>
              <w:tblW w:w="9684" w:type="dxa"/>
              <w:tblLayout w:type="fixed"/>
              <w:tblLook w:val="04A0" w:firstRow="1" w:lastRow="0" w:firstColumn="1" w:lastColumn="0" w:noHBand="0" w:noVBand="1"/>
            </w:tblPr>
            <w:tblGrid>
              <w:gridCol w:w="9684"/>
            </w:tblGrid>
            <w:tr w:rsidR="00EC2390" w:rsidRPr="00EC2390" w14:paraId="5F387CFD" w14:textId="77777777" w:rsidTr="00377B05">
              <w:tc>
                <w:tcPr>
                  <w:tcW w:w="4842" w:type="dxa"/>
                  <w:hideMark/>
                </w:tcPr>
                <w:p w14:paraId="15C91BB4" w14:textId="77777777" w:rsidR="00EC2390" w:rsidRPr="00EC2390" w:rsidRDefault="00D15445" w:rsidP="003F2025">
                  <w:pPr>
                    <w:pStyle w:val="Para0"/>
                    <w:rPr>
                      <w:rFonts w:cstheme="minorHAnsi"/>
                      <w:b/>
                      <w:szCs w:val="20"/>
                    </w:rPr>
                  </w:pPr>
                  <w:r w:rsidRPr="00D15445">
                    <w:rPr>
                      <w:rFonts w:cstheme="minorHAnsi"/>
                      <w:b/>
                      <w:szCs w:val="20"/>
                    </w:rPr>
                    <w:t>Правителствени министерства и агенции</w:t>
                  </w:r>
                  <w:r w:rsidR="00EC2390" w:rsidRPr="00EC2390">
                    <w:rPr>
                      <w:rFonts w:cstheme="minorHAnsi"/>
                      <w:b/>
                      <w:szCs w:val="20"/>
                    </w:rPr>
                    <w:t xml:space="preserve"> </w:t>
                  </w:r>
                </w:p>
              </w:tc>
            </w:tr>
            <w:tr w:rsidR="00EC2390" w:rsidRPr="00EC2390" w14:paraId="70491B03" w14:textId="77777777" w:rsidTr="00377B05">
              <w:tc>
                <w:tcPr>
                  <w:tcW w:w="4842" w:type="dxa"/>
                  <w:hideMark/>
                </w:tcPr>
                <w:p w14:paraId="151FE362"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Министерство на правосъдието</w:t>
                  </w:r>
                </w:p>
                <w:p w14:paraId="0362E88B"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Министерство на икономиката</w:t>
                  </w:r>
                </w:p>
                <w:p w14:paraId="047FC9FB"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Министерство на финансите</w:t>
                  </w:r>
                </w:p>
                <w:p w14:paraId="35745F7A"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Министерство на външните работи</w:t>
                  </w:r>
                </w:p>
                <w:p w14:paraId="4C7F9520"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Министерство на вътрешните работи</w:t>
                  </w:r>
                </w:p>
                <w:p w14:paraId="5588C33E" w14:textId="77777777" w:rsidR="00066E81" w:rsidRDefault="00D15445" w:rsidP="003F2025">
                  <w:pPr>
                    <w:pStyle w:val="Para0"/>
                    <w:numPr>
                      <w:ilvl w:val="0"/>
                      <w:numId w:val="13"/>
                    </w:numPr>
                    <w:tabs>
                      <w:tab w:val="left" w:pos="9234"/>
                    </w:tabs>
                    <w:rPr>
                      <w:rFonts w:cstheme="minorHAnsi"/>
                      <w:szCs w:val="20"/>
                      <w:lang w:val="en-US"/>
                    </w:rPr>
                  </w:pPr>
                  <w:r w:rsidRPr="00D15445">
                    <w:rPr>
                      <w:rFonts w:cstheme="minorHAnsi"/>
                      <w:szCs w:val="20"/>
                      <w:lang w:val="en-US"/>
                    </w:rPr>
                    <w:t xml:space="preserve">Държавна агенция "Национална </w:t>
                  </w:r>
                </w:p>
                <w:p w14:paraId="7AB6FA76" w14:textId="77777777" w:rsidR="00D15445" w:rsidRPr="00D15445" w:rsidRDefault="00D15445" w:rsidP="003F2025">
                  <w:pPr>
                    <w:pStyle w:val="Para0"/>
                    <w:tabs>
                      <w:tab w:val="left" w:pos="9234"/>
                    </w:tabs>
                    <w:ind w:left="720"/>
                    <w:rPr>
                      <w:rFonts w:cstheme="minorHAnsi"/>
                      <w:szCs w:val="20"/>
                      <w:lang w:val="en-US"/>
                    </w:rPr>
                  </w:pPr>
                  <w:r w:rsidRPr="00D15445">
                    <w:rPr>
                      <w:rFonts w:cstheme="minorHAnsi"/>
                      <w:szCs w:val="20"/>
                      <w:lang w:val="en-US"/>
                    </w:rPr>
                    <w:t>сигурност"</w:t>
                  </w:r>
                </w:p>
                <w:p w14:paraId="58B37202"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 xml:space="preserve">Институт </w:t>
                  </w:r>
                  <w:r w:rsidR="00066E81">
                    <w:rPr>
                      <w:rFonts w:cstheme="minorHAnsi"/>
                      <w:szCs w:val="20"/>
                      <w:lang w:val="bg-BG"/>
                    </w:rPr>
                    <w:t>по</w:t>
                  </w:r>
                  <w:r w:rsidR="00066E81" w:rsidRPr="00D15445">
                    <w:rPr>
                      <w:rFonts w:cstheme="minorHAnsi"/>
                      <w:szCs w:val="20"/>
                      <w:lang w:val="en-US"/>
                    </w:rPr>
                    <w:t xml:space="preserve"> </w:t>
                  </w:r>
                  <w:r w:rsidRPr="00D15445">
                    <w:rPr>
                      <w:rFonts w:cstheme="minorHAnsi"/>
                      <w:szCs w:val="20"/>
                      <w:lang w:val="en-US"/>
                    </w:rPr>
                    <w:t>публична администрация</w:t>
                  </w:r>
                </w:p>
                <w:p w14:paraId="77299B5A"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Комисия за борба с корупцията</w:t>
                  </w:r>
                </w:p>
                <w:p w14:paraId="1239C9BA" w14:textId="77777777" w:rsidR="004A0758" w:rsidRPr="004A0758" w:rsidRDefault="004A0758" w:rsidP="003F2025">
                  <w:pPr>
                    <w:pStyle w:val="Para0"/>
                    <w:numPr>
                      <w:ilvl w:val="0"/>
                      <w:numId w:val="13"/>
                    </w:numPr>
                    <w:rPr>
                      <w:rFonts w:cstheme="minorHAnsi"/>
                      <w:szCs w:val="20"/>
                      <w:lang w:val="en-US"/>
                    </w:rPr>
                  </w:pPr>
                  <w:r w:rsidRPr="004A0758">
                    <w:rPr>
                      <w:rFonts w:cstheme="minorHAnsi"/>
                      <w:szCs w:val="20"/>
                      <w:lang w:val="bg-BG"/>
                    </w:rPr>
                    <w:t>Българска агенция за насърчаване на</w:t>
                  </w:r>
                  <w:r>
                    <w:rPr>
                      <w:rFonts w:cstheme="minorHAnsi"/>
                      <w:szCs w:val="20"/>
                      <w:lang w:val="bg-BG"/>
                    </w:rPr>
                    <w:t xml:space="preserve"> </w:t>
                  </w:r>
                </w:p>
                <w:p w14:paraId="4DFCAC20" w14:textId="77777777" w:rsidR="004A0758" w:rsidRPr="004A0758" w:rsidRDefault="004A0758" w:rsidP="003F2025">
                  <w:pPr>
                    <w:pStyle w:val="Para0"/>
                    <w:ind w:left="720"/>
                    <w:rPr>
                      <w:rFonts w:cstheme="minorHAnsi"/>
                      <w:szCs w:val="20"/>
                      <w:lang w:val="en-US"/>
                    </w:rPr>
                  </w:pPr>
                  <w:r>
                    <w:rPr>
                      <w:rFonts w:cstheme="minorHAnsi"/>
                      <w:szCs w:val="20"/>
                      <w:lang w:val="bg-BG"/>
                    </w:rPr>
                    <w:t>малките и средни предприятия</w:t>
                  </w:r>
                </w:p>
                <w:p w14:paraId="7164335F" w14:textId="77777777" w:rsidR="00066E81" w:rsidRDefault="00D15445" w:rsidP="003F2025">
                  <w:pPr>
                    <w:pStyle w:val="Para0"/>
                    <w:numPr>
                      <w:ilvl w:val="0"/>
                      <w:numId w:val="13"/>
                    </w:numPr>
                    <w:rPr>
                      <w:rFonts w:cstheme="minorHAnsi"/>
                      <w:szCs w:val="20"/>
                      <w:lang w:val="en-US"/>
                    </w:rPr>
                  </w:pPr>
                  <w:r w:rsidRPr="00D15445">
                    <w:rPr>
                      <w:rFonts w:cstheme="minorHAnsi"/>
                      <w:szCs w:val="20"/>
                      <w:lang w:val="en-US"/>
                    </w:rPr>
                    <w:t xml:space="preserve">Българска агенция за експортно </w:t>
                  </w:r>
                </w:p>
                <w:p w14:paraId="2C13A4FF" w14:textId="77777777" w:rsidR="00D15445" w:rsidRPr="00D15445" w:rsidRDefault="00D15445" w:rsidP="003F2025">
                  <w:pPr>
                    <w:pStyle w:val="Para0"/>
                    <w:ind w:left="720"/>
                    <w:rPr>
                      <w:rFonts w:cstheme="minorHAnsi"/>
                      <w:szCs w:val="20"/>
                      <w:lang w:val="en-US"/>
                    </w:rPr>
                  </w:pPr>
                  <w:r w:rsidRPr="00D15445">
                    <w:rPr>
                      <w:rFonts w:cstheme="minorHAnsi"/>
                      <w:szCs w:val="20"/>
                      <w:lang w:val="en-US"/>
                    </w:rPr>
                    <w:t>застраховане</w:t>
                  </w:r>
                </w:p>
                <w:p w14:paraId="08AD8A41" w14:textId="77777777" w:rsidR="00D15445" w:rsidRPr="00D15445" w:rsidRDefault="00D15445" w:rsidP="003F2025">
                  <w:pPr>
                    <w:pStyle w:val="Para0"/>
                    <w:numPr>
                      <w:ilvl w:val="0"/>
                      <w:numId w:val="13"/>
                    </w:numPr>
                    <w:rPr>
                      <w:rFonts w:cstheme="minorHAnsi"/>
                      <w:szCs w:val="20"/>
                      <w:lang w:val="en-US"/>
                    </w:rPr>
                  </w:pPr>
                  <w:r w:rsidRPr="00D15445">
                    <w:rPr>
                      <w:rFonts w:cstheme="minorHAnsi"/>
                      <w:szCs w:val="20"/>
                      <w:lang w:val="en-US"/>
                    </w:rPr>
                    <w:t>Агенция за обществени поръчки</w:t>
                  </w:r>
                </w:p>
                <w:p w14:paraId="049D9B43" w14:textId="77777777" w:rsidR="00D15445" w:rsidRPr="00D15445" w:rsidRDefault="00A35A50" w:rsidP="003F2025">
                  <w:pPr>
                    <w:pStyle w:val="Para0"/>
                    <w:numPr>
                      <w:ilvl w:val="0"/>
                      <w:numId w:val="13"/>
                    </w:numPr>
                    <w:rPr>
                      <w:rFonts w:cstheme="minorHAnsi"/>
                      <w:szCs w:val="20"/>
                      <w:lang w:val="en-US"/>
                    </w:rPr>
                  </w:pPr>
                  <w:r>
                    <w:rPr>
                      <w:rFonts w:cstheme="minorHAnsi"/>
                      <w:szCs w:val="20"/>
                      <w:lang w:val="bg-BG"/>
                    </w:rPr>
                    <w:t>Н</w:t>
                  </w:r>
                  <w:r>
                    <w:rPr>
                      <w:rFonts w:cstheme="minorHAnsi"/>
                      <w:szCs w:val="20"/>
                      <w:lang w:val="en-US"/>
                    </w:rPr>
                    <w:t>ационална агенция за</w:t>
                  </w:r>
                  <w:r w:rsidR="00D15445" w:rsidRPr="00D15445">
                    <w:rPr>
                      <w:rFonts w:cstheme="minorHAnsi"/>
                      <w:szCs w:val="20"/>
                      <w:lang w:val="en-US"/>
                    </w:rPr>
                    <w:t xml:space="preserve"> приходите</w:t>
                  </w:r>
                </w:p>
                <w:p w14:paraId="2D59FCEF" w14:textId="77777777" w:rsidR="00EC2390" w:rsidRPr="00EC2390" w:rsidRDefault="00D15445" w:rsidP="003F2025">
                  <w:pPr>
                    <w:pStyle w:val="Para0"/>
                    <w:numPr>
                      <w:ilvl w:val="0"/>
                      <w:numId w:val="13"/>
                    </w:numPr>
                    <w:rPr>
                      <w:rFonts w:cstheme="minorHAnsi"/>
                      <w:szCs w:val="20"/>
                      <w:lang w:val="en-US"/>
                    </w:rPr>
                  </w:pPr>
                  <w:r w:rsidRPr="00D15445">
                    <w:rPr>
                      <w:rFonts w:cstheme="minorHAnsi"/>
                      <w:szCs w:val="20"/>
                      <w:lang w:val="en-US"/>
                    </w:rPr>
                    <w:t>Агенция "Митници"</w:t>
                  </w:r>
                </w:p>
              </w:tc>
            </w:tr>
            <w:tr w:rsidR="00EC2390" w:rsidRPr="00EC2390" w14:paraId="1B703D18" w14:textId="77777777" w:rsidTr="00377B05">
              <w:tc>
                <w:tcPr>
                  <w:tcW w:w="4842" w:type="dxa"/>
                  <w:hideMark/>
                </w:tcPr>
                <w:p w14:paraId="3F9E3927" w14:textId="77777777" w:rsidR="00EC2390" w:rsidRPr="00EC2390" w:rsidRDefault="00D15445" w:rsidP="003F2025">
                  <w:pPr>
                    <w:pStyle w:val="Para0"/>
                    <w:rPr>
                      <w:rFonts w:cstheme="minorHAnsi"/>
                      <w:b/>
                      <w:szCs w:val="20"/>
                    </w:rPr>
                  </w:pPr>
                  <w:r w:rsidRPr="00D15445">
                    <w:rPr>
                      <w:rFonts w:cstheme="minorHAnsi"/>
                      <w:b/>
                      <w:szCs w:val="20"/>
                    </w:rPr>
                    <w:t>Прилагане на закона</w:t>
                  </w:r>
                </w:p>
                <w:p w14:paraId="340358C6" w14:textId="77777777" w:rsidR="00D15445" w:rsidRPr="00D15445" w:rsidRDefault="00D15445" w:rsidP="003F2025">
                  <w:pPr>
                    <w:pStyle w:val="Para0"/>
                    <w:numPr>
                      <w:ilvl w:val="0"/>
                      <w:numId w:val="13"/>
                    </w:numPr>
                    <w:rPr>
                      <w:rFonts w:cstheme="minorHAnsi"/>
                      <w:szCs w:val="20"/>
                    </w:rPr>
                  </w:pPr>
                  <w:r w:rsidRPr="00D15445">
                    <w:rPr>
                      <w:rFonts w:cstheme="minorHAnsi"/>
                      <w:szCs w:val="20"/>
                    </w:rPr>
                    <w:t>Върховна касационна прокуратура</w:t>
                  </w:r>
                </w:p>
                <w:p w14:paraId="7F7161F7" w14:textId="77777777" w:rsidR="00D15445" w:rsidRPr="00D15445" w:rsidRDefault="00D15445" w:rsidP="003F2025">
                  <w:pPr>
                    <w:pStyle w:val="Para0"/>
                    <w:numPr>
                      <w:ilvl w:val="0"/>
                      <w:numId w:val="13"/>
                    </w:numPr>
                    <w:rPr>
                      <w:rFonts w:cstheme="minorHAnsi"/>
                      <w:szCs w:val="20"/>
                    </w:rPr>
                  </w:pPr>
                  <w:r w:rsidRPr="00D15445">
                    <w:rPr>
                      <w:rFonts w:cstheme="minorHAnsi"/>
                      <w:szCs w:val="20"/>
                    </w:rPr>
                    <w:t>Специализирана прокуратура</w:t>
                  </w:r>
                </w:p>
                <w:p w14:paraId="3BC85038" w14:textId="77777777" w:rsidR="00EC2390" w:rsidRPr="00EC2390" w:rsidRDefault="00D15445" w:rsidP="003F2025">
                  <w:pPr>
                    <w:pStyle w:val="Para0"/>
                    <w:numPr>
                      <w:ilvl w:val="0"/>
                      <w:numId w:val="13"/>
                    </w:numPr>
                    <w:rPr>
                      <w:rFonts w:cstheme="minorHAnsi"/>
                      <w:szCs w:val="20"/>
                      <w:lang w:val="en-US"/>
                    </w:rPr>
                  </w:pPr>
                  <w:r w:rsidRPr="00D15445">
                    <w:rPr>
                      <w:rFonts w:cstheme="minorHAnsi"/>
                      <w:szCs w:val="20"/>
                    </w:rPr>
                    <w:t>Софийска градска прокуратура</w:t>
                  </w:r>
                </w:p>
                <w:p w14:paraId="0EBA4831" w14:textId="77777777" w:rsidR="00EC2390" w:rsidRPr="00D15445" w:rsidRDefault="00D15445" w:rsidP="003F2025">
                  <w:pPr>
                    <w:pStyle w:val="Para0"/>
                    <w:rPr>
                      <w:rFonts w:cstheme="minorHAnsi"/>
                      <w:b/>
                      <w:szCs w:val="20"/>
                      <w:lang w:val="bg-BG"/>
                    </w:rPr>
                  </w:pPr>
                  <w:r>
                    <w:rPr>
                      <w:rFonts w:cstheme="minorHAnsi"/>
                      <w:b/>
                      <w:szCs w:val="20"/>
                      <w:lang w:val="bg-BG"/>
                    </w:rPr>
                    <w:t>Съдебни</w:t>
                  </w:r>
                </w:p>
              </w:tc>
            </w:tr>
            <w:tr w:rsidR="00EC2390" w:rsidRPr="00EC2390" w14:paraId="1779CE7B" w14:textId="77777777" w:rsidTr="00377B05">
              <w:tc>
                <w:tcPr>
                  <w:tcW w:w="4842" w:type="dxa"/>
                  <w:hideMark/>
                </w:tcPr>
                <w:p w14:paraId="3BE48B86" w14:textId="77777777" w:rsidR="00D15445" w:rsidRPr="00D15445" w:rsidRDefault="00D15445" w:rsidP="003F2025">
                  <w:pPr>
                    <w:pStyle w:val="Para0"/>
                    <w:numPr>
                      <w:ilvl w:val="0"/>
                      <w:numId w:val="14"/>
                    </w:numPr>
                    <w:rPr>
                      <w:rFonts w:cstheme="minorHAnsi"/>
                      <w:szCs w:val="20"/>
                      <w:lang w:val="en-US"/>
                    </w:rPr>
                  </w:pPr>
                  <w:r w:rsidRPr="00D15445">
                    <w:rPr>
                      <w:rFonts w:cstheme="minorHAnsi"/>
                      <w:szCs w:val="20"/>
                      <w:lang w:val="en-US"/>
                    </w:rPr>
                    <w:t>Върховен касационен съд</w:t>
                  </w:r>
                </w:p>
                <w:p w14:paraId="49C96A4C" w14:textId="77777777" w:rsidR="00D15445" w:rsidRPr="00D15445" w:rsidRDefault="00D15445" w:rsidP="003F2025">
                  <w:pPr>
                    <w:pStyle w:val="Para0"/>
                    <w:numPr>
                      <w:ilvl w:val="0"/>
                      <w:numId w:val="14"/>
                    </w:numPr>
                    <w:rPr>
                      <w:rFonts w:cstheme="minorHAnsi"/>
                      <w:szCs w:val="20"/>
                      <w:lang w:val="en-US"/>
                    </w:rPr>
                  </w:pPr>
                  <w:r w:rsidRPr="00D15445">
                    <w:rPr>
                      <w:rFonts w:cstheme="minorHAnsi"/>
                      <w:szCs w:val="20"/>
                      <w:lang w:val="en-US"/>
                    </w:rPr>
                    <w:t>Апелативен съд</w:t>
                  </w:r>
                  <w:r w:rsidR="004A0758">
                    <w:rPr>
                      <w:rFonts w:cstheme="minorHAnsi"/>
                      <w:szCs w:val="20"/>
                      <w:lang w:val="bg-BG"/>
                    </w:rPr>
                    <w:t xml:space="preserve"> Велико Търново</w:t>
                  </w:r>
                </w:p>
                <w:p w14:paraId="4EFFBE8C" w14:textId="77777777" w:rsidR="00D15445" w:rsidRPr="00D15445" w:rsidRDefault="00D15445" w:rsidP="003F2025">
                  <w:pPr>
                    <w:pStyle w:val="Para0"/>
                    <w:numPr>
                      <w:ilvl w:val="0"/>
                      <w:numId w:val="14"/>
                    </w:numPr>
                    <w:rPr>
                      <w:rFonts w:cstheme="minorHAnsi"/>
                      <w:szCs w:val="20"/>
                      <w:lang w:val="en-US"/>
                    </w:rPr>
                  </w:pPr>
                  <w:r w:rsidRPr="00D15445">
                    <w:rPr>
                      <w:rFonts w:cstheme="minorHAnsi"/>
                      <w:szCs w:val="20"/>
                      <w:lang w:val="en-US"/>
                    </w:rPr>
                    <w:lastRenderedPageBreak/>
                    <w:t>Окръжен съд Варна</w:t>
                  </w:r>
                </w:p>
                <w:p w14:paraId="443DF200" w14:textId="77777777" w:rsidR="00EC2390" w:rsidRPr="00EC2390" w:rsidRDefault="00D15445" w:rsidP="003F2025">
                  <w:pPr>
                    <w:pStyle w:val="Para0"/>
                    <w:numPr>
                      <w:ilvl w:val="0"/>
                      <w:numId w:val="14"/>
                    </w:numPr>
                    <w:rPr>
                      <w:rFonts w:cstheme="minorHAnsi"/>
                      <w:szCs w:val="20"/>
                      <w:lang w:val="en-US"/>
                    </w:rPr>
                  </w:pPr>
                  <w:r w:rsidRPr="00D15445">
                    <w:rPr>
                      <w:rFonts w:cstheme="minorHAnsi"/>
                      <w:szCs w:val="20"/>
                      <w:lang w:val="en-US"/>
                    </w:rPr>
                    <w:t>Окръжен съд Пловдив</w:t>
                  </w:r>
                </w:p>
              </w:tc>
            </w:tr>
          </w:tbl>
          <w:p w14:paraId="36F30E6A" w14:textId="77777777" w:rsidR="00EC2390" w:rsidRPr="00EC2390" w:rsidRDefault="00EC2390" w:rsidP="003F2025">
            <w:pPr>
              <w:pStyle w:val="Para0"/>
              <w:rPr>
                <w:rFonts w:cstheme="minorHAnsi"/>
                <w:szCs w:val="20"/>
                <w:lang w:val="en-US"/>
              </w:rPr>
            </w:pPr>
          </w:p>
        </w:tc>
        <w:tc>
          <w:tcPr>
            <w:tcW w:w="4266" w:type="dxa"/>
          </w:tcPr>
          <w:p w14:paraId="257CC829" w14:textId="77777777" w:rsidR="00EC2390" w:rsidRPr="00EC2390" w:rsidRDefault="00D15445" w:rsidP="003F2025">
            <w:pPr>
              <w:widowControl/>
              <w:spacing w:before="120" w:after="120" w:line="276" w:lineRule="auto"/>
              <w:jc w:val="left"/>
              <w:rPr>
                <w:rFonts w:cstheme="minorHAnsi"/>
                <w:b/>
                <w:sz w:val="20"/>
                <w:szCs w:val="20"/>
              </w:rPr>
            </w:pPr>
            <w:r w:rsidRPr="00D15445">
              <w:rPr>
                <w:rFonts w:cstheme="minorHAnsi"/>
                <w:b/>
                <w:sz w:val="20"/>
                <w:szCs w:val="20"/>
              </w:rPr>
              <w:lastRenderedPageBreak/>
              <w:t>Частен сектор и бизнес асоциации</w:t>
            </w:r>
          </w:p>
          <w:p w14:paraId="3F178398" w14:textId="77777777" w:rsidR="00EC2390" w:rsidRPr="00D15445" w:rsidRDefault="00D15445" w:rsidP="003F2025">
            <w:pPr>
              <w:widowControl/>
              <w:spacing w:before="120" w:after="120" w:line="276" w:lineRule="auto"/>
              <w:jc w:val="left"/>
              <w:rPr>
                <w:rFonts w:cstheme="minorHAnsi"/>
                <w:i/>
                <w:sz w:val="20"/>
                <w:szCs w:val="20"/>
                <w:lang w:val="bg-BG"/>
              </w:rPr>
            </w:pPr>
            <w:r>
              <w:rPr>
                <w:rFonts w:cstheme="minorHAnsi"/>
                <w:i/>
                <w:sz w:val="20"/>
                <w:szCs w:val="20"/>
                <w:lang w:val="bg-BG"/>
              </w:rPr>
              <w:t>Компании</w:t>
            </w:r>
          </w:p>
          <w:p w14:paraId="042028A0" w14:textId="77777777" w:rsidR="00EC2390" w:rsidRPr="00EC2390" w:rsidRDefault="00D15445" w:rsidP="003F2025">
            <w:pPr>
              <w:widowControl/>
              <w:numPr>
                <w:ilvl w:val="0"/>
                <w:numId w:val="15"/>
              </w:numPr>
              <w:spacing w:before="120" w:after="120" w:line="276" w:lineRule="auto"/>
              <w:jc w:val="left"/>
              <w:rPr>
                <w:rFonts w:cstheme="minorHAnsi"/>
                <w:sz w:val="20"/>
                <w:szCs w:val="20"/>
              </w:rPr>
            </w:pPr>
            <w:r>
              <w:rPr>
                <w:rFonts w:cstheme="minorHAnsi"/>
                <w:sz w:val="20"/>
                <w:szCs w:val="20"/>
                <w:lang w:val="bg-BG"/>
              </w:rPr>
              <w:t>Булгаргаз</w:t>
            </w:r>
          </w:p>
          <w:p w14:paraId="60C343C3" w14:textId="77777777" w:rsidR="00EC2390" w:rsidRPr="00EC2390" w:rsidRDefault="00D15445" w:rsidP="003F2025">
            <w:pPr>
              <w:widowControl/>
              <w:numPr>
                <w:ilvl w:val="0"/>
                <w:numId w:val="15"/>
              </w:numPr>
              <w:spacing w:before="120" w:after="120" w:line="276" w:lineRule="auto"/>
              <w:jc w:val="left"/>
              <w:rPr>
                <w:rFonts w:cstheme="minorHAnsi"/>
                <w:sz w:val="20"/>
                <w:szCs w:val="20"/>
              </w:rPr>
            </w:pPr>
            <w:r>
              <w:rPr>
                <w:rFonts w:cstheme="minorHAnsi"/>
                <w:sz w:val="20"/>
                <w:szCs w:val="20"/>
                <w:lang w:val="bg-BG"/>
              </w:rPr>
              <w:t>Техномаркет</w:t>
            </w:r>
          </w:p>
          <w:p w14:paraId="3E0B6E2D" w14:textId="77777777" w:rsidR="00EC2390" w:rsidRPr="00EC2390" w:rsidRDefault="00D15445" w:rsidP="003F2025">
            <w:pPr>
              <w:widowControl/>
              <w:numPr>
                <w:ilvl w:val="0"/>
                <w:numId w:val="15"/>
              </w:numPr>
              <w:spacing w:before="120" w:after="120" w:line="276" w:lineRule="auto"/>
              <w:jc w:val="left"/>
              <w:rPr>
                <w:rFonts w:cstheme="minorHAnsi"/>
                <w:b/>
                <w:sz w:val="20"/>
                <w:szCs w:val="20"/>
              </w:rPr>
            </w:pPr>
            <w:r>
              <w:rPr>
                <w:rFonts w:cstheme="minorHAnsi"/>
                <w:sz w:val="20"/>
                <w:szCs w:val="20"/>
                <w:lang w:val="bg-BG"/>
              </w:rPr>
              <w:t>ЗАГОРКА</w:t>
            </w:r>
          </w:p>
          <w:p w14:paraId="578E821F" w14:textId="77777777" w:rsidR="00EC2390" w:rsidRPr="00EC2390" w:rsidRDefault="00D15445" w:rsidP="003F2025">
            <w:pPr>
              <w:widowControl/>
              <w:spacing w:before="120" w:after="120" w:line="276" w:lineRule="auto"/>
              <w:jc w:val="left"/>
              <w:rPr>
                <w:rFonts w:cstheme="minorHAnsi"/>
                <w:i/>
                <w:sz w:val="20"/>
                <w:szCs w:val="20"/>
              </w:rPr>
            </w:pPr>
            <w:r>
              <w:rPr>
                <w:rFonts w:cstheme="minorHAnsi"/>
                <w:i/>
                <w:sz w:val="20"/>
                <w:szCs w:val="20"/>
                <w:lang w:val="bg-BG"/>
              </w:rPr>
              <w:t>Бизнес асоциации</w:t>
            </w:r>
            <w:r w:rsidR="00EC2390" w:rsidRPr="00EC2390">
              <w:rPr>
                <w:rFonts w:cstheme="minorHAnsi"/>
                <w:i/>
                <w:sz w:val="20"/>
                <w:szCs w:val="20"/>
              </w:rPr>
              <w:t xml:space="preserve"> </w:t>
            </w:r>
          </w:p>
          <w:p w14:paraId="1122CDEF" w14:textId="77777777" w:rsidR="00D15445" w:rsidRPr="00D15445" w:rsidRDefault="00D15445" w:rsidP="003F2025">
            <w:pPr>
              <w:pStyle w:val="ListParagraph"/>
              <w:widowControl/>
              <w:numPr>
                <w:ilvl w:val="0"/>
                <w:numId w:val="16"/>
              </w:numPr>
              <w:spacing w:before="120" w:after="120" w:line="276" w:lineRule="auto"/>
              <w:jc w:val="left"/>
              <w:rPr>
                <w:rFonts w:cstheme="minorHAnsi"/>
                <w:sz w:val="20"/>
                <w:szCs w:val="20"/>
              </w:rPr>
            </w:pPr>
            <w:r w:rsidRPr="00D15445">
              <w:rPr>
                <w:rFonts w:cstheme="minorHAnsi"/>
                <w:sz w:val="20"/>
                <w:szCs w:val="20"/>
              </w:rPr>
              <w:t>Американската търговска камара в България</w:t>
            </w:r>
          </w:p>
          <w:p w14:paraId="7F430829" w14:textId="77777777" w:rsidR="00EC2390" w:rsidRPr="00EC2390" w:rsidRDefault="00D15445" w:rsidP="003F2025">
            <w:pPr>
              <w:pStyle w:val="ListParagraph"/>
              <w:widowControl/>
              <w:numPr>
                <w:ilvl w:val="0"/>
                <w:numId w:val="16"/>
              </w:numPr>
              <w:spacing w:before="120" w:after="120" w:line="276" w:lineRule="auto"/>
              <w:contextualSpacing w:val="0"/>
              <w:jc w:val="left"/>
              <w:rPr>
                <w:rFonts w:cstheme="minorHAnsi"/>
                <w:sz w:val="20"/>
                <w:szCs w:val="20"/>
                <w:lang w:val="en-US"/>
              </w:rPr>
            </w:pPr>
            <w:r w:rsidRPr="00D15445">
              <w:rPr>
                <w:rFonts w:cstheme="minorHAnsi"/>
                <w:sz w:val="20"/>
                <w:szCs w:val="20"/>
              </w:rPr>
              <w:t xml:space="preserve">Асоциация на </w:t>
            </w:r>
            <w:r w:rsidR="00A453EF" w:rsidRPr="00D15445">
              <w:rPr>
                <w:rFonts w:cstheme="minorHAnsi"/>
                <w:sz w:val="20"/>
                <w:szCs w:val="20"/>
              </w:rPr>
              <w:t>организации</w:t>
            </w:r>
            <w:r w:rsidR="00A453EF">
              <w:rPr>
                <w:rFonts w:cstheme="minorHAnsi"/>
                <w:sz w:val="20"/>
                <w:szCs w:val="20"/>
                <w:lang w:val="bg-BG"/>
              </w:rPr>
              <w:t>те на</w:t>
            </w:r>
            <w:r w:rsidR="00A453EF" w:rsidRPr="00D15445">
              <w:rPr>
                <w:rFonts w:cstheme="minorHAnsi"/>
                <w:sz w:val="20"/>
                <w:szCs w:val="20"/>
              </w:rPr>
              <w:t xml:space="preserve"> </w:t>
            </w:r>
            <w:r w:rsidR="00A453EF">
              <w:rPr>
                <w:rFonts w:cstheme="minorHAnsi"/>
                <w:sz w:val="20"/>
                <w:szCs w:val="20"/>
              </w:rPr>
              <w:t>българските работодател</w:t>
            </w:r>
            <w:r w:rsidRPr="00D15445">
              <w:rPr>
                <w:rFonts w:cstheme="minorHAnsi"/>
                <w:sz w:val="20"/>
                <w:szCs w:val="20"/>
              </w:rPr>
              <w:t xml:space="preserve">и </w:t>
            </w:r>
            <w:r w:rsidR="00A453EF">
              <w:rPr>
                <w:rFonts w:cstheme="minorHAnsi"/>
                <w:sz w:val="20"/>
                <w:szCs w:val="20"/>
                <w:lang w:val="bg-BG"/>
              </w:rPr>
              <w:t>(АОБР)</w:t>
            </w:r>
          </w:p>
          <w:p w14:paraId="499D11E4" w14:textId="77777777" w:rsidR="00EC2390" w:rsidRPr="00D15445" w:rsidRDefault="00D15445" w:rsidP="003F2025">
            <w:pPr>
              <w:widowControl/>
              <w:spacing w:before="120" w:after="120" w:line="276" w:lineRule="auto"/>
              <w:jc w:val="left"/>
              <w:rPr>
                <w:rFonts w:cstheme="minorHAnsi"/>
                <w:b/>
                <w:sz w:val="20"/>
                <w:szCs w:val="20"/>
                <w:lang w:val="bg-BG"/>
              </w:rPr>
            </w:pPr>
            <w:r>
              <w:rPr>
                <w:rFonts w:cstheme="minorHAnsi"/>
                <w:b/>
                <w:sz w:val="20"/>
                <w:szCs w:val="20"/>
                <w:lang w:val="bg-BG"/>
              </w:rPr>
              <w:t>Финансови институции</w:t>
            </w:r>
          </w:p>
          <w:p w14:paraId="29C4418E" w14:textId="77777777" w:rsidR="00EC2390" w:rsidRPr="00EC2390" w:rsidRDefault="00D15445" w:rsidP="003F2025">
            <w:pPr>
              <w:pStyle w:val="ListParagraph"/>
              <w:widowControl/>
              <w:numPr>
                <w:ilvl w:val="0"/>
                <w:numId w:val="17"/>
              </w:numPr>
              <w:spacing w:before="120" w:after="120" w:line="276" w:lineRule="auto"/>
              <w:contextualSpacing w:val="0"/>
              <w:jc w:val="left"/>
              <w:rPr>
                <w:rFonts w:cstheme="minorHAnsi"/>
                <w:sz w:val="20"/>
                <w:szCs w:val="20"/>
                <w:lang w:val="en-US"/>
              </w:rPr>
            </w:pPr>
            <w:r>
              <w:rPr>
                <w:rFonts w:cstheme="minorHAnsi"/>
                <w:sz w:val="20"/>
                <w:szCs w:val="20"/>
                <w:lang w:val="bg-BG"/>
              </w:rPr>
              <w:t>УниКредит</w:t>
            </w:r>
          </w:p>
          <w:p w14:paraId="6913A360" w14:textId="77777777" w:rsidR="00EC2390" w:rsidRPr="00EC2390" w:rsidRDefault="00D15445" w:rsidP="003F2025">
            <w:pPr>
              <w:pStyle w:val="ListParagraph"/>
              <w:widowControl/>
              <w:numPr>
                <w:ilvl w:val="0"/>
                <w:numId w:val="17"/>
              </w:numPr>
              <w:spacing w:before="120" w:after="120" w:line="276" w:lineRule="auto"/>
              <w:contextualSpacing w:val="0"/>
              <w:jc w:val="left"/>
              <w:rPr>
                <w:rFonts w:cstheme="minorHAnsi"/>
                <w:sz w:val="20"/>
                <w:szCs w:val="20"/>
                <w:lang w:val="en-US"/>
              </w:rPr>
            </w:pPr>
            <w:r>
              <w:rPr>
                <w:rFonts w:cstheme="minorHAnsi"/>
                <w:sz w:val="20"/>
                <w:szCs w:val="20"/>
                <w:lang w:val="bg-BG"/>
              </w:rPr>
              <w:t>Обединена Българск Банка</w:t>
            </w:r>
          </w:p>
          <w:p w14:paraId="316F7BF5" w14:textId="77777777" w:rsidR="00D15445" w:rsidRPr="00D15445" w:rsidRDefault="00D15445" w:rsidP="003F2025">
            <w:pPr>
              <w:pStyle w:val="ListParagraph"/>
              <w:widowControl/>
              <w:numPr>
                <w:ilvl w:val="0"/>
                <w:numId w:val="17"/>
              </w:numPr>
              <w:spacing w:before="120" w:after="120" w:line="276" w:lineRule="auto"/>
              <w:jc w:val="left"/>
              <w:rPr>
                <w:rFonts w:cstheme="minorHAnsi"/>
                <w:sz w:val="20"/>
                <w:szCs w:val="20"/>
                <w:lang w:val="en-US"/>
              </w:rPr>
            </w:pPr>
            <w:r w:rsidRPr="00D15445">
              <w:rPr>
                <w:rFonts w:cstheme="minorHAnsi"/>
                <w:sz w:val="20"/>
                <w:szCs w:val="20"/>
                <w:lang w:val="en-US"/>
              </w:rPr>
              <w:t>Централна кооперативна банка</w:t>
            </w:r>
          </w:p>
          <w:p w14:paraId="1CF336EE" w14:textId="77777777" w:rsidR="00D15445" w:rsidRPr="00D15445" w:rsidRDefault="00D15445" w:rsidP="003F2025">
            <w:pPr>
              <w:pStyle w:val="ListParagraph"/>
              <w:widowControl/>
              <w:numPr>
                <w:ilvl w:val="0"/>
                <w:numId w:val="17"/>
              </w:numPr>
              <w:spacing w:before="120" w:after="120" w:line="276" w:lineRule="auto"/>
              <w:jc w:val="left"/>
              <w:rPr>
                <w:rFonts w:cstheme="minorHAnsi"/>
                <w:sz w:val="20"/>
                <w:szCs w:val="20"/>
                <w:lang w:val="en-US"/>
              </w:rPr>
            </w:pPr>
            <w:r w:rsidRPr="00D15445">
              <w:rPr>
                <w:rFonts w:cstheme="minorHAnsi"/>
                <w:sz w:val="20"/>
                <w:szCs w:val="20"/>
                <w:lang w:val="en-US"/>
              </w:rPr>
              <w:t>ДСК</w:t>
            </w:r>
          </w:p>
          <w:p w14:paraId="398F0288" w14:textId="77777777" w:rsidR="00EC2390" w:rsidRPr="00EC2390" w:rsidRDefault="00D15445" w:rsidP="003F2025">
            <w:pPr>
              <w:pStyle w:val="ListParagraph"/>
              <w:widowControl/>
              <w:numPr>
                <w:ilvl w:val="0"/>
                <w:numId w:val="17"/>
              </w:numPr>
              <w:spacing w:before="120" w:after="120" w:line="276" w:lineRule="auto"/>
              <w:contextualSpacing w:val="0"/>
              <w:jc w:val="left"/>
              <w:rPr>
                <w:rFonts w:cstheme="minorHAnsi"/>
                <w:sz w:val="20"/>
                <w:szCs w:val="20"/>
                <w:lang w:val="en-US"/>
              </w:rPr>
            </w:pPr>
            <w:r w:rsidRPr="00D15445">
              <w:rPr>
                <w:rFonts w:cstheme="minorHAnsi"/>
                <w:sz w:val="20"/>
                <w:szCs w:val="20"/>
                <w:lang w:val="en-US"/>
              </w:rPr>
              <w:t>Пощенска банка</w:t>
            </w:r>
          </w:p>
          <w:p w14:paraId="3E60EC7B" w14:textId="77777777" w:rsidR="00EC2390" w:rsidRPr="00D15445" w:rsidRDefault="00D15445" w:rsidP="003F2025">
            <w:pPr>
              <w:widowControl/>
              <w:spacing w:before="120" w:after="120" w:line="276" w:lineRule="auto"/>
              <w:jc w:val="left"/>
              <w:rPr>
                <w:rFonts w:cstheme="minorHAnsi"/>
                <w:b/>
                <w:sz w:val="20"/>
                <w:szCs w:val="20"/>
                <w:lang w:val="bg-BG"/>
              </w:rPr>
            </w:pPr>
            <w:r w:rsidRPr="00D15445">
              <w:rPr>
                <w:rFonts w:cstheme="minorHAnsi"/>
                <w:b/>
                <w:sz w:val="20"/>
                <w:szCs w:val="20"/>
              </w:rPr>
              <w:t xml:space="preserve">Юридическа професия и </w:t>
            </w:r>
            <w:r>
              <w:rPr>
                <w:rFonts w:cstheme="minorHAnsi"/>
                <w:b/>
                <w:sz w:val="20"/>
                <w:szCs w:val="20"/>
                <w:lang w:val="bg-BG"/>
              </w:rPr>
              <w:t>академия</w:t>
            </w:r>
          </w:p>
          <w:p w14:paraId="275CF2B1" w14:textId="77777777" w:rsidR="00D15445" w:rsidRPr="00D15445" w:rsidRDefault="00D15445" w:rsidP="003F2025">
            <w:pPr>
              <w:pStyle w:val="ListParagraph"/>
              <w:widowControl/>
              <w:numPr>
                <w:ilvl w:val="0"/>
                <w:numId w:val="18"/>
              </w:numPr>
              <w:spacing w:before="120" w:after="120" w:line="276" w:lineRule="auto"/>
              <w:jc w:val="left"/>
              <w:rPr>
                <w:rFonts w:cstheme="minorHAnsi"/>
                <w:sz w:val="20"/>
                <w:szCs w:val="20"/>
              </w:rPr>
            </w:pPr>
            <w:r w:rsidRPr="00D15445">
              <w:rPr>
                <w:rFonts w:cstheme="minorHAnsi"/>
                <w:sz w:val="20"/>
                <w:szCs w:val="20"/>
              </w:rPr>
              <w:t>Нов български университет</w:t>
            </w:r>
          </w:p>
          <w:p w14:paraId="33D73922" w14:textId="77777777" w:rsidR="00D15445" w:rsidRPr="00D15445" w:rsidRDefault="00D15445" w:rsidP="003F2025">
            <w:pPr>
              <w:pStyle w:val="ListParagraph"/>
              <w:widowControl/>
              <w:numPr>
                <w:ilvl w:val="0"/>
                <w:numId w:val="18"/>
              </w:numPr>
              <w:spacing w:before="120" w:after="120" w:line="276" w:lineRule="auto"/>
              <w:jc w:val="left"/>
              <w:rPr>
                <w:rFonts w:cstheme="minorHAnsi"/>
                <w:sz w:val="20"/>
                <w:szCs w:val="20"/>
              </w:rPr>
            </w:pPr>
            <w:r w:rsidRPr="00D15445">
              <w:rPr>
                <w:rFonts w:cstheme="minorHAnsi"/>
                <w:sz w:val="20"/>
                <w:szCs w:val="20"/>
              </w:rPr>
              <w:t>Софийския университет</w:t>
            </w:r>
          </w:p>
          <w:p w14:paraId="62B7961B" w14:textId="77777777" w:rsidR="00D15445" w:rsidRPr="00D15445" w:rsidRDefault="00D15445" w:rsidP="003F2025">
            <w:pPr>
              <w:pStyle w:val="ListParagraph"/>
              <w:widowControl/>
              <w:numPr>
                <w:ilvl w:val="0"/>
                <w:numId w:val="18"/>
              </w:numPr>
              <w:spacing w:before="120" w:after="120" w:line="276" w:lineRule="auto"/>
              <w:jc w:val="left"/>
              <w:rPr>
                <w:rFonts w:cstheme="minorHAnsi"/>
                <w:sz w:val="20"/>
                <w:szCs w:val="20"/>
              </w:rPr>
            </w:pPr>
            <w:r w:rsidRPr="00D15445">
              <w:rPr>
                <w:rFonts w:cstheme="minorHAnsi"/>
                <w:sz w:val="20"/>
                <w:szCs w:val="20"/>
              </w:rPr>
              <w:t>Университет за национално и световно стопанство</w:t>
            </w:r>
          </w:p>
          <w:p w14:paraId="380671F6" w14:textId="77777777" w:rsidR="00EC2390" w:rsidRPr="00EC2390" w:rsidRDefault="00D15445" w:rsidP="003F2025">
            <w:pPr>
              <w:pStyle w:val="ListParagraph"/>
              <w:widowControl/>
              <w:numPr>
                <w:ilvl w:val="0"/>
                <w:numId w:val="18"/>
              </w:numPr>
              <w:spacing w:before="120" w:after="120" w:line="276" w:lineRule="auto"/>
              <w:contextualSpacing w:val="0"/>
              <w:jc w:val="left"/>
              <w:rPr>
                <w:rFonts w:cstheme="minorHAnsi"/>
                <w:b/>
                <w:color w:val="000000" w:themeColor="text1"/>
                <w:sz w:val="20"/>
                <w:szCs w:val="20"/>
              </w:rPr>
            </w:pPr>
            <w:r w:rsidRPr="00D15445">
              <w:rPr>
                <w:rFonts w:cstheme="minorHAnsi"/>
                <w:sz w:val="20"/>
                <w:szCs w:val="20"/>
              </w:rPr>
              <w:t>Адвокатско дружество „Джингов, Гугински, Кючуков и Величков“</w:t>
            </w:r>
          </w:p>
          <w:p w14:paraId="6A4EB046" w14:textId="77777777" w:rsidR="00EC2390" w:rsidRPr="00EC2390" w:rsidRDefault="00D15445" w:rsidP="003F2025">
            <w:pPr>
              <w:widowControl/>
              <w:spacing w:before="120" w:after="120" w:line="276" w:lineRule="auto"/>
              <w:jc w:val="left"/>
              <w:rPr>
                <w:rFonts w:cstheme="minorHAnsi"/>
                <w:b/>
                <w:sz w:val="20"/>
                <w:szCs w:val="20"/>
              </w:rPr>
            </w:pPr>
            <w:r w:rsidRPr="00D15445">
              <w:rPr>
                <w:rFonts w:cstheme="minorHAnsi"/>
                <w:b/>
                <w:sz w:val="20"/>
                <w:szCs w:val="20"/>
              </w:rPr>
              <w:t>Счетоводна и одиторска професия</w:t>
            </w:r>
          </w:p>
          <w:p w14:paraId="67CD5953" w14:textId="77777777" w:rsidR="00CF5599" w:rsidRPr="00CF5599" w:rsidRDefault="00CF5599" w:rsidP="003F2025">
            <w:pPr>
              <w:pStyle w:val="ListParagraph"/>
              <w:widowControl/>
              <w:numPr>
                <w:ilvl w:val="0"/>
                <w:numId w:val="19"/>
              </w:numPr>
              <w:spacing w:before="120" w:after="120" w:line="276" w:lineRule="auto"/>
              <w:jc w:val="left"/>
              <w:rPr>
                <w:rFonts w:cstheme="minorHAnsi"/>
                <w:sz w:val="20"/>
                <w:szCs w:val="20"/>
              </w:rPr>
            </w:pPr>
            <w:r w:rsidRPr="00CF5599">
              <w:rPr>
                <w:rFonts w:cstheme="minorHAnsi"/>
                <w:sz w:val="20"/>
                <w:szCs w:val="20"/>
              </w:rPr>
              <w:t>Институт на дипломираните експерт-счетоводители</w:t>
            </w:r>
          </w:p>
          <w:p w14:paraId="4BE8B492" w14:textId="77777777" w:rsidR="00EC2390" w:rsidRPr="00EC2390" w:rsidRDefault="00CF5599" w:rsidP="003F2025">
            <w:pPr>
              <w:pStyle w:val="ListParagraph"/>
              <w:widowControl/>
              <w:numPr>
                <w:ilvl w:val="0"/>
                <w:numId w:val="19"/>
              </w:numPr>
              <w:spacing w:before="120" w:after="120" w:line="276" w:lineRule="auto"/>
              <w:contextualSpacing w:val="0"/>
              <w:jc w:val="left"/>
              <w:rPr>
                <w:rFonts w:cstheme="minorHAnsi"/>
                <w:sz w:val="20"/>
                <w:szCs w:val="20"/>
              </w:rPr>
            </w:pPr>
            <w:r w:rsidRPr="00CF5599">
              <w:rPr>
                <w:rFonts w:cstheme="minorHAnsi"/>
                <w:sz w:val="20"/>
                <w:szCs w:val="20"/>
              </w:rPr>
              <w:t xml:space="preserve">Комисия за </w:t>
            </w:r>
            <w:r w:rsidR="005B31CE">
              <w:rPr>
                <w:rFonts w:cstheme="minorHAnsi"/>
                <w:sz w:val="20"/>
                <w:szCs w:val="20"/>
                <w:lang w:val="bg-BG"/>
              </w:rPr>
              <w:t xml:space="preserve">публичен </w:t>
            </w:r>
            <w:r w:rsidR="005B31CE">
              <w:rPr>
                <w:rFonts w:cstheme="minorHAnsi"/>
                <w:sz w:val="20"/>
                <w:szCs w:val="20"/>
              </w:rPr>
              <w:t xml:space="preserve">надзор над </w:t>
            </w:r>
            <w:r w:rsidR="005B31CE">
              <w:rPr>
                <w:rFonts w:cstheme="minorHAnsi"/>
                <w:sz w:val="20"/>
                <w:szCs w:val="20"/>
                <w:lang w:val="bg-BG"/>
              </w:rPr>
              <w:t>регистрираните</w:t>
            </w:r>
            <w:r w:rsidRPr="00CF5599">
              <w:rPr>
                <w:rFonts w:cstheme="minorHAnsi"/>
                <w:sz w:val="20"/>
                <w:szCs w:val="20"/>
              </w:rPr>
              <w:t xml:space="preserve"> одитори</w:t>
            </w:r>
            <w:r w:rsidR="005B31CE">
              <w:rPr>
                <w:rFonts w:cstheme="minorHAnsi"/>
                <w:sz w:val="20"/>
                <w:szCs w:val="20"/>
                <w:lang w:val="bg-BG"/>
              </w:rPr>
              <w:t xml:space="preserve"> (КПНРО)</w:t>
            </w:r>
          </w:p>
          <w:p w14:paraId="396422B3" w14:textId="77777777" w:rsidR="00EC2390" w:rsidRPr="00EC2390" w:rsidRDefault="00EC2390" w:rsidP="003F2025">
            <w:pPr>
              <w:pStyle w:val="ListParagraph"/>
              <w:widowControl/>
              <w:spacing w:before="120" w:after="120" w:line="276" w:lineRule="auto"/>
              <w:ind w:left="714"/>
              <w:contextualSpacing w:val="0"/>
              <w:jc w:val="left"/>
              <w:rPr>
                <w:rFonts w:cstheme="minorHAnsi"/>
                <w:b/>
                <w:sz w:val="20"/>
                <w:szCs w:val="20"/>
                <w:lang w:val="en-US"/>
              </w:rPr>
            </w:pPr>
          </w:p>
          <w:p w14:paraId="519408D0" w14:textId="77777777" w:rsidR="00EC2390" w:rsidRPr="00EC2390" w:rsidRDefault="00EC2390" w:rsidP="003F2025">
            <w:pPr>
              <w:pStyle w:val="Para0"/>
              <w:rPr>
                <w:rFonts w:cstheme="minorHAnsi"/>
                <w:szCs w:val="20"/>
                <w:lang w:val="en-US"/>
              </w:rPr>
            </w:pPr>
          </w:p>
        </w:tc>
      </w:tr>
    </w:tbl>
    <w:p w14:paraId="54E89856" w14:textId="77777777" w:rsidR="00EC2390" w:rsidRPr="00EC2390" w:rsidRDefault="00EC2390" w:rsidP="003F2025">
      <w:pPr>
        <w:pStyle w:val="ListParagraph"/>
        <w:widowControl/>
        <w:numPr>
          <w:ilvl w:val="0"/>
          <w:numId w:val="19"/>
        </w:numPr>
        <w:spacing w:before="120" w:after="120" w:line="276" w:lineRule="auto"/>
        <w:contextualSpacing w:val="0"/>
        <w:jc w:val="left"/>
        <w:rPr>
          <w:rFonts w:cstheme="minorHAnsi"/>
          <w:sz w:val="20"/>
          <w:szCs w:val="20"/>
        </w:rPr>
      </w:pPr>
      <w:r w:rsidRPr="00EC2390">
        <w:rPr>
          <w:rFonts w:cstheme="minorHAnsi"/>
          <w:sz w:val="20"/>
          <w:szCs w:val="20"/>
        </w:rPr>
        <w:lastRenderedPageBreak/>
        <w:t xml:space="preserve">Deloitte </w:t>
      </w:r>
    </w:p>
    <w:p w14:paraId="7A28F334" w14:textId="77777777" w:rsidR="00EC2390" w:rsidRPr="00EC2390" w:rsidRDefault="00EC2390" w:rsidP="003F2025">
      <w:pPr>
        <w:pStyle w:val="ListParagraph"/>
        <w:widowControl/>
        <w:numPr>
          <w:ilvl w:val="0"/>
          <w:numId w:val="19"/>
        </w:numPr>
        <w:spacing w:before="120" w:after="120" w:line="276" w:lineRule="auto"/>
        <w:contextualSpacing w:val="0"/>
        <w:jc w:val="left"/>
        <w:rPr>
          <w:rFonts w:cstheme="minorHAnsi"/>
          <w:sz w:val="20"/>
          <w:szCs w:val="20"/>
        </w:rPr>
      </w:pPr>
      <w:r w:rsidRPr="00EC2390">
        <w:rPr>
          <w:rFonts w:cstheme="minorHAnsi"/>
          <w:sz w:val="20"/>
          <w:szCs w:val="20"/>
        </w:rPr>
        <w:t>KPMG</w:t>
      </w:r>
    </w:p>
    <w:p w14:paraId="10071B8A" w14:textId="77777777" w:rsidR="00EC2390" w:rsidRPr="00EC2390" w:rsidRDefault="00CF5599" w:rsidP="003F2025">
      <w:pPr>
        <w:widowControl/>
        <w:spacing w:before="120" w:after="120" w:line="276" w:lineRule="auto"/>
        <w:jc w:val="left"/>
        <w:rPr>
          <w:rFonts w:cstheme="minorHAnsi"/>
          <w:b/>
          <w:sz w:val="20"/>
          <w:szCs w:val="20"/>
        </w:rPr>
      </w:pPr>
      <w:r w:rsidRPr="00CF5599">
        <w:rPr>
          <w:rFonts w:cstheme="minorHAnsi"/>
          <w:b/>
          <w:sz w:val="20"/>
          <w:szCs w:val="20"/>
        </w:rPr>
        <w:t>Гражданско общество и медии</w:t>
      </w:r>
    </w:p>
    <w:p w14:paraId="7BB8242B" w14:textId="77777777" w:rsidR="00CF5599" w:rsidRPr="00CF5599" w:rsidRDefault="00CF5599" w:rsidP="003F2025">
      <w:pPr>
        <w:pStyle w:val="ListParagraph"/>
        <w:widowControl/>
        <w:numPr>
          <w:ilvl w:val="0"/>
          <w:numId w:val="20"/>
        </w:numPr>
        <w:spacing w:before="120" w:after="120" w:line="276" w:lineRule="auto"/>
        <w:jc w:val="left"/>
        <w:rPr>
          <w:rFonts w:cstheme="minorHAnsi"/>
          <w:sz w:val="20"/>
          <w:szCs w:val="20"/>
          <w:lang w:val="en-US"/>
        </w:rPr>
      </w:pPr>
      <w:r w:rsidRPr="00CF5599">
        <w:rPr>
          <w:rFonts w:cstheme="minorHAnsi"/>
          <w:sz w:val="20"/>
          <w:szCs w:val="20"/>
          <w:lang w:val="en-US"/>
        </w:rPr>
        <w:t>Transparency International България</w:t>
      </w:r>
    </w:p>
    <w:p w14:paraId="625077CF" w14:textId="77777777" w:rsidR="00EC2390" w:rsidRPr="00EC2390" w:rsidRDefault="00CF5599" w:rsidP="003F2025">
      <w:pPr>
        <w:pStyle w:val="ListParagraph"/>
        <w:widowControl/>
        <w:numPr>
          <w:ilvl w:val="0"/>
          <w:numId w:val="20"/>
        </w:numPr>
        <w:spacing w:before="120" w:after="120" w:line="276" w:lineRule="auto"/>
        <w:contextualSpacing w:val="0"/>
        <w:jc w:val="left"/>
        <w:rPr>
          <w:rFonts w:cstheme="minorHAnsi"/>
          <w:b/>
          <w:sz w:val="20"/>
          <w:szCs w:val="20"/>
          <w:lang w:val="en-US"/>
        </w:rPr>
      </w:pPr>
      <w:r w:rsidRPr="00CF5599">
        <w:rPr>
          <w:rFonts w:cstheme="minorHAnsi"/>
          <w:sz w:val="20"/>
          <w:szCs w:val="20"/>
          <w:lang w:val="en-US"/>
        </w:rPr>
        <w:t xml:space="preserve">Вестник </w:t>
      </w:r>
      <w:r w:rsidR="005B31CE">
        <w:rPr>
          <w:rFonts w:cstheme="minorHAnsi"/>
          <w:sz w:val="20"/>
          <w:szCs w:val="20"/>
          <w:lang w:val="bg-BG"/>
        </w:rPr>
        <w:t>„</w:t>
      </w:r>
      <w:r w:rsidRPr="00CF5599">
        <w:rPr>
          <w:rFonts w:cstheme="minorHAnsi"/>
          <w:sz w:val="20"/>
          <w:szCs w:val="20"/>
          <w:lang w:val="en-US"/>
        </w:rPr>
        <w:t>Дневник</w:t>
      </w:r>
      <w:r w:rsidR="005B31CE">
        <w:rPr>
          <w:rFonts w:cstheme="minorHAnsi"/>
          <w:sz w:val="20"/>
          <w:szCs w:val="20"/>
          <w:lang w:val="bg-BG"/>
        </w:rPr>
        <w:t>“</w:t>
      </w:r>
    </w:p>
    <w:p w14:paraId="44113982" w14:textId="77777777" w:rsidR="00EC2390" w:rsidRPr="00EC2390" w:rsidRDefault="00EC2390" w:rsidP="00EC2390"/>
    <w:p w14:paraId="63D80CFC" w14:textId="77777777" w:rsidR="00EC2390" w:rsidRPr="00EC2390" w:rsidRDefault="00EC2390" w:rsidP="00EC2390"/>
    <w:p w14:paraId="72771ACD" w14:textId="77777777" w:rsidR="00EC2390" w:rsidRPr="00EC2390" w:rsidRDefault="00EC2390" w:rsidP="00EC2390"/>
    <w:p w14:paraId="5E4C22F5" w14:textId="77777777" w:rsidR="00EC2390" w:rsidRPr="00EC2390" w:rsidRDefault="00EC2390" w:rsidP="00EC2390"/>
    <w:p w14:paraId="29E5EDD7" w14:textId="77777777" w:rsidR="00EC2390" w:rsidRPr="00EC2390" w:rsidRDefault="00EC2390" w:rsidP="00EC2390"/>
    <w:p w14:paraId="74E22CF7" w14:textId="77777777" w:rsidR="00EC2390" w:rsidRPr="00EC2390" w:rsidRDefault="00EC2390" w:rsidP="00EC2390"/>
    <w:p w14:paraId="23E3F419" w14:textId="77777777" w:rsidR="00EC2390" w:rsidRPr="00EC2390" w:rsidRDefault="00EC2390" w:rsidP="00EC2390"/>
    <w:p w14:paraId="7B181A00" w14:textId="77777777" w:rsidR="00EC2390" w:rsidRPr="00EC2390" w:rsidRDefault="00EC2390" w:rsidP="00EC2390"/>
    <w:p w14:paraId="66AA77AC" w14:textId="77777777" w:rsidR="00EC2390" w:rsidRPr="00EC2390" w:rsidRDefault="00EC2390" w:rsidP="00EC2390">
      <w:pPr>
        <w:sectPr w:rsidR="00EC2390" w:rsidRPr="00EC2390" w:rsidSect="00EC2390">
          <w:headerReference w:type="even" r:id="rId20"/>
          <w:headerReference w:type="default" r:id="rId21"/>
          <w:footerReference w:type="even" r:id="rId22"/>
          <w:footerReference w:type="default" r:id="rId23"/>
          <w:endnotePr>
            <w:numFmt w:val="decimal"/>
            <w:numRestart w:val="eachSect"/>
          </w:endnotePr>
          <w:type w:val="continuous"/>
          <w:pgSz w:w="11906" w:h="16838" w:code="9"/>
          <w:pgMar w:top="1814" w:right="1304" w:bottom="1758" w:left="1304" w:header="1247" w:footer="1020" w:gutter="0"/>
          <w:cols w:space="708"/>
          <w:titlePg/>
          <w:docGrid w:linePitch="360"/>
        </w:sectPr>
      </w:pPr>
    </w:p>
    <w:p w14:paraId="34BDDD1F" w14:textId="77777777" w:rsidR="00EC2390" w:rsidRDefault="00F51C84" w:rsidP="004A0758">
      <w:pPr>
        <w:pStyle w:val="Heading1"/>
        <w:framePr w:wrap="notBeside" w:x="1456" w:y="2"/>
        <w:numPr>
          <w:ilvl w:val="0"/>
          <w:numId w:val="0"/>
        </w:numPr>
        <w:ind w:left="113"/>
        <w:rPr>
          <w:lang w:val="en-US"/>
        </w:rPr>
      </w:pPr>
      <w:r w:rsidRPr="00F51C84">
        <w:rPr>
          <w:lang w:val="en-US"/>
        </w:rPr>
        <w:lastRenderedPageBreak/>
        <w:t>Приложение 3: Списък на съкращенията, термините и акронимите</w:t>
      </w:r>
    </w:p>
    <w:tbl>
      <w:tblPr>
        <w:tblStyle w:val="TableGrid2"/>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7526"/>
      </w:tblGrid>
      <w:tr w:rsidR="00EC2390" w:rsidRPr="00E20E34" w14:paraId="7DF022FC" w14:textId="77777777" w:rsidTr="00EC2390">
        <w:tc>
          <w:tcPr>
            <w:tcW w:w="1741" w:type="dxa"/>
            <w:vAlign w:val="center"/>
            <w:hideMark/>
          </w:tcPr>
          <w:p w14:paraId="72D8CDB8" w14:textId="77777777" w:rsidR="00EC2390" w:rsidRPr="00EC2390" w:rsidRDefault="00EC2390" w:rsidP="00EC2390">
            <w:pPr>
              <w:widowControl/>
              <w:spacing w:after="120"/>
              <w:ind w:right="680"/>
              <w:rPr>
                <w:rFonts w:asciiTheme="minorHAnsi" w:eastAsia="SimSun" w:hAnsiTheme="minorHAnsi" w:cstheme="minorHAnsi"/>
              </w:rPr>
            </w:pPr>
            <w:bookmarkStart w:id="49" w:name="_GoBack" w:colFirst="1" w:colLast="1"/>
            <w:r w:rsidRPr="00EC2390">
              <w:rPr>
                <w:rFonts w:asciiTheme="minorHAnsi" w:eastAsia="SimSun" w:hAnsiTheme="minorHAnsi" w:cstheme="minorHAnsi"/>
              </w:rPr>
              <w:t>AML</w:t>
            </w:r>
          </w:p>
          <w:p w14:paraId="0258F56C"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БАЕЗ</w:t>
            </w:r>
          </w:p>
          <w:p w14:paraId="29CBE12A" w14:textId="77777777" w:rsidR="00EC2390" w:rsidRPr="00EC2390" w:rsidRDefault="00EC2390" w:rsidP="00EC2390">
            <w:pPr>
              <w:widowControl/>
              <w:spacing w:after="120"/>
              <w:ind w:right="680"/>
              <w:rPr>
                <w:rFonts w:asciiTheme="minorHAnsi" w:eastAsia="SimSun" w:hAnsiTheme="minorHAnsi" w:cstheme="minorHAnsi"/>
              </w:rPr>
            </w:pPr>
            <w:r w:rsidRPr="00EC2390">
              <w:rPr>
                <w:rFonts w:asciiTheme="minorHAnsi" w:eastAsia="SimSun" w:hAnsiTheme="minorHAnsi" w:cstheme="minorHAnsi"/>
              </w:rPr>
              <w:t>BGN</w:t>
            </w:r>
          </w:p>
          <w:p w14:paraId="0D89D331"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НК</w:t>
            </w:r>
          </w:p>
          <w:p w14:paraId="7B77BB7D" w14:textId="77777777" w:rsidR="00EC2390" w:rsidRPr="0029092B" w:rsidRDefault="002F53AE"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w:t>
            </w:r>
            <w:r w:rsidR="0029092B">
              <w:rPr>
                <w:rFonts w:asciiTheme="minorHAnsi" w:eastAsia="SimSun" w:hAnsiTheme="minorHAnsi" w:cstheme="minorHAnsi"/>
                <w:lang w:val="bg-BG"/>
              </w:rPr>
              <w:t>ПК</w:t>
            </w:r>
          </w:p>
          <w:p w14:paraId="3B60AF8F" w14:textId="77777777" w:rsidR="00EC2390"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ЗКИ</w:t>
            </w:r>
          </w:p>
          <w:p w14:paraId="073BD240" w14:textId="77777777" w:rsidR="004A0758" w:rsidRPr="0029092B" w:rsidRDefault="004A0758"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ККПО</w:t>
            </w:r>
          </w:p>
          <w:p w14:paraId="1CFD97CD"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C</w:t>
            </w:r>
            <w:r w:rsidR="0029092B">
              <w:rPr>
                <w:rFonts w:asciiTheme="minorHAnsi" w:eastAsia="SimSun" w:hAnsiTheme="minorHAnsi" w:cstheme="minorHAnsi"/>
                <w:lang w:val="bg-BG"/>
              </w:rPr>
              <w:t>ЕС</w:t>
            </w:r>
          </w:p>
        </w:tc>
        <w:tc>
          <w:tcPr>
            <w:tcW w:w="7650" w:type="dxa"/>
            <w:vAlign w:val="center"/>
            <w:hideMark/>
          </w:tcPr>
          <w:p w14:paraId="47B54FF1" w14:textId="77777777" w:rsidR="00EC2390" w:rsidRPr="0064621E"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Борба с прането на пари</w:t>
            </w:r>
          </w:p>
          <w:p w14:paraId="11C89A6F"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Българска агенция за експортно застраховане</w:t>
            </w:r>
            <w:r w:rsidR="00EC2390" w:rsidRPr="00220EA9">
              <w:rPr>
                <w:rFonts w:asciiTheme="minorHAnsi" w:eastAsia="SimSun" w:hAnsiTheme="minorHAnsi" w:cstheme="minorHAnsi"/>
                <w:lang w:val="bg-BG"/>
              </w:rPr>
              <w:t xml:space="preserve"> </w:t>
            </w:r>
          </w:p>
          <w:p w14:paraId="57D94B8C"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Български лев</w:t>
            </w:r>
          </w:p>
          <w:p w14:paraId="46340EAE" w14:textId="77777777" w:rsidR="00EC2390" w:rsidRPr="00220EA9"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Наказателен кодекс</w:t>
            </w:r>
            <w:r w:rsidR="00EC2390" w:rsidRPr="00220EA9">
              <w:rPr>
                <w:rFonts w:asciiTheme="minorHAnsi" w:eastAsia="SimSun" w:hAnsiTheme="minorHAnsi" w:cstheme="minorHAnsi"/>
                <w:lang w:val="bg-BG"/>
              </w:rPr>
              <w:t xml:space="preserve"> </w:t>
            </w:r>
          </w:p>
          <w:p w14:paraId="5623F45D" w14:textId="77777777" w:rsidR="00EC2390" w:rsidRPr="00220EA9" w:rsidRDefault="002F53AE"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Комплексна</w:t>
            </w:r>
            <w:r w:rsidRPr="00220EA9">
              <w:rPr>
                <w:rFonts w:asciiTheme="minorHAnsi" w:eastAsia="SimSun" w:hAnsiTheme="minorHAnsi" w:cstheme="minorHAnsi"/>
                <w:lang w:val="bg-BG"/>
              </w:rPr>
              <w:t xml:space="preserve"> </w:t>
            </w:r>
            <w:r w:rsidR="0029092B" w:rsidRPr="00220EA9">
              <w:rPr>
                <w:rFonts w:asciiTheme="minorHAnsi" w:eastAsia="SimSun" w:hAnsiTheme="minorHAnsi" w:cstheme="minorHAnsi"/>
                <w:lang w:val="bg-BG"/>
              </w:rPr>
              <w:t>проверка на клиентите</w:t>
            </w:r>
          </w:p>
          <w:p w14:paraId="3C6274BE" w14:textId="77777777" w:rsidR="004A0758"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Закон за кредитните институции</w:t>
            </w:r>
          </w:p>
          <w:p w14:paraId="28257883" w14:textId="77777777" w:rsidR="00EC2390" w:rsidRPr="00220EA9" w:rsidRDefault="004A0758"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Кодекс на корпоративното подоходно облагане</w:t>
            </w:r>
            <w:r w:rsidR="00EC2390" w:rsidRPr="00220EA9">
              <w:rPr>
                <w:rFonts w:asciiTheme="minorHAnsi" w:eastAsia="SimSun" w:hAnsiTheme="minorHAnsi" w:cstheme="minorHAnsi"/>
                <w:lang w:val="bg-BG"/>
              </w:rPr>
              <w:t xml:space="preserve"> </w:t>
            </w:r>
          </w:p>
          <w:p w14:paraId="408D0B1D"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Съд на Европейския съюз</w:t>
            </w:r>
            <w:r w:rsidR="00EC2390" w:rsidRPr="00220EA9">
              <w:rPr>
                <w:rFonts w:asciiTheme="minorHAnsi" w:eastAsia="SimSun" w:hAnsiTheme="minorHAnsi" w:cstheme="minorHAnsi"/>
                <w:lang w:val="bg-BG"/>
              </w:rPr>
              <w:t xml:space="preserve"> </w:t>
            </w:r>
          </w:p>
        </w:tc>
      </w:tr>
      <w:tr w:rsidR="00EC2390" w:rsidRPr="00EC2390" w14:paraId="57C3C081" w14:textId="77777777" w:rsidTr="00EC2390">
        <w:tc>
          <w:tcPr>
            <w:tcW w:w="1741" w:type="dxa"/>
            <w:vAlign w:val="center"/>
            <w:hideMark/>
          </w:tcPr>
          <w:p w14:paraId="007B1A62"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НПК</w:t>
            </w:r>
          </w:p>
          <w:p w14:paraId="0DAFC665"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E</w:t>
            </w:r>
            <w:r w:rsidR="0029092B">
              <w:rPr>
                <w:rFonts w:asciiTheme="minorHAnsi" w:eastAsia="SimSun" w:hAnsiTheme="minorHAnsi" w:cstheme="minorHAnsi"/>
                <w:lang w:val="bg-BG"/>
              </w:rPr>
              <w:t>ЗА</w:t>
            </w:r>
          </w:p>
          <w:p w14:paraId="2B5ACB4A" w14:textId="77777777" w:rsidR="00EC2390"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E</w:t>
            </w:r>
            <w:r w:rsidR="0029092B">
              <w:rPr>
                <w:rFonts w:asciiTheme="minorHAnsi" w:eastAsia="SimSun" w:hAnsiTheme="minorHAnsi" w:cstheme="minorHAnsi"/>
                <w:lang w:val="bg-BG"/>
              </w:rPr>
              <w:t>КГ</w:t>
            </w:r>
          </w:p>
          <w:p w14:paraId="55359682" w14:textId="77777777" w:rsidR="004A0758" w:rsidRPr="0029092B" w:rsidRDefault="004A0758"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ЗЕЕЗА</w:t>
            </w:r>
          </w:p>
          <w:p w14:paraId="03DBD967"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E</w:t>
            </w:r>
            <w:r w:rsidR="0029092B">
              <w:rPr>
                <w:rFonts w:asciiTheme="minorHAnsi" w:eastAsia="SimSun" w:hAnsiTheme="minorHAnsi" w:cstheme="minorHAnsi"/>
                <w:lang w:val="bg-BG"/>
              </w:rPr>
              <w:t>ЗР</w:t>
            </w:r>
          </w:p>
        </w:tc>
        <w:tc>
          <w:tcPr>
            <w:tcW w:w="7650" w:type="dxa"/>
            <w:vAlign w:val="center"/>
            <w:hideMark/>
          </w:tcPr>
          <w:p w14:paraId="242FE9E2"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Наказателно-процесуален кодекс</w:t>
            </w:r>
          </w:p>
          <w:p w14:paraId="5D2C560C"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Европейски заповеди за арест</w:t>
            </w:r>
            <w:r w:rsidR="00EC2390" w:rsidRPr="00220EA9">
              <w:rPr>
                <w:rFonts w:asciiTheme="minorHAnsi" w:eastAsia="SimSun" w:hAnsiTheme="minorHAnsi" w:cstheme="minorHAnsi"/>
                <w:lang w:val="bg-BG"/>
              </w:rPr>
              <w:t xml:space="preserve"> </w:t>
            </w:r>
          </w:p>
          <w:p w14:paraId="08EDE720" w14:textId="77777777" w:rsidR="00EC2390"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Работна група на ОИСР за експортни кредити и кредитни гаранции</w:t>
            </w:r>
            <w:r w:rsidR="00EC2390" w:rsidRPr="00220EA9">
              <w:rPr>
                <w:rFonts w:asciiTheme="minorHAnsi" w:eastAsia="SimSun" w:hAnsiTheme="minorHAnsi" w:cstheme="minorHAnsi"/>
                <w:lang w:val="bg-BG"/>
              </w:rPr>
              <w:t xml:space="preserve"> </w:t>
            </w:r>
          </w:p>
          <w:p w14:paraId="29C86528" w14:textId="77777777" w:rsidR="004A0758" w:rsidRPr="00220EA9" w:rsidRDefault="004A0758"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Закон за екстрадицията и европейската заповед за арест</w:t>
            </w:r>
          </w:p>
          <w:p w14:paraId="07DD81A8" w14:textId="77777777" w:rsidR="00EC2390" w:rsidRPr="00EC2390" w:rsidRDefault="0029092B" w:rsidP="00EC2390">
            <w:pPr>
              <w:widowControl/>
              <w:spacing w:after="120"/>
              <w:ind w:right="680"/>
              <w:rPr>
                <w:rFonts w:asciiTheme="minorHAnsi" w:eastAsia="SimSun" w:hAnsiTheme="minorHAnsi" w:cstheme="minorHAnsi"/>
                <w:lang w:val="en-GB"/>
              </w:rPr>
            </w:pPr>
            <w:r w:rsidRPr="0029092B">
              <w:rPr>
                <w:rFonts w:asciiTheme="minorHAnsi" w:eastAsia="SimSun" w:hAnsiTheme="minorHAnsi" w:cstheme="minorHAnsi"/>
                <w:lang w:val="en-GB"/>
              </w:rPr>
              <w:t>Европейска заповед за разследване</w:t>
            </w:r>
            <w:r w:rsidR="00EC2390" w:rsidRPr="00EC2390">
              <w:rPr>
                <w:rFonts w:asciiTheme="minorHAnsi" w:eastAsia="SimSun" w:hAnsiTheme="minorHAnsi" w:cstheme="minorHAnsi"/>
                <w:lang w:val="en-GB"/>
              </w:rPr>
              <w:t xml:space="preserve"> </w:t>
            </w:r>
          </w:p>
        </w:tc>
      </w:tr>
      <w:tr w:rsidR="00EC2390" w:rsidRPr="00EC2390" w14:paraId="47200740" w14:textId="77777777" w:rsidTr="00EC2390">
        <w:tc>
          <w:tcPr>
            <w:tcW w:w="1741" w:type="dxa"/>
            <w:vAlign w:val="center"/>
            <w:hideMark/>
          </w:tcPr>
          <w:p w14:paraId="0BBCF0BB"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E</w:t>
            </w:r>
            <w:r w:rsidR="0029092B">
              <w:rPr>
                <w:rFonts w:asciiTheme="minorHAnsi" w:eastAsia="SimSun" w:hAnsiTheme="minorHAnsi" w:cstheme="minorHAnsi"/>
                <w:lang w:val="bg-BG"/>
              </w:rPr>
              <w:t>С</w:t>
            </w:r>
          </w:p>
        </w:tc>
        <w:tc>
          <w:tcPr>
            <w:tcW w:w="7650" w:type="dxa"/>
            <w:vAlign w:val="center"/>
            <w:hideMark/>
          </w:tcPr>
          <w:p w14:paraId="6A6BDD92"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lang w:val="en-GB"/>
              </w:rPr>
              <w:t>E</w:t>
            </w:r>
            <w:r w:rsidR="0029092B">
              <w:rPr>
                <w:rFonts w:asciiTheme="minorHAnsi" w:eastAsia="SimSun" w:hAnsiTheme="minorHAnsi" w:cstheme="minorHAnsi"/>
                <w:lang w:val="bg-BG"/>
              </w:rPr>
              <w:t>вропейски съюз</w:t>
            </w:r>
          </w:p>
        </w:tc>
      </w:tr>
      <w:tr w:rsidR="00EC2390" w:rsidRPr="00EC2390" w14:paraId="36C36AF8" w14:textId="77777777" w:rsidTr="00EC2390">
        <w:tc>
          <w:tcPr>
            <w:tcW w:w="1741" w:type="dxa"/>
            <w:vAlign w:val="center"/>
            <w:hideMark/>
          </w:tcPr>
          <w:p w14:paraId="32C2FA97" w14:textId="77777777" w:rsidR="00EC2390" w:rsidRPr="00EC2390" w:rsidRDefault="00EC2390" w:rsidP="00EC2390">
            <w:pPr>
              <w:widowControl/>
              <w:spacing w:after="120"/>
              <w:ind w:right="680"/>
              <w:rPr>
                <w:rFonts w:asciiTheme="minorHAnsi" w:eastAsia="SimSun" w:hAnsiTheme="minorHAnsi" w:cstheme="minorHAnsi"/>
              </w:rPr>
            </w:pPr>
            <w:r w:rsidRPr="00EC2390">
              <w:rPr>
                <w:rFonts w:asciiTheme="minorHAnsi" w:eastAsia="SimSun" w:hAnsiTheme="minorHAnsi" w:cstheme="minorHAnsi"/>
              </w:rPr>
              <w:t>EUR</w:t>
            </w:r>
          </w:p>
          <w:p w14:paraId="7D14529C" w14:textId="77777777" w:rsidR="00EC2390" w:rsidRPr="00EC2390" w:rsidRDefault="00EC2390" w:rsidP="00EC2390">
            <w:pPr>
              <w:widowControl/>
              <w:spacing w:after="120"/>
              <w:ind w:right="680"/>
              <w:rPr>
                <w:rFonts w:asciiTheme="minorHAnsi" w:eastAsia="SimSun" w:hAnsiTheme="minorHAnsi" w:cstheme="minorHAnsi"/>
              </w:rPr>
            </w:pPr>
            <w:r w:rsidRPr="00EC2390">
              <w:rPr>
                <w:rFonts w:asciiTheme="minorHAnsi" w:eastAsia="SimSun" w:hAnsiTheme="minorHAnsi" w:cstheme="minorHAnsi"/>
              </w:rPr>
              <w:t>FCPA</w:t>
            </w:r>
          </w:p>
        </w:tc>
        <w:tc>
          <w:tcPr>
            <w:tcW w:w="7650" w:type="dxa"/>
            <w:vAlign w:val="center"/>
            <w:hideMark/>
          </w:tcPr>
          <w:p w14:paraId="0FB2301F" w14:textId="77777777" w:rsidR="00EC2390" w:rsidRPr="0029092B"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lang w:val="en-GB"/>
              </w:rPr>
              <w:t>E</w:t>
            </w:r>
            <w:r w:rsidR="0029092B">
              <w:rPr>
                <w:rFonts w:asciiTheme="minorHAnsi" w:eastAsia="SimSun" w:hAnsiTheme="minorHAnsi" w:cstheme="minorHAnsi"/>
                <w:lang w:val="bg-BG"/>
              </w:rPr>
              <w:t>вро</w:t>
            </w:r>
          </w:p>
          <w:p w14:paraId="41ECDC12" w14:textId="77777777" w:rsidR="00EC2390" w:rsidRPr="00EC2390" w:rsidRDefault="0029092B" w:rsidP="00EC2390">
            <w:pPr>
              <w:widowControl/>
              <w:spacing w:after="120"/>
              <w:ind w:right="680"/>
              <w:rPr>
                <w:rFonts w:asciiTheme="minorHAnsi" w:eastAsia="SimSun" w:hAnsiTheme="minorHAnsi" w:cstheme="minorHAnsi"/>
                <w:lang w:val="en-GB"/>
              </w:rPr>
            </w:pPr>
            <w:r w:rsidRPr="0029092B">
              <w:rPr>
                <w:rFonts w:asciiTheme="minorHAnsi" w:eastAsia="SimSun" w:hAnsiTheme="minorHAnsi" w:cstheme="minorHAnsi"/>
                <w:lang w:val="en-GB"/>
              </w:rPr>
              <w:t>Закон за чуждестранните корупционни практики на САЩ</w:t>
            </w:r>
            <w:r w:rsidR="00EC2390" w:rsidRPr="00EC2390">
              <w:rPr>
                <w:rFonts w:asciiTheme="minorHAnsi" w:eastAsia="SimSun" w:hAnsiTheme="minorHAnsi" w:cstheme="minorHAnsi"/>
                <w:lang w:val="en-GB"/>
              </w:rPr>
              <w:t xml:space="preserve"> </w:t>
            </w:r>
          </w:p>
        </w:tc>
      </w:tr>
      <w:tr w:rsidR="00EC2390" w:rsidRPr="005F281C" w14:paraId="739952D9" w14:textId="77777777" w:rsidTr="00EC2390">
        <w:tc>
          <w:tcPr>
            <w:tcW w:w="1741" w:type="dxa"/>
            <w:vAlign w:val="center"/>
            <w:hideMark/>
          </w:tcPr>
          <w:p w14:paraId="01EB6A10"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ПЧИ</w:t>
            </w:r>
          </w:p>
          <w:p w14:paraId="3F50A39B" w14:textId="77777777" w:rsidR="00EC2390" w:rsidRPr="0029092B" w:rsidRDefault="0029092B" w:rsidP="00EC2390">
            <w:pPr>
              <w:widowControl/>
              <w:spacing w:after="120"/>
              <w:ind w:right="340"/>
              <w:rPr>
                <w:rFonts w:asciiTheme="minorHAnsi" w:eastAsia="SimSun" w:hAnsiTheme="minorHAnsi" w:cstheme="minorHAnsi"/>
                <w:lang w:val="bg-BG"/>
              </w:rPr>
            </w:pPr>
            <w:r>
              <w:rPr>
                <w:rFonts w:asciiTheme="minorHAnsi" w:eastAsia="SimSun" w:hAnsiTheme="minorHAnsi" w:cstheme="minorHAnsi"/>
                <w:bCs/>
                <w:lang w:val="bg-BG"/>
              </w:rPr>
              <w:t>ДФР</w:t>
            </w:r>
            <w:r w:rsidR="00EC2390" w:rsidRPr="00EC2390">
              <w:rPr>
                <w:rFonts w:asciiTheme="minorHAnsi" w:eastAsia="SimSun" w:hAnsiTheme="minorHAnsi" w:cstheme="minorHAnsi"/>
              </w:rPr>
              <w:t>-</w:t>
            </w:r>
            <w:r>
              <w:rPr>
                <w:rFonts w:asciiTheme="minorHAnsi" w:eastAsia="SimSun" w:hAnsiTheme="minorHAnsi" w:cstheme="minorHAnsi"/>
                <w:bCs/>
                <w:lang w:val="bg-BG"/>
              </w:rPr>
              <w:t>ДАНС</w:t>
            </w:r>
          </w:p>
        </w:tc>
        <w:tc>
          <w:tcPr>
            <w:tcW w:w="7650" w:type="dxa"/>
            <w:vAlign w:val="center"/>
            <w:hideMark/>
          </w:tcPr>
          <w:p w14:paraId="13A14934"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Преки чуждестранни инвестиции</w:t>
            </w:r>
          </w:p>
          <w:p w14:paraId="2D821CD8" w14:textId="77777777" w:rsidR="00EC2390" w:rsidRPr="00220EA9" w:rsidRDefault="0029092B"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 xml:space="preserve">Дирекция „Финансово разузнаване“ - Държавна агенция за национална сигурност </w:t>
            </w:r>
            <w:r w:rsidR="00EC2390" w:rsidRPr="00220EA9">
              <w:rPr>
                <w:rFonts w:asciiTheme="minorHAnsi" w:eastAsia="SimSun" w:hAnsiTheme="minorHAnsi" w:cstheme="minorHAnsi"/>
                <w:lang w:val="bg-BG"/>
              </w:rPr>
              <w:t xml:space="preserve"> </w:t>
            </w:r>
          </w:p>
        </w:tc>
      </w:tr>
      <w:tr w:rsidR="00EC2390" w:rsidRPr="00EC2390" w14:paraId="4F34C9C5" w14:textId="77777777" w:rsidTr="00EC2390">
        <w:tc>
          <w:tcPr>
            <w:tcW w:w="1741" w:type="dxa"/>
            <w:vAlign w:val="center"/>
            <w:hideMark/>
          </w:tcPr>
          <w:p w14:paraId="5C0C3A81"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ОФР</w:t>
            </w:r>
          </w:p>
        </w:tc>
        <w:tc>
          <w:tcPr>
            <w:tcW w:w="7650" w:type="dxa"/>
            <w:vAlign w:val="center"/>
            <w:hideMark/>
          </w:tcPr>
          <w:p w14:paraId="5C2D4173" w14:textId="77777777" w:rsidR="00EC2390" w:rsidRPr="00EC2390" w:rsidRDefault="0029092B" w:rsidP="00EC2390">
            <w:pPr>
              <w:widowControl/>
              <w:spacing w:after="120"/>
              <w:ind w:right="680"/>
              <w:rPr>
                <w:rFonts w:asciiTheme="minorHAnsi" w:eastAsia="SimSun" w:hAnsiTheme="minorHAnsi" w:cstheme="minorHAnsi"/>
                <w:lang w:val="en-GB"/>
              </w:rPr>
            </w:pPr>
            <w:r w:rsidRPr="0029092B">
              <w:rPr>
                <w:rFonts w:asciiTheme="minorHAnsi" w:eastAsia="SimSun" w:hAnsiTheme="minorHAnsi" w:cstheme="minorHAnsi"/>
                <w:lang w:val="en-GB"/>
              </w:rPr>
              <w:t>Отдел за финансово разузнаване</w:t>
            </w:r>
          </w:p>
        </w:tc>
      </w:tr>
      <w:tr w:rsidR="00EC2390" w:rsidRPr="00EC2390" w14:paraId="2916F758" w14:textId="77777777" w:rsidTr="00EC2390">
        <w:tc>
          <w:tcPr>
            <w:tcW w:w="1741" w:type="dxa"/>
            <w:vAlign w:val="center"/>
            <w:hideMark/>
          </w:tcPr>
          <w:p w14:paraId="372D611C" w14:textId="77777777" w:rsidR="00EC2390" w:rsidRPr="0029092B" w:rsidRDefault="0029092B"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БВП</w:t>
            </w:r>
          </w:p>
        </w:tc>
        <w:tc>
          <w:tcPr>
            <w:tcW w:w="7650" w:type="dxa"/>
            <w:vAlign w:val="center"/>
            <w:hideMark/>
          </w:tcPr>
          <w:p w14:paraId="62F34124" w14:textId="77777777" w:rsidR="00EC2390" w:rsidRPr="00EC2390" w:rsidRDefault="0029092B" w:rsidP="00EC2390">
            <w:pPr>
              <w:widowControl/>
              <w:spacing w:after="120"/>
              <w:ind w:right="680"/>
              <w:rPr>
                <w:rFonts w:asciiTheme="minorHAnsi" w:eastAsia="SimSun" w:hAnsiTheme="minorHAnsi" w:cstheme="minorHAnsi"/>
                <w:lang w:val="en-GB"/>
              </w:rPr>
            </w:pPr>
            <w:r w:rsidRPr="0029092B">
              <w:rPr>
                <w:rFonts w:asciiTheme="minorHAnsi" w:eastAsia="SimSun" w:hAnsiTheme="minorHAnsi" w:cstheme="minorHAnsi"/>
                <w:lang w:val="en-GB"/>
              </w:rPr>
              <w:t>Брутен вътрешен продукт</w:t>
            </w:r>
          </w:p>
        </w:tc>
      </w:tr>
      <w:tr w:rsidR="00EC2390" w:rsidRPr="005F281C" w14:paraId="7D3AC979" w14:textId="77777777" w:rsidTr="00EC2390">
        <w:tc>
          <w:tcPr>
            <w:tcW w:w="1741" w:type="dxa"/>
            <w:vAlign w:val="center"/>
            <w:hideMark/>
          </w:tcPr>
          <w:p w14:paraId="711BA8B5"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ЗНФО</w:t>
            </w:r>
          </w:p>
        </w:tc>
        <w:tc>
          <w:tcPr>
            <w:tcW w:w="7650" w:type="dxa"/>
            <w:vAlign w:val="center"/>
            <w:hideMark/>
          </w:tcPr>
          <w:p w14:paraId="4D241B5E" w14:textId="77777777" w:rsidR="00EC2390" w:rsidRPr="00220EA9" w:rsidRDefault="00737E52"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 xml:space="preserve">Закон за независим финансов одит </w:t>
            </w:r>
            <w:r w:rsidR="00EC2390" w:rsidRPr="00220EA9">
              <w:rPr>
                <w:rFonts w:asciiTheme="minorHAnsi" w:eastAsia="SimSun" w:hAnsiTheme="minorHAnsi" w:cstheme="minorHAnsi"/>
                <w:lang w:val="bg-BG"/>
              </w:rPr>
              <w:t xml:space="preserve"> </w:t>
            </w:r>
          </w:p>
        </w:tc>
      </w:tr>
      <w:tr w:rsidR="00EC2390" w:rsidRPr="005F281C" w14:paraId="74027648" w14:textId="77777777" w:rsidTr="00EC2390">
        <w:tc>
          <w:tcPr>
            <w:tcW w:w="1741" w:type="dxa"/>
            <w:vAlign w:val="center"/>
            <w:hideMark/>
          </w:tcPr>
          <w:p w14:paraId="53502F7A"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МОС</w:t>
            </w:r>
          </w:p>
          <w:p w14:paraId="463A335C"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ЗСВ</w:t>
            </w:r>
          </w:p>
          <w:p w14:paraId="41D13AAC"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ЗАНН</w:t>
            </w:r>
          </w:p>
          <w:p w14:paraId="12C4A1B1"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ЗПКОНПИ</w:t>
            </w:r>
          </w:p>
          <w:p w14:paraId="1C7BC889"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ЗМИП</w:t>
            </w:r>
          </w:p>
        </w:tc>
        <w:tc>
          <w:tcPr>
            <w:tcW w:w="7650" w:type="dxa"/>
            <w:vAlign w:val="center"/>
            <w:hideMark/>
          </w:tcPr>
          <w:p w14:paraId="53C90350" w14:textId="77777777" w:rsidR="00EC2390" w:rsidRPr="00220EA9" w:rsidRDefault="00737E52" w:rsidP="008C08CD">
            <w:pPr>
              <w:widowControl/>
              <w:spacing w:before="120"/>
              <w:ind w:right="677"/>
              <w:rPr>
                <w:rFonts w:asciiTheme="minorHAnsi" w:eastAsia="SimSun" w:hAnsiTheme="minorHAnsi" w:cstheme="minorHAnsi"/>
                <w:sz w:val="22"/>
                <w:szCs w:val="22"/>
                <w:lang w:val="bg-BG"/>
              </w:rPr>
            </w:pPr>
            <w:r w:rsidRPr="00220EA9">
              <w:rPr>
                <w:rFonts w:asciiTheme="minorHAnsi" w:eastAsia="SimSun" w:hAnsiTheme="minorHAnsi" w:cstheme="minorHAnsi"/>
                <w:lang w:val="bg-BG"/>
              </w:rPr>
              <w:t>Международни одиторски стандарти</w:t>
            </w:r>
          </w:p>
          <w:p w14:paraId="61910235" w14:textId="77777777" w:rsidR="00EC2390" w:rsidRPr="00220EA9" w:rsidRDefault="00737E52" w:rsidP="008C08CD">
            <w:pPr>
              <w:widowControl/>
              <w:spacing w:before="120"/>
              <w:ind w:right="677"/>
              <w:rPr>
                <w:rFonts w:asciiTheme="minorHAnsi" w:eastAsia="SimSun" w:hAnsiTheme="minorHAnsi" w:cstheme="minorHAnsi"/>
                <w:sz w:val="22"/>
                <w:szCs w:val="22"/>
                <w:lang w:val="bg-BG"/>
              </w:rPr>
            </w:pPr>
            <w:r w:rsidRPr="00220EA9">
              <w:rPr>
                <w:rFonts w:asciiTheme="minorHAnsi" w:eastAsia="SimSun" w:hAnsiTheme="minorHAnsi" w:cstheme="minorHAnsi"/>
                <w:lang w:val="bg-BG"/>
              </w:rPr>
              <w:t xml:space="preserve">Закон за съдебната власт </w:t>
            </w:r>
            <w:r w:rsidR="00EC2390" w:rsidRPr="00220EA9">
              <w:rPr>
                <w:rFonts w:asciiTheme="minorHAnsi" w:eastAsia="SimSun" w:hAnsiTheme="minorHAnsi" w:cstheme="minorHAnsi"/>
                <w:lang w:val="bg-BG"/>
              </w:rPr>
              <w:t xml:space="preserve"> </w:t>
            </w:r>
          </w:p>
          <w:p w14:paraId="130E858C" w14:textId="77777777" w:rsidR="00EC2390" w:rsidRPr="00220EA9" w:rsidRDefault="00737E52" w:rsidP="008C08CD">
            <w:pPr>
              <w:widowControl/>
              <w:spacing w:before="120"/>
              <w:ind w:right="677"/>
              <w:rPr>
                <w:rFonts w:asciiTheme="minorHAnsi" w:eastAsia="SimSun" w:hAnsiTheme="minorHAnsi" w:cstheme="minorHAnsi"/>
                <w:sz w:val="22"/>
                <w:szCs w:val="22"/>
                <w:lang w:val="bg-BG"/>
              </w:rPr>
            </w:pPr>
            <w:r w:rsidRPr="00220EA9">
              <w:rPr>
                <w:rFonts w:asciiTheme="minorHAnsi" w:eastAsia="SimSun" w:hAnsiTheme="minorHAnsi" w:cstheme="minorHAnsi"/>
                <w:lang w:val="bg-BG"/>
              </w:rPr>
              <w:t>Закон за административните нарушения и</w:t>
            </w:r>
            <w:r>
              <w:rPr>
                <w:rFonts w:asciiTheme="minorHAnsi" w:eastAsia="SimSun" w:hAnsiTheme="minorHAnsi" w:cstheme="minorHAnsi"/>
                <w:lang w:val="bg-BG"/>
              </w:rPr>
              <w:t xml:space="preserve"> наказания</w:t>
            </w:r>
          </w:p>
          <w:p w14:paraId="2F25FA9E" w14:textId="77777777" w:rsidR="00EC2390" w:rsidRPr="00220EA9" w:rsidRDefault="00737E52" w:rsidP="008C08CD">
            <w:pPr>
              <w:widowControl/>
              <w:spacing w:before="120"/>
              <w:ind w:right="677"/>
              <w:rPr>
                <w:rFonts w:asciiTheme="minorHAnsi" w:eastAsia="SimSun" w:hAnsiTheme="minorHAnsi" w:cstheme="minorHAnsi"/>
                <w:sz w:val="22"/>
                <w:szCs w:val="22"/>
                <w:lang w:val="bg-BG"/>
              </w:rPr>
            </w:pPr>
            <w:r>
              <w:rPr>
                <w:rFonts w:asciiTheme="minorHAnsi" w:eastAsia="SimSun" w:hAnsiTheme="minorHAnsi" w:cstheme="minorHAnsi"/>
                <w:lang w:val="bg-BG"/>
              </w:rPr>
              <w:t>Закон за противодействие на корупцията и за отнемане на незаконно придобито мущество</w:t>
            </w:r>
            <w:r w:rsidR="00EC2390" w:rsidRPr="00220EA9">
              <w:rPr>
                <w:rFonts w:asciiTheme="minorHAnsi" w:eastAsia="SimSun" w:hAnsiTheme="minorHAnsi" w:cstheme="minorHAnsi"/>
                <w:lang w:val="bg-BG"/>
              </w:rPr>
              <w:t xml:space="preserve"> </w:t>
            </w:r>
          </w:p>
          <w:p w14:paraId="5F0C400F" w14:textId="77777777" w:rsidR="00EC2390" w:rsidRPr="00220EA9" w:rsidRDefault="00737E52" w:rsidP="008C08CD">
            <w:pPr>
              <w:widowControl/>
              <w:spacing w:before="120"/>
              <w:ind w:right="677"/>
              <w:rPr>
                <w:rFonts w:asciiTheme="minorHAnsi" w:eastAsia="SimSun" w:hAnsiTheme="minorHAnsi" w:cstheme="minorHAnsi"/>
                <w:sz w:val="22"/>
                <w:szCs w:val="22"/>
                <w:lang w:val="bg-BG"/>
              </w:rPr>
            </w:pPr>
            <w:r w:rsidRPr="00220EA9">
              <w:rPr>
                <w:rFonts w:asciiTheme="minorHAnsi" w:eastAsia="SimSun" w:hAnsiTheme="minorHAnsi" w:cstheme="minorHAnsi"/>
                <w:lang w:val="bg-BG"/>
              </w:rPr>
              <w:t xml:space="preserve">Закон за мерките срещу изпирането на пари </w:t>
            </w:r>
            <w:r w:rsidR="00EC2390" w:rsidRPr="00220EA9">
              <w:rPr>
                <w:rFonts w:asciiTheme="minorHAnsi" w:eastAsia="SimSun" w:hAnsiTheme="minorHAnsi" w:cstheme="minorHAnsi"/>
                <w:lang w:val="bg-BG"/>
              </w:rPr>
              <w:t xml:space="preserve"> </w:t>
            </w:r>
          </w:p>
        </w:tc>
      </w:tr>
      <w:tr w:rsidR="00EC2390" w:rsidRPr="00EC2390" w14:paraId="7C58E862" w14:textId="77777777" w:rsidTr="00EC2390">
        <w:tc>
          <w:tcPr>
            <w:tcW w:w="1741" w:type="dxa"/>
            <w:vAlign w:val="center"/>
            <w:hideMark/>
          </w:tcPr>
          <w:p w14:paraId="1D80AB82" w14:textId="77777777" w:rsidR="00EC2390" w:rsidRPr="00737E52"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lastRenderedPageBreak/>
              <w:t>M</w:t>
            </w:r>
            <w:r w:rsidR="00737E52">
              <w:rPr>
                <w:rFonts w:asciiTheme="minorHAnsi" w:eastAsia="SimSun" w:hAnsiTheme="minorHAnsi" w:cstheme="minorHAnsi"/>
                <w:lang w:val="bg-BG"/>
              </w:rPr>
              <w:t>ВнР</w:t>
            </w:r>
          </w:p>
        </w:tc>
        <w:tc>
          <w:tcPr>
            <w:tcW w:w="7650" w:type="dxa"/>
            <w:vAlign w:val="center"/>
            <w:hideMark/>
          </w:tcPr>
          <w:p w14:paraId="6C405DBC"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Министерство на външните работи</w:t>
            </w:r>
          </w:p>
        </w:tc>
      </w:tr>
      <w:tr w:rsidR="00EC2390" w:rsidRPr="00EC2390" w14:paraId="5B0E138F" w14:textId="77777777" w:rsidTr="00EC2390">
        <w:tc>
          <w:tcPr>
            <w:tcW w:w="1741" w:type="dxa"/>
            <w:vAlign w:val="center"/>
            <w:hideMark/>
          </w:tcPr>
          <w:p w14:paraId="79D7F7CD" w14:textId="77777777" w:rsidR="00EC2390" w:rsidRPr="00737E52" w:rsidRDefault="00737E5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ВПП</w:t>
            </w:r>
          </w:p>
        </w:tc>
        <w:tc>
          <w:tcPr>
            <w:tcW w:w="7650" w:type="dxa"/>
            <w:vAlign w:val="center"/>
            <w:hideMark/>
          </w:tcPr>
          <w:p w14:paraId="6D4A6B95" w14:textId="77777777" w:rsidR="00EC2390" w:rsidRPr="00EC2390" w:rsidRDefault="00737E52" w:rsidP="00EC2390">
            <w:pPr>
              <w:widowControl/>
              <w:spacing w:after="120"/>
              <w:ind w:right="680"/>
              <w:rPr>
                <w:rFonts w:asciiTheme="minorHAnsi" w:eastAsia="SimSun" w:hAnsiTheme="minorHAnsi" w:cstheme="minorHAnsi"/>
                <w:lang w:val="en-GB"/>
              </w:rPr>
            </w:pPr>
            <w:r w:rsidRPr="00737E52">
              <w:rPr>
                <w:rFonts w:asciiTheme="minorHAnsi" w:eastAsia="SimSun" w:hAnsiTheme="minorHAnsi" w:cstheme="minorHAnsi"/>
                <w:lang w:val="en-GB"/>
              </w:rPr>
              <w:t>Взаимна правна помощ</w:t>
            </w:r>
          </w:p>
        </w:tc>
      </w:tr>
      <w:tr w:rsidR="00EC2390" w:rsidRPr="00EC2390" w14:paraId="248FF724" w14:textId="77777777" w:rsidTr="00EC2390">
        <w:tc>
          <w:tcPr>
            <w:tcW w:w="1741" w:type="dxa"/>
            <w:vAlign w:val="center"/>
            <w:hideMark/>
          </w:tcPr>
          <w:p w14:paraId="46114C76" w14:textId="77777777" w:rsidR="00EC2390" w:rsidRPr="0011772A"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M</w:t>
            </w:r>
            <w:r w:rsidR="0011772A">
              <w:rPr>
                <w:rFonts w:asciiTheme="minorHAnsi" w:eastAsia="SimSun" w:hAnsiTheme="minorHAnsi" w:cstheme="minorHAnsi"/>
                <w:lang w:val="bg-BG"/>
              </w:rPr>
              <w:t>П</w:t>
            </w:r>
          </w:p>
          <w:p w14:paraId="20AF19D8"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НИП</w:t>
            </w:r>
          </w:p>
          <w:p w14:paraId="787F382D"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НАП</w:t>
            </w:r>
          </w:p>
        </w:tc>
        <w:tc>
          <w:tcPr>
            <w:tcW w:w="7650" w:type="dxa"/>
            <w:vAlign w:val="center"/>
            <w:hideMark/>
          </w:tcPr>
          <w:p w14:paraId="439B05D7"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Министерство на правосъдието</w:t>
            </w:r>
          </w:p>
          <w:p w14:paraId="2D3BEDBC" w14:textId="77777777" w:rsidR="00EC2390" w:rsidRPr="00220EA9" w:rsidRDefault="0011772A"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 xml:space="preserve">Национален институт на правосъдието </w:t>
            </w:r>
            <w:r w:rsidR="00EC2390" w:rsidRPr="00220EA9">
              <w:rPr>
                <w:rFonts w:asciiTheme="minorHAnsi" w:eastAsia="SimSun" w:hAnsiTheme="minorHAnsi" w:cstheme="minorHAnsi"/>
                <w:lang w:val="bg-BG"/>
              </w:rPr>
              <w:t xml:space="preserve"> </w:t>
            </w:r>
          </w:p>
          <w:p w14:paraId="6F1C1CF6" w14:textId="77777777" w:rsidR="00EC2390" w:rsidRPr="0011772A" w:rsidRDefault="004031B4"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Национална агенция за</w:t>
            </w:r>
            <w:r w:rsidR="0011772A">
              <w:rPr>
                <w:rFonts w:asciiTheme="minorHAnsi" w:eastAsia="SimSun" w:hAnsiTheme="minorHAnsi" w:cstheme="minorHAnsi"/>
                <w:lang w:val="bg-BG"/>
              </w:rPr>
              <w:t xml:space="preserve"> приходите</w:t>
            </w:r>
          </w:p>
        </w:tc>
      </w:tr>
      <w:tr w:rsidR="00EC2390" w:rsidRPr="00EC2390" w14:paraId="12BED377" w14:textId="77777777" w:rsidTr="00EC2390">
        <w:tc>
          <w:tcPr>
            <w:tcW w:w="1741" w:type="dxa"/>
            <w:vAlign w:val="center"/>
            <w:hideMark/>
          </w:tcPr>
          <w:p w14:paraId="4208D79A" w14:textId="77777777" w:rsidR="00EC2390" w:rsidRPr="0011772A"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O</w:t>
            </w:r>
            <w:r w:rsidR="0011772A">
              <w:rPr>
                <w:rFonts w:asciiTheme="minorHAnsi" w:eastAsia="SimSun" w:hAnsiTheme="minorHAnsi" w:cstheme="minorHAnsi"/>
                <w:lang w:val="bg-BG"/>
              </w:rPr>
              <w:t>ПР</w:t>
            </w:r>
          </w:p>
        </w:tc>
        <w:tc>
          <w:tcPr>
            <w:tcW w:w="7650" w:type="dxa"/>
            <w:vAlign w:val="center"/>
            <w:hideMark/>
          </w:tcPr>
          <w:p w14:paraId="6843F946" w14:textId="77777777" w:rsidR="00EC2390" w:rsidRPr="00EC2390" w:rsidRDefault="0011772A" w:rsidP="00EC2390">
            <w:pPr>
              <w:widowControl/>
              <w:spacing w:after="120"/>
              <w:ind w:right="680"/>
              <w:rPr>
                <w:rFonts w:asciiTheme="minorHAnsi" w:eastAsia="SimSun" w:hAnsiTheme="minorHAnsi" w:cstheme="minorHAnsi"/>
                <w:lang w:val="en-GB"/>
              </w:rPr>
            </w:pPr>
            <w:r w:rsidRPr="0011772A">
              <w:rPr>
                <w:rFonts w:asciiTheme="minorHAnsi" w:eastAsia="SimSun" w:hAnsiTheme="minorHAnsi" w:cstheme="minorHAnsi"/>
                <w:lang w:val="en-GB"/>
              </w:rPr>
              <w:t xml:space="preserve">Официална помощ за развитие </w:t>
            </w:r>
          </w:p>
        </w:tc>
      </w:tr>
      <w:tr w:rsidR="00EC2390" w:rsidRPr="005F281C" w14:paraId="18FA346B" w14:textId="77777777" w:rsidTr="00EC2390">
        <w:tc>
          <w:tcPr>
            <w:tcW w:w="1741" w:type="dxa"/>
            <w:vAlign w:val="center"/>
            <w:hideMark/>
          </w:tcPr>
          <w:p w14:paraId="3DC33853" w14:textId="77777777" w:rsidR="00EC2390" w:rsidRPr="0011772A"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rPr>
              <w:t>O</w:t>
            </w:r>
            <w:r w:rsidR="0011772A">
              <w:rPr>
                <w:rFonts w:asciiTheme="minorHAnsi" w:eastAsia="SimSun" w:hAnsiTheme="minorHAnsi" w:cstheme="minorHAnsi"/>
                <w:lang w:val="bg-BG"/>
              </w:rPr>
              <w:t>ИСР</w:t>
            </w:r>
          </w:p>
        </w:tc>
        <w:tc>
          <w:tcPr>
            <w:tcW w:w="7650" w:type="dxa"/>
            <w:vAlign w:val="center"/>
            <w:hideMark/>
          </w:tcPr>
          <w:p w14:paraId="0554958F" w14:textId="77777777" w:rsidR="00EC2390" w:rsidRPr="00220EA9" w:rsidRDefault="0011772A" w:rsidP="00EC2390">
            <w:pPr>
              <w:widowControl/>
              <w:spacing w:after="120"/>
              <w:ind w:right="680"/>
              <w:rPr>
                <w:rFonts w:asciiTheme="minorHAnsi" w:eastAsia="SimSun" w:hAnsiTheme="minorHAnsi" w:cstheme="minorHAnsi"/>
                <w:color w:val="000000"/>
                <w:lang w:val="bg-BG"/>
              </w:rPr>
            </w:pPr>
            <w:r w:rsidRPr="00220EA9">
              <w:rPr>
                <w:rFonts w:asciiTheme="minorHAnsi" w:eastAsia="SimSun" w:hAnsiTheme="minorHAnsi" w:cstheme="minorHAnsi"/>
                <w:color w:val="000000"/>
                <w:lang w:val="bg-BG"/>
              </w:rPr>
              <w:t>Организация за икономическо сътрудничество и развитие</w:t>
            </w:r>
          </w:p>
        </w:tc>
      </w:tr>
      <w:tr w:rsidR="00EC2390" w:rsidRPr="005F281C" w14:paraId="1A0112B0" w14:textId="77777777" w:rsidTr="00EC2390">
        <w:tc>
          <w:tcPr>
            <w:tcW w:w="1741" w:type="dxa"/>
            <w:vAlign w:val="center"/>
            <w:hideMark/>
          </w:tcPr>
          <w:p w14:paraId="51B99974" w14:textId="77777777" w:rsidR="00EC2390" w:rsidRPr="0011772A" w:rsidRDefault="00E80078"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 xml:space="preserve"> ВПЛ</w:t>
            </w:r>
          </w:p>
          <w:p w14:paraId="5840D3E7"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color w:val="000000"/>
                <w:lang w:val="bg-BG"/>
              </w:rPr>
              <w:t>ЗСРС</w:t>
            </w:r>
          </w:p>
        </w:tc>
        <w:tc>
          <w:tcPr>
            <w:tcW w:w="7650" w:type="dxa"/>
            <w:vAlign w:val="center"/>
            <w:hideMark/>
          </w:tcPr>
          <w:p w14:paraId="4A0E19D0" w14:textId="77777777" w:rsidR="00EC2390" w:rsidRPr="00220EA9" w:rsidRDefault="00E80078" w:rsidP="00EC2390">
            <w:pPr>
              <w:widowControl/>
              <w:spacing w:after="120"/>
              <w:ind w:right="680"/>
              <w:rPr>
                <w:rFonts w:asciiTheme="minorHAnsi" w:eastAsia="SimSun" w:hAnsiTheme="minorHAnsi" w:cstheme="minorHAnsi"/>
                <w:color w:val="000000"/>
                <w:lang w:val="bg-BG"/>
              </w:rPr>
            </w:pPr>
            <w:r>
              <w:rPr>
                <w:rFonts w:asciiTheme="minorHAnsi" w:eastAsia="SimSun" w:hAnsiTheme="minorHAnsi" w:cstheme="minorHAnsi"/>
                <w:color w:val="000000"/>
                <w:lang w:val="bg-BG"/>
              </w:rPr>
              <w:t>В</w:t>
            </w:r>
            <w:r w:rsidRPr="00E80078">
              <w:rPr>
                <w:rFonts w:asciiTheme="minorHAnsi" w:eastAsia="SimSun" w:hAnsiTheme="minorHAnsi" w:cstheme="minorHAnsi"/>
                <w:color w:val="000000"/>
                <w:lang w:val="bg-BG"/>
              </w:rPr>
              <w:t>идни политически личности</w:t>
            </w:r>
            <w:r w:rsidRPr="00E80078" w:rsidDel="00E80078">
              <w:rPr>
                <w:rFonts w:asciiTheme="minorHAnsi" w:eastAsia="SimSun" w:hAnsiTheme="minorHAnsi" w:cstheme="minorHAnsi"/>
                <w:color w:val="000000"/>
                <w:lang w:val="bg-BG"/>
              </w:rPr>
              <w:t xml:space="preserve"> </w:t>
            </w:r>
            <w:r>
              <w:rPr>
                <w:rFonts w:asciiTheme="minorHAnsi" w:eastAsia="SimSun" w:hAnsiTheme="minorHAnsi" w:cstheme="minorHAnsi"/>
                <w:color w:val="000000"/>
                <w:lang w:val="bg-BG"/>
              </w:rPr>
              <w:t xml:space="preserve"> </w:t>
            </w:r>
            <w:r w:rsidR="0011772A" w:rsidRPr="00220EA9">
              <w:rPr>
                <w:rFonts w:asciiTheme="minorHAnsi" w:eastAsia="SimSun" w:hAnsiTheme="minorHAnsi" w:cstheme="minorHAnsi"/>
                <w:color w:val="000000"/>
                <w:lang w:val="bg-BG"/>
              </w:rPr>
              <w:t xml:space="preserve">Закон за специалните разузнавателни средства </w:t>
            </w:r>
            <w:r w:rsidR="00EC2390" w:rsidRPr="00220EA9">
              <w:rPr>
                <w:rFonts w:asciiTheme="minorHAnsi" w:eastAsia="SimSun" w:hAnsiTheme="minorHAnsi" w:cstheme="minorHAnsi"/>
                <w:color w:val="000000"/>
                <w:lang w:val="bg-BG"/>
              </w:rPr>
              <w:t xml:space="preserve"> </w:t>
            </w:r>
          </w:p>
        </w:tc>
      </w:tr>
      <w:tr w:rsidR="00EC2390" w:rsidRPr="00EC2390" w14:paraId="7803F2B9" w14:textId="77777777" w:rsidTr="00EC2390">
        <w:tc>
          <w:tcPr>
            <w:tcW w:w="1741" w:type="dxa"/>
            <w:vAlign w:val="center"/>
            <w:hideMark/>
          </w:tcPr>
          <w:p w14:paraId="3636A069"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МСП</w:t>
            </w:r>
          </w:p>
        </w:tc>
        <w:tc>
          <w:tcPr>
            <w:tcW w:w="7650" w:type="dxa"/>
            <w:vAlign w:val="center"/>
            <w:hideMark/>
          </w:tcPr>
          <w:p w14:paraId="68B4B801"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Малки и средни предприятия</w:t>
            </w:r>
          </w:p>
        </w:tc>
      </w:tr>
      <w:tr w:rsidR="00EC2390" w:rsidRPr="005F281C" w14:paraId="1071D207" w14:textId="77777777" w:rsidTr="00EC2390">
        <w:tc>
          <w:tcPr>
            <w:tcW w:w="1741" w:type="dxa"/>
            <w:vAlign w:val="center"/>
            <w:hideMark/>
          </w:tcPr>
          <w:p w14:paraId="4A83A6C8"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ДП</w:t>
            </w:r>
          </w:p>
          <w:p w14:paraId="37A21EFF"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ВКП</w:t>
            </w:r>
          </w:p>
        </w:tc>
        <w:tc>
          <w:tcPr>
            <w:tcW w:w="7650" w:type="dxa"/>
            <w:vAlign w:val="center"/>
            <w:hideMark/>
          </w:tcPr>
          <w:p w14:paraId="618BFC65"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Държавни предприятия</w:t>
            </w:r>
          </w:p>
          <w:p w14:paraId="525E8DC6" w14:textId="77777777" w:rsidR="00EC2390" w:rsidRPr="0011772A" w:rsidRDefault="0011772A"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Върховна касационна прокуратура</w:t>
            </w:r>
          </w:p>
        </w:tc>
      </w:tr>
      <w:tr w:rsidR="00EC2390" w:rsidRPr="00EC2390" w14:paraId="434D42D4" w14:textId="77777777" w:rsidTr="00EC2390">
        <w:tc>
          <w:tcPr>
            <w:tcW w:w="1741" w:type="dxa"/>
            <w:vAlign w:val="center"/>
            <w:hideMark/>
          </w:tcPr>
          <w:p w14:paraId="79931C00" w14:textId="77777777" w:rsidR="00EC2390" w:rsidRPr="0011772A" w:rsidRDefault="00DC1BE1"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Д</w:t>
            </w:r>
            <w:r w:rsidR="00267EF5">
              <w:rPr>
                <w:rFonts w:asciiTheme="minorHAnsi" w:eastAsia="SimSun" w:hAnsiTheme="minorHAnsi" w:cstheme="minorHAnsi"/>
                <w:lang w:val="bg-BG"/>
              </w:rPr>
              <w:t>СС</w:t>
            </w:r>
          </w:p>
          <w:p w14:paraId="1BA61474" w14:textId="77777777" w:rsidR="00EC2390" w:rsidRPr="00220EA9"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lang w:val="fr-FR"/>
              </w:rPr>
              <w:t>TI</w:t>
            </w:r>
          </w:p>
          <w:p w14:paraId="4D6B61B5" w14:textId="77777777" w:rsidR="00EC2390" w:rsidRPr="009B24F2" w:rsidRDefault="009B24F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КСКООН</w:t>
            </w:r>
          </w:p>
          <w:p w14:paraId="2B90461B" w14:textId="77777777" w:rsidR="00EC2390" w:rsidRPr="009B24F2" w:rsidRDefault="009B24F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СНПООН</w:t>
            </w:r>
          </w:p>
          <w:p w14:paraId="58DE3C1E" w14:textId="77777777" w:rsidR="00EC2390" w:rsidRPr="00220EA9"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lang w:val="fr-FR"/>
              </w:rPr>
              <w:t>USD</w:t>
            </w:r>
          </w:p>
        </w:tc>
        <w:tc>
          <w:tcPr>
            <w:tcW w:w="7650" w:type="dxa"/>
            <w:vAlign w:val="center"/>
            <w:hideMark/>
          </w:tcPr>
          <w:p w14:paraId="60B54195" w14:textId="77777777" w:rsidR="00EC2390" w:rsidRPr="00DC1BE1" w:rsidRDefault="0011772A"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 xml:space="preserve">Доклад за </w:t>
            </w:r>
            <w:r w:rsidR="00A628CF">
              <w:rPr>
                <w:rFonts w:asciiTheme="minorHAnsi" w:eastAsia="SimSun" w:hAnsiTheme="minorHAnsi" w:cstheme="minorHAnsi"/>
                <w:lang w:val="bg-BG"/>
              </w:rPr>
              <w:t>съ</w:t>
            </w:r>
            <w:r w:rsidR="00DC1BE1">
              <w:rPr>
                <w:rFonts w:asciiTheme="minorHAnsi" w:eastAsia="SimSun" w:hAnsiTheme="minorHAnsi" w:cstheme="minorHAnsi"/>
                <w:lang w:val="bg-BG"/>
              </w:rPr>
              <w:t>мнителни сделки</w:t>
            </w:r>
          </w:p>
          <w:p w14:paraId="24A1E68B" w14:textId="77777777" w:rsidR="00EC2390" w:rsidRPr="00220EA9" w:rsidRDefault="00EC2390" w:rsidP="00EC2390">
            <w:pPr>
              <w:widowControl/>
              <w:spacing w:after="120"/>
              <w:ind w:right="680"/>
              <w:rPr>
                <w:rFonts w:asciiTheme="minorHAnsi" w:eastAsia="SimSun" w:hAnsiTheme="minorHAnsi" w:cstheme="minorHAnsi"/>
                <w:lang w:val="bg-BG"/>
              </w:rPr>
            </w:pPr>
            <w:r w:rsidRPr="00EC2390">
              <w:rPr>
                <w:rFonts w:asciiTheme="minorHAnsi" w:eastAsia="SimSun" w:hAnsiTheme="minorHAnsi" w:cstheme="minorHAnsi"/>
                <w:lang w:val="en-GB"/>
              </w:rPr>
              <w:t>Transparency</w:t>
            </w:r>
            <w:r w:rsidRPr="00220EA9">
              <w:rPr>
                <w:rFonts w:asciiTheme="minorHAnsi" w:eastAsia="SimSun" w:hAnsiTheme="minorHAnsi" w:cstheme="minorHAnsi"/>
                <w:lang w:val="bg-BG"/>
              </w:rPr>
              <w:t xml:space="preserve"> </w:t>
            </w:r>
            <w:r w:rsidRPr="00EC2390">
              <w:rPr>
                <w:rFonts w:asciiTheme="minorHAnsi" w:eastAsia="SimSun" w:hAnsiTheme="minorHAnsi" w:cstheme="minorHAnsi"/>
                <w:lang w:val="en-GB"/>
              </w:rPr>
              <w:t>International</w:t>
            </w:r>
            <w:r w:rsidRPr="00220EA9">
              <w:rPr>
                <w:rFonts w:asciiTheme="minorHAnsi" w:eastAsia="SimSun" w:hAnsiTheme="minorHAnsi" w:cstheme="minorHAnsi"/>
                <w:lang w:val="bg-BG"/>
              </w:rPr>
              <w:t xml:space="preserve"> </w:t>
            </w:r>
          </w:p>
          <w:p w14:paraId="72162E2C" w14:textId="77777777" w:rsidR="00EC2390" w:rsidRPr="00220EA9" w:rsidRDefault="009B24F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Конвенция на ООН срещу корупцията</w:t>
            </w:r>
            <w:r w:rsidR="00EC2390" w:rsidRPr="00220EA9">
              <w:rPr>
                <w:rFonts w:asciiTheme="minorHAnsi" w:eastAsia="SimSun" w:hAnsiTheme="minorHAnsi" w:cstheme="minorHAnsi"/>
                <w:lang w:val="bg-BG"/>
              </w:rPr>
              <w:t xml:space="preserve"> </w:t>
            </w:r>
          </w:p>
          <w:p w14:paraId="57F6395B" w14:textId="77777777" w:rsidR="00EC2390" w:rsidRPr="00220EA9" w:rsidRDefault="009B24F2" w:rsidP="00EC2390">
            <w:pPr>
              <w:widowControl/>
              <w:spacing w:after="120"/>
              <w:ind w:right="680"/>
              <w:rPr>
                <w:rFonts w:asciiTheme="minorHAnsi" w:eastAsia="SimSun" w:hAnsiTheme="minorHAnsi" w:cstheme="minorHAnsi"/>
                <w:lang w:val="bg-BG"/>
              </w:rPr>
            </w:pPr>
            <w:r w:rsidRPr="00220EA9">
              <w:rPr>
                <w:rFonts w:asciiTheme="minorHAnsi" w:eastAsia="SimSun" w:hAnsiTheme="minorHAnsi" w:cstheme="minorHAnsi"/>
                <w:lang w:val="bg-BG"/>
              </w:rPr>
              <w:t>Служба на ООН по наркотиците и престъпността</w:t>
            </w:r>
          </w:p>
          <w:p w14:paraId="1C033D24" w14:textId="77777777" w:rsidR="00EC2390" w:rsidRPr="009B24F2" w:rsidRDefault="009B24F2" w:rsidP="00EC2390">
            <w:pPr>
              <w:widowControl/>
              <w:spacing w:after="120"/>
              <w:ind w:right="680"/>
              <w:rPr>
                <w:rFonts w:asciiTheme="minorHAnsi" w:eastAsia="SimSun" w:hAnsiTheme="minorHAnsi" w:cstheme="minorHAnsi"/>
                <w:lang w:val="bg-BG"/>
              </w:rPr>
            </w:pPr>
            <w:r>
              <w:rPr>
                <w:rFonts w:asciiTheme="minorHAnsi" w:eastAsia="SimSun" w:hAnsiTheme="minorHAnsi" w:cstheme="minorHAnsi"/>
                <w:lang w:val="bg-BG"/>
              </w:rPr>
              <w:t>Щатски долар</w:t>
            </w:r>
          </w:p>
        </w:tc>
      </w:tr>
      <w:tr w:rsidR="00EC2390" w:rsidRPr="00EC2390" w14:paraId="6A01C6D2" w14:textId="77777777" w:rsidTr="00EC2390">
        <w:tc>
          <w:tcPr>
            <w:tcW w:w="1741" w:type="dxa"/>
            <w:vAlign w:val="center"/>
            <w:hideMark/>
          </w:tcPr>
          <w:p w14:paraId="06099410" w14:textId="77777777" w:rsidR="00EC2390" w:rsidRPr="00EC2390" w:rsidRDefault="00EC2390" w:rsidP="00EC2390">
            <w:pPr>
              <w:widowControl/>
              <w:spacing w:after="120"/>
              <w:ind w:right="680"/>
              <w:rPr>
                <w:rFonts w:asciiTheme="minorHAnsi" w:eastAsia="SimSun" w:hAnsiTheme="minorHAnsi" w:cstheme="minorHAnsi"/>
              </w:rPr>
            </w:pPr>
            <w:r w:rsidRPr="00EC2390">
              <w:rPr>
                <w:rFonts w:asciiTheme="minorHAnsi" w:eastAsia="SimSun" w:hAnsiTheme="minorHAnsi" w:cstheme="minorHAnsi"/>
              </w:rPr>
              <w:t>WGB</w:t>
            </w:r>
          </w:p>
        </w:tc>
        <w:tc>
          <w:tcPr>
            <w:tcW w:w="7650" w:type="dxa"/>
            <w:vAlign w:val="center"/>
            <w:hideMark/>
          </w:tcPr>
          <w:p w14:paraId="3881E382" w14:textId="77777777" w:rsidR="00EC2390" w:rsidRPr="00EC2390" w:rsidRDefault="00DC1BE1" w:rsidP="00EC2390">
            <w:pPr>
              <w:widowControl/>
              <w:spacing w:after="120"/>
              <w:ind w:right="680"/>
              <w:rPr>
                <w:rFonts w:asciiTheme="minorHAnsi" w:eastAsia="SimSun" w:hAnsiTheme="minorHAnsi" w:cstheme="minorHAnsi"/>
              </w:rPr>
            </w:pPr>
            <w:r>
              <w:rPr>
                <w:rFonts w:asciiTheme="minorHAnsi" w:eastAsia="SimSun" w:hAnsiTheme="minorHAnsi" w:cstheme="minorHAnsi"/>
              </w:rPr>
              <w:t>Работна</w:t>
            </w:r>
            <w:r w:rsidR="009B24F2" w:rsidRPr="009B24F2">
              <w:rPr>
                <w:rFonts w:asciiTheme="minorHAnsi" w:eastAsia="SimSun" w:hAnsiTheme="minorHAnsi" w:cstheme="minorHAnsi"/>
              </w:rPr>
              <w:t xml:space="preserve"> група по подкупите при международни </w:t>
            </w:r>
            <w:r w:rsidR="00D30A42">
              <w:rPr>
                <w:rFonts w:asciiTheme="minorHAnsi" w:eastAsia="SimSun" w:hAnsiTheme="minorHAnsi" w:cstheme="minorHAnsi"/>
                <w:lang w:val="bg-BG"/>
              </w:rPr>
              <w:t>търговски</w:t>
            </w:r>
            <w:r w:rsidR="009B24F2" w:rsidRPr="009B24F2">
              <w:rPr>
                <w:rFonts w:asciiTheme="minorHAnsi" w:eastAsia="SimSun" w:hAnsiTheme="minorHAnsi" w:cstheme="minorHAnsi"/>
              </w:rPr>
              <w:t xml:space="preserve"> сделки</w:t>
            </w:r>
          </w:p>
        </w:tc>
      </w:tr>
      <w:bookmarkEnd w:id="49"/>
    </w:tbl>
    <w:p w14:paraId="613542E6" w14:textId="77777777" w:rsidR="000A7845" w:rsidRPr="00EC2390" w:rsidRDefault="000A7845" w:rsidP="00EC2390">
      <w:pPr>
        <w:widowControl/>
        <w:spacing w:after="200" w:line="276" w:lineRule="auto"/>
        <w:jc w:val="left"/>
        <w:rPr>
          <w:b/>
          <w:color w:val="000000" w:themeColor="text1"/>
          <w:sz w:val="20"/>
        </w:rPr>
      </w:pPr>
    </w:p>
    <w:sectPr w:rsidR="000A7845" w:rsidRPr="00EC2390" w:rsidSect="00EC2390">
      <w:endnotePr>
        <w:numFmt w:val="decimal"/>
        <w:numRestart w:val="eachSect"/>
      </w:endnotePr>
      <w:pgSz w:w="11906" w:h="16838" w:code="9"/>
      <w:pgMar w:top="1814" w:right="1304" w:bottom="1758" w:left="1304" w:header="1247" w:footer="10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B47C2A" w15:done="0"/>
  <w15:commentEx w15:paraId="5C60F474" w15:done="0"/>
  <w15:commentEx w15:paraId="467AA9CD" w15:done="0"/>
  <w15:commentEx w15:paraId="4202962E" w15:done="0"/>
  <w15:commentEx w15:paraId="09B82A3D" w15:done="0"/>
  <w15:commentEx w15:paraId="60D004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1DA9A" w14:textId="77777777" w:rsidR="00541455" w:rsidRDefault="00541455" w:rsidP="00CC3749"/>
  </w:endnote>
  <w:endnote w:type="continuationSeparator" w:id="0">
    <w:p w14:paraId="6C6835B4" w14:textId="77777777" w:rsidR="00541455" w:rsidRPr="00CF4424" w:rsidRDefault="00541455" w:rsidP="00CF4424">
      <w:pPr>
        <w:pStyle w:val="Footer"/>
        <w:jc w:val="both"/>
      </w:pPr>
    </w:p>
  </w:endnote>
  <w:endnote w:type="continuationNotice" w:id="1">
    <w:p w14:paraId="7B365D24" w14:textId="77777777" w:rsidR="00541455" w:rsidRDefault="005414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MT">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Document Title"/>
      <w:tag w:val="FooterDocTitle"/>
      <w:id w:val="-2026395364"/>
    </w:sdtPr>
    <w:sdtContent>
      <w:p w14:paraId="53BD7DF0" w14:textId="77777777" w:rsidR="001F7101" w:rsidRDefault="001F7101" w:rsidP="004E100F">
        <w:pPr>
          <w:pStyle w:val="Footer"/>
          <w:jc w:val="right"/>
        </w:pPr>
        <w:r>
          <w:t xml:space="preserve"> </w:t>
        </w:r>
      </w:p>
    </w:sdtContent>
  </w:sdt>
  <w:sdt>
    <w:sdtPr>
      <w:alias w:val="Classification"/>
      <w:tag w:val="txtHeaderClassif"/>
      <w:id w:val="-312329713"/>
    </w:sdtPr>
    <w:sdtContent>
      <w:p w14:paraId="27953F80" w14:textId="77777777" w:rsidR="001F7101" w:rsidRDefault="001F7101" w:rsidP="004E100F">
        <w:pPr>
          <w:pStyle w:val="FooterClassification"/>
          <w:jc w:val="left"/>
        </w:pPr>
        <w:r>
          <w:t xml:space="preserve"> </w:t>
        </w:r>
      </w:p>
    </w:sdtContent>
  </w:sdt>
  <w:p w14:paraId="1E2DCFD0" w14:textId="77777777" w:rsidR="001F7101" w:rsidRDefault="001F7101"/>
  <w:p w14:paraId="130BF929" w14:textId="77777777" w:rsidR="001F7101" w:rsidRDefault="001F71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37963" w14:textId="7E911393" w:rsidR="001F7101" w:rsidRPr="00FD7BD8" w:rsidRDefault="001F7101" w:rsidP="004E100F">
    <w:pPr>
      <w:pStyle w:val="Footer"/>
      <w:jc w:val="left"/>
      <w:rPr>
        <w:caps w:val="0"/>
        <w:szCs w:val="16"/>
      </w:rPr>
    </w:pPr>
  </w:p>
  <w:p w14:paraId="65CCC64A" w14:textId="4B560536" w:rsidR="001F7101" w:rsidRDefault="001F7101">
    <w:r>
      <w:rPr>
        <w:rFonts w:ascii="Arial" w:hAnsi="Arial" w:cs="Arial"/>
        <w:sz w:val="16"/>
        <w:szCs w:val="16"/>
        <w:lang w:val="bg-BG"/>
      </w:rPr>
      <w:t xml:space="preserve">PHASE 4 REPORT: </w:t>
    </w:r>
    <w:r>
      <w:rPr>
        <w:rFonts w:ascii="ArialMT" w:hAnsi="ArialMT" w:cs="ArialMT"/>
        <w:sz w:val="16"/>
        <w:szCs w:val="16"/>
        <w:lang w:val="bg-BG"/>
      </w:rPr>
      <w:t xml:space="preserve">BULGARIA </w:t>
    </w:r>
    <w:r>
      <w:rPr>
        <w:rFonts w:ascii="Arial" w:hAnsi="Arial" w:cs="Arial"/>
        <w:sz w:val="16"/>
        <w:szCs w:val="16"/>
        <w:lang w:val="bg-BG"/>
      </w:rPr>
      <w:t>© OECD 2021</w:t>
    </w:r>
  </w:p>
  <w:p w14:paraId="644F7F0B" w14:textId="77777777" w:rsidR="001F7101" w:rsidRDefault="001F71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Document Title"/>
      <w:tag w:val="FooterDocTitle"/>
      <w:id w:val="347614930"/>
      <w:lock w:val="sdtLocked"/>
    </w:sdtPr>
    <w:sdtContent>
      <w:p w14:paraId="1F56CD99" w14:textId="77777777" w:rsidR="001F7101" w:rsidRDefault="001F7101" w:rsidP="004E100F">
        <w:pPr>
          <w:pStyle w:val="Footer"/>
          <w:jc w:val="right"/>
        </w:pPr>
        <w:r>
          <w:t xml:space="preserve"> </w:t>
        </w:r>
      </w:p>
    </w:sdtContent>
  </w:sdt>
  <w:p w14:paraId="601A2E83" w14:textId="14327BC1" w:rsidR="001F7101" w:rsidRDefault="001F7101" w:rsidP="004E100F">
    <w:pPr>
      <w:pStyle w:val="FooterClassification"/>
      <w:jc w:val="left"/>
    </w:pPr>
    <w:sdt>
      <w:sdtPr>
        <w:alias w:val="Classification"/>
        <w:tag w:val="txtHeaderClassif"/>
        <w:id w:val="-2101098809"/>
        <w:lock w:val="sdtLocked"/>
        <w:showingPlcHdr/>
      </w:sdtPr>
      <w:sdtContent>
        <w:r>
          <w:t xml:space="preserve">     </w:t>
        </w:r>
      </w:sdtContent>
    </w:sdt>
    <w:r>
      <w:rPr>
        <w:rFonts w:ascii="Arial" w:hAnsi="Arial" w:cs="Arial"/>
        <w:szCs w:val="16"/>
        <w:lang w:val="bg-BG"/>
      </w:rPr>
      <w:t xml:space="preserve">PHASE 4 REPORT: </w:t>
    </w:r>
    <w:r>
      <w:rPr>
        <w:rFonts w:ascii="ArialMT" w:hAnsi="ArialMT" w:cs="ArialMT"/>
        <w:szCs w:val="16"/>
        <w:lang w:val="bg-BG"/>
      </w:rPr>
      <w:t xml:space="preserve">BULGARIA </w:t>
    </w:r>
    <w:r>
      <w:rPr>
        <w:rFonts w:ascii="Arial" w:hAnsi="Arial" w:cs="Arial"/>
        <w:szCs w:val="16"/>
        <w:lang w:val="bg-BG"/>
      </w:rPr>
      <w:t>© OECD 2021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801CD" w14:textId="27B9DDE1" w:rsidR="001F7101" w:rsidRPr="00FD7BD8" w:rsidRDefault="001F7101" w:rsidP="004E100F">
    <w:pPr>
      <w:pStyle w:val="Footer"/>
      <w:jc w:val="left"/>
      <w:rPr>
        <w:caps w:val="0"/>
        <w:szCs w:val="16"/>
      </w:rPr>
    </w:pPr>
    <w:r w:rsidRPr="00FC7B6E">
      <w:t>PHASE 4 REPORT: BULGARIA © OECD 2021</w:t>
    </w:r>
    <w:r>
      <w:rPr>
        <w:lang w:val="bg-BG"/>
      </w:rPr>
      <w:tab/>
    </w:r>
    <w:sdt>
      <w:sdtPr>
        <w:alias w:val="Document Title"/>
        <w:tag w:val="FooterDocTitle"/>
        <w:id w:val="655969181"/>
        <w:lock w:val="sdtLocked"/>
        <w:showingPlcHdr/>
      </w:sdtPr>
      <w:sdtContent>
        <w:r>
          <w:t xml:space="preserve">     </w:t>
        </w:r>
      </w:sdtContent>
    </w:sdt>
  </w:p>
  <w:sdt>
    <w:sdtPr>
      <w:alias w:val="Classification"/>
      <w:tag w:val="txtHeaderClassif"/>
      <w:id w:val="618731020"/>
      <w:lock w:val="sdtLocked"/>
    </w:sdtPr>
    <w:sdtContent>
      <w:p w14:paraId="4DC9FD3F" w14:textId="77777777" w:rsidR="001F7101" w:rsidRPr="00FD7BD8" w:rsidRDefault="001F7101" w:rsidP="004E100F">
        <w:pPr>
          <w:pStyle w:val="FooterClassification"/>
          <w:rPr>
            <w:szCs w:val="16"/>
          </w:rP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B3BF6" w14:textId="77777777" w:rsidR="00541455" w:rsidRDefault="00541455" w:rsidP="00CC3749">
      <w:r>
        <w:separator/>
      </w:r>
    </w:p>
  </w:footnote>
  <w:footnote w:type="continuationSeparator" w:id="0">
    <w:p w14:paraId="795B9618" w14:textId="77777777" w:rsidR="00541455" w:rsidRDefault="00541455" w:rsidP="00CC3749">
      <w:r>
        <w:continuationSeparator/>
      </w:r>
    </w:p>
  </w:footnote>
  <w:footnote w:id="1">
    <w:p w14:paraId="0277ADE2" w14:textId="77777777" w:rsidR="001F7101" w:rsidRPr="00596821" w:rsidRDefault="001F7101" w:rsidP="0084086D">
      <w:pPr>
        <w:pStyle w:val="FootnoteText"/>
        <w:rPr>
          <w:lang w:val="en-US"/>
        </w:rPr>
      </w:pPr>
      <w:r>
        <w:rPr>
          <w:rStyle w:val="FootnoteReference"/>
        </w:rPr>
        <w:footnoteRef/>
      </w:r>
      <w:r>
        <w:t xml:space="preserve"> </w:t>
      </w:r>
      <w:r w:rsidRPr="00596821">
        <w:rPr>
          <w:u w:val="single"/>
        </w:rPr>
        <w:t>Чили</w:t>
      </w:r>
      <w:r w:rsidRPr="00596821">
        <w:t xml:space="preserve"> беше представено от: </w:t>
      </w:r>
      <w:r w:rsidRPr="00596821">
        <w:rPr>
          <w:b/>
        </w:rPr>
        <w:t>Алехандро Литман</w:t>
      </w:r>
      <w:r w:rsidRPr="00596821">
        <w:t xml:space="preserve">, старши юрисконсулт, Специализирано звено за борба с корупцията (UNAC), Fiscalía Nacional, Ministerio Público (Прокуратура) </w:t>
      </w:r>
      <w:r w:rsidRPr="00596821">
        <w:rPr>
          <w:b/>
        </w:rPr>
        <w:t>и Карина Фернанда Урибе Пенья</w:t>
      </w:r>
      <w:r w:rsidRPr="00596821">
        <w:t xml:space="preserve">, анализатор по международни въпроси, звено за финансов анализ (ЗФР). Гърция се представляваше от: </w:t>
      </w:r>
      <w:r w:rsidRPr="00586807">
        <w:rPr>
          <w:b/>
        </w:rPr>
        <w:t>Димостенис Стигас</w:t>
      </w:r>
      <w:r w:rsidRPr="00596821">
        <w:t xml:space="preserve">, съдия в Апелативния съд, понастоящем съветник по правосъдието в Постоянното представителство на Гърция в ЕС и </w:t>
      </w:r>
      <w:r w:rsidRPr="00586807">
        <w:rPr>
          <w:b/>
        </w:rPr>
        <w:t>Миранта Папули</w:t>
      </w:r>
      <w:r w:rsidRPr="00596821">
        <w:t xml:space="preserve">, старши инспектор-одитор, началник отдел, Национален орган за прозрачност на Гърция. Секретариатът на ОИСР беше представен от четирима колеги от отдела за борба с корупцията, Дирекция по финансови и предприемачески въпроси: </w:t>
      </w:r>
      <w:r w:rsidRPr="00586807">
        <w:rPr>
          <w:b/>
        </w:rPr>
        <w:t>Елза Гопала Кришнан</w:t>
      </w:r>
      <w:r w:rsidRPr="00596821">
        <w:t xml:space="preserve">, старши правен анализатор; </w:t>
      </w:r>
      <w:r w:rsidRPr="00586807">
        <w:rPr>
          <w:b/>
        </w:rPr>
        <w:t>Пол Уитакър</w:t>
      </w:r>
      <w:r w:rsidRPr="00596821">
        <w:t xml:space="preserve">, правен анализатор; </w:t>
      </w:r>
      <w:r w:rsidRPr="00586807">
        <w:rPr>
          <w:b/>
        </w:rPr>
        <w:t>Апостолос Зампонидис</w:t>
      </w:r>
      <w:r w:rsidRPr="00596821">
        <w:t>, правен анализатор и Динара Афаунова, правен анализатор.</w:t>
      </w:r>
    </w:p>
  </w:footnote>
  <w:footnote w:id="2">
    <w:p w14:paraId="445659A5" w14:textId="77777777" w:rsidR="001F7101" w:rsidRPr="00586807" w:rsidRDefault="001F7101" w:rsidP="0084086D">
      <w:pPr>
        <w:pStyle w:val="FootnoteText"/>
        <w:rPr>
          <w:color w:val="0000CC"/>
          <w:u w:val="single"/>
          <w:lang w:val="en-US"/>
        </w:rPr>
      </w:pPr>
      <w:r>
        <w:rPr>
          <w:rStyle w:val="FootnoteReference"/>
        </w:rPr>
        <w:footnoteRef/>
      </w:r>
      <w:r>
        <w:t xml:space="preserve"> </w:t>
      </w:r>
      <w:r w:rsidRPr="00586807">
        <w:t xml:space="preserve">Процедурите </w:t>
      </w:r>
      <w:r>
        <w:rPr>
          <w:lang w:val="bg-BG"/>
        </w:rPr>
        <w:t>по</w:t>
      </w:r>
      <w:r>
        <w:t xml:space="preserve"> </w:t>
      </w:r>
      <w:r>
        <w:rPr>
          <w:lang w:val="bg-BG"/>
        </w:rPr>
        <w:t>Ф</w:t>
      </w:r>
      <w:r w:rsidRPr="00586807">
        <w:t xml:space="preserve">аза 4 са предвидени в </w:t>
      </w:r>
      <w:r w:rsidRPr="00586807">
        <w:rPr>
          <w:color w:val="0000CC"/>
          <w:u w:val="single"/>
        </w:rPr>
        <w:t xml:space="preserve">Конвенцията на ОИСР за борба с подкупите: Ръководство за мониторинг </w:t>
      </w:r>
      <w:r>
        <w:rPr>
          <w:color w:val="0000CC"/>
          <w:u w:val="single"/>
          <w:lang w:val="bg-BG"/>
        </w:rPr>
        <w:t>по</w:t>
      </w:r>
      <w:r w:rsidRPr="00586807">
        <w:rPr>
          <w:color w:val="0000CC"/>
          <w:u w:val="single"/>
        </w:rPr>
        <w:t xml:space="preserve"> </w:t>
      </w:r>
      <w:r>
        <w:rPr>
          <w:color w:val="0000CC"/>
          <w:u w:val="single"/>
          <w:lang w:val="bg-BG"/>
        </w:rPr>
        <w:t>Ф</w:t>
      </w:r>
      <w:r w:rsidRPr="00586807">
        <w:rPr>
          <w:color w:val="0000CC"/>
          <w:u w:val="single"/>
        </w:rPr>
        <w:t>аза 4.</w:t>
      </w:r>
    </w:p>
  </w:footnote>
  <w:footnote w:id="3">
    <w:p w14:paraId="3FB9DEAB" w14:textId="77777777" w:rsidR="001F7101" w:rsidRPr="00586807" w:rsidRDefault="001F7101" w:rsidP="0084086D">
      <w:pPr>
        <w:pStyle w:val="FootnoteText"/>
        <w:rPr>
          <w:lang w:val="en-US"/>
        </w:rPr>
      </w:pPr>
      <w:r>
        <w:rPr>
          <w:rStyle w:val="FootnoteReference"/>
        </w:rPr>
        <w:footnoteRef/>
      </w:r>
      <w:r>
        <w:t xml:space="preserve"> </w:t>
      </w:r>
      <w:proofErr w:type="gramStart"/>
      <w:r w:rsidRPr="00586807">
        <w:t xml:space="preserve">Приложение 3 за списъка на участниците във </w:t>
      </w:r>
      <w:r>
        <w:t>виртуалното посещение</w:t>
      </w:r>
      <w:r>
        <w:rPr>
          <w:lang w:val="bg-BG"/>
        </w:rPr>
        <w:t xml:space="preserve"> от</w:t>
      </w:r>
      <w:r w:rsidRPr="00586807">
        <w:t xml:space="preserve"> </w:t>
      </w:r>
      <w:r>
        <w:rPr>
          <w:lang w:val="bg-BG"/>
        </w:rPr>
        <w:t>Ф</w:t>
      </w:r>
      <w:r w:rsidRPr="00586807">
        <w:t>аза 4.</w:t>
      </w:r>
      <w:proofErr w:type="gramEnd"/>
    </w:p>
  </w:footnote>
  <w:footnote w:id="4">
    <w:p w14:paraId="58A01ACA" w14:textId="77777777" w:rsidR="001F7101" w:rsidRPr="00E7514F" w:rsidRDefault="001F7101" w:rsidP="0084086D">
      <w:pPr>
        <w:pStyle w:val="FootnoteText"/>
        <w:rPr>
          <w:lang w:val="bg-BG"/>
        </w:rPr>
      </w:pPr>
      <w:r>
        <w:rPr>
          <w:rStyle w:val="FootnoteReference"/>
        </w:rPr>
        <w:footnoteRef/>
      </w:r>
      <w:r>
        <w:t xml:space="preserve"> </w:t>
      </w:r>
      <w:r>
        <w:rPr>
          <w:lang w:val="bg-BG"/>
        </w:rPr>
        <w:t>Световна банка</w:t>
      </w:r>
    </w:p>
  </w:footnote>
  <w:footnote w:id="5">
    <w:p w14:paraId="11309AF7" w14:textId="77777777" w:rsidR="001F7101" w:rsidRPr="00E7514F" w:rsidRDefault="001F7101" w:rsidP="0084086D">
      <w:pPr>
        <w:pStyle w:val="FootnoteText"/>
        <w:rPr>
          <w:szCs w:val="18"/>
          <w:lang w:val="bg-BG"/>
        </w:rPr>
      </w:pPr>
      <w:r>
        <w:rPr>
          <w:rStyle w:val="FootnoteReference"/>
        </w:rPr>
        <w:footnoteRef/>
      </w:r>
      <w:r>
        <w:t xml:space="preserve"> </w:t>
      </w:r>
      <w:r w:rsidRPr="00E7514F">
        <w:rPr>
          <w:rStyle w:val="Emphasis"/>
          <w:rFonts w:ascii="Arial" w:hAnsi="Arial" w:cs="Arial"/>
          <w:bCs/>
          <w:szCs w:val="18"/>
          <w:shd w:val="clear" w:color="auto" w:fill="FFFFFF"/>
        </w:rPr>
        <w:t>Конференцията на ООН за търговия и развитие</w:t>
      </w:r>
      <w:r w:rsidRPr="00E7514F">
        <w:rPr>
          <w:rFonts w:ascii="Arial" w:hAnsi="Arial" w:cs="Arial"/>
          <w:szCs w:val="18"/>
          <w:shd w:val="clear" w:color="auto" w:fill="FFFFFF"/>
        </w:rPr>
        <w:t> (</w:t>
      </w:r>
      <w:r w:rsidRPr="00E7514F">
        <w:rPr>
          <w:rStyle w:val="Emphasis"/>
          <w:rFonts w:ascii="Arial" w:hAnsi="Arial" w:cs="Arial"/>
          <w:bCs/>
          <w:szCs w:val="18"/>
          <w:shd w:val="clear" w:color="auto" w:fill="FFFFFF"/>
        </w:rPr>
        <w:t>UNCTAD</w:t>
      </w:r>
      <w:r w:rsidRPr="00E7514F">
        <w:rPr>
          <w:rFonts w:ascii="Arial" w:hAnsi="Arial" w:cs="Arial"/>
          <w:szCs w:val="18"/>
          <w:shd w:val="clear" w:color="auto" w:fill="FFFFFF"/>
        </w:rPr>
        <w:t>)</w:t>
      </w:r>
    </w:p>
  </w:footnote>
  <w:footnote w:id="6">
    <w:p w14:paraId="10B5B892" w14:textId="77777777" w:rsidR="001F7101" w:rsidRPr="00E7514F" w:rsidRDefault="001F7101" w:rsidP="0084086D">
      <w:pPr>
        <w:pStyle w:val="FootnoteText"/>
        <w:rPr>
          <w:lang w:val="bg-BG"/>
        </w:rPr>
      </w:pPr>
      <w:r>
        <w:rPr>
          <w:rStyle w:val="FootnoteReference"/>
        </w:rPr>
        <w:footnoteRef/>
      </w:r>
      <w:r w:rsidRPr="00220EA9">
        <w:rPr>
          <w:lang w:val="bg-BG"/>
        </w:rPr>
        <w:t xml:space="preserve"> Икономически проучвания на ОИСР: България 2021 г., стр. 39. Копие от проучването може да бъде предоставено при поискване</w:t>
      </w:r>
    </w:p>
  </w:footnote>
  <w:footnote w:id="7">
    <w:p w14:paraId="26766D6A" w14:textId="77777777" w:rsidR="001F7101" w:rsidRPr="00E7514F" w:rsidRDefault="001F7101" w:rsidP="0084086D">
      <w:pPr>
        <w:pStyle w:val="FootnoteText"/>
        <w:rPr>
          <w:lang w:val="bg-BG"/>
        </w:rPr>
      </w:pPr>
      <w:r>
        <w:rPr>
          <w:rStyle w:val="FootnoteReference"/>
        </w:rPr>
        <w:footnoteRef/>
      </w:r>
      <w:r w:rsidRPr="00220EA9">
        <w:rPr>
          <w:lang w:val="bg-BG"/>
        </w:rPr>
        <w:t xml:space="preserve"> Икономически проучвания на ОИСР: България 2021 г., стр. 10</w:t>
      </w:r>
    </w:p>
  </w:footnote>
  <w:footnote w:id="8">
    <w:p w14:paraId="28505413" w14:textId="77777777" w:rsidR="001F7101" w:rsidRPr="00E7514F" w:rsidRDefault="001F7101" w:rsidP="0084086D">
      <w:pPr>
        <w:pStyle w:val="FootnoteText"/>
        <w:rPr>
          <w:lang w:val="bg-BG"/>
        </w:rPr>
      </w:pPr>
      <w:r>
        <w:rPr>
          <w:rStyle w:val="FootnoteReference"/>
        </w:rPr>
        <w:footnoteRef/>
      </w:r>
      <w:r w:rsidRPr="00220EA9">
        <w:rPr>
          <w:lang w:val="bg-BG"/>
        </w:rPr>
        <w:t xml:space="preserve"> Икономически проучвания на ОИСР: България 2021 г., стр. 40</w:t>
      </w:r>
    </w:p>
  </w:footnote>
  <w:footnote w:id="9">
    <w:p w14:paraId="2CB62B34" w14:textId="77777777" w:rsidR="001F7101" w:rsidRPr="00E7514F" w:rsidRDefault="001F7101" w:rsidP="0084086D">
      <w:pPr>
        <w:pStyle w:val="FootnoteText"/>
        <w:rPr>
          <w:lang w:val="bg-BG"/>
        </w:rPr>
      </w:pPr>
      <w:r>
        <w:rPr>
          <w:rStyle w:val="FootnoteReference"/>
        </w:rPr>
        <w:footnoteRef/>
      </w:r>
      <w:r w:rsidRPr="00220EA9">
        <w:rPr>
          <w:lang w:val="bg-BG"/>
        </w:rPr>
        <w:t xml:space="preserve"> Икономически проучвания на ОИСР: България 2021 г., стр. 40</w:t>
      </w:r>
    </w:p>
  </w:footnote>
  <w:footnote w:id="10">
    <w:p w14:paraId="63A43C9C" w14:textId="77777777" w:rsidR="001F7101" w:rsidRPr="00EC6B54" w:rsidRDefault="001F7101">
      <w:pPr>
        <w:pStyle w:val="FootnoteText"/>
        <w:rPr>
          <w:lang w:val="bg-BG"/>
        </w:rPr>
      </w:pPr>
      <w:r>
        <w:rPr>
          <w:rStyle w:val="FootnoteReference"/>
        </w:rPr>
        <w:footnoteRef/>
      </w:r>
      <w:r w:rsidRPr="00367B42">
        <w:rPr>
          <w:lang w:val="bg-BG"/>
        </w:rPr>
        <w:t xml:space="preserve"> </w:t>
      </w:r>
      <w:r w:rsidRPr="00220EA9">
        <w:rPr>
          <w:lang w:val="bg-BG"/>
        </w:rPr>
        <w:t xml:space="preserve">Доклад за световните инвестиции на </w:t>
      </w:r>
      <w:r>
        <w:t>UNCTAD</w:t>
      </w:r>
      <w:r w:rsidRPr="00220EA9">
        <w:rPr>
          <w:lang w:val="bg-BG"/>
        </w:rPr>
        <w:t xml:space="preserve"> за 2020 г.</w:t>
      </w:r>
    </w:p>
  </w:footnote>
  <w:footnote w:id="11">
    <w:p w14:paraId="2EB61AE5" w14:textId="77777777" w:rsidR="001F7101" w:rsidRPr="00EC6B54" w:rsidRDefault="001F7101">
      <w:pPr>
        <w:pStyle w:val="FootnoteText"/>
        <w:rPr>
          <w:lang w:val="bg-BG"/>
        </w:rPr>
      </w:pPr>
      <w:r>
        <w:rPr>
          <w:rStyle w:val="FootnoteReference"/>
        </w:rPr>
        <w:footnoteRef/>
      </w:r>
      <w:r w:rsidRPr="00367B42">
        <w:rPr>
          <w:lang w:val="bg-BG"/>
        </w:rPr>
        <w:t xml:space="preserve"> Директни инвестиции на Банката на България</w:t>
      </w:r>
    </w:p>
  </w:footnote>
  <w:footnote w:id="12">
    <w:p w14:paraId="1B327E16" w14:textId="77777777" w:rsidR="001F7101" w:rsidRPr="00EC6B54" w:rsidRDefault="001F7101">
      <w:pPr>
        <w:pStyle w:val="FootnoteText"/>
        <w:rPr>
          <w:lang w:val="bg-BG"/>
        </w:rPr>
      </w:pPr>
      <w:r>
        <w:rPr>
          <w:rStyle w:val="FootnoteReference"/>
        </w:rPr>
        <w:footnoteRef/>
      </w:r>
      <w:r w:rsidRPr="00367B42">
        <w:rPr>
          <w:lang w:val="bg-BG"/>
        </w:rPr>
        <w:t xml:space="preserve"> </w:t>
      </w:r>
      <w:r w:rsidRPr="00220EA9">
        <w:rPr>
          <w:lang w:val="bg-BG"/>
        </w:rPr>
        <w:t>Директни инвестиции на Банката на България</w:t>
      </w:r>
    </w:p>
  </w:footnote>
  <w:footnote w:id="13">
    <w:p w14:paraId="21263350" w14:textId="29FC470C" w:rsidR="001F7101" w:rsidRPr="00572912" w:rsidRDefault="001F7101" w:rsidP="00A73122">
      <w:pPr>
        <w:pStyle w:val="Footnote0"/>
        <w:shd w:val="clear" w:color="auto" w:fill="auto"/>
        <w:tabs>
          <w:tab w:val="left" w:pos="178"/>
        </w:tabs>
        <w:spacing w:line="360" w:lineRule="exact"/>
        <w:rPr>
          <w:lang w:val="bg-BG"/>
        </w:rPr>
      </w:pPr>
      <w:r>
        <w:rPr>
          <w:vertAlign w:val="superscript"/>
        </w:rPr>
        <w:footnoteRef/>
      </w:r>
      <w:r w:rsidRPr="00572912">
        <w:rPr>
          <w:lang w:val="bg-BG"/>
        </w:rPr>
        <w:tab/>
      </w:r>
      <w:r>
        <w:rPr>
          <w:lang w:val="bg-BG"/>
        </w:rPr>
        <w:t>Българска Народна Банка</w:t>
      </w:r>
      <w:r w:rsidRPr="00572912">
        <w:rPr>
          <w:lang w:val="bg-BG"/>
        </w:rPr>
        <w:t xml:space="preserve">, </w:t>
      </w:r>
      <w:r>
        <w:rPr>
          <w:lang w:val="bg-BG"/>
        </w:rPr>
        <w:t>Преки чуждестранни инвестиции на България в чужбина</w:t>
      </w:r>
      <w:r w:rsidRPr="00DB59F7">
        <w:rPr>
          <w:lang w:val="bg-BG"/>
        </w:rPr>
        <w:t>,</w:t>
      </w:r>
      <w:r w:rsidRPr="00572912">
        <w:rPr>
          <w:lang w:val="bg-BG"/>
        </w:rPr>
        <w:t xml:space="preserve"> </w:t>
      </w:r>
      <w:r>
        <w:rPr>
          <w:lang w:val="bg-BG"/>
        </w:rPr>
        <w:t xml:space="preserve">директни инвестиции по географски региони. </w:t>
      </w:r>
    </w:p>
  </w:footnote>
  <w:footnote w:id="14">
    <w:p w14:paraId="7B1BE2FD" w14:textId="77777777" w:rsidR="001F7101" w:rsidRPr="00F521C5" w:rsidRDefault="001F7101" w:rsidP="00EC6B54">
      <w:pPr>
        <w:pStyle w:val="FootnoteText"/>
        <w:rPr>
          <w:lang w:val="en-US"/>
        </w:rPr>
      </w:pPr>
      <w:r>
        <w:rPr>
          <w:rStyle w:val="FootnoteReference"/>
        </w:rPr>
        <w:footnoteRef/>
      </w:r>
      <w:r>
        <w:t xml:space="preserve"> </w:t>
      </w:r>
      <w:r w:rsidRPr="00F521C5">
        <w:t xml:space="preserve">България - SBA </w:t>
      </w:r>
      <w:r>
        <w:t xml:space="preserve">Fact Sheet </w:t>
      </w:r>
      <w:r w:rsidRPr="00F521C5">
        <w:t>за 2019 г., Europa.eu</w:t>
      </w:r>
    </w:p>
  </w:footnote>
  <w:footnote w:id="15">
    <w:p w14:paraId="77DFEB4F" w14:textId="77777777" w:rsidR="001F7101" w:rsidRPr="00F521C5" w:rsidRDefault="001F7101" w:rsidP="00EC6B54">
      <w:pPr>
        <w:pStyle w:val="FootnoteText"/>
        <w:rPr>
          <w:lang w:val="en-US"/>
        </w:rPr>
      </w:pPr>
      <w:r>
        <w:rPr>
          <w:rStyle w:val="FootnoteReference"/>
        </w:rPr>
        <w:footnoteRef/>
      </w:r>
      <w:r>
        <w:t xml:space="preserve"> </w:t>
      </w:r>
      <w:r w:rsidRPr="00F521C5">
        <w:t xml:space="preserve">България - SBA </w:t>
      </w:r>
      <w:r>
        <w:t xml:space="preserve">Fact Sheet </w:t>
      </w:r>
      <w:r w:rsidRPr="00F521C5">
        <w:t>за 2019 г., Europa.eu</w:t>
      </w:r>
    </w:p>
  </w:footnote>
  <w:footnote w:id="16">
    <w:p w14:paraId="64532903" w14:textId="77777777" w:rsidR="001F7101" w:rsidRPr="00800A8C" w:rsidRDefault="001F7101" w:rsidP="0084086D">
      <w:pPr>
        <w:pStyle w:val="FootnoteText"/>
        <w:rPr>
          <w:lang w:val="en-US"/>
        </w:rPr>
      </w:pPr>
      <w:r>
        <w:rPr>
          <w:rStyle w:val="FootnoteReference"/>
        </w:rPr>
        <w:footnoteRef/>
      </w:r>
      <w:r>
        <w:t xml:space="preserve"> </w:t>
      </w:r>
      <w:proofErr w:type="gramStart"/>
      <w:r w:rsidRPr="00800A8C">
        <w:t>ОИ</w:t>
      </w:r>
      <w:r>
        <w:t>СР Корпоративно управление на SOEs</w:t>
      </w:r>
      <w:r w:rsidRPr="00800A8C">
        <w:t xml:space="preserve"> в България, стр.</w:t>
      </w:r>
      <w:proofErr w:type="gramEnd"/>
      <w:r w:rsidRPr="00800A8C">
        <w:t xml:space="preserve"> 18</w:t>
      </w:r>
    </w:p>
  </w:footnote>
  <w:footnote w:id="17">
    <w:p w14:paraId="655946E8" w14:textId="77777777" w:rsidR="001F7101" w:rsidRPr="00F22498" w:rsidRDefault="001F7101" w:rsidP="0084086D">
      <w:pPr>
        <w:pStyle w:val="FootnoteText"/>
        <w:rPr>
          <w:lang w:val="en-US"/>
        </w:rPr>
      </w:pPr>
      <w:r>
        <w:rPr>
          <w:rStyle w:val="FootnoteReference"/>
        </w:rPr>
        <w:footnoteRef/>
      </w:r>
      <w:r>
        <w:t xml:space="preserve"> </w:t>
      </w:r>
      <w:r w:rsidRPr="00F22498">
        <w:t>Насоки на ОИСР за корпоративно управление на държавни предприятия в България</w:t>
      </w:r>
    </w:p>
  </w:footnote>
  <w:footnote w:id="18">
    <w:p w14:paraId="2D0224EC" w14:textId="77777777" w:rsidR="001F7101" w:rsidRPr="00F22498" w:rsidRDefault="001F7101" w:rsidP="0084086D">
      <w:pPr>
        <w:pStyle w:val="FootnoteText"/>
        <w:rPr>
          <w:lang w:val="en-US"/>
        </w:rPr>
      </w:pPr>
      <w:r>
        <w:rPr>
          <w:rStyle w:val="FootnoteReference"/>
        </w:rPr>
        <w:footnoteRef/>
      </w:r>
      <w:r>
        <w:t xml:space="preserve"> </w:t>
      </w:r>
      <w:r w:rsidRPr="00F22498">
        <w:t>Икономически проучвания на ОИСР: България 2021. Проучването може да бъде предоставено при поискване, тъй като не е достъпно безплатно на уебсайта на ОИСР</w:t>
      </w:r>
    </w:p>
  </w:footnote>
  <w:footnote w:id="19">
    <w:p w14:paraId="464F4820" w14:textId="77777777" w:rsidR="001F7101" w:rsidRPr="00F22498" w:rsidRDefault="001F7101" w:rsidP="0084086D">
      <w:pPr>
        <w:pStyle w:val="FootnoteText"/>
        <w:rPr>
          <w:lang w:val="en-US"/>
        </w:rPr>
      </w:pPr>
      <w:r>
        <w:rPr>
          <w:rStyle w:val="FootnoteReference"/>
        </w:rPr>
        <w:footnoteRef/>
      </w:r>
      <w:r>
        <w:t xml:space="preserve"> </w:t>
      </w:r>
      <w:r w:rsidRPr="00F22498">
        <w:t>IMF Covid-19 Policy Tracker</w:t>
      </w:r>
    </w:p>
  </w:footnote>
  <w:footnote w:id="20">
    <w:p w14:paraId="6A8EDE05" w14:textId="77777777" w:rsidR="001F7101" w:rsidRPr="00085057" w:rsidRDefault="001F7101" w:rsidP="0084086D">
      <w:pPr>
        <w:pStyle w:val="FootnoteText"/>
        <w:rPr>
          <w:lang w:val="en-US"/>
        </w:rPr>
      </w:pPr>
      <w:r>
        <w:rPr>
          <w:rStyle w:val="FootnoteReference"/>
        </w:rPr>
        <w:footnoteRef/>
      </w:r>
      <w:r>
        <w:t xml:space="preserve"> </w:t>
      </w:r>
      <w:hyperlink r:id="rId1" w:anchor="S" w:history="1">
        <w:r w:rsidRPr="00C20CDF">
          <w:t>IMF Covid-19 Policy Tracker</w:t>
        </w:r>
      </w:hyperlink>
    </w:p>
  </w:footnote>
  <w:footnote w:id="21">
    <w:p w14:paraId="05E86353" w14:textId="77777777" w:rsidR="001F7101" w:rsidRPr="00AE4FED" w:rsidRDefault="001F7101" w:rsidP="001444C9">
      <w:pPr>
        <w:pStyle w:val="FootnoteText"/>
        <w:rPr>
          <w:lang w:val="bg-BG"/>
        </w:rPr>
      </w:pPr>
      <w:r>
        <w:rPr>
          <w:rStyle w:val="FootnoteReference"/>
        </w:rPr>
        <w:footnoteRef/>
      </w:r>
      <w:r>
        <w:t xml:space="preserve"> </w:t>
      </w:r>
      <w:r w:rsidRPr="00127806">
        <w:rPr>
          <w:lang w:val="bg-BG"/>
        </w:rPr>
        <w:t>Българското национално представителство на Transparency International – Асоциация „Прозрачност без граници“</w:t>
      </w:r>
    </w:p>
  </w:footnote>
  <w:footnote w:id="22">
    <w:p w14:paraId="3F372425" w14:textId="77777777" w:rsidR="001F7101" w:rsidRPr="00AE4FED" w:rsidRDefault="001F7101" w:rsidP="0084086D">
      <w:pPr>
        <w:pStyle w:val="FootnoteText"/>
        <w:rPr>
          <w:color w:val="0070C0"/>
          <w:u w:val="single"/>
          <w:lang w:val="bg-BG"/>
        </w:rPr>
      </w:pPr>
      <w:r>
        <w:rPr>
          <w:rStyle w:val="FootnoteReference"/>
        </w:rPr>
        <w:footnoteRef/>
      </w:r>
      <w:r w:rsidRPr="00AE4FED">
        <w:rPr>
          <w:lang w:val="bg-BG"/>
        </w:rPr>
        <w:t xml:space="preserve"> Българското национално представителство на </w:t>
      </w:r>
      <w:r w:rsidRPr="00127806">
        <w:t>Transparency</w:t>
      </w:r>
      <w:r w:rsidRPr="00AE4FED">
        <w:rPr>
          <w:lang w:val="bg-BG"/>
        </w:rPr>
        <w:t xml:space="preserve"> </w:t>
      </w:r>
      <w:r w:rsidRPr="00127806">
        <w:t>International</w:t>
      </w:r>
      <w:r w:rsidRPr="00AE4FED">
        <w:rPr>
          <w:lang w:val="bg-BG"/>
        </w:rPr>
        <w:t xml:space="preserve"> – Асоциация „Прозрачност без граници“ </w:t>
      </w:r>
      <w:hyperlink r:id="rId2" w:history="1"/>
    </w:p>
  </w:footnote>
  <w:footnote w:id="23">
    <w:p w14:paraId="417273BC" w14:textId="77777777" w:rsidR="001F7101" w:rsidRPr="00B50CD7" w:rsidRDefault="001F7101" w:rsidP="0084086D">
      <w:pPr>
        <w:spacing w:before="120"/>
        <w:ind w:right="-908"/>
        <w:jc w:val="left"/>
        <w:rPr>
          <w:color w:val="0000CC"/>
          <w:sz w:val="18"/>
          <w:szCs w:val="20"/>
          <w:u w:val="single"/>
        </w:rPr>
      </w:pPr>
      <w:r>
        <w:rPr>
          <w:rStyle w:val="FootnoteReference"/>
        </w:rPr>
        <w:footnoteRef/>
      </w:r>
      <w:r>
        <w:rPr>
          <w:color w:val="0000CC"/>
          <w:u w:val="single"/>
          <w:lang w:val="bg-BG"/>
        </w:rPr>
        <w:t xml:space="preserve"> </w:t>
      </w:r>
      <w:hyperlink r:id="rId3" w:history="1">
        <w:r w:rsidRPr="00B50CD7">
          <w:rPr>
            <w:color w:val="0000CC"/>
            <w:sz w:val="18"/>
            <w:szCs w:val="20"/>
            <w:u w:val="single"/>
          </w:rPr>
          <w:t>https://www.transparency.org/en/publications/exporting-corruption-2020</w:t>
        </w:r>
      </w:hyperlink>
      <w:r>
        <w:rPr>
          <w:color w:val="0000CC"/>
          <w:sz w:val="18"/>
          <w:szCs w:val="20"/>
          <w:u w:val="single"/>
        </w:rPr>
        <w:t xml:space="preserve"> and </w:t>
      </w:r>
      <w:hyperlink r:id="rId4" w:history="1">
        <w:r w:rsidRPr="00B50CD7">
          <w:rPr>
            <w:color w:val="0000CC"/>
            <w:sz w:val="18"/>
            <w:szCs w:val="20"/>
            <w:u w:val="single"/>
          </w:rPr>
          <w:t>https://www.transparency.org/en/search/filter?project=exporting-corruption&amp;type=publication</w:t>
        </w:r>
      </w:hyperlink>
    </w:p>
  </w:footnote>
  <w:footnote w:id="24">
    <w:p w14:paraId="5ECEDA66" w14:textId="77777777" w:rsidR="001F7101" w:rsidRPr="00B50CD7" w:rsidRDefault="001F7101" w:rsidP="0084086D">
      <w:pPr>
        <w:pStyle w:val="FootnoteText"/>
        <w:rPr>
          <w:lang w:val="bg-BG"/>
        </w:rPr>
      </w:pPr>
      <w:r>
        <w:rPr>
          <w:rStyle w:val="FootnoteReference"/>
        </w:rPr>
        <w:footnoteRef/>
      </w:r>
      <w:r>
        <w:t xml:space="preserve"> </w:t>
      </w:r>
      <w:r w:rsidRPr="00B50CD7">
        <w:t>Флаш Евробарометър 502 (2020), Корупция</w:t>
      </w:r>
    </w:p>
  </w:footnote>
  <w:footnote w:id="25">
    <w:p w14:paraId="409D527F" w14:textId="77777777" w:rsidR="001F7101" w:rsidRPr="00B50CD7" w:rsidRDefault="001F7101" w:rsidP="0084086D">
      <w:pPr>
        <w:pStyle w:val="FootnoteText"/>
        <w:rPr>
          <w:lang w:val="bg-BG"/>
        </w:rPr>
      </w:pPr>
      <w:r>
        <w:rPr>
          <w:rStyle w:val="FootnoteReference"/>
        </w:rPr>
        <w:footnoteRef/>
      </w:r>
      <w:r>
        <w:t xml:space="preserve"> </w:t>
      </w:r>
      <w:r w:rsidRPr="00B50CD7">
        <w:t>Флаш Евробарометър</w:t>
      </w:r>
      <w:r w:rsidRPr="005C5058">
        <w:t xml:space="preserve"> 482 (2019), Отношението на бизнеса към корупцията в ЕС</w:t>
      </w:r>
    </w:p>
  </w:footnote>
  <w:footnote w:id="26">
    <w:p w14:paraId="6E72AB00" w14:textId="77777777" w:rsidR="001F7101" w:rsidRPr="005C5058" w:rsidRDefault="001F7101" w:rsidP="0084086D">
      <w:pPr>
        <w:pStyle w:val="FootnoteText"/>
        <w:rPr>
          <w:color w:val="0070C0"/>
          <w:lang w:val="bg-BG"/>
        </w:rPr>
      </w:pPr>
      <w:r>
        <w:rPr>
          <w:rStyle w:val="FootnoteReference"/>
        </w:rPr>
        <w:footnoteRef/>
      </w:r>
      <w:r w:rsidRPr="00220EA9">
        <w:rPr>
          <w:lang w:val="bg-BG"/>
        </w:rPr>
        <w:t xml:space="preserve"> </w:t>
      </w:r>
      <w:hyperlink r:id="rId5" w:history="1">
        <w:r w:rsidRPr="00220EA9">
          <w:rPr>
            <w:lang w:val="bg-BG"/>
          </w:rPr>
          <w:t xml:space="preserve"> </w:t>
        </w:r>
        <w:r>
          <w:rPr>
            <w:lang w:val="bg-BG"/>
          </w:rPr>
          <w:t>Базелски</w:t>
        </w:r>
      </w:hyperlink>
      <w:r>
        <w:rPr>
          <w:lang w:val="bg-BG"/>
        </w:rPr>
        <w:t xml:space="preserve"> индекс за борба с изпирането на пари за </w:t>
      </w:r>
      <w:r w:rsidRPr="00296BC8">
        <w:rPr>
          <w:lang w:val="bg-BG"/>
        </w:rPr>
        <w:t>2020</w:t>
      </w:r>
      <w:r>
        <w:rPr>
          <w:lang w:val="bg-BG"/>
        </w:rPr>
        <w:t xml:space="preserve"> г.</w:t>
      </w:r>
    </w:p>
  </w:footnote>
  <w:footnote w:id="27">
    <w:p w14:paraId="4017092C" w14:textId="77777777" w:rsidR="001F7101" w:rsidRPr="005C5058" w:rsidRDefault="001F7101" w:rsidP="0084086D">
      <w:pPr>
        <w:pStyle w:val="FootnoteText"/>
        <w:rPr>
          <w:lang w:val="bg-BG"/>
        </w:rPr>
      </w:pPr>
      <w:r>
        <w:rPr>
          <w:rStyle w:val="FootnoteReference"/>
        </w:rPr>
        <w:footnoteRef/>
      </w:r>
      <w:r w:rsidRPr="00220EA9">
        <w:rPr>
          <w:lang w:val="bg-BG"/>
        </w:rPr>
        <w:t xml:space="preserve"> Повечето от твърденията, използвани в тази оценка, идват от </w:t>
      </w:r>
      <w:r w:rsidRPr="008B1D4C">
        <w:t>Matrix</w:t>
      </w:r>
      <w:r w:rsidRPr="00220EA9">
        <w:rPr>
          <w:lang w:val="bg-BG"/>
        </w:rPr>
        <w:t xml:space="preserve">, </w:t>
      </w:r>
      <w:r>
        <w:rPr>
          <w:lang w:val="bg-BG"/>
        </w:rPr>
        <w:t>списък</w:t>
      </w:r>
      <w:r w:rsidRPr="00220EA9">
        <w:rPr>
          <w:lang w:val="bg-BG"/>
        </w:rPr>
        <w:t xml:space="preserve"> от чужди </w:t>
      </w:r>
      <w:r>
        <w:rPr>
          <w:lang w:val="bg-BG"/>
        </w:rPr>
        <w:t>твърдения</w:t>
      </w:r>
      <w:r w:rsidRPr="00220EA9">
        <w:rPr>
          <w:lang w:val="bg-BG"/>
        </w:rPr>
        <w:t xml:space="preserve"> за подкуп</w:t>
      </w:r>
      <w:r>
        <w:rPr>
          <w:lang w:val="bg-BG"/>
        </w:rPr>
        <w:t>ване на чужди длъжностни лица</w:t>
      </w:r>
      <w:r w:rsidRPr="00220EA9">
        <w:rPr>
          <w:lang w:val="bg-BG"/>
        </w:rPr>
        <w:t xml:space="preserve">, изготвен от секретариата на ОИСР, използвайки публични източници, като например медиите. Включването на твърдения в </w:t>
      </w:r>
      <w:r>
        <w:t>Matrix</w:t>
      </w:r>
      <w:r w:rsidRPr="00220EA9">
        <w:rPr>
          <w:lang w:val="bg-BG"/>
        </w:rPr>
        <w:t xml:space="preserve"> не предрешава въпроса, дали </w:t>
      </w:r>
      <w:r>
        <w:rPr>
          <w:lang w:val="bg-BG"/>
        </w:rPr>
        <w:t xml:space="preserve">твърденията </w:t>
      </w:r>
      <w:r w:rsidRPr="00220EA9">
        <w:rPr>
          <w:lang w:val="bg-BG"/>
        </w:rPr>
        <w:t xml:space="preserve">всъщност са нарушение съгласно приложимото право. </w:t>
      </w:r>
      <w:proofErr w:type="gramStart"/>
      <w:r>
        <w:t>Matrix</w:t>
      </w:r>
      <w:r w:rsidRPr="00220EA9">
        <w:rPr>
          <w:lang w:val="bg-BG"/>
        </w:rPr>
        <w:t xml:space="preserve"> се предоставя от </w:t>
      </w:r>
      <w:r>
        <w:rPr>
          <w:lang w:val="bg-BG"/>
        </w:rPr>
        <w:t>Р</w:t>
      </w:r>
      <w:r w:rsidRPr="00220EA9">
        <w:rPr>
          <w:lang w:val="bg-BG"/>
        </w:rPr>
        <w:t>аботната група на Министерство на правосъдието, което от своя страна я разпределя на Върховната касационна прокуратура.</w:t>
      </w:r>
      <w:proofErr w:type="gramEnd"/>
    </w:p>
  </w:footnote>
  <w:footnote w:id="28">
    <w:p w14:paraId="4EC7C5A9" w14:textId="77777777" w:rsidR="001F7101" w:rsidRPr="00265AFE" w:rsidRDefault="001F7101" w:rsidP="00556505">
      <w:pPr>
        <w:pStyle w:val="FootnoteText"/>
        <w:rPr>
          <w:lang w:val="bg-BG"/>
        </w:rPr>
      </w:pPr>
      <w:r>
        <w:rPr>
          <w:rStyle w:val="FootnoteReference"/>
        </w:rPr>
        <w:footnoteRef/>
      </w:r>
      <w:r>
        <w:t xml:space="preserve"> </w:t>
      </w:r>
      <w:hyperlink r:id="rId6" w:history="1">
        <w:r w:rsidRPr="00C20CDF">
          <w:rPr>
            <w:rStyle w:val="Hyperlink"/>
            <w:rFonts w:cstheme="minorHAnsi"/>
          </w:rPr>
          <w:t>goAML (Anti-Money-Laundering System) (unodc.org)</w:t>
        </w:r>
      </w:hyperlink>
    </w:p>
  </w:footnote>
  <w:footnote w:id="29">
    <w:p w14:paraId="60F6B4B7" w14:textId="77777777" w:rsidR="001F7101" w:rsidRPr="00220EA9" w:rsidRDefault="001F7101" w:rsidP="0084086D">
      <w:pPr>
        <w:pStyle w:val="FootnoteText"/>
        <w:rPr>
          <w:lang w:val="bg-BG"/>
        </w:rPr>
      </w:pPr>
      <w:r>
        <w:rPr>
          <w:rStyle w:val="FootnoteReference"/>
        </w:rPr>
        <w:footnoteRef/>
      </w:r>
      <w:r w:rsidRPr="00220EA9">
        <w:rPr>
          <w:lang w:val="bg-BG"/>
        </w:rPr>
        <w:t xml:space="preserve"> Регистърът БУЛСТАТ е единен национален административен регистър, който се води от Агенцията по вписванията към Министерството на правосъдието. При вписване на новорегистриран субект в регистъра на БУЛСТАТ се генерира уникален единен идентификационен код (ЕИК), наречен БУЛСТАТ код, който е единственият идентификатор на стопански субекти в България. Всички юридически субекти, изброени в регистъра на БУЛСТАТ, ще използват и посочват ЕИК на БУЛСТАТ в документите, които издават и използват в работния си процес.</w:t>
      </w:r>
    </w:p>
  </w:footnote>
  <w:footnote w:id="30">
    <w:p w14:paraId="737FC5E4" w14:textId="77777777" w:rsidR="001F7101" w:rsidRPr="00220EA9" w:rsidRDefault="001F7101" w:rsidP="00556505">
      <w:pPr>
        <w:pStyle w:val="FootnoteText"/>
        <w:rPr>
          <w:lang w:val="bg-BG"/>
        </w:rPr>
      </w:pPr>
      <w:r>
        <w:rPr>
          <w:rStyle w:val="FootnoteReference"/>
        </w:rPr>
        <w:footnoteRef/>
      </w:r>
      <w:r w:rsidRPr="00220EA9">
        <w:rPr>
          <w:lang w:val="bg-BG"/>
        </w:rPr>
        <w:t xml:space="preserve"> Отбелязвайки, че </w:t>
      </w:r>
      <w:r>
        <w:rPr>
          <w:lang w:val="bg-BG"/>
        </w:rPr>
        <w:t>ЗМИП</w:t>
      </w:r>
      <w:r w:rsidRPr="00220EA9">
        <w:rPr>
          <w:lang w:val="bg-BG"/>
        </w:rPr>
        <w:t xml:space="preserve"> все още не е оценен от </w:t>
      </w:r>
      <w:r w:rsidRPr="00C47B10">
        <w:t>MONEYVAAL</w:t>
      </w:r>
      <w:r w:rsidRPr="00220EA9">
        <w:rPr>
          <w:lang w:val="bg-BG"/>
        </w:rPr>
        <w:t xml:space="preserve"> или </w:t>
      </w:r>
      <w:r w:rsidRPr="00C47B10">
        <w:t>FATF</w:t>
      </w:r>
      <w:r w:rsidRPr="00220EA9">
        <w:rPr>
          <w:lang w:val="bg-BG"/>
        </w:rPr>
        <w:t>.</w:t>
      </w:r>
    </w:p>
  </w:footnote>
  <w:footnote w:id="31">
    <w:p w14:paraId="07D7ADDF" w14:textId="77777777" w:rsidR="001F7101" w:rsidRPr="001C42CD" w:rsidRDefault="001F7101" w:rsidP="005D6747">
      <w:pPr>
        <w:pStyle w:val="FootnoteText"/>
        <w:rPr>
          <w:lang w:val="bg-BG"/>
        </w:rPr>
      </w:pPr>
      <w:r>
        <w:rPr>
          <w:rStyle w:val="FootnoteReference"/>
        </w:rPr>
        <w:footnoteRef/>
      </w:r>
      <w:r w:rsidRPr="00220EA9">
        <w:rPr>
          <w:lang w:val="bg-BG"/>
        </w:rPr>
        <w:t xml:space="preserve"> </w:t>
      </w:r>
      <w:hyperlink r:id="rId7" w:history="1">
        <w:r>
          <w:rPr>
            <w:rStyle w:val="Hyperlink"/>
            <w:rFonts w:cstheme="minorHAnsi"/>
            <w:lang w:val="bg-BG"/>
          </w:rPr>
          <w:t>ОИСР</w:t>
        </w:r>
        <w:r w:rsidRPr="00220EA9">
          <w:rPr>
            <w:rStyle w:val="Hyperlink"/>
            <w:rFonts w:cstheme="minorHAnsi"/>
            <w:lang w:val="bg-BG"/>
          </w:rPr>
          <w:t xml:space="preserve"> (2017), </w:t>
        </w:r>
        <w:r>
          <w:rPr>
            <w:rStyle w:val="Hyperlink"/>
            <w:rFonts w:cstheme="minorHAnsi"/>
            <w:lang w:val="bg-BG"/>
          </w:rPr>
          <w:t>Откриване на подкупване на чуждестранни длъжностни лица</w:t>
        </w:r>
        <w:r w:rsidRPr="00220EA9">
          <w:rPr>
            <w:rStyle w:val="Hyperlink"/>
            <w:rFonts w:cstheme="minorHAnsi"/>
            <w:lang w:val="bg-BG"/>
          </w:rPr>
          <w:t xml:space="preserve">, </w:t>
        </w:r>
        <w:r>
          <w:rPr>
            <w:rStyle w:val="Hyperlink"/>
            <w:rFonts w:cstheme="minorHAnsi"/>
            <w:lang w:val="bg-BG"/>
          </w:rPr>
          <w:t>Глава</w:t>
        </w:r>
        <w:r w:rsidRPr="00220EA9">
          <w:rPr>
            <w:rStyle w:val="Hyperlink"/>
            <w:rFonts w:cstheme="minorHAnsi"/>
            <w:lang w:val="bg-BG"/>
          </w:rPr>
          <w:t xml:space="preserve"> 4</w:t>
        </w:r>
      </w:hyperlink>
    </w:p>
  </w:footnote>
  <w:footnote w:id="32">
    <w:p w14:paraId="7836092B" w14:textId="77777777" w:rsidR="001F7101" w:rsidRPr="008C08CD" w:rsidRDefault="001F7101">
      <w:pPr>
        <w:pStyle w:val="FootnoteText"/>
        <w:rPr>
          <w:lang w:val="bg-BG"/>
        </w:rPr>
      </w:pPr>
      <w:r>
        <w:rPr>
          <w:rStyle w:val="FootnoteReference"/>
        </w:rPr>
        <w:footnoteRef/>
      </w:r>
      <w:r w:rsidRPr="00367B42">
        <w:rPr>
          <w:lang w:val="bg-BG"/>
        </w:rPr>
        <w:t xml:space="preserve"> </w:t>
      </w:r>
      <w:r>
        <w:rPr>
          <w:lang w:val="bg-BG"/>
        </w:rPr>
        <w:t>Репортери без граници, 2021 Световен индекс за свобода на пресата</w:t>
      </w:r>
    </w:p>
  </w:footnote>
  <w:footnote w:id="33">
    <w:p w14:paraId="4C0AA990" w14:textId="77777777" w:rsidR="001F7101" w:rsidRPr="008E6BDB" w:rsidRDefault="001F7101" w:rsidP="005D6747">
      <w:pPr>
        <w:pStyle w:val="FootnoteText"/>
        <w:rPr>
          <w:lang w:val="bg-BG"/>
        </w:rPr>
      </w:pPr>
      <w:r>
        <w:rPr>
          <w:rStyle w:val="FootnoteReference"/>
        </w:rPr>
        <w:footnoteRef/>
      </w:r>
      <w:r w:rsidRPr="00220EA9">
        <w:rPr>
          <w:lang w:val="bg-BG"/>
        </w:rPr>
        <w:t xml:space="preserve"> </w:t>
      </w:r>
      <w:r>
        <w:rPr>
          <w:lang w:val="bg-BG"/>
        </w:rPr>
        <w:t>Делото</w:t>
      </w:r>
      <w:r w:rsidRPr="00220EA9">
        <w:rPr>
          <w:lang w:val="bg-BG"/>
        </w:rPr>
        <w:t xml:space="preserve"> се отнася до български шофьор на камион, който предлага подкуп от 20 евро на словенски камион за гранична охрана, когато са спрени, </w:t>
      </w:r>
      <w:r>
        <w:rPr>
          <w:lang w:val="bg-BG"/>
        </w:rPr>
        <w:t>тъй като</w:t>
      </w:r>
      <w:r w:rsidRPr="00220EA9">
        <w:rPr>
          <w:lang w:val="bg-BG"/>
        </w:rPr>
        <w:t xml:space="preserve"> камионът им е в лошо състояние. Съдът осъди шофьор</w:t>
      </w:r>
      <w:r>
        <w:rPr>
          <w:lang w:val="bg-BG"/>
        </w:rPr>
        <w:t>а</w:t>
      </w:r>
      <w:r w:rsidRPr="00220EA9">
        <w:rPr>
          <w:lang w:val="bg-BG"/>
        </w:rPr>
        <w:t xml:space="preserve"> на камион за подкуп</w:t>
      </w:r>
      <w:r>
        <w:rPr>
          <w:lang w:val="bg-BG"/>
        </w:rPr>
        <w:t xml:space="preserve">ване на чуждо длъжностно лице </w:t>
      </w:r>
      <w:r w:rsidRPr="00220EA9">
        <w:rPr>
          <w:lang w:val="bg-BG"/>
        </w:rPr>
        <w:t>и го глоби с 200 лева (приблизително 102 евро).</w:t>
      </w:r>
    </w:p>
  </w:footnote>
  <w:footnote w:id="34">
    <w:p w14:paraId="5017C55D" w14:textId="77777777" w:rsidR="001F7101" w:rsidRPr="003C2DBD" w:rsidRDefault="001F7101" w:rsidP="005D6747">
      <w:pPr>
        <w:pStyle w:val="FootnoteText"/>
        <w:rPr>
          <w:sz w:val="20"/>
          <w:lang w:val="bg-BG"/>
        </w:rPr>
      </w:pPr>
      <w:r w:rsidRPr="00C20CDF">
        <w:rPr>
          <w:rStyle w:val="FootnoteReference"/>
          <w:rFonts w:cstheme="minorHAnsi"/>
          <w:sz w:val="20"/>
        </w:rPr>
        <w:footnoteRef/>
      </w:r>
      <w:r w:rsidRPr="00220EA9">
        <w:rPr>
          <w:lang w:val="bg-BG"/>
        </w:rPr>
        <w:t xml:space="preserve"> </w:t>
      </w:r>
      <w:r>
        <w:rPr>
          <w:lang w:val="bg-BG"/>
        </w:rPr>
        <w:t>Национална оценка на риска</w:t>
      </w:r>
      <w:r w:rsidRPr="00220EA9">
        <w:rPr>
          <w:lang w:val="bg-BG"/>
        </w:rPr>
        <w:t xml:space="preserve"> на разположение тук</w:t>
      </w:r>
      <w:r w:rsidRPr="00220EA9">
        <w:rPr>
          <w:sz w:val="20"/>
          <w:lang w:val="bg-BG"/>
        </w:rPr>
        <w:t xml:space="preserve">: </w:t>
      </w:r>
      <w:hyperlink r:id="rId8" w:history="1">
        <w:r w:rsidRPr="00C20CDF">
          <w:rPr>
            <w:rStyle w:val="Hyperlink"/>
            <w:rFonts w:cstheme="minorHAnsi"/>
          </w:rPr>
          <w:t>http</w:t>
        </w:r>
        <w:r w:rsidRPr="00220EA9">
          <w:rPr>
            <w:rStyle w:val="Hyperlink"/>
            <w:rFonts w:cstheme="minorHAnsi"/>
            <w:lang w:val="bg-BG"/>
          </w:rPr>
          <w:t>://</w:t>
        </w:r>
        <w:r w:rsidRPr="00C20CDF">
          <w:rPr>
            <w:rStyle w:val="Hyperlink"/>
            <w:rFonts w:cstheme="minorHAnsi"/>
          </w:rPr>
          <w:t>www</w:t>
        </w:r>
        <w:r w:rsidRPr="00220EA9">
          <w:rPr>
            <w:rStyle w:val="Hyperlink"/>
            <w:rFonts w:cstheme="minorHAnsi"/>
            <w:lang w:val="bg-BG"/>
          </w:rPr>
          <w:t>.</w:t>
        </w:r>
        <w:r w:rsidRPr="00C20CDF">
          <w:rPr>
            <w:rStyle w:val="Hyperlink"/>
            <w:rFonts w:cstheme="minorHAnsi"/>
          </w:rPr>
          <w:t>dans</w:t>
        </w:r>
        <w:r w:rsidRPr="00220EA9">
          <w:rPr>
            <w:rStyle w:val="Hyperlink"/>
            <w:rFonts w:cstheme="minorHAnsi"/>
            <w:lang w:val="bg-BG"/>
          </w:rPr>
          <w:t>.</w:t>
        </w:r>
        <w:r w:rsidRPr="00C20CDF">
          <w:rPr>
            <w:rStyle w:val="Hyperlink"/>
            <w:rFonts w:cstheme="minorHAnsi"/>
          </w:rPr>
          <w:t>bg</w:t>
        </w:r>
        <w:r w:rsidRPr="00220EA9">
          <w:rPr>
            <w:rStyle w:val="Hyperlink"/>
            <w:rFonts w:cstheme="minorHAnsi"/>
            <w:lang w:val="bg-BG"/>
          </w:rPr>
          <w:t>/</w:t>
        </w:r>
        <w:r w:rsidRPr="00C20CDF">
          <w:rPr>
            <w:rStyle w:val="Hyperlink"/>
            <w:rFonts w:cstheme="minorHAnsi"/>
          </w:rPr>
          <w:t>en</w:t>
        </w:r>
        <w:r w:rsidRPr="00220EA9">
          <w:rPr>
            <w:rStyle w:val="Hyperlink"/>
            <w:rFonts w:cstheme="minorHAnsi"/>
            <w:lang w:val="bg-BG"/>
          </w:rPr>
          <w:t>/</w:t>
        </w:r>
        <w:r w:rsidRPr="00C20CDF">
          <w:rPr>
            <w:rStyle w:val="Hyperlink"/>
            <w:rFonts w:cstheme="minorHAnsi"/>
          </w:rPr>
          <w:t>msip</w:t>
        </w:r>
        <w:r w:rsidRPr="00220EA9">
          <w:rPr>
            <w:rStyle w:val="Hyperlink"/>
            <w:rFonts w:cstheme="minorHAnsi"/>
            <w:lang w:val="bg-BG"/>
          </w:rPr>
          <w:t>-091209-</w:t>
        </w:r>
        <w:r w:rsidRPr="00C20CDF">
          <w:rPr>
            <w:rStyle w:val="Hyperlink"/>
            <w:rFonts w:cstheme="minorHAnsi"/>
          </w:rPr>
          <w:t>menu</w:t>
        </w:r>
        <w:r w:rsidRPr="00220EA9">
          <w:rPr>
            <w:rStyle w:val="Hyperlink"/>
            <w:rFonts w:cstheme="minorHAnsi"/>
            <w:lang w:val="bg-BG"/>
          </w:rPr>
          <w:t>-</w:t>
        </w:r>
        <w:r w:rsidRPr="00C20CDF">
          <w:rPr>
            <w:rStyle w:val="Hyperlink"/>
            <w:rFonts w:cstheme="minorHAnsi"/>
          </w:rPr>
          <w:t>en</w:t>
        </w:r>
        <w:r w:rsidRPr="00220EA9">
          <w:rPr>
            <w:rStyle w:val="Hyperlink"/>
            <w:rFonts w:cstheme="minorHAnsi"/>
            <w:lang w:val="bg-BG"/>
          </w:rPr>
          <w:t>/</w:t>
        </w:r>
        <w:r w:rsidRPr="00C20CDF">
          <w:rPr>
            <w:rStyle w:val="Hyperlink"/>
            <w:rFonts w:cstheme="minorHAnsi"/>
          </w:rPr>
          <w:t>results</w:t>
        </w:r>
        <w:r w:rsidRPr="00220EA9">
          <w:rPr>
            <w:rStyle w:val="Hyperlink"/>
            <w:rFonts w:cstheme="minorHAnsi"/>
            <w:lang w:val="bg-BG"/>
          </w:rPr>
          <w:t>-</w:t>
        </w:r>
        <w:r w:rsidRPr="00C20CDF">
          <w:rPr>
            <w:rStyle w:val="Hyperlink"/>
            <w:rFonts w:cstheme="minorHAnsi"/>
          </w:rPr>
          <w:t>from</w:t>
        </w:r>
        <w:r w:rsidRPr="00220EA9">
          <w:rPr>
            <w:rStyle w:val="Hyperlink"/>
            <w:rFonts w:cstheme="minorHAnsi"/>
            <w:lang w:val="bg-BG"/>
          </w:rPr>
          <w:t>-</w:t>
        </w:r>
        <w:r w:rsidRPr="00C20CDF">
          <w:rPr>
            <w:rStyle w:val="Hyperlink"/>
            <w:rFonts w:cstheme="minorHAnsi"/>
          </w:rPr>
          <w:t>national</w:t>
        </w:r>
        <w:r w:rsidRPr="00220EA9">
          <w:rPr>
            <w:rStyle w:val="Hyperlink"/>
            <w:rFonts w:cstheme="minorHAnsi"/>
            <w:lang w:val="bg-BG"/>
          </w:rPr>
          <w:t>-</w:t>
        </w:r>
        <w:r w:rsidRPr="00C20CDF">
          <w:rPr>
            <w:rStyle w:val="Hyperlink"/>
            <w:rFonts w:cstheme="minorHAnsi"/>
          </w:rPr>
          <w:t>risk</w:t>
        </w:r>
        <w:r w:rsidRPr="00220EA9">
          <w:rPr>
            <w:rStyle w:val="Hyperlink"/>
            <w:rFonts w:cstheme="minorHAnsi"/>
            <w:lang w:val="bg-BG"/>
          </w:rPr>
          <w:t>-</w:t>
        </w:r>
        <w:r w:rsidRPr="00C20CDF">
          <w:rPr>
            <w:rStyle w:val="Hyperlink"/>
            <w:rFonts w:cstheme="minorHAnsi"/>
          </w:rPr>
          <w:t>assessment</w:t>
        </w:r>
      </w:hyperlink>
    </w:p>
  </w:footnote>
  <w:footnote w:id="35">
    <w:p w14:paraId="3AFB68A3" w14:textId="77777777" w:rsidR="001F7101" w:rsidRPr="00296BC8" w:rsidRDefault="001F7101" w:rsidP="005D6747">
      <w:pPr>
        <w:pStyle w:val="FootnoteText"/>
        <w:rPr>
          <w:color w:val="0000CC"/>
          <w:sz w:val="20"/>
          <w:u w:val="single"/>
          <w:lang w:val="bg-BG"/>
        </w:rPr>
      </w:pPr>
      <w:r w:rsidRPr="008C08CD">
        <w:rPr>
          <w:lang w:val="bg-BG"/>
        </w:rPr>
        <w:footnoteRef/>
      </w:r>
      <w:r w:rsidRPr="008C08CD">
        <w:rPr>
          <w:lang w:val="bg-BG"/>
        </w:rPr>
        <w:t xml:space="preserve"> Но отбелязвайки, че България все още не е оценена по четвъртия кръг на Методологията за оценка на FATF, ограничавайки съпоставимостта Базелски индекс против изпирането на пари за </w:t>
      </w:r>
      <w:hyperlink r:id="rId9" w:history="1">
        <w:r w:rsidRPr="00367B42">
          <w:rPr>
            <w:lang w:val="bg-BG"/>
          </w:rPr>
          <w:t xml:space="preserve">2020 </w:t>
        </w:r>
      </w:hyperlink>
      <w:r w:rsidRPr="00367B42">
        <w:rPr>
          <w:lang w:val="bg-BG"/>
        </w:rPr>
        <w:t xml:space="preserve"> г.</w:t>
      </w:r>
    </w:p>
  </w:footnote>
  <w:footnote w:id="36">
    <w:p w14:paraId="59EA059D" w14:textId="33A1C23F" w:rsidR="001F7101" w:rsidRPr="008C08CD" w:rsidRDefault="001F7101" w:rsidP="00C20CDF">
      <w:pPr>
        <w:pStyle w:val="FootnoteText"/>
        <w:rPr>
          <w:lang w:val="bg-BG"/>
        </w:rPr>
      </w:pPr>
      <w:r w:rsidRPr="008C08CD">
        <w:rPr>
          <w:lang w:val="bg-BG"/>
        </w:rPr>
        <w:footnoteRef/>
      </w:r>
      <w:r w:rsidRPr="008C08CD">
        <w:rPr>
          <w:lang w:val="bg-BG"/>
        </w:rPr>
        <w:t xml:space="preserve"> Анонимните съобщения не са законен повод за започване на разследване</w:t>
      </w:r>
      <w:r w:rsidRPr="000C5383">
        <w:rPr>
          <w:lang w:val="bg-BG"/>
        </w:rPr>
        <w:t xml:space="preserve"> (член 209 от НПК)</w:t>
      </w:r>
      <w:r>
        <w:rPr>
          <w:lang w:val="bg-BG"/>
        </w:rPr>
        <w:t>;</w:t>
      </w:r>
    </w:p>
  </w:footnote>
  <w:footnote w:id="37">
    <w:p w14:paraId="01E62E0F" w14:textId="35F7FB01" w:rsidR="001F7101" w:rsidRPr="00220EA9" w:rsidRDefault="001F7101" w:rsidP="00756F98">
      <w:pPr>
        <w:pStyle w:val="FootnoteText"/>
        <w:rPr>
          <w:lang w:val="bg-BG"/>
        </w:rPr>
      </w:pPr>
      <w:r w:rsidRPr="008C08CD">
        <w:rPr>
          <w:lang w:val="bg-BG"/>
        </w:rPr>
        <w:footnoteRef/>
      </w:r>
      <w:r w:rsidRPr="00220EA9">
        <w:rPr>
          <w:lang w:val="bg-BG"/>
        </w:rPr>
        <w:t xml:space="preserve"> Съгласно член 52 от НПК се използва терминът разследващи органи и те включват следователи и служители на МВР, назначени за „разследващи полицаи”</w:t>
      </w:r>
      <w:r>
        <w:rPr>
          <w:lang w:val="bg-BG"/>
        </w:rPr>
        <w:t>.</w:t>
      </w:r>
    </w:p>
  </w:footnote>
  <w:footnote w:id="38">
    <w:p w14:paraId="768196A4" w14:textId="77777777" w:rsidR="001F7101" w:rsidRPr="00C20CDF" w:rsidRDefault="001F7101" w:rsidP="00C20CDF">
      <w:pPr>
        <w:pStyle w:val="FootnoteText"/>
        <w:rPr>
          <w:sz w:val="20"/>
        </w:rPr>
      </w:pPr>
      <w:r w:rsidRPr="00C20CDF">
        <w:rPr>
          <w:rStyle w:val="FootnoteReference"/>
          <w:rFonts w:cstheme="minorHAnsi"/>
          <w:sz w:val="20"/>
        </w:rPr>
        <w:footnoteRef/>
      </w:r>
      <w:r w:rsidRPr="00C20CDF">
        <w:rPr>
          <w:sz w:val="20"/>
        </w:rPr>
        <w:t xml:space="preserve"> </w:t>
      </w:r>
      <w:hyperlink r:id="rId10" w:history="1">
        <w:r w:rsidRPr="00C20CDF">
          <w:rPr>
            <w:rStyle w:val="Hyperlink"/>
            <w:rFonts w:cstheme="minorHAnsi"/>
          </w:rPr>
          <w:t>bg_rol_country_chapter.pdf (europa.eu)</w:t>
        </w:r>
      </w:hyperlink>
    </w:p>
  </w:footnote>
  <w:footnote w:id="39">
    <w:p w14:paraId="7949978D" w14:textId="0D6812A7" w:rsidR="001F7101" w:rsidRPr="00572912" w:rsidRDefault="001F7101">
      <w:pPr>
        <w:pStyle w:val="FootnoteText"/>
        <w:rPr>
          <w:lang w:val="bg-BG"/>
        </w:rPr>
      </w:pPr>
      <w:r>
        <w:rPr>
          <w:rStyle w:val="FootnoteReference"/>
        </w:rPr>
        <w:footnoteRef/>
      </w:r>
      <w:r>
        <w:t xml:space="preserve"> </w:t>
      </w:r>
      <w:r>
        <w:rPr>
          <w:lang w:val="bg-BG"/>
        </w:rPr>
        <w:t xml:space="preserve">След виртуалното работно посещение, България уведоми, че през 2021 г. главният прокурор е одобрил нова </w:t>
      </w:r>
      <w:r w:rsidRPr="00690B2D">
        <w:rPr>
          <w:lang w:val="bg-BG"/>
        </w:rPr>
        <w:t xml:space="preserve">Инструкция (Вътрешни </w:t>
      </w:r>
      <w:r>
        <w:rPr>
          <w:lang w:val="bg-BG"/>
        </w:rPr>
        <w:t>правила</w:t>
      </w:r>
      <w:r w:rsidRPr="00690B2D">
        <w:rPr>
          <w:lang w:val="bg-BG"/>
        </w:rPr>
        <w:t>) за осъществяване на инстанционния и служебния контрол в рамките на прокуратурата, съгласно която контролът се осъществява от непосредствено по-висшестоящата прокуратура. Следователно контролът на главния прокурор се ограничава само до решенията, взети от прокурорите от Върхов</w:t>
      </w:r>
      <w:r>
        <w:rPr>
          <w:lang w:val="bg-BG"/>
        </w:rPr>
        <w:t>ната касационна прокуратура (ВКП</w:t>
      </w:r>
      <w:r w:rsidRPr="00690B2D">
        <w:rPr>
          <w:lang w:val="bg-BG"/>
        </w:rPr>
        <w:t>) и от Върховната административна прокуратура</w:t>
      </w:r>
      <w:r>
        <w:rPr>
          <w:lang w:val="bg-BG"/>
        </w:rPr>
        <w:t xml:space="preserve"> (ВАП)</w:t>
      </w:r>
      <w:r w:rsidRPr="00690B2D">
        <w:rPr>
          <w:lang w:val="bg-BG"/>
        </w:rPr>
        <w:t>. Съгласно инструкцията главният прокурор не може да отмени или измени акт на прокурор, например</w:t>
      </w:r>
      <w:r>
        <w:rPr>
          <w:lang w:val="bg-BG"/>
        </w:rPr>
        <w:t>,</w:t>
      </w:r>
      <w:r w:rsidRPr="00690B2D">
        <w:rPr>
          <w:lang w:val="bg-BG"/>
        </w:rPr>
        <w:t xml:space="preserve"> на регионално, областно или апелативно </w:t>
      </w:r>
      <w:r>
        <w:rPr>
          <w:lang w:val="bg-BG"/>
        </w:rPr>
        <w:t>равнище</w:t>
      </w:r>
      <w:r w:rsidRPr="00690B2D">
        <w:rPr>
          <w:lang w:val="bg-BG"/>
        </w:rPr>
        <w:t>, тъй като той не е техен пряк началник.</w:t>
      </w:r>
    </w:p>
  </w:footnote>
  <w:footnote w:id="40">
    <w:p w14:paraId="647CFD53" w14:textId="77777777" w:rsidR="001F7101" w:rsidRPr="00C20CDF" w:rsidRDefault="001F7101" w:rsidP="00C20CDF">
      <w:pPr>
        <w:pStyle w:val="FootnoteText"/>
        <w:rPr>
          <w:sz w:val="20"/>
        </w:rPr>
      </w:pPr>
      <w:r w:rsidRPr="00C20CDF">
        <w:rPr>
          <w:rStyle w:val="FootnoteReference"/>
          <w:rFonts w:cstheme="minorHAnsi"/>
          <w:sz w:val="20"/>
        </w:rPr>
        <w:footnoteRef/>
      </w:r>
      <w:r w:rsidRPr="00C20CDF">
        <w:rPr>
          <w:sz w:val="20"/>
        </w:rPr>
        <w:t xml:space="preserve"> </w:t>
      </w:r>
      <w:hyperlink r:id="rId11" w:history="1">
        <w:r w:rsidRPr="00C20CDF">
          <w:rPr>
            <w:rStyle w:val="Hyperlink"/>
            <w:rFonts w:cstheme="minorHAnsi"/>
          </w:rPr>
          <w:t>bg_rol_country_chapter.pdf (europa.eu)</w:t>
        </w:r>
      </w:hyperlink>
    </w:p>
  </w:footnote>
  <w:footnote w:id="41">
    <w:p w14:paraId="2A0F51B7" w14:textId="77777777" w:rsidR="001F7101" w:rsidRPr="00220EA9" w:rsidRDefault="001F7101" w:rsidP="00C821DF">
      <w:pPr>
        <w:pStyle w:val="FootnoteText"/>
        <w:rPr>
          <w:lang w:val="bg-BG"/>
        </w:rPr>
      </w:pPr>
      <w:r w:rsidRPr="003627A1">
        <w:rPr>
          <w:rStyle w:val="o1"/>
          <w:rFonts w:cs="Arial"/>
        </w:rPr>
        <w:footnoteRef/>
      </w:r>
      <w:r w:rsidRPr="00220EA9">
        <w:rPr>
          <w:lang w:val="bg-BG"/>
        </w:rPr>
        <w:t xml:space="preserve"> Последният докладван е договор за ВПП с Казахстан, сключен през 2015 г.</w:t>
      </w:r>
    </w:p>
  </w:footnote>
  <w:footnote w:id="42">
    <w:p w14:paraId="28BE96EC" w14:textId="77777777" w:rsidR="001F7101" w:rsidRPr="001D7DAE" w:rsidRDefault="001F7101">
      <w:pPr>
        <w:pStyle w:val="FootnoteText"/>
        <w:rPr>
          <w:lang w:val="bg-BG"/>
        </w:rPr>
      </w:pPr>
      <w:r>
        <w:rPr>
          <w:rStyle w:val="FootnoteReference"/>
        </w:rPr>
        <w:footnoteRef/>
      </w:r>
      <w:r w:rsidRPr="00220EA9">
        <w:rPr>
          <w:lang w:val="fr-FR"/>
        </w:rPr>
        <w:t xml:space="preserve"> </w:t>
      </w:r>
      <w:hyperlink r:id="rId12" w:anchor="ctx1" w:history="1">
        <w:r w:rsidRPr="00220EA9">
          <w:rPr>
            <w:rStyle w:val="Hyperlink1"/>
            <w:rFonts w:cs="Arial"/>
            <w:lang w:val="fr-FR"/>
          </w:rPr>
          <w:t>CURIA - Documents (europa.eu</w:t>
        </w:r>
        <w:proofErr w:type="gramStart"/>
        <w:r w:rsidRPr="00220EA9">
          <w:rPr>
            <w:rStyle w:val="Hyperlink1"/>
            <w:rFonts w:cs="Arial"/>
            <w:lang w:val="fr-FR"/>
          </w:rPr>
          <w:t>)</w:t>
        </w:r>
        <w:proofErr w:type="gramEnd"/>
      </w:hyperlink>
      <w:r w:rsidRPr="00220EA9">
        <w:rPr>
          <w:lang w:val="fr-FR"/>
        </w:rPr>
        <w:t xml:space="preserve">; </w:t>
      </w:r>
      <w:hyperlink r:id="rId13" w:history="1">
        <w:r w:rsidRPr="00220EA9">
          <w:rPr>
            <w:rStyle w:val="Hyperlink1"/>
            <w:rFonts w:cs="Arial"/>
            <w:lang w:val="fr-FR"/>
          </w:rPr>
          <w:t>Global Investigations Review - EU court invalidates Bulgarian EAWs</w:t>
        </w:r>
      </w:hyperlink>
    </w:p>
  </w:footnote>
  <w:footnote w:id="43">
    <w:p w14:paraId="32B0B37A" w14:textId="77777777" w:rsidR="001F7101" w:rsidRPr="008C08CD" w:rsidRDefault="001F7101">
      <w:pPr>
        <w:pStyle w:val="FootnoteText"/>
        <w:rPr>
          <w:lang w:val="bg-BG"/>
        </w:rPr>
      </w:pPr>
      <w:r>
        <w:rPr>
          <w:rStyle w:val="FootnoteReference"/>
        </w:rPr>
        <w:footnoteRef/>
      </w:r>
      <w:r w:rsidRPr="008C08CD">
        <w:rPr>
          <w:lang w:val="bg-BG"/>
        </w:rPr>
        <w:t xml:space="preserve"> </w:t>
      </w:r>
      <w:r>
        <w:rPr>
          <w:lang w:val="bg-BG"/>
        </w:rPr>
        <w:t>Докладът ще използва, където е подходящо, термина „отговорност на юридическите лица“ и свързани с него термини, за да постигне съответствие с терминологията на Конвенцията и Ръководството за мониторинг по фаза 4.</w:t>
      </w:r>
    </w:p>
  </w:footnote>
  <w:footnote w:id="44">
    <w:p w14:paraId="3FE21DB2" w14:textId="2CB85EAC" w:rsidR="001F7101" w:rsidRPr="00220EA9" w:rsidRDefault="001F7101" w:rsidP="00C20CDF">
      <w:pPr>
        <w:pStyle w:val="FootnoteText"/>
        <w:rPr>
          <w:szCs w:val="18"/>
          <w:lang w:val="bg-BG"/>
        </w:rPr>
      </w:pPr>
      <w:r w:rsidRPr="00C20CDF">
        <w:rPr>
          <w:rStyle w:val="FootnoteReference"/>
          <w:rFonts w:cstheme="minorHAnsi"/>
          <w:sz w:val="18"/>
          <w:szCs w:val="18"/>
        </w:rPr>
        <w:footnoteRef/>
      </w:r>
      <w:r w:rsidRPr="00220EA9">
        <w:rPr>
          <w:szCs w:val="18"/>
          <w:lang w:val="bg-BG"/>
        </w:rPr>
        <w:t xml:space="preserve"> Решение </w:t>
      </w:r>
      <w:r w:rsidRPr="00544049">
        <w:rPr>
          <w:szCs w:val="18"/>
        </w:rPr>
        <w:t>No</w:t>
      </w:r>
      <w:r w:rsidRPr="00220EA9">
        <w:rPr>
          <w:szCs w:val="18"/>
          <w:lang w:val="bg-BG"/>
        </w:rPr>
        <w:t xml:space="preserve"> 96 от 13 юни 2019 г. на БА</w:t>
      </w:r>
      <w:r>
        <w:rPr>
          <w:szCs w:val="18"/>
          <w:lang w:val="bg-BG"/>
        </w:rPr>
        <w:t>С</w:t>
      </w:r>
      <w:r w:rsidRPr="00220EA9">
        <w:rPr>
          <w:szCs w:val="18"/>
          <w:lang w:val="bg-BG"/>
        </w:rPr>
        <w:t xml:space="preserve">; Решение </w:t>
      </w:r>
      <w:r w:rsidRPr="00544049">
        <w:rPr>
          <w:szCs w:val="18"/>
        </w:rPr>
        <w:t>No</w:t>
      </w:r>
      <w:r w:rsidRPr="00220EA9">
        <w:rPr>
          <w:szCs w:val="18"/>
          <w:lang w:val="bg-BG"/>
        </w:rPr>
        <w:t xml:space="preserve"> 146 от 30 август 2019 г. на БА</w:t>
      </w:r>
      <w:r>
        <w:rPr>
          <w:szCs w:val="18"/>
          <w:lang w:val="bg-BG"/>
        </w:rPr>
        <w:t>С</w:t>
      </w:r>
    </w:p>
  </w:footnote>
  <w:footnote w:id="45">
    <w:p w14:paraId="609A0F5A" w14:textId="77777777" w:rsidR="001F7101" w:rsidRPr="00220EA9" w:rsidRDefault="001F7101" w:rsidP="00C20CDF">
      <w:pPr>
        <w:pStyle w:val="FootnoteText"/>
        <w:rPr>
          <w:szCs w:val="18"/>
          <w:lang w:val="bg-BG"/>
        </w:rPr>
      </w:pPr>
      <w:r w:rsidRPr="00C20CDF">
        <w:rPr>
          <w:rStyle w:val="FootnoteReference"/>
          <w:rFonts w:cstheme="minorHAnsi"/>
          <w:sz w:val="18"/>
          <w:szCs w:val="18"/>
        </w:rPr>
        <w:footnoteRef/>
      </w:r>
      <w:r w:rsidRPr="00220EA9">
        <w:rPr>
          <w:szCs w:val="18"/>
          <w:lang w:val="bg-BG"/>
        </w:rPr>
        <w:t xml:space="preserve"> Доклад по фаза 4 на Германия, параграф 220; Доклад по фаза 3 на Италия, параграф 46; Доклад по фаза 3 на Швеция, параграф 41.</w:t>
      </w:r>
    </w:p>
  </w:footnote>
  <w:footnote w:id="46">
    <w:p w14:paraId="114BD9CC" w14:textId="0D62CE59" w:rsidR="001F7101" w:rsidRPr="00220EA9" w:rsidRDefault="001F7101" w:rsidP="00C20CDF">
      <w:pPr>
        <w:pStyle w:val="FootnoteText"/>
        <w:rPr>
          <w:szCs w:val="18"/>
          <w:lang w:val="bg-BG"/>
        </w:rPr>
      </w:pPr>
      <w:r w:rsidRPr="00C20CDF">
        <w:rPr>
          <w:rStyle w:val="FootnoteReference"/>
          <w:rFonts w:cstheme="minorHAnsi"/>
          <w:sz w:val="18"/>
          <w:szCs w:val="18"/>
        </w:rPr>
        <w:footnoteRef/>
      </w:r>
      <w:r w:rsidRPr="00220EA9">
        <w:rPr>
          <w:szCs w:val="18"/>
          <w:lang w:val="bg-BG"/>
        </w:rPr>
        <w:t xml:space="preserve"> Решение </w:t>
      </w:r>
      <w:r w:rsidRPr="007A0D99">
        <w:rPr>
          <w:szCs w:val="18"/>
        </w:rPr>
        <w:t>No</w:t>
      </w:r>
      <w:r w:rsidRPr="00220EA9">
        <w:rPr>
          <w:szCs w:val="18"/>
          <w:lang w:val="bg-BG"/>
        </w:rPr>
        <w:t xml:space="preserve"> 96 от 13 юни 2019 г. на БА</w:t>
      </w:r>
      <w:r>
        <w:rPr>
          <w:szCs w:val="18"/>
          <w:lang w:val="bg-BG"/>
        </w:rPr>
        <w:t>С</w:t>
      </w:r>
      <w:r w:rsidRPr="00220EA9">
        <w:rPr>
          <w:szCs w:val="18"/>
          <w:lang w:val="bg-BG"/>
        </w:rPr>
        <w:t xml:space="preserve">; Решение </w:t>
      </w:r>
      <w:r w:rsidRPr="007A0D99">
        <w:rPr>
          <w:szCs w:val="18"/>
        </w:rPr>
        <w:t>No</w:t>
      </w:r>
      <w:r w:rsidRPr="00220EA9">
        <w:rPr>
          <w:szCs w:val="18"/>
          <w:lang w:val="bg-BG"/>
        </w:rPr>
        <w:t xml:space="preserve"> 146 от 30 август 2019 г. на БА</w:t>
      </w:r>
      <w:r>
        <w:rPr>
          <w:szCs w:val="18"/>
          <w:lang w:val="bg-BG"/>
        </w:rPr>
        <w:t>С</w:t>
      </w:r>
      <w:r w:rsidRPr="00220EA9">
        <w:rPr>
          <w:szCs w:val="18"/>
          <w:lang w:val="bg-BG"/>
        </w:rPr>
        <w:t>.</w:t>
      </w:r>
    </w:p>
  </w:footnote>
  <w:footnote w:id="47">
    <w:p w14:paraId="25EF2261" w14:textId="77777777" w:rsidR="001F7101" w:rsidRPr="00F42E5E" w:rsidRDefault="001F7101">
      <w:pPr>
        <w:pStyle w:val="FootnoteText"/>
        <w:rPr>
          <w:lang w:val="bg-BG"/>
        </w:rPr>
      </w:pPr>
      <w:r>
        <w:rPr>
          <w:rStyle w:val="FootnoteReference"/>
        </w:rPr>
        <w:footnoteRef/>
      </w:r>
      <w:r w:rsidRPr="00220EA9">
        <w:rPr>
          <w:lang w:val="bg-BG"/>
        </w:rPr>
        <w:t xml:space="preserve"> За сравнение, Работната група счете, че максимално наличните санкции срещу юридически лица в Австрия (1,3 милиона евро - доклад по фаза 3, параграф 55); Чили (740 000 </w:t>
      </w:r>
      <w:r w:rsidRPr="00F42E5E">
        <w:t>EUR</w:t>
      </w:r>
      <w:r w:rsidRPr="00220EA9">
        <w:rPr>
          <w:lang w:val="bg-BG"/>
        </w:rPr>
        <w:t xml:space="preserve"> - доклад по фаза 3, параграф 72); Финландия (850 000 </w:t>
      </w:r>
      <w:r w:rsidRPr="00F42E5E">
        <w:t>EUR</w:t>
      </w:r>
      <w:r w:rsidRPr="00220EA9">
        <w:rPr>
          <w:lang w:val="bg-BG"/>
        </w:rPr>
        <w:t xml:space="preserve"> - доклад по фаза 3, параграф 33); Португалия (1,8 млн. Евро - доклад по фаза 2, параграф 180) са твърде ниски, за да отговарят на стандартите на Конвенцията.</w:t>
      </w:r>
    </w:p>
  </w:footnote>
  <w:footnote w:id="48">
    <w:p w14:paraId="6206B0B6" w14:textId="77777777" w:rsidR="001F7101" w:rsidRPr="00220EA9" w:rsidRDefault="001F7101" w:rsidP="00662576">
      <w:pPr>
        <w:pStyle w:val="FootnoteText"/>
        <w:rPr>
          <w:lang w:val="bg-BG"/>
        </w:rPr>
      </w:pPr>
      <w:r>
        <w:rPr>
          <w:rStyle w:val="FootnoteReference"/>
        </w:rPr>
        <w:footnoteRef/>
      </w:r>
      <w:r w:rsidRPr="00220EA9">
        <w:rPr>
          <w:lang w:val="bg-BG"/>
        </w:rPr>
        <w:t xml:space="preserve"> </w:t>
      </w:r>
      <w:r>
        <w:rPr>
          <w:lang w:val="bg-BG"/>
        </w:rPr>
        <w:t>Н</w:t>
      </w:r>
      <w:r w:rsidRPr="00220EA9">
        <w:rPr>
          <w:lang w:val="bg-BG"/>
        </w:rPr>
        <w:t>аказателно дело</w:t>
      </w:r>
      <w:r>
        <w:rPr>
          <w:lang w:val="bg-BG"/>
        </w:rPr>
        <w:t xml:space="preserve"> от общ характер</w:t>
      </w:r>
      <w:r w:rsidRPr="00220EA9">
        <w:rPr>
          <w:lang w:val="bg-BG"/>
        </w:rPr>
        <w:t xml:space="preserve"> (</w:t>
      </w:r>
      <w:r>
        <w:rPr>
          <w:lang w:val="bg-BG"/>
        </w:rPr>
        <w:t>НОХД</w:t>
      </w:r>
      <w:r w:rsidRPr="00220EA9">
        <w:rPr>
          <w:lang w:val="bg-BG"/>
        </w:rPr>
        <w:t xml:space="preserve">) </w:t>
      </w:r>
      <w:r w:rsidRPr="00C13BA3">
        <w:rPr>
          <w:lang w:val="en-US"/>
        </w:rPr>
        <w:t>No</w:t>
      </w:r>
      <w:r w:rsidRPr="00220EA9">
        <w:rPr>
          <w:lang w:val="bg-BG"/>
        </w:rPr>
        <w:t xml:space="preserve"> 1180/2018 г. по описа на Софийски градски съд, за имущество, придобито чрез престъпление (данъчно престъпление) в размер на </w:t>
      </w:r>
      <w:r w:rsidRPr="008C08CD">
        <w:rPr>
          <w:lang w:val="bg-BG"/>
        </w:rPr>
        <w:t>552018</w:t>
      </w:r>
      <w:r w:rsidRPr="00220EA9">
        <w:rPr>
          <w:lang w:val="bg-BG"/>
        </w:rPr>
        <w:t>.81 лв.</w:t>
      </w:r>
    </w:p>
  </w:footnote>
  <w:footnote w:id="49">
    <w:p w14:paraId="35B62F47" w14:textId="77777777" w:rsidR="001F7101" w:rsidRPr="00220EA9" w:rsidRDefault="001F7101" w:rsidP="00662576">
      <w:pPr>
        <w:pStyle w:val="FootnoteText"/>
        <w:rPr>
          <w:lang w:val="bg-BG"/>
        </w:rPr>
      </w:pPr>
      <w:r>
        <w:rPr>
          <w:rStyle w:val="FootnoteReference"/>
        </w:rPr>
        <w:footnoteRef/>
      </w:r>
      <w:r w:rsidRPr="00220EA9">
        <w:rPr>
          <w:lang w:val="bg-BG"/>
        </w:rPr>
        <w:t xml:space="preserve"> Вижте „Инструкци</w:t>
      </w:r>
      <w:r>
        <w:rPr>
          <w:lang w:val="bg-BG"/>
        </w:rPr>
        <w:t>я</w:t>
      </w:r>
      <w:r w:rsidRPr="00220EA9">
        <w:rPr>
          <w:lang w:val="bg-BG"/>
        </w:rPr>
        <w:t xml:space="preserve"> за организацията и формите на взаимодействие между Министерството на финансите и Главната прокуратура на Република България“.</w:t>
      </w:r>
    </w:p>
  </w:footnote>
  <w:footnote w:id="50">
    <w:p w14:paraId="2940859F" w14:textId="48C3E923" w:rsidR="001F7101" w:rsidRPr="00220EA9" w:rsidRDefault="001F7101" w:rsidP="00662576">
      <w:pPr>
        <w:pStyle w:val="Para"/>
        <w:numPr>
          <w:ilvl w:val="0"/>
          <w:numId w:val="0"/>
        </w:numPr>
        <w:rPr>
          <w:sz w:val="16"/>
          <w:szCs w:val="16"/>
          <w:lang w:val="bg-BG"/>
        </w:rPr>
      </w:pPr>
      <w:r w:rsidRPr="00091DE9">
        <w:rPr>
          <w:rStyle w:val="FootnoteReference"/>
          <w:sz w:val="16"/>
          <w:szCs w:val="16"/>
        </w:rPr>
        <w:footnoteRef/>
      </w:r>
      <w:r w:rsidRPr="00220EA9">
        <w:rPr>
          <w:sz w:val="16"/>
          <w:szCs w:val="16"/>
          <w:lang w:val="bg-BG"/>
        </w:rPr>
        <w:t xml:space="preserve"> Решение </w:t>
      </w:r>
      <w:r w:rsidRPr="00682B9C">
        <w:rPr>
          <w:sz w:val="16"/>
          <w:szCs w:val="16"/>
        </w:rPr>
        <w:t>No</w:t>
      </w:r>
      <w:r w:rsidRPr="00220EA9">
        <w:rPr>
          <w:sz w:val="16"/>
          <w:szCs w:val="16"/>
          <w:lang w:val="bg-BG"/>
        </w:rPr>
        <w:t xml:space="preserve"> 199 от 07.05</w:t>
      </w:r>
      <w:r>
        <w:rPr>
          <w:sz w:val="16"/>
          <w:szCs w:val="16"/>
          <w:lang w:val="bg-BG"/>
        </w:rPr>
        <w:t>.</w:t>
      </w:r>
      <w:r w:rsidRPr="00220EA9">
        <w:rPr>
          <w:sz w:val="16"/>
          <w:szCs w:val="16"/>
          <w:lang w:val="bg-BG"/>
        </w:rPr>
        <w:t xml:space="preserve">2015 г. по наказателно дело </w:t>
      </w:r>
      <w:r w:rsidRPr="00682B9C">
        <w:rPr>
          <w:sz w:val="16"/>
          <w:szCs w:val="16"/>
        </w:rPr>
        <w:t>No</w:t>
      </w:r>
      <w:r w:rsidRPr="00220EA9">
        <w:rPr>
          <w:sz w:val="16"/>
          <w:szCs w:val="16"/>
          <w:lang w:val="bg-BG"/>
        </w:rPr>
        <w:t xml:space="preserve"> 235/2015; Решение </w:t>
      </w:r>
      <w:r w:rsidRPr="00682B9C">
        <w:rPr>
          <w:sz w:val="16"/>
          <w:szCs w:val="16"/>
        </w:rPr>
        <w:t>No</w:t>
      </w:r>
      <w:r w:rsidRPr="00220EA9">
        <w:rPr>
          <w:sz w:val="16"/>
          <w:szCs w:val="16"/>
          <w:lang w:val="bg-BG"/>
        </w:rPr>
        <w:t xml:space="preserve"> 15 от 27.02.2017 г. по наказателно дело </w:t>
      </w:r>
      <w:r w:rsidRPr="00682B9C">
        <w:rPr>
          <w:sz w:val="16"/>
          <w:szCs w:val="16"/>
        </w:rPr>
        <w:t>No</w:t>
      </w:r>
      <w:r w:rsidRPr="00220EA9">
        <w:rPr>
          <w:sz w:val="16"/>
          <w:szCs w:val="16"/>
          <w:lang w:val="bg-BG"/>
        </w:rPr>
        <w:t xml:space="preserve"> 672/2016; Решение </w:t>
      </w:r>
      <w:r w:rsidRPr="00682B9C">
        <w:rPr>
          <w:sz w:val="16"/>
          <w:szCs w:val="16"/>
        </w:rPr>
        <w:t>No</w:t>
      </w:r>
      <w:r w:rsidRPr="00220EA9">
        <w:rPr>
          <w:sz w:val="16"/>
          <w:szCs w:val="16"/>
          <w:lang w:val="bg-BG"/>
        </w:rPr>
        <w:t xml:space="preserve"> 137 от 15.08.2017 г. по наказателно дело </w:t>
      </w:r>
      <w:r w:rsidRPr="00682B9C">
        <w:rPr>
          <w:sz w:val="16"/>
          <w:szCs w:val="16"/>
        </w:rPr>
        <w:t>No</w:t>
      </w:r>
      <w:r w:rsidRPr="00220EA9">
        <w:rPr>
          <w:sz w:val="16"/>
          <w:szCs w:val="16"/>
          <w:lang w:val="bg-BG"/>
        </w:rPr>
        <w:t xml:space="preserve"> 366/2017 г. </w:t>
      </w:r>
    </w:p>
    <w:p w14:paraId="2B52DB89" w14:textId="77777777" w:rsidR="001F7101" w:rsidRPr="00220EA9" w:rsidRDefault="001F7101" w:rsidP="00662576">
      <w:pPr>
        <w:pStyle w:val="FootnoteText"/>
        <w:rPr>
          <w:lang w:val="bg-BG"/>
        </w:rPr>
      </w:pPr>
    </w:p>
  </w:footnote>
  <w:footnote w:id="51">
    <w:p w14:paraId="24BCE825" w14:textId="77777777" w:rsidR="001F7101" w:rsidRPr="00795CA1" w:rsidRDefault="001F7101">
      <w:pPr>
        <w:pStyle w:val="FootnoteText"/>
        <w:rPr>
          <w:lang w:val="bg-BG"/>
        </w:rPr>
      </w:pPr>
      <w:r>
        <w:rPr>
          <w:rStyle w:val="FootnoteReference"/>
        </w:rPr>
        <w:footnoteRef/>
      </w:r>
      <w:r w:rsidRPr="00220EA9">
        <w:rPr>
          <w:lang w:val="bg-BG"/>
        </w:rPr>
        <w:t xml:space="preserve"> </w:t>
      </w:r>
      <w:hyperlink r:id="rId14" w:history="1">
        <w:r w:rsidRPr="00795CA1">
          <w:rPr>
            <w:rStyle w:val="Hyperlink"/>
          </w:rPr>
          <w:t>https</w:t>
        </w:r>
        <w:r w:rsidRPr="00220EA9">
          <w:rPr>
            <w:rStyle w:val="Hyperlink"/>
            <w:lang w:val="bg-BG"/>
          </w:rPr>
          <w:t>://</w:t>
        </w:r>
        <w:r w:rsidRPr="00795CA1">
          <w:rPr>
            <w:rStyle w:val="Hyperlink"/>
          </w:rPr>
          <w:t>www</w:t>
        </w:r>
        <w:r w:rsidRPr="00220EA9">
          <w:rPr>
            <w:rStyle w:val="Hyperlink"/>
            <w:lang w:val="bg-BG"/>
          </w:rPr>
          <w:t>.</w:t>
        </w:r>
        <w:r w:rsidRPr="00795CA1">
          <w:rPr>
            <w:rStyle w:val="Hyperlink"/>
          </w:rPr>
          <w:t>worldbank</w:t>
        </w:r>
        <w:r w:rsidRPr="00220EA9">
          <w:rPr>
            <w:rStyle w:val="Hyperlink"/>
            <w:lang w:val="bg-BG"/>
          </w:rPr>
          <w:t>.</w:t>
        </w:r>
        <w:r w:rsidRPr="00795CA1">
          <w:rPr>
            <w:rStyle w:val="Hyperlink"/>
          </w:rPr>
          <w:t>org</w:t>
        </w:r>
        <w:r w:rsidRPr="00220EA9">
          <w:rPr>
            <w:rStyle w:val="Hyperlink"/>
            <w:lang w:val="bg-BG"/>
          </w:rPr>
          <w:t>/</w:t>
        </w:r>
        <w:r w:rsidRPr="00795CA1">
          <w:rPr>
            <w:rStyle w:val="Hyperlink"/>
          </w:rPr>
          <w:t>en</w:t>
        </w:r>
        <w:r w:rsidRPr="00220EA9">
          <w:rPr>
            <w:rStyle w:val="Hyperlink"/>
            <w:lang w:val="bg-BG"/>
          </w:rPr>
          <w:t>/</w:t>
        </w:r>
        <w:r w:rsidRPr="00795CA1">
          <w:rPr>
            <w:rStyle w:val="Hyperlink"/>
          </w:rPr>
          <w:t>projects</w:t>
        </w:r>
        <w:r w:rsidRPr="00220EA9">
          <w:rPr>
            <w:rStyle w:val="Hyperlink"/>
            <w:lang w:val="bg-BG"/>
          </w:rPr>
          <w:t>-</w:t>
        </w:r>
        <w:r w:rsidRPr="00795CA1">
          <w:rPr>
            <w:rStyle w:val="Hyperlink"/>
          </w:rPr>
          <w:t>operations</w:t>
        </w:r>
        <w:r w:rsidRPr="00220EA9">
          <w:rPr>
            <w:rStyle w:val="Hyperlink"/>
            <w:lang w:val="bg-BG"/>
          </w:rPr>
          <w:t>/</w:t>
        </w:r>
        <w:r w:rsidRPr="00795CA1">
          <w:rPr>
            <w:rStyle w:val="Hyperlink"/>
          </w:rPr>
          <w:t>procurement</w:t>
        </w:r>
        <w:r w:rsidRPr="00220EA9">
          <w:rPr>
            <w:rStyle w:val="Hyperlink"/>
            <w:lang w:val="bg-BG"/>
          </w:rPr>
          <w:t>/</w:t>
        </w:r>
        <w:r w:rsidRPr="00795CA1">
          <w:rPr>
            <w:rStyle w:val="Hyperlink"/>
          </w:rPr>
          <w:t>debarred</w:t>
        </w:r>
        <w:r w:rsidRPr="00220EA9">
          <w:rPr>
            <w:rStyle w:val="Hyperlink"/>
            <w:lang w:val="bg-BG"/>
          </w:rPr>
          <w:t>-</w:t>
        </w:r>
        <w:r w:rsidRPr="00795CA1">
          <w:rPr>
            <w:rStyle w:val="Hyperlink"/>
          </w:rPr>
          <w:t>firms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0243"/>
      <w:docPartObj>
        <w:docPartGallery w:val="Page Numbers (Top of Page)"/>
        <w:docPartUnique/>
      </w:docPartObj>
    </w:sdtPr>
    <w:sdtEndPr>
      <w:rPr>
        <w:noProof/>
      </w:rPr>
    </w:sdtEndPr>
    <w:sdtContent>
      <w:p w14:paraId="2F164A00" w14:textId="793E83A3" w:rsidR="00C463E5" w:rsidRDefault="00C463E5">
        <w:pPr>
          <w:pStyle w:val="Header"/>
          <w:jc w:val="right"/>
        </w:pPr>
        <w:r>
          <w:fldChar w:fldCharType="begin"/>
        </w:r>
        <w:r>
          <w:instrText xml:space="preserve"> PAGE   \* MERGEFORMAT </w:instrText>
        </w:r>
        <w:r>
          <w:fldChar w:fldCharType="separate"/>
        </w:r>
        <w:r>
          <w:rPr>
            <w:noProof/>
          </w:rPr>
          <w:t>79</w:t>
        </w:r>
        <w:r>
          <w:rPr>
            <w:noProof/>
          </w:rPr>
          <w:fldChar w:fldCharType="end"/>
        </w:r>
      </w:p>
    </w:sdtContent>
  </w:sdt>
  <w:p w14:paraId="60DA2719" w14:textId="77777777" w:rsidR="00C463E5" w:rsidRDefault="00C463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0397" w14:textId="77777777" w:rsidR="001F7101" w:rsidRDefault="001F7101" w:rsidP="003E7C90">
    <w:pPr>
      <w:pStyle w:val="Header"/>
      <w:ind w:left="3407" w:firstLine="3793"/>
    </w:pPr>
    <w:sdt>
      <w:sdtPr>
        <w:rPr>
          <w:rStyle w:val="PageNumber"/>
        </w:rPr>
        <w:alias w:val="Page Number"/>
        <w:tag w:val="TxtPageNumber"/>
        <w:id w:val="-1079820805"/>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C463E5">
          <w:rPr>
            <w:rStyle w:val="PageNumber"/>
            <w:noProof/>
          </w:rPr>
          <w:t>4</w:t>
        </w:r>
        <w:r w:rsidRPr="00CC3749">
          <w:rPr>
            <w:rStyle w:val="PageNumber"/>
            <w:noProof/>
          </w:rPr>
          <w:fldChar w:fldCharType="end"/>
        </w:r>
      </w:sdtContent>
    </w:sdt>
    <w:r>
      <w:t xml:space="preserve"> </w:t>
    </w:r>
    <w:r>
      <w:sym w:font="Symbol" w:char="F07C"/>
    </w:r>
    <w:r>
      <w:t xml:space="preserve"> </w:t>
    </w:r>
    <w:sdt>
      <w:sdtPr>
        <w:rPr>
          <w:rStyle w:val="HeaderTitle"/>
        </w:rPr>
        <w:alias w:val="Cote/Chapter"/>
        <w:tag w:val="txtHeaderValue"/>
        <w:id w:val="484821340"/>
      </w:sdtPr>
      <w:sdtEndPr>
        <w:rPr>
          <w:rStyle w:val="DefaultParagraphFont"/>
          <w:caps w:val="0"/>
          <w:sz w:val="22"/>
        </w:rPr>
      </w:sdtEndPr>
      <w:sdtContent>
        <w:r>
          <w:rPr>
            <w:rStyle w:val="HeaderTitle"/>
          </w:rPr>
          <w:t xml:space="preserve"> </w:t>
        </w:r>
      </w:sdtContent>
    </w:sdt>
  </w:p>
  <w:p w14:paraId="3E4FC11A" w14:textId="77777777" w:rsidR="001F7101" w:rsidRDefault="001F7101"/>
  <w:p w14:paraId="1F87456F" w14:textId="77777777" w:rsidR="001F7101" w:rsidRDefault="001F71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EADDD" w14:textId="77777777" w:rsidR="001F7101" w:rsidRDefault="001F7101" w:rsidP="004E100F">
    <w:pPr>
      <w:pStyle w:val="Header"/>
      <w:jc w:val="right"/>
    </w:pPr>
    <w:sdt>
      <w:sdtPr>
        <w:rPr>
          <w:rStyle w:val="HeaderTitle"/>
        </w:rPr>
        <w:alias w:val="Cote/Chapter"/>
        <w:tag w:val="txtHeaderValue"/>
        <w:id w:val="799266917"/>
      </w:sdtPr>
      <w:sdtEndPr>
        <w:rPr>
          <w:rStyle w:val="DefaultParagraphFont"/>
          <w:caps w:val="0"/>
          <w:sz w:val="22"/>
        </w:rPr>
      </w:sdtEndPr>
      <w:sdtContent>
        <w:r>
          <w:rPr>
            <w:rStyle w:val="HeaderTitle"/>
          </w:rPr>
          <w:t xml:space="preserve"> </w:t>
        </w:r>
      </w:sdtContent>
    </w:sdt>
    <w:r>
      <w:rPr>
        <w:rStyle w:val="PageNumber"/>
      </w:rPr>
      <w:t xml:space="preserve"> </w:t>
    </w:r>
    <w:r>
      <w:rPr>
        <w:rStyle w:val="PageNumber"/>
      </w:rPr>
      <w:sym w:font="Symbol" w:char="F07C"/>
    </w:r>
    <w:r>
      <w:rPr>
        <w:rStyle w:val="PageNumber"/>
      </w:rPr>
      <w:t xml:space="preserve"> </w:t>
    </w:r>
    <w:sdt>
      <w:sdtPr>
        <w:rPr>
          <w:rStyle w:val="PageNumber"/>
        </w:rPr>
        <w:alias w:val="Page Number"/>
        <w:tag w:val="TxtPageNumber"/>
        <w:id w:val="-224299738"/>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C463E5">
          <w:rPr>
            <w:rStyle w:val="PageNumber"/>
            <w:noProof/>
          </w:rPr>
          <w:t>3</w:t>
        </w:r>
        <w:r w:rsidRPr="00CC3749">
          <w:rPr>
            <w:rStyle w:val="PageNumber"/>
            <w:noProof/>
          </w:rPr>
          <w:fldChar w:fldCharType="end"/>
        </w:r>
      </w:sdtContent>
    </w:sdt>
  </w:p>
  <w:p w14:paraId="51DC60CA" w14:textId="77777777" w:rsidR="001F7101" w:rsidRDefault="001F7101"/>
  <w:p w14:paraId="535F87EA" w14:textId="77777777" w:rsidR="001F7101" w:rsidRDefault="001F710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C586" w14:textId="2F0893BA" w:rsidR="001F7101" w:rsidRDefault="001F7101" w:rsidP="00E2198F">
    <w:pPr>
      <w:pStyle w:val="Header"/>
      <w:ind w:left="9026"/>
    </w:pPr>
    <w:sdt>
      <w:sdtPr>
        <w:rPr>
          <w:rStyle w:val="PageNumber"/>
        </w:rPr>
        <w:alias w:val="Page Number"/>
        <w:tag w:val="TxtPageNumber"/>
        <w:id w:val="-383482095"/>
        <w:lock w:val="sdtLocked"/>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C463E5">
          <w:rPr>
            <w:rStyle w:val="PageNumber"/>
            <w:noProof/>
          </w:rPr>
          <w:t>6</w:t>
        </w:r>
        <w:r w:rsidRPr="00CC3749">
          <w:rPr>
            <w:rStyle w:val="PageNumber"/>
            <w:noProof/>
          </w:rPr>
          <w:fldChar w:fldCharType="end"/>
        </w:r>
      </w:sdtContent>
    </w:sdt>
    <w:r>
      <w:t xml:space="preserve"> </w:t>
    </w:r>
    <w:r>
      <w:sym w:font="Symbol" w:char="F07C"/>
    </w:r>
    <w:r>
      <w:t xml:space="preserve"> </w:t>
    </w:r>
    <w:sdt>
      <w:sdtPr>
        <w:rPr>
          <w:rStyle w:val="HeaderTitle"/>
        </w:rPr>
        <w:alias w:val="Cote/Chapter"/>
        <w:tag w:val="txtHeaderValue"/>
        <w:id w:val="-199859409"/>
        <w:lock w:val="sdtLocked"/>
      </w:sdtPr>
      <w:sdtEndPr>
        <w:rPr>
          <w:rStyle w:val="DefaultParagraphFont"/>
          <w:caps w:val="0"/>
          <w:sz w:val="22"/>
        </w:rPr>
      </w:sdtEndPr>
      <w:sdtContent>
        <w:r>
          <w:rPr>
            <w:rStyle w:val="HeaderTitle"/>
          </w:rPr>
          <w:t xml:space="preserve"> </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AB8A5" w14:textId="4BC88B69" w:rsidR="001F7101" w:rsidRDefault="001F7101" w:rsidP="004E100F">
    <w:pPr>
      <w:pStyle w:val="Header"/>
      <w:jc w:val="right"/>
    </w:pPr>
    <w:sdt>
      <w:sdtPr>
        <w:rPr>
          <w:rStyle w:val="HeaderTitle"/>
        </w:rPr>
        <w:alias w:val="Cote/Chapter"/>
        <w:tag w:val="txtHeaderValue"/>
        <w:id w:val="1401861158"/>
        <w:lock w:val="sdtLocked"/>
      </w:sdtPr>
      <w:sdtEndPr>
        <w:rPr>
          <w:rStyle w:val="DefaultParagraphFont"/>
          <w:caps w:val="0"/>
          <w:sz w:val="22"/>
        </w:rPr>
      </w:sdtEndPr>
      <w:sdtContent>
        <w:r>
          <w:rPr>
            <w:rStyle w:val="HeaderTitle"/>
          </w:rPr>
          <w:t xml:space="preserve"> </w:t>
        </w:r>
      </w:sdtContent>
    </w:sdt>
    <w:r>
      <w:rPr>
        <w:rStyle w:val="PageNumber"/>
      </w:rPr>
      <w:t xml:space="preserve"> </w:t>
    </w:r>
    <w:r>
      <w:rPr>
        <w:rStyle w:val="PageNumber"/>
      </w:rPr>
      <w:sym w:font="Symbol" w:char="F07C"/>
    </w:r>
    <w:r>
      <w:rPr>
        <w:rStyle w:val="PageNumber"/>
      </w:rPr>
      <w:t xml:space="preserve"> </w:t>
    </w:r>
    <w:sdt>
      <w:sdtPr>
        <w:rPr>
          <w:rStyle w:val="PageNumber"/>
        </w:rPr>
        <w:alias w:val="Page Number"/>
        <w:tag w:val="TxtPageNumber"/>
        <w:id w:val="-2037570088"/>
        <w:lock w:val="sdtLocked"/>
      </w:sdtPr>
      <w:sdtEndPr>
        <w:rPr>
          <w:rStyle w:val="DefaultParagraphFont"/>
          <w:b w:val="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C463E5">
          <w:rPr>
            <w:rStyle w:val="PageNumber"/>
            <w:noProof/>
          </w:rPr>
          <w:t>5</w:t>
        </w:r>
        <w:r w:rsidRPr="00CC3749">
          <w:rPr>
            <w:rStyle w:val="PageNumbe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7A45"/>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nsid w:val="03057B08"/>
    <w:multiLevelType w:val="hybridMultilevel"/>
    <w:tmpl w:val="6C50C834"/>
    <w:lvl w:ilvl="0" w:tplc="C450A31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D8370F"/>
    <w:multiLevelType w:val="hybridMultilevel"/>
    <w:tmpl w:val="89A2B3DE"/>
    <w:lvl w:ilvl="0" w:tplc="A5B45B5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68141C"/>
    <w:multiLevelType w:val="hybridMultilevel"/>
    <w:tmpl w:val="AEB29522"/>
    <w:lvl w:ilvl="0" w:tplc="C65EAA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2BD1843"/>
    <w:multiLevelType w:val="hybridMultilevel"/>
    <w:tmpl w:val="2638A4A0"/>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3206B28"/>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7">
    <w:nsid w:val="181B6656"/>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821D2D"/>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nsid w:val="22C3516C"/>
    <w:multiLevelType w:val="hybridMultilevel"/>
    <w:tmpl w:val="861E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A1521B"/>
    <w:multiLevelType w:val="hybridMultilevel"/>
    <w:tmpl w:val="A686E92C"/>
    <w:lvl w:ilvl="0" w:tplc="BFCA5322">
      <w:start w:val="1"/>
      <w:numFmt w:val="decimal"/>
      <w:pStyle w:val="Para"/>
      <w:lvlText w:val="%1."/>
      <w:lvlJc w:val="left"/>
      <w:pPr>
        <w:tabs>
          <w:tab w:val="num" w:pos="720"/>
        </w:tabs>
        <w:ind w:left="0" w:firstLine="0"/>
      </w:pPr>
      <w:rPr>
        <w:rFonts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1A06A70">
      <w:numFmt w:val="bullet"/>
      <w:lvlText w:val="-"/>
      <w:lvlJc w:val="left"/>
      <w:pPr>
        <w:ind w:left="2120" w:hanging="360"/>
      </w:pPr>
      <w:rPr>
        <w:rFonts w:ascii="Arial" w:eastAsiaTheme="minorHAnsi" w:hAnsi="Arial" w:cs="Arial" w:hint="default"/>
      </w:r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nsid w:val="2621021B"/>
    <w:multiLevelType w:val="hybridMultilevel"/>
    <w:tmpl w:val="1F380B24"/>
    <w:lvl w:ilvl="0" w:tplc="0FFC757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8DD4FC3"/>
    <w:multiLevelType w:val="hybridMultilevel"/>
    <w:tmpl w:val="624A4F66"/>
    <w:lvl w:ilvl="0" w:tplc="62DCFF92">
      <w:start w:val="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058F4"/>
    <w:multiLevelType w:val="hybridMultilevel"/>
    <w:tmpl w:val="9DE4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FB73BB4"/>
    <w:multiLevelType w:val="hybridMultilevel"/>
    <w:tmpl w:val="70A49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F60888"/>
    <w:multiLevelType w:val="hybridMultilevel"/>
    <w:tmpl w:val="00E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041C78"/>
    <w:multiLevelType w:val="hybridMultilevel"/>
    <w:tmpl w:val="C32031C8"/>
    <w:lvl w:ilvl="0" w:tplc="38162B8C">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C070B3B"/>
    <w:multiLevelType w:val="hybridMultilevel"/>
    <w:tmpl w:val="F1B0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A086F"/>
    <w:multiLevelType w:val="multilevel"/>
    <w:tmpl w:val="8B025A7A"/>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75F566E"/>
    <w:multiLevelType w:val="multilevel"/>
    <w:tmpl w:val="19E6DCA8"/>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decimal"/>
      <w:pStyle w:val="Heading2"/>
      <w:lvlText w:val="%2."/>
      <w:lvlJc w:val="left"/>
      <w:pPr>
        <w:ind w:left="0" w:firstLine="0"/>
      </w:pPr>
      <w:rPr>
        <w:rFonts w:hint="default"/>
        <w:bCs w:val="0"/>
        <w:i w:val="0"/>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mc:AlternateContent>
        <mc:Choice Requires="w14">
          <w:numFmt w:val="custom" w:format="а, й, к, ..."/>
        </mc:Choice>
        <mc:Fallback>
          <w:numFmt w:val="decimal"/>
        </mc:Fallback>
      </mc:AlternateContent>
      <w:pStyle w:val="Heading3"/>
      <w:lvlText w:val="%3."/>
      <w:lvlJc w:val="left"/>
      <w:pPr>
        <w:ind w:left="0" w:firstLine="0"/>
      </w:pPr>
      <w:rPr>
        <w:rFonts w:hint="default"/>
      </w:rPr>
    </w:lvl>
    <w:lvl w:ilvl="3">
      <w:start w:val="1"/>
      <w:numFmt w:val="lowerRoman"/>
      <w:pStyle w:val="Heading4"/>
      <w:lvlText w:val="(%4)"/>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3">
    <w:nsid w:val="4A1839E8"/>
    <w:multiLevelType w:val="multilevel"/>
    <w:tmpl w:val="8D3CD9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CA22E38"/>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nsid w:val="50917FE5"/>
    <w:multiLevelType w:val="hybridMultilevel"/>
    <w:tmpl w:val="91FC033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53ED6E5F"/>
    <w:multiLevelType w:val="hybridMultilevel"/>
    <w:tmpl w:val="04F6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9DE5450"/>
    <w:multiLevelType w:val="hybridMultilevel"/>
    <w:tmpl w:val="863C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9E1F9A"/>
    <w:multiLevelType w:val="hybridMultilevel"/>
    <w:tmpl w:val="2D28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F392AFF"/>
    <w:multiLevelType w:val="hybridMultilevel"/>
    <w:tmpl w:val="8B7479B2"/>
    <w:lvl w:ilvl="0" w:tplc="38162B8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327015A"/>
    <w:multiLevelType w:val="hybridMultilevel"/>
    <w:tmpl w:val="4E9636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F325DA"/>
    <w:multiLevelType w:val="hybridMultilevel"/>
    <w:tmpl w:val="8B12AAB6"/>
    <w:lvl w:ilvl="0" w:tplc="9C247C0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nsid w:val="7F4D12B1"/>
    <w:multiLevelType w:val="hybridMultilevel"/>
    <w:tmpl w:val="AA30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8"/>
  </w:num>
  <w:num w:numId="4">
    <w:abstractNumId w:val="21"/>
  </w:num>
  <w:num w:numId="5">
    <w:abstractNumId w:val="6"/>
  </w:num>
  <w:num w:numId="6">
    <w:abstractNumId w:val="26"/>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8"/>
  </w:num>
  <w:num w:numId="15">
    <w:abstractNumId w:val="17"/>
  </w:num>
  <w:num w:numId="16">
    <w:abstractNumId w:val="19"/>
  </w:num>
  <w:num w:numId="17">
    <w:abstractNumId w:val="14"/>
  </w:num>
  <w:num w:numId="18">
    <w:abstractNumId w:val="33"/>
  </w:num>
  <w:num w:numId="19">
    <w:abstractNumId w:val="29"/>
  </w:num>
  <w:num w:numId="20">
    <w:abstractNumId w:val="27"/>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1"/>
    <w:lvlOverride w:ilvl="0">
      <w:startOverride w:val="1"/>
    </w:lvlOverride>
  </w:num>
  <w:num w:numId="24">
    <w:abstractNumId w:val="11"/>
  </w:num>
  <w:num w:numId="25">
    <w:abstractNumId w:val="11"/>
    <w:lvlOverride w:ilvl="0">
      <w:startOverride w:val="2"/>
    </w:lvlOverride>
  </w:num>
  <w:num w:numId="26">
    <w:abstractNumId w:val="11"/>
  </w:num>
  <w:num w:numId="27">
    <w:abstractNumId w:val="11"/>
    <w:lvlOverride w:ilvl="0">
      <w:startOverride w:val="3"/>
    </w:lvlOverride>
  </w:num>
  <w:num w:numId="28">
    <w:abstractNumId w:val="11"/>
  </w:num>
  <w:num w:numId="29">
    <w:abstractNumId w:val="11"/>
    <w:lvlOverride w:ilvl="0">
      <w:startOverride w:val="4"/>
    </w:lvlOverride>
  </w:num>
  <w:num w:numId="30">
    <w:abstractNumId w:val="11"/>
  </w:num>
  <w:num w:numId="31">
    <w:abstractNumId w:val="30"/>
  </w:num>
  <w:num w:numId="32">
    <w:abstractNumId w:val="11"/>
    <w:lvlOverride w:ilvl="0">
      <w:startOverride w:val="114"/>
    </w:lvlOverride>
  </w:num>
  <w:num w:numId="33">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0"/>
  </w:num>
  <w:num w:numId="36">
    <w:abstractNumId w:val="9"/>
  </w:num>
  <w:num w:numId="37">
    <w:abstractNumId w:val="32"/>
  </w:num>
  <w:num w:numId="38">
    <w:abstractNumId w:val="25"/>
  </w:num>
  <w:num w:numId="39">
    <w:abstractNumId w:val="5"/>
  </w:num>
  <w:num w:numId="40">
    <w:abstractNumId w:val="24"/>
  </w:num>
  <w:num w:numId="41">
    <w:abstractNumId w:val="7"/>
  </w:num>
  <w:num w:numId="42">
    <w:abstractNumId w:val="2"/>
  </w:num>
  <w:num w:numId="43">
    <w:abstractNumId w:val="1"/>
  </w:num>
  <w:num w:numId="44">
    <w:abstractNumId w:val="12"/>
  </w:num>
  <w:num w:numId="45">
    <w:abstractNumId w:val="4"/>
  </w:num>
  <w:num w:numId="46">
    <w:abstractNumId w:val="11"/>
    <w:lvlOverride w:ilvl="0">
      <w:startOverride w:val="62"/>
    </w:lvlOverride>
  </w:num>
  <w:num w:numId="47">
    <w:abstractNumId w:val="11"/>
    <w:lvlOverride w:ilvl="0">
      <w:startOverride w:val="65"/>
    </w:lvlOverride>
  </w:num>
  <w:num w:numId="48">
    <w:abstractNumId w:val="11"/>
    <w:lvlOverride w:ilvl="0">
      <w:startOverride w:val="69"/>
    </w:lvlOverride>
  </w:num>
  <w:num w:numId="49">
    <w:abstractNumId w:val="11"/>
  </w:num>
  <w:num w:numId="50">
    <w:abstractNumId w:val="11"/>
    <w:lvlOverride w:ilvl="0">
      <w:startOverride w:val="91"/>
    </w:lvlOverride>
  </w:num>
  <w:num w:numId="51">
    <w:abstractNumId w:val="11"/>
    <w:lvlOverride w:ilvl="0">
      <w:startOverride w:val="94"/>
    </w:lvlOverride>
  </w:num>
  <w:num w:numId="52">
    <w:abstractNumId w:val="11"/>
  </w:num>
  <w:num w:numId="53">
    <w:abstractNumId w:val="11"/>
    <w:lvlOverride w:ilvl="0">
      <w:startOverride w:val="98"/>
    </w:lvlOverride>
  </w:num>
  <w:num w:numId="54">
    <w:abstractNumId w:val="11"/>
    <w:lvlOverride w:ilvl="0">
      <w:startOverride w:val="25"/>
    </w:lvlOverride>
  </w:num>
  <w:num w:numId="55">
    <w:abstractNumId w:val="11"/>
    <w:lvlOverride w:ilvl="0">
      <w:startOverride w:val="105"/>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
  </w:num>
  <w:num w:numId="58">
    <w:abstractNumId w:val="31"/>
  </w:num>
  <w:num w:numId="59">
    <w:abstractNumId w:val="13"/>
  </w:num>
  <w:num w:numId="60">
    <w:abstractNumId w:val="22"/>
  </w:num>
  <w:num w:numId="61">
    <w:abstractNumId w:val="23"/>
  </w:num>
  <w:num w:numId="62">
    <w:abstractNumId w:val="20"/>
  </w:num>
  <w:num w:numId="63">
    <w:abstractNumId w:val="11"/>
    <w:lvlOverride w:ilvl="0">
      <w:startOverride w:val="63"/>
    </w:lvlOverride>
  </w:num>
  <w:num w:numId="64">
    <w:abstractNumId w:val="11"/>
    <w:lvlOverride w:ilvl="0">
      <w:startOverride w:val="66"/>
    </w:lvlOverride>
  </w:num>
  <w:num w:numId="65">
    <w:abstractNumId w:val="11"/>
    <w:lvlOverride w:ilvl="0">
      <w:startOverride w:val="70"/>
    </w:lvlOverride>
  </w:num>
  <w:num w:numId="66">
    <w:abstractNumId w:val="11"/>
    <w:lvlOverride w:ilvl="0">
      <w:startOverride w:val="22"/>
    </w:lvlOverride>
  </w:num>
  <w:num w:numId="67">
    <w:abstractNumId w:val="11"/>
    <w:lvlOverride w:ilvl="0">
      <w:startOverride w:val="81"/>
    </w:lvlOverride>
  </w:num>
  <w:num w:numId="68">
    <w:abstractNumId w:val="2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Peneva">
    <w15:presenceInfo w15:providerId="AD" w15:userId="S-1-5-21-57989841-73586283-725345543-18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ru-RU" w:vendorID="64" w:dllVersion="131078" w:nlCheck="1" w:checkStyle="0"/>
  <w:proofState w:grammar="clean"/>
  <w:stylePaneSortMethod w:val="0000"/>
  <w:defaultTabStop w:val="720"/>
  <w:hyphenationZone w:val="425"/>
  <w:evenAndOddHeaders/>
  <w:characterSpacingControl w:val="doNotCompress"/>
  <w:hdrShapeDefaults>
    <o:shapedefaults v:ext="edit" spidmax="2049"/>
  </w:hdrShapeDefaults>
  <w:footnotePr>
    <w:footnote w:id="-1"/>
    <w:footnote w:id="0"/>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9C"/>
    <w:rsid w:val="00000408"/>
    <w:rsid w:val="000037D9"/>
    <w:rsid w:val="00004DAB"/>
    <w:rsid w:val="000064D6"/>
    <w:rsid w:val="00010AC4"/>
    <w:rsid w:val="00017230"/>
    <w:rsid w:val="0002168F"/>
    <w:rsid w:val="00021A47"/>
    <w:rsid w:val="00022A4F"/>
    <w:rsid w:val="00024178"/>
    <w:rsid w:val="000243F0"/>
    <w:rsid w:val="00025E7E"/>
    <w:rsid w:val="00026D68"/>
    <w:rsid w:val="00027125"/>
    <w:rsid w:val="00027D14"/>
    <w:rsid w:val="00030E8C"/>
    <w:rsid w:val="00031B02"/>
    <w:rsid w:val="000337B2"/>
    <w:rsid w:val="000338B2"/>
    <w:rsid w:val="00033E50"/>
    <w:rsid w:val="000353AB"/>
    <w:rsid w:val="00035D2B"/>
    <w:rsid w:val="00035D51"/>
    <w:rsid w:val="00037EF1"/>
    <w:rsid w:val="000407ED"/>
    <w:rsid w:val="0004280F"/>
    <w:rsid w:val="000428ED"/>
    <w:rsid w:val="0004402D"/>
    <w:rsid w:val="00044517"/>
    <w:rsid w:val="000454E8"/>
    <w:rsid w:val="00050641"/>
    <w:rsid w:val="00050D2C"/>
    <w:rsid w:val="0005102C"/>
    <w:rsid w:val="00052575"/>
    <w:rsid w:val="00052588"/>
    <w:rsid w:val="00052C43"/>
    <w:rsid w:val="000542B8"/>
    <w:rsid w:val="00054D77"/>
    <w:rsid w:val="00055124"/>
    <w:rsid w:val="00055536"/>
    <w:rsid w:val="00056AC5"/>
    <w:rsid w:val="00057FA1"/>
    <w:rsid w:val="00060FC1"/>
    <w:rsid w:val="0006265C"/>
    <w:rsid w:val="0006421B"/>
    <w:rsid w:val="0006430C"/>
    <w:rsid w:val="00064C7A"/>
    <w:rsid w:val="00066E81"/>
    <w:rsid w:val="00067801"/>
    <w:rsid w:val="00072DDE"/>
    <w:rsid w:val="00074C5E"/>
    <w:rsid w:val="00074E4C"/>
    <w:rsid w:val="00076B1A"/>
    <w:rsid w:val="00076D6B"/>
    <w:rsid w:val="0007759B"/>
    <w:rsid w:val="000775E4"/>
    <w:rsid w:val="00081A2C"/>
    <w:rsid w:val="00082086"/>
    <w:rsid w:val="00085197"/>
    <w:rsid w:val="00085256"/>
    <w:rsid w:val="00086154"/>
    <w:rsid w:val="00086EB1"/>
    <w:rsid w:val="0008758A"/>
    <w:rsid w:val="00090B75"/>
    <w:rsid w:val="00091DE9"/>
    <w:rsid w:val="00093820"/>
    <w:rsid w:val="000945CB"/>
    <w:rsid w:val="0009589B"/>
    <w:rsid w:val="0009790C"/>
    <w:rsid w:val="00097B47"/>
    <w:rsid w:val="000A014B"/>
    <w:rsid w:val="000A1C52"/>
    <w:rsid w:val="000A41A7"/>
    <w:rsid w:val="000A50AE"/>
    <w:rsid w:val="000A5133"/>
    <w:rsid w:val="000A655C"/>
    <w:rsid w:val="000A69AD"/>
    <w:rsid w:val="000A7845"/>
    <w:rsid w:val="000B03E2"/>
    <w:rsid w:val="000B50B2"/>
    <w:rsid w:val="000B5A09"/>
    <w:rsid w:val="000B6D31"/>
    <w:rsid w:val="000B74AE"/>
    <w:rsid w:val="000B7665"/>
    <w:rsid w:val="000B7B86"/>
    <w:rsid w:val="000C08EC"/>
    <w:rsid w:val="000C0FE0"/>
    <w:rsid w:val="000C1DF4"/>
    <w:rsid w:val="000C4AE1"/>
    <w:rsid w:val="000C5383"/>
    <w:rsid w:val="000C5D1A"/>
    <w:rsid w:val="000C644C"/>
    <w:rsid w:val="000C741E"/>
    <w:rsid w:val="000C7A2C"/>
    <w:rsid w:val="000D24C3"/>
    <w:rsid w:val="000D34F9"/>
    <w:rsid w:val="000D4550"/>
    <w:rsid w:val="000D50A2"/>
    <w:rsid w:val="000D645C"/>
    <w:rsid w:val="000D6483"/>
    <w:rsid w:val="000E1425"/>
    <w:rsid w:val="000E1986"/>
    <w:rsid w:val="000E2815"/>
    <w:rsid w:val="000E5F57"/>
    <w:rsid w:val="000E7D27"/>
    <w:rsid w:val="000F040F"/>
    <w:rsid w:val="000F35B2"/>
    <w:rsid w:val="000F49BA"/>
    <w:rsid w:val="000F5288"/>
    <w:rsid w:val="000F68AF"/>
    <w:rsid w:val="00100008"/>
    <w:rsid w:val="00101323"/>
    <w:rsid w:val="001016E7"/>
    <w:rsid w:val="0010231A"/>
    <w:rsid w:val="00102795"/>
    <w:rsid w:val="00102D2E"/>
    <w:rsid w:val="001053A6"/>
    <w:rsid w:val="001059DC"/>
    <w:rsid w:val="00111592"/>
    <w:rsid w:val="00111A19"/>
    <w:rsid w:val="00111AE1"/>
    <w:rsid w:val="00112B15"/>
    <w:rsid w:val="001135E5"/>
    <w:rsid w:val="001157A8"/>
    <w:rsid w:val="00115CD5"/>
    <w:rsid w:val="00116731"/>
    <w:rsid w:val="0011701E"/>
    <w:rsid w:val="0011772A"/>
    <w:rsid w:val="00117A52"/>
    <w:rsid w:val="001208FE"/>
    <w:rsid w:val="001250F7"/>
    <w:rsid w:val="001251F9"/>
    <w:rsid w:val="00127270"/>
    <w:rsid w:val="0012771A"/>
    <w:rsid w:val="00127795"/>
    <w:rsid w:val="00127806"/>
    <w:rsid w:val="00127C59"/>
    <w:rsid w:val="00127D8C"/>
    <w:rsid w:val="00130462"/>
    <w:rsid w:val="00130B1E"/>
    <w:rsid w:val="00130F5C"/>
    <w:rsid w:val="0013109F"/>
    <w:rsid w:val="001313D9"/>
    <w:rsid w:val="00132E78"/>
    <w:rsid w:val="00133914"/>
    <w:rsid w:val="00136738"/>
    <w:rsid w:val="00141969"/>
    <w:rsid w:val="00142DBC"/>
    <w:rsid w:val="001444C9"/>
    <w:rsid w:val="00146063"/>
    <w:rsid w:val="00146126"/>
    <w:rsid w:val="00146C03"/>
    <w:rsid w:val="0015065F"/>
    <w:rsid w:val="00151AE5"/>
    <w:rsid w:val="001530E7"/>
    <w:rsid w:val="001535B9"/>
    <w:rsid w:val="00154D60"/>
    <w:rsid w:val="00157A58"/>
    <w:rsid w:val="00160B10"/>
    <w:rsid w:val="00160D78"/>
    <w:rsid w:val="00166FFB"/>
    <w:rsid w:val="00170C55"/>
    <w:rsid w:val="00170E79"/>
    <w:rsid w:val="00173000"/>
    <w:rsid w:val="00173418"/>
    <w:rsid w:val="00174672"/>
    <w:rsid w:val="001773E0"/>
    <w:rsid w:val="00183469"/>
    <w:rsid w:val="0018472C"/>
    <w:rsid w:val="001863BC"/>
    <w:rsid w:val="001906AE"/>
    <w:rsid w:val="00192BE9"/>
    <w:rsid w:val="00192CEB"/>
    <w:rsid w:val="001931F5"/>
    <w:rsid w:val="001933C5"/>
    <w:rsid w:val="001934B2"/>
    <w:rsid w:val="001935C2"/>
    <w:rsid w:val="001938C8"/>
    <w:rsid w:val="001938D6"/>
    <w:rsid w:val="001948C9"/>
    <w:rsid w:val="00196642"/>
    <w:rsid w:val="00196D9F"/>
    <w:rsid w:val="00197A5A"/>
    <w:rsid w:val="001A01D7"/>
    <w:rsid w:val="001A0673"/>
    <w:rsid w:val="001A07AC"/>
    <w:rsid w:val="001A0D2B"/>
    <w:rsid w:val="001A5926"/>
    <w:rsid w:val="001A5D2C"/>
    <w:rsid w:val="001A7CD5"/>
    <w:rsid w:val="001B00B5"/>
    <w:rsid w:val="001B2144"/>
    <w:rsid w:val="001B2DBC"/>
    <w:rsid w:val="001B2FAD"/>
    <w:rsid w:val="001B4DE2"/>
    <w:rsid w:val="001B4E01"/>
    <w:rsid w:val="001B5899"/>
    <w:rsid w:val="001B5A96"/>
    <w:rsid w:val="001B5CD5"/>
    <w:rsid w:val="001B6694"/>
    <w:rsid w:val="001B6BAC"/>
    <w:rsid w:val="001C0B13"/>
    <w:rsid w:val="001C1F73"/>
    <w:rsid w:val="001C4E4F"/>
    <w:rsid w:val="001C5B35"/>
    <w:rsid w:val="001C617B"/>
    <w:rsid w:val="001D0494"/>
    <w:rsid w:val="001D303C"/>
    <w:rsid w:val="001D3952"/>
    <w:rsid w:val="001D4B44"/>
    <w:rsid w:val="001D4DC5"/>
    <w:rsid w:val="001D5407"/>
    <w:rsid w:val="001D7DAE"/>
    <w:rsid w:val="001E059E"/>
    <w:rsid w:val="001E1F22"/>
    <w:rsid w:val="001E3EC5"/>
    <w:rsid w:val="001E4486"/>
    <w:rsid w:val="001E6AEA"/>
    <w:rsid w:val="001F11B3"/>
    <w:rsid w:val="001F18A8"/>
    <w:rsid w:val="001F63FD"/>
    <w:rsid w:val="001F6920"/>
    <w:rsid w:val="001F7101"/>
    <w:rsid w:val="001F76B3"/>
    <w:rsid w:val="00201266"/>
    <w:rsid w:val="00202409"/>
    <w:rsid w:val="00202572"/>
    <w:rsid w:val="00203113"/>
    <w:rsid w:val="00203CC1"/>
    <w:rsid w:val="0020690B"/>
    <w:rsid w:val="00206961"/>
    <w:rsid w:val="00210A5D"/>
    <w:rsid w:val="00211753"/>
    <w:rsid w:val="00212B23"/>
    <w:rsid w:val="0021465D"/>
    <w:rsid w:val="00215249"/>
    <w:rsid w:val="002169C4"/>
    <w:rsid w:val="00216DA9"/>
    <w:rsid w:val="002175A0"/>
    <w:rsid w:val="00220EA9"/>
    <w:rsid w:val="002215D3"/>
    <w:rsid w:val="0022425F"/>
    <w:rsid w:val="00224AC3"/>
    <w:rsid w:val="0022556E"/>
    <w:rsid w:val="002314B3"/>
    <w:rsid w:val="00231A8F"/>
    <w:rsid w:val="002337D6"/>
    <w:rsid w:val="00234C2E"/>
    <w:rsid w:val="002363A8"/>
    <w:rsid w:val="00236B88"/>
    <w:rsid w:val="00236BFF"/>
    <w:rsid w:val="00237A1B"/>
    <w:rsid w:val="00237FB9"/>
    <w:rsid w:val="00240862"/>
    <w:rsid w:val="002504D1"/>
    <w:rsid w:val="00250755"/>
    <w:rsid w:val="00250CED"/>
    <w:rsid w:val="0025481A"/>
    <w:rsid w:val="00254A61"/>
    <w:rsid w:val="002565E1"/>
    <w:rsid w:val="00260478"/>
    <w:rsid w:val="00260CF7"/>
    <w:rsid w:val="00263627"/>
    <w:rsid w:val="00264FF9"/>
    <w:rsid w:val="002666F5"/>
    <w:rsid w:val="00267EF5"/>
    <w:rsid w:val="00271243"/>
    <w:rsid w:val="002712FD"/>
    <w:rsid w:val="002726BC"/>
    <w:rsid w:val="00272EDA"/>
    <w:rsid w:val="002743EA"/>
    <w:rsid w:val="00275477"/>
    <w:rsid w:val="00276D65"/>
    <w:rsid w:val="00277C23"/>
    <w:rsid w:val="00280648"/>
    <w:rsid w:val="002818F4"/>
    <w:rsid w:val="00281D88"/>
    <w:rsid w:val="00284895"/>
    <w:rsid w:val="00284936"/>
    <w:rsid w:val="00287324"/>
    <w:rsid w:val="00287989"/>
    <w:rsid w:val="00287ED5"/>
    <w:rsid w:val="0029092B"/>
    <w:rsid w:val="0029108A"/>
    <w:rsid w:val="00294852"/>
    <w:rsid w:val="00296CE1"/>
    <w:rsid w:val="0029780C"/>
    <w:rsid w:val="002A05D6"/>
    <w:rsid w:val="002A2091"/>
    <w:rsid w:val="002A226D"/>
    <w:rsid w:val="002A3C29"/>
    <w:rsid w:val="002A5903"/>
    <w:rsid w:val="002A6393"/>
    <w:rsid w:val="002A6B56"/>
    <w:rsid w:val="002B0859"/>
    <w:rsid w:val="002B08EF"/>
    <w:rsid w:val="002B2C76"/>
    <w:rsid w:val="002B353F"/>
    <w:rsid w:val="002B42B4"/>
    <w:rsid w:val="002B4A61"/>
    <w:rsid w:val="002B72C1"/>
    <w:rsid w:val="002B77AE"/>
    <w:rsid w:val="002B7F9C"/>
    <w:rsid w:val="002C1852"/>
    <w:rsid w:val="002C1DD6"/>
    <w:rsid w:val="002C2A2D"/>
    <w:rsid w:val="002C3CE9"/>
    <w:rsid w:val="002D09A4"/>
    <w:rsid w:val="002D43B6"/>
    <w:rsid w:val="002D503C"/>
    <w:rsid w:val="002D5E7B"/>
    <w:rsid w:val="002D72E4"/>
    <w:rsid w:val="002D7379"/>
    <w:rsid w:val="002D7555"/>
    <w:rsid w:val="002E0230"/>
    <w:rsid w:val="002E1674"/>
    <w:rsid w:val="002E17FC"/>
    <w:rsid w:val="002E1B82"/>
    <w:rsid w:val="002E2D7D"/>
    <w:rsid w:val="002E4F62"/>
    <w:rsid w:val="002E510E"/>
    <w:rsid w:val="002E534E"/>
    <w:rsid w:val="002F1005"/>
    <w:rsid w:val="002F3A06"/>
    <w:rsid w:val="002F3EDA"/>
    <w:rsid w:val="002F4870"/>
    <w:rsid w:val="002F4FCC"/>
    <w:rsid w:val="002F53AE"/>
    <w:rsid w:val="002F605B"/>
    <w:rsid w:val="002F698F"/>
    <w:rsid w:val="002F6D75"/>
    <w:rsid w:val="002F710E"/>
    <w:rsid w:val="002F77FF"/>
    <w:rsid w:val="002F7E9F"/>
    <w:rsid w:val="00300DD4"/>
    <w:rsid w:val="00301426"/>
    <w:rsid w:val="00303173"/>
    <w:rsid w:val="00305C43"/>
    <w:rsid w:val="00305F35"/>
    <w:rsid w:val="00306FC5"/>
    <w:rsid w:val="00310341"/>
    <w:rsid w:val="00310601"/>
    <w:rsid w:val="00313AD9"/>
    <w:rsid w:val="00313DCE"/>
    <w:rsid w:val="0031702C"/>
    <w:rsid w:val="00320E4C"/>
    <w:rsid w:val="00322E23"/>
    <w:rsid w:val="00323108"/>
    <w:rsid w:val="00323ED0"/>
    <w:rsid w:val="0032416C"/>
    <w:rsid w:val="00324483"/>
    <w:rsid w:val="003259B8"/>
    <w:rsid w:val="00326CAE"/>
    <w:rsid w:val="003276FA"/>
    <w:rsid w:val="00327FFC"/>
    <w:rsid w:val="00330E63"/>
    <w:rsid w:val="00333261"/>
    <w:rsid w:val="00337396"/>
    <w:rsid w:val="00341A7B"/>
    <w:rsid w:val="0034268D"/>
    <w:rsid w:val="003426CB"/>
    <w:rsid w:val="00342DC4"/>
    <w:rsid w:val="00347AA2"/>
    <w:rsid w:val="00347CA2"/>
    <w:rsid w:val="00350662"/>
    <w:rsid w:val="003507D0"/>
    <w:rsid w:val="00350941"/>
    <w:rsid w:val="00350963"/>
    <w:rsid w:val="00350CCC"/>
    <w:rsid w:val="00351194"/>
    <w:rsid w:val="0035293B"/>
    <w:rsid w:val="00352EB3"/>
    <w:rsid w:val="0035480B"/>
    <w:rsid w:val="003552E1"/>
    <w:rsid w:val="00356025"/>
    <w:rsid w:val="00356C08"/>
    <w:rsid w:val="003570CA"/>
    <w:rsid w:val="003578FC"/>
    <w:rsid w:val="003606E3"/>
    <w:rsid w:val="00360854"/>
    <w:rsid w:val="00360BC5"/>
    <w:rsid w:val="00360FC8"/>
    <w:rsid w:val="00362DDD"/>
    <w:rsid w:val="00363922"/>
    <w:rsid w:val="0036413C"/>
    <w:rsid w:val="0036518D"/>
    <w:rsid w:val="00366BED"/>
    <w:rsid w:val="00367B42"/>
    <w:rsid w:val="00372918"/>
    <w:rsid w:val="00375A7C"/>
    <w:rsid w:val="00376570"/>
    <w:rsid w:val="00377B05"/>
    <w:rsid w:val="00381AB2"/>
    <w:rsid w:val="0038316B"/>
    <w:rsid w:val="00385BCB"/>
    <w:rsid w:val="00386F03"/>
    <w:rsid w:val="00390311"/>
    <w:rsid w:val="00392710"/>
    <w:rsid w:val="00392D9D"/>
    <w:rsid w:val="00393132"/>
    <w:rsid w:val="00393228"/>
    <w:rsid w:val="003933B5"/>
    <w:rsid w:val="00393DFA"/>
    <w:rsid w:val="003948AA"/>
    <w:rsid w:val="0039523E"/>
    <w:rsid w:val="003957E7"/>
    <w:rsid w:val="00396095"/>
    <w:rsid w:val="003970E7"/>
    <w:rsid w:val="003A3A2E"/>
    <w:rsid w:val="003A3A69"/>
    <w:rsid w:val="003A72FB"/>
    <w:rsid w:val="003B0FCE"/>
    <w:rsid w:val="003B2EF0"/>
    <w:rsid w:val="003B312C"/>
    <w:rsid w:val="003B38DA"/>
    <w:rsid w:val="003B42F8"/>
    <w:rsid w:val="003B6F32"/>
    <w:rsid w:val="003B7623"/>
    <w:rsid w:val="003B7CB9"/>
    <w:rsid w:val="003C1592"/>
    <w:rsid w:val="003C317B"/>
    <w:rsid w:val="003C3552"/>
    <w:rsid w:val="003C4738"/>
    <w:rsid w:val="003C5869"/>
    <w:rsid w:val="003C6E42"/>
    <w:rsid w:val="003D0071"/>
    <w:rsid w:val="003D0145"/>
    <w:rsid w:val="003D0D81"/>
    <w:rsid w:val="003D13B9"/>
    <w:rsid w:val="003D283F"/>
    <w:rsid w:val="003D2D1F"/>
    <w:rsid w:val="003D2E93"/>
    <w:rsid w:val="003D3F12"/>
    <w:rsid w:val="003D50A6"/>
    <w:rsid w:val="003D6975"/>
    <w:rsid w:val="003D6B42"/>
    <w:rsid w:val="003E0362"/>
    <w:rsid w:val="003E0C72"/>
    <w:rsid w:val="003E1897"/>
    <w:rsid w:val="003E1B80"/>
    <w:rsid w:val="003E1CBF"/>
    <w:rsid w:val="003E2E5C"/>
    <w:rsid w:val="003E3F0A"/>
    <w:rsid w:val="003E4EA1"/>
    <w:rsid w:val="003E5BE5"/>
    <w:rsid w:val="003E6393"/>
    <w:rsid w:val="003E6763"/>
    <w:rsid w:val="003E7235"/>
    <w:rsid w:val="003E7C90"/>
    <w:rsid w:val="003E7F8D"/>
    <w:rsid w:val="003F2025"/>
    <w:rsid w:val="003F2884"/>
    <w:rsid w:val="003F3341"/>
    <w:rsid w:val="003F3E91"/>
    <w:rsid w:val="003F3E9F"/>
    <w:rsid w:val="003F4BDA"/>
    <w:rsid w:val="00400A5F"/>
    <w:rsid w:val="00401EC5"/>
    <w:rsid w:val="004031B4"/>
    <w:rsid w:val="004036CB"/>
    <w:rsid w:val="00403A1F"/>
    <w:rsid w:val="00404A52"/>
    <w:rsid w:val="00405F21"/>
    <w:rsid w:val="00406F87"/>
    <w:rsid w:val="00407661"/>
    <w:rsid w:val="00407712"/>
    <w:rsid w:val="004120ED"/>
    <w:rsid w:val="00412130"/>
    <w:rsid w:val="00412148"/>
    <w:rsid w:val="00412214"/>
    <w:rsid w:val="00412631"/>
    <w:rsid w:val="00413EB4"/>
    <w:rsid w:val="00415538"/>
    <w:rsid w:val="00417E4B"/>
    <w:rsid w:val="00421E21"/>
    <w:rsid w:val="004230BA"/>
    <w:rsid w:val="004234CE"/>
    <w:rsid w:val="004243B4"/>
    <w:rsid w:val="00424F58"/>
    <w:rsid w:val="004259A6"/>
    <w:rsid w:val="00426BBE"/>
    <w:rsid w:val="0043182F"/>
    <w:rsid w:val="004318A7"/>
    <w:rsid w:val="004348F1"/>
    <w:rsid w:val="00434F30"/>
    <w:rsid w:val="004352E8"/>
    <w:rsid w:val="004362D1"/>
    <w:rsid w:val="004367F2"/>
    <w:rsid w:val="00437C29"/>
    <w:rsid w:val="00440FA5"/>
    <w:rsid w:val="00441EE8"/>
    <w:rsid w:val="00442101"/>
    <w:rsid w:val="004427AD"/>
    <w:rsid w:val="0044434F"/>
    <w:rsid w:val="00444C08"/>
    <w:rsid w:val="004500D0"/>
    <w:rsid w:val="004529B7"/>
    <w:rsid w:val="00452DA0"/>
    <w:rsid w:val="00453FF4"/>
    <w:rsid w:val="0045494B"/>
    <w:rsid w:val="004559AD"/>
    <w:rsid w:val="004565E0"/>
    <w:rsid w:val="00456E03"/>
    <w:rsid w:val="00457F66"/>
    <w:rsid w:val="00460317"/>
    <w:rsid w:val="00460757"/>
    <w:rsid w:val="00460B9E"/>
    <w:rsid w:val="00461C3F"/>
    <w:rsid w:val="0046201C"/>
    <w:rsid w:val="004622CF"/>
    <w:rsid w:val="00462721"/>
    <w:rsid w:val="00463F82"/>
    <w:rsid w:val="0046494C"/>
    <w:rsid w:val="00464A57"/>
    <w:rsid w:val="00464ED3"/>
    <w:rsid w:val="00465548"/>
    <w:rsid w:val="004661B2"/>
    <w:rsid w:val="00472CF0"/>
    <w:rsid w:val="00473FA9"/>
    <w:rsid w:val="0047749A"/>
    <w:rsid w:val="004817C0"/>
    <w:rsid w:val="0048188C"/>
    <w:rsid w:val="00481E67"/>
    <w:rsid w:val="00484542"/>
    <w:rsid w:val="00485404"/>
    <w:rsid w:val="0048665F"/>
    <w:rsid w:val="004922C4"/>
    <w:rsid w:val="00493136"/>
    <w:rsid w:val="004940FA"/>
    <w:rsid w:val="004A00A8"/>
    <w:rsid w:val="004A0634"/>
    <w:rsid w:val="004A0684"/>
    <w:rsid w:val="004A0758"/>
    <w:rsid w:val="004A085F"/>
    <w:rsid w:val="004A117A"/>
    <w:rsid w:val="004A1A3F"/>
    <w:rsid w:val="004A1A7B"/>
    <w:rsid w:val="004A309F"/>
    <w:rsid w:val="004A3939"/>
    <w:rsid w:val="004A49AF"/>
    <w:rsid w:val="004A4D02"/>
    <w:rsid w:val="004A5DD0"/>
    <w:rsid w:val="004A5E3A"/>
    <w:rsid w:val="004A5F89"/>
    <w:rsid w:val="004A6654"/>
    <w:rsid w:val="004A6F9B"/>
    <w:rsid w:val="004A7D2B"/>
    <w:rsid w:val="004B0805"/>
    <w:rsid w:val="004B163D"/>
    <w:rsid w:val="004B1783"/>
    <w:rsid w:val="004B1DBE"/>
    <w:rsid w:val="004B4A4A"/>
    <w:rsid w:val="004B5E59"/>
    <w:rsid w:val="004B6537"/>
    <w:rsid w:val="004B7B10"/>
    <w:rsid w:val="004C0B4B"/>
    <w:rsid w:val="004C102F"/>
    <w:rsid w:val="004C18A8"/>
    <w:rsid w:val="004C29D3"/>
    <w:rsid w:val="004D094B"/>
    <w:rsid w:val="004D277E"/>
    <w:rsid w:val="004D2A91"/>
    <w:rsid w:val="004D6A41"/>
    <w:rsid w:val="004D74EE"/>
    <w:rsid w:val="004E02C4"/>
    <w:rsid w:val="004E06F4"/>
    <w:rsid w:val="004E100F"/>
    <w:rsid w:val="004E120F"/>
    <w:rsid w:val="004E4993"/>
    <w:rsid w:val="004E7061"/>
    <w:rsid w:val="004F1D9C"/>
    <w:rsid w:val="004F2D1C"/>
    <w:rsid w:val="004F354C"/>
    <w:rsid w:val="004F5079"/>
    <w:rsid w:val="004F568F"/>
    <w:rsid w:val="004F644E"/>
    <w:rsid w:val="004F6BF2"/>
    <w:rsid w:val="004F6CB7"/>
    <w:rsid w:val="004F79B1"/>
    <w:rsid w:val="00500062"/>
    <w:rsid w:val="00500736"/>
    <w:rsid w:val="00501199"/>
    <w:rsid w:val="005011D9"/>
    <w:rsid w:val="00501B35"/>
    <w:rsid w:val="00502163"/>
    <w:rsid w:val="005021FF"/>
    <w:rsid w:val="00502342"/>
    <w:rsid w:val="00504B2E"/>
    <w:rsid w:val="005059C6"/>
    <w:rsid w:val="00505C65"/>
    <w:rsid w:val="00507F2C"/>
    <w:rsid w:val="005101FC"/>
    <w:rsid w:val="005107CB"/>
    <w:rsid w:val="00510D91"/>
    <w:rsid w:val="00510E93"/>
    <w:rsid w:val="00511263"/>
    <w:rsid w:val="00511A52"/>
    <w:rsid w:val="00516EA8"/>
    <w:rsid w:val="0051716B"/>
    <w:rsid w:val="005176DC"/>
    <w:rsid w:val="00520A05"/>
    <w:rsid w:val="00522530"/>
    <w:rsid w:val="00523806"/>
    <w:rsid w:val="005246A4"/>
    <w:rsid w:val="00524708"/>
    <w:rsid w:val="00524755"/>
    <w:rsid w:val="00524825"/>
    <w:rsid w:val="00526903"/>
    <w:rsid w:val="0052749E"/>
    <w:rsid w:val="00530264"/>
    <w:rsid w:val="00530CE9"/>
    <w:rsid w:val="005330C7"/>
    <w:rsid w:val="005360A8"/>
    <w:rsid w:val="005361EC"/>
    <w:rsid w:val="005366BD"/>
    <w:rsid w:val="00540A51"/>
    <w:rsid w:val="00541455"/>
    <w:rsid w:val="0054297A"/>
    <w:rsid w:val="00542C0A"/>
    <w:rsid w:val="00543135"/>
    <w:rsid w:val="00544049"/>
    <w:rsid w:val="005525C0"/>
    <w:rsid w:val="005527A6"/>
    <w:rsid w:val="00556505"/>
    <w:rsid w:val="0055698F"/>
    <w:rsid w:val="00557D46"/>
    <w:rsid w:val="005616E6"/>
    <w:rsid w:val="00561978"/>
    <w:rsid w:val="00562D2E"/>
    <w:rsid w:val="005630D3"/>
    <w:rsid w:val="005643D6"/>
    <w:rsid w:val="00564A2F"/>
    <w:rsid w:val="0056606B"/>
    <w:rsid w:val="00566378"/>
    <w:rsid w:val="00567146"/>
    <w:rsid w:val="0057040F"/>
    <w:rsid w:val="00570D63"/>
    <w:rsid w:val="00572912"/>
    <w:rsid w:val="005738FC"/>
    <w:rsid w:val="00574BE6"/>
    <w:rsid w:val="00575855"/>
    <w:rsid w:val="00576984"/>
    <w:rsid w:val="0057730A"/>
    <w:rsid w:val="00577994"/>
    <w:rsid w:val="00582D40"/>
    <w:rsid w:val="00584EDB"/>
    <w:rsid w:val="00585EC8"/>
    <w:rsid w:val="005864D9"/>
    <w:rsid w:val="00590027"/>
    <w:rsid w:val="00592240"/>
    <w:rsid w:val="005926B3"/>
    <w:rsid w:val="005927D2"/>
    <w:rsid w:val="00593A42"/>
    <w:rsid w:val="00593D13"/>
    <w:rsid w:val="0059709F"/>
    <w:rsid w:val="005970E6"/>
    <w:rsid w:val="005A0A55"/>
    <w:rsid w:val="005A0CF5"/>
    <w:rsid w:val="005A0D72"/>
    <w:rsid w:val="005A41B4"/>
    <w:rsid w:val="005A47C8"/>
    <w:rsid w:val="005A4A42"/>
    <w:rsid w:val="005A4FB8"/>
    <w:rsid w:val="005A6B81"/>
    <w:rsid w:val="005A73FB"/>
    <w:rsid w:val="005B0D57"/>
    <w:rsid w:val="005B19A6"/>
    <w:rsid w:val="005B1B8E"/>
    <w:rsid w:val="005B31CE"/>
    <w:rsid w:val="005B4609"/>
    <w:rsid w:val="005B4B09"/>
    <w:rsid w:val="005B61D3"/>
    <w:rsid w:val="005B734D"/>
    <w:rsid w:val="005B7CA2"/>
    <w:rsid w:val="005C2A95"/>
    <w:rsid w:val="005C30BF"/>
    <w:rsid w:val="005C31CA"/>
    <w:rsid w:val="005C4705"/>
    <w:rsid w:val="005C5A06"/>
    <w:rsid w:val="005C5C5D"/>
    <w:rsid w:val="005D25FC"/>
    <w:rsid w:val="005D305C"/>
    <w:rsid w:val="005D31D9"/>
    <w:rsid w:val="005D3762"/>
    <w:rsid w:val="005D450E"/>
    <w:rsid w:val="005D4B25"/>
    <w:rsid w:val="005D5F8F"/>
    <w:rsid w:val="005D6605"/>
    <w:rsid w:val="005D6747"/>
    <w:rsid w:val="005D6BBD"/>
    <w:rsid w:val="005D7D42"/>
    <w:rsid w:val="005E3782"/>
    <w:rsid w:val="005E3D7B"/>
    <w:rsid w:val="005E4E1F"/>
    <w:rsid w:val="005E64BE"/>
    <w:rsid w:val="005E7F9E"/>
    <w:rsid w:val="005F064C"/>
    <w:rsid w:val="005F06D6"/>
    <w:rsid w:val="005F0D70"/>
    <w:rsid w:val="005F16E4"/>
    <w:rsid w:val="005F1D81"/>
    <w:rsid w:val="005F281C"/>
    <w:rsid w:val="005F346F"/>
    <w:rsid w:val="005F4219"/>
    <w:rsid w:val="005F66E7"/>
    <w:rsid w:val="005F6ACC"/>
    <w:rsid w:val="00601156"/>
    <w:rsid w:val="00601C5B"/>
    <w:rsid w:val="00603681"/>
    <w:rsid w:val="006040CD"/>
    <w:rsid w:val="00605BC9"/>
    <w:rsid w:val="00611177"/>
    <w:rsid w:val="00611D2B"/>
    <w:rsid w:val="0061216A"/>
    <w:rsid w:val="006128C8"/>
    <w:rsid w:val="00613350"/>
    <w:rsid w:val="0061454B"/>
    <w:rsid w:val="006150F3"/>
    <w:rsid w:val="00621173"/>
    <w:rsid w:val="006218BD"/>
    <w:rsid w:val="00622E0C"/>
    <w:rsid w:val="006238D1"/>
    <w:rsid w:val="00623A95"/>
    <w:rsid w:val="00624928"/>
    <w:rsid w:val="00625626"/>
    <w:rsid w:val="0062715C"/>
    <w:rsid w:val="006304BF"/>
    <w:rsid w:val="006307FF"/>
    <w:rsid w:val="00633837"/>
    <w:rsid w:val="00634162"/>
    <w:rsid w:val="00635AEE"/>
    <w:rsid w:val="00635BB3"/>
    <w:rsid w:val="00636974"/>
    <w:rsid w:val="00640529"/>
    <w:rsid w:val="0064239F"/>
    <w:rsid w:val="00643046"/>
    <w:rsid w:val="00644510"/>
    <w:rsid w:val="0064490F"/>
    <w:rsid w:val="00644C07"/>
    <w:rsid w:val="00644FCE"/>
    <w:rsid w:val="0064621E"/>
    <w:rsid w:val="006506BF"/>
    <w:rsid w:val="00653F30"/>
    <w:rsid w:val="00656B9F"/>
    <w:rsid w:val="00657AB0"/>
    <w:rsid w:val="00657C2F"/>
    <w:rsid w:val="00660576"/>
    <w:rsid w:val="00660C3E"/>
    <w:rsid w:val="00661026"/>
    <w:rsid w:val="0066179B"/>
    <w:rsid w:val="00662576"/>
    <w:rsid w:val="006630B2"/>
    <w:rsid w:val="00664DB0"/>
    <w:rsid w:val="00671FE1"/>
    <w:rsid w:val="00672C1F"/>
    <w:rsid w:val="00673F1F"/>
    <w:rsid w:val="0067452A"/>
    <w:rsid w:val="0067562D"/>
    <w:rsid w:val="0067598A"/>
    <w:rsid w:val="00680162"/>
    <w:rsid w:val="006806C7"/>
    <w:rsid w:val="00680D90"/>
    <w:rsid w:val="0068208B"/>
    <w:rsid w:val="00682813"/>
    <w:rsid w:val="00682B9C"/>
    <w:rsid w:val="0068361F"/>
    <w:rsid w:val="006875C7"/>
    <w:rsid w:val="00687A22"/>
    <w:rsid w:val="00690B2D"/>
    <w:rsid w:val="006929AC"/>
    <w:rsid w:val="006938C1"/>
    <w:rsid w:val="006951AD"/>
    <w:rsid w:val="00697220"/>
    <w:rsid w:val="006A0449"/>
    <w:rsid w:val="006A1139"/>
    <w:rsid w:val="006A1459"/>
    <w:rsid w:val="006A7C06"/>
    <w:rsid w:val="006A7E1F"/>
    <w:rsid w:val="006B214A"/>
    <w:rsid w:val="006B2840"/>
    <w:rsid w:val="006B38E2"/>
    <w:rsid w:val="006B3AB3"/>
    <w:rsid w:val="006B4BAA"/>
    <w:rsid w:val="006B6C44"/>
    <w:rsid w:val="006B6F4B"/>
    <w:rsid w:val="006B7345"/>
    <w:rsid w:val="006B7A61"/>
    <w:rsid w:val="006C0292"/>
    <w:rsid w:val="006C1344"/>
    <w:rsid w:val="006C35CC"/>
    <w:rsid w:val="006C3710"/>
    <w:rsid w:val="006C4B39"/>
    <w:rsid w:val="006C5579"/>
    <w:rsid w:val="006C787C"/>
    <w:rsid w:val="006C7B61"/>
    <w:rsid w:val="006D0435"/>
    <w:rsid w:val="006D0E39"/>
    <w:rsid w:val="006D1C15"/>
    <w:rsid w:val="006D2383"/>
    <w:rsid w:val="006D2B23"/>
    <w:rsid w:val="006D66B0"/>
    <w:rsid w:val="006D6AC5"/>
    <w:rsid w:val="006D7F8A"/>
    <w:rsid w:val="006E0369"/>
    <w:rsid w:val="006E173E"/>
    <w:rsid w:val="006E27BB"/>
    <w:rsid w:val="006E32E9"/>
    <w:rsid w:val="006E33FB"/>
    <w:rsid w:val="006E4407"/>
    <w:rsid w:val="006E451B"/>
    <w:rsid w:val="006E50BA"/>
    <w:rsid w:val="006E5AA5"/>
    <w:rsid w:val="006E61D0"/>
    <w:rsid w:val="006E68F0"/>
    <w:rsid w:val="006E6B43"/>
    <w:rsid w:val="006F0C41"/>
    <w:rsid w:val="006F2B46"/>
    <w:rsid w:val="006F6891"/>
    <w:rsid w:val="006F6C33"/>
    <w:rsid w:val="0070033F"/>
    <w:rsid w:val="00704821"/>
    <w:rsid w:val="00706130"/>
    <w:rsid w:val="00710E8C"/>
    <w:rsid w:val="00711F1B"/>
    <w:rsid w:val="00712B15"/>
    <w:rsid w:val="007135D0"/>
    <w:rsid w:val="007144E6"/>
    <w:rsid w:val="007147E5"/>
    <w:rsid w:val="00714B90"/>
    <w:rsid w:val="00714FCD"/>
    <w:rsid w:val="007153F7"/>
    <w:rsid w:val="00717EF9"/>
    <w:rsid w:val="007203EB"/>
    <w:rsid w:val="007208B2"/>
    <w:rsid w:val="00722339"/>
    <w:rsid w:val="0072263F"/>
    <w:rsid w:val="00723BA0"/>
    <w:rsid w:val="00724820"/>
    <w:rsid w:val="00726BE1"/>
    <w:rsid w:val="007306FA"/>
    <w:rsid w:val="007308BB"/>
    <w:rsid w:val="007323ED"/>
    <w:rsid w:val="00733ED1"/>
    <w:rsid w:val="0073405B"/>
    <w:rsid w:val="00734135"/>
    <w:rsid w:val="00735C39"/>
    <w:rsid w:val="00735D17"/>
    <w:rsid w:val="00736142"/>
    <w:rsid w:val="0073741C"/>
    <w:rsid w:val="00737E52"/>
    <w:rsid w:val="00741360"/>
    <w:rsid w:val="00743058"/>
    <w:rsid w:val="00743358"/>
    <w:rsid w:val="00743381"/>
    <w:rsid w:val="0074474F"/>
    <w:rsid w:val="007447C4"/>
    <w:rsid w:val="0074519E"/>
    <w:rsid w:val="0074524B"/>
    <w:rsid w:val="00747035"/>
    <w:rsid w:val="00747BD1"/>
    <w:rsid w:val="007518E6"/>
    <w:rsid w:val="007519F4"/>
    <w:rsid w:val="00753095"/>
    <w:rsid w:val="00753475"/>
    <w:rsid w:val="00753EEE"/>
    <w:rsid w:val="00754C15"/>
    <w:rsid w:val="00756F98"/>
    <w:rsid w:val="00757D43"/>
    <w:rsid w:val="00761B7D"/>
    <w:rsid w:val="007622EA"/>
    <w:rsid w:val="007626D7"/>
    <w:rsid w:val="00762B89"/>
    <w:rsid w:val="00767245"/>
    <w:rsid w:val="007712AC"/>
    <w:rsid w:val="007727C2"/>
    <w:rsid w:val="00772893"/>
    <w:rsid w:val="007728EB"/>
    <w:rsid w:val="0077429F"/>
    <w:rsid w:val="00775C7A"/>
    <w:rsid w:val="00780CDB"/>
    <w:rsid w:val="00781047"/>
    <w:rsid w:val="00781EEE"/>
    <w:rsid w:val="007823FE"/>
    <w:rsid w:val="00783163"/>
    <w:rsid w:val="007836B4"/>
    <w:rsid w:val="00785A1E"/>
    <w:rsid w:val="0078737D"/>
    <w:rsid w:val="00791FE9"/>
    <w:rsid w:val="007934A8"/>
    <w:rsid w:val="00793503"/>
    <w:rsid w:val="00795CA1"/>
    <w:rsid w:val="007963D2"/>
    <w:rsid w:val="00796525"/>
    <w:rsid w:val="007A0D8C"/>
    <w:rsid w:val="007A0D99"/>
    <w:rsid w:val="007A1678"/>
    <w:rsid w:val="007A29A9"/>
    <w:rsid w:val="007A2B23"/>
    <w:rsid w:val="007A2D41"/>
    <w:rsid w:val="007A2DB6"/>
    <w:rsid w:val="007A76BA"/>
    <w:rsid w:val="007B0197"/>
    <w:rsid w:val="007B0CC3"/>
    <w:rsid w:val="007B1A88"/>
    <w:rsid w:val="007B2A86"/>
    <w:rsid w:val="007B31F6"/>
    <w:rsid w:val="007B32B0"/>
    <w:rsid w:val="007B3D22"/>
    <w:rsid w:val="007B4E60"/>
    <w:rsid w:val="007B5E0D"/>
    <w:rsid w:val="007B64FE"/>
    <w:rsid w:val="007B7199"/>
    <w:rsid w:val="007B7D9E"/>
    <w:rsid w:val="007C1F9A"/>
    <w:rsid w:val="007C21ED"/>
    <w:rsid w:val="007C3714"/>
    <w:rsid w:val="007C546A"/>
    <w:rsid w:val="007C5CAD"/>
    <w:rsid w:val="007C66BB"/>
    <w:rsid w:val="007C6711"/>
    <w:rsid w:val="007C6866"/>
    <w:rsid w:val="007D09AE"/>
    <w:rsid w:val="007D0A39"/>
    <w:rsid w:val="007D2042"/>
    <w:rsid w:val="007D21CF"/>
    <w:rsid w:val="007D3F58"/>
    <w:rsid w:val="007D41CF"/>
    <w:rsid w:val="007D430A"/>
    <w:rsid w:val="007D5364"/>
    <w:rsid w:val="007D59DD"/>
    <w:rsid w:val="007D5E5F"/>
    <w:rsid w:val="007D7784"/>
    <w:rsid w:val="007E0810"/>
    <w:rsid w:val="007E1495"/>
    <w:rsid w:val="007E15F6"/>
    <w:rsid w:val="007E4507"/>
    <w:rsid w:val="007E68E1"/>
    <w:rsid w:val="007F0901"/>
    <w:rsid w:val="007F0A8A"/>
    <w:rsid w:val="007F0CDC"/>
    <w:rsid w:val="007F1014"/>
    <w:rsid w:val="007F3932"/>
    <w:rsid w:val="007F41F9"/>
    <w:rsid w:val="007F4397"/>
    <w:rsid w:val="007F4405"/>
    <w:rsid w:val="007F603B"/>
    <w:rsid w:val="00800033"/>
    <w:rsid w:val="008001F9"/>
    <w:rsid w:val="00801D23"/>
    <w:rsid w:val="00803F69"/>
    <w:rsid w:val="00804ACC"/>
    <w:rsid w:val="00805988"/>
    <w:rsid w:val="008065A2"/>
    <w:rsid w:val="00810198"/>
    <w:rsid w:val="008102C0"/>
    <w:rsid w:val="00811CA5"/>
    <w:rsid w:val="008127CA"/>
    <w:rsid w:val="008129C4"/>
    <w:rsid w:val="00814EF2"/>
    <w:rsid w:val="00814FD3"/>
    <w:rsid w:val="00816695"/>
    <w:rsid w:val="00820362"/>
    <w:rsid w:val="00821370"/>
    <w:rsid w:val="008230ED"/>
    <w:rsid w:val="008240C8"/>
    <w:rsid w:val="00824967"/>
    <w:rsid w:val="00825BF9"/>
    <w:rsid w:val="00827BB2"/>
    <w:rsid w:val="00827C68"/>
    <w:rsid w:val="00827D44"/>
    <w:rsid w:val="00827FB5"/>
    <w:rsid w:val="00831B37"/>
    <w:rsid w:val="00832C0D"/>
    <w:rsid w:val="00833989"/>
    <w:rsid w:val="008339B8"/>
    <w:rsid w:val="00833FF5"/>
    <w:rsid w:val="00835614"/>
    <w:rsid w:val="0084086D"/>
    <w:rsid w:val="00841442"/>
    <w:rsid w:val="008460B0"/>
    <w:rsid w:val="00846824"/>
    <w:rsid w:val="00853C8F"/>
    <w:rsid w:val="008542C2"/>
    <w:rsid w:val="00854ACE"/>
    <w:rsid w:val="008550AB"/>
    <w:rsid w:val="008566CB"/>
    <w:rsid w:val="00857920"/>
    <w:rsid w:val="00857EFD"/>
    <w:rsid w:val="00860C45"/>
    <w:rsid w:val="00861497"/>
    <w:rsid w:val="00861D79"/>
    <w:rsid w:val="00864032"/>
    <w:rsid w:val="0086742E"/>
    <w:rsid w:val="008728E0"/>
    <w:rsid w:val="00873532"/>
    <w:rsid w:val="008757C6"/>
    <w:rsid w:val="00876A8C"/>
    <w:rsid w:val="00876E41"/>
    <w:rsid w:val="00877688"/>
    <w:rsid w:val="00880E82"/>
    <w:rsid w:val="00882314"/>
    <w:rsid w:val="00884A00"/>
    <w:rsid w:val="00892A8B"/>
    <w:rsid w:val="00895704"/>
    <w:rsid w:val="00895D73"/>
    <w:rsid w:val="008966FE"/>
    <w:rsid w:val="008A19B7"/>
    <w:rsid w:val="008A2473"/>
    <w:rsid w:val="008A2FD1"/>
    <w:rsid w:val="008A33AB"/>
    <w:rsid w:val="008A4290"/>
    <w:rsid w:val="008A46D1"/>
    <w:rsid w:val="008A53B6"/>
    <w:rsid w:val="008A6B8E"/>
    <w:rsid w:val="008B214C"/>
    <w:rsid w:val="008B3863"/>
    <w:rsid w:val="008B4EFF"/>
    <w:rsid w:val="008B5E8B"/>
    <w:rsid w:val="008B6BC8"/>
    <w:rsid w:val="008B74D1"/>
    <w:rsid w:val="008B775F"/>
    <w:rsid w:val="008C08CD"/>
    <w:rsid w:val="008C1FEE"/>
    <w:rsid w:val="008C2199"/>
    <w:rsid w:val="008C38B5"/>
    <w:rsid w:val="008C5973"/>
    <w:rsid w:val="008C5C96"/>
    <w:rsid w:val="008C5CBF"/>
    <w:rsid w:val="008C75B5"/>
    <w:rsid w:val="008C7702"/>
    <w:rsid w:val="008C7BB2"/>
    <w:rsid w:val="008D1004"/>
    <w:rsid w:val="008D111D"/>
    <w:rsid w:val="008D1637"/>
    <w:rsid w:val="008D68BC"/>
    <w:rsid w:val="008E043C"/>
    <w:rsid w:val="008E04AC"/>
    <w:rsid w:val="008E04CC"/>
    <w:rsid w:val="008E2C7C"/>
    <w:rsid w:val="008E2F6C"/>
    <w:rsid w:val="008E3B8F"/>
    <w:rsid w:val="008F0851"/>
    <w:rsid w:val="008F0F36"/>
    <w:rsid w:val="008F0F84"/>
    <w:rsid w:val="008F1437"/>
    <w:rsid w:val="008F26B4"/>
    <w:rsid w:val="008F3909"/>
    <w:rsid w:val="008F3FB7"/>
    <w:rsid w:val="008F42ED"/>
    <w:rsid w:val="008F50BC"/>
    <w:rsid w:val="008F5B5C"/>
    <w:rsid w:val="008F6094"/>
    <w:rsid w:val="008F632C"/>
    <w:rsid w:val="008F66D2"/>
    <w:rsid w:val="008F6F27"/>
    <w:rsid w:val="008F7A96"/>
    <w:rsid w:val="00901157"/>
    <w:rsid w:val="00901B25"/>
    <w:rsid w:val="00903075"/>
    <w:rsid w:val="00903AF2"/>
    <w:rsid w:val="009049FA"/>
    <w:rsid w:val="00904F11"/>
    <w:rsid w:val="0090720B"/>
    <w:rsid w:val="00907E59"/>
    <w:rsid w:val="00910A2E"/>
    <w:rsid w:val="00913A9F"/>
    <w:rsid w:val="00914385"/>
    <w:rsid w:val="00915365"/>
    <w:rsid w:val="00916BDE"/>
    <w:rsid w:val="00922E3E"/>
    <w:rsid w:val="0092327D"/>
    <w:rsid w:val="009305C4"/>
    <w:rsid w:val="00930B9D"/>
    <w:rsid w:val="00930FFF"/>
    <w:rsid w:val="009321E4"/>
    <w:rsid w:val="0093281A"/>
    <w:rsid w:val="00932C2D"/>
    <w:rsid w:val="009346D3"/>
    <w:rsid w:val="0093771F"/>
    <w:rsid w:val="0094239D"/>
    <w:rsid w:val="00943271"/>
    <w:rsid w:val="0094705D"/>
    <w:rsid w:val="00947A2E"/>
    <w:rsid w:val="009575E5"/>
    <w:rsid w:val="00957F80"/>
    <w:rsid w:val="00960FF1"/>
    <w:rsid w:val="00961169"/>
    <w:rsid w:val="00961C60"/>
    <w:rsid w:val="0096394A"/>
    <w:rsid w:val="0096519D"/>
    <w:rsid w:val="009653A0"/>
    <w:rsid w:val="00965F6F"/>
    <w:rsid w:val="00966704"/>
    <w:rsid w:val="00966A58"/>
    <w:rsid w:val="0096728F"/>
    <w:rsid w:val="0097116C"/>
    <w:rsid w:val="009714AB"/>
    <w:rsid w:val="00971BCD"/>
    <w:rsid w:val="00972A3E"/>
    <w:rsid w:val="009731E3"/>
    <w:rsid w:val="00973CA2"/>
    <w:rsid w:val="00974C2E"/>
    <w:rsid w:val="0097560C"/>
    <w:rsid w:val="009756D4"/>
    <w:rsid w:val="009806F5"/>
    <w:rsid w:val="00981139"/>
    <w:rsid w:val="009811DE"/>
    <w:rsid w:val="009811EF"/>
    <w:rsid w:val="00982B44"/>
    <w:rsid w:val="00982C10"/>
    <w:rsid w:val="0098377F"/>
    <w:rsid w:val="0098459F"/>
    <w:rsid w:val="00984C3E"/>
    <w:rsid w:val="009861DD"/>
    <w:rsid w:val="00986245"/>
    <w:rsid w:val="00986D31"/>
    <w:rsid w:val="00986F8B"/>
    <w:rsid w:val="00987B85"/>
    <w:rsid w:val="00990C71"/>
    <w:rsid w:val="00991A9A"/>
    <w:rsid w:val="0099203B"/>
    <w:rsid w:val="009921EB"/>
    <w:rsid w:val="00992AB5"/>
    <w:rsid w:val="00993261"/>
    <w:rsid w:val="0099541D"/>
    <w:rsid w:val="00995633"/>
    <w:rsid w:val="00995C81"/>
    <w:rsid w:val="00996A8E"/>
    <w:rsid w:val="009A1BF4"/>
    <w:rsid w:val="009A22AE"/>
    <w:rsid w:val="009A3363"/>
    <w:rsid w:val="009A4284"/>
    <w:rsid w:val="009A5C84"/>
    <w:rsid w:val="009A60C3"/>
    <w:rsid w:val="009A7141"/>
    <w:rsid w:val="009A7D6D"/>
    <w:rsid w:val="009B0A96"/>
    <w:rsid w:val="009B0C8D"/>
    <w:rsid w:val="009B122A"/>
    <w:rsid w:val="009B24F2"/>
    <w:rsid w:val="009B36EC"/>
    <w:rsid w:val="009B3725"/>
    <w:rsid w:val="009B3BC1"/>
    <w:rsid w:val="009B4679"/>
    <w:rsid w:val="009B47D1"/>
    <w:rsid w:val="009B6385"/>
    <w:rsid w:val="009B6920"/>
    <w:rsid w:val="009B6F7B"/>
    <w:rsid w:val="009C1095"/>
    <w:rsid w:val="009C11A8"/>
    <w:rsid w:val="009C3CE6"/>
    <w:rsid w:val="009C40AC"/>
    <w:rsid w:val="009C469F"/>
    <w:rsid w:val="009C532B"/>
    <w:rsid w:val="009C697D"/>
    <w:rsid w:val="009C74CD"/>
    <w:rsid w:val="009D0A30"/>
    <w:rsid w:val="009D0EC4"/>
    <w:rsid w:val="009D223E"/>
    <w:rsid w:val="009D2A8E"/>
    <w:rsid w:val="009D2BD5"/>
    <w:rsid w:val="009D30C1"/>
    <w:rsid w:val="009D5491"/>
    <w:rsid w:val="009D6989"/>
    <w:rsid w:val="009E05F9"/>
    <w:rsid w:val="009E1A99"/>
    <w:rsid w:val="009E1EB7"/>
    <w:rsid w:val="009E2A95"/>
    <w:rsid w:val="009E3337"/>
    <w:rsid w:val="009E3761"/>
    <w:rsid w:val="009E5332"/>
    <w:rsid w:val="009E7C04"/>
    <w:rsid w:val="009F5A0D"/>
    <w:rsid w:val="009F7287"/>
    <w:rsid w:val="00A01981"/>
    <w:rsid w:val="00A0298E"/>
    <w:rsid w:val="00A03036"/>
    <w:rsid w:val="00A0688B"/>
    <w:rsid w:val="00A07625"/>
    <w:rsid w:val="00A104FC"/>
    <w:rsid w:val="00A12479"/>
    <w:rsid w:val="00A1253E"/>
    <w:rsid w:val="00A12A03"/>
    <w:rsid w:val="00A12B7B"/>
    <w:rsid w:val="00A14DC4"/>
    <w:rsid w:val="00A14F3B"/>
    <w:rsid w:val="00A16BDA"/>
    <w:rsid w:val="00A1735A"/>
    <w:rsid w:val="00A20967"/>
    <w:rsid w:val="00A21E27"/>
    <w:rsid w:val="00A22BDC"/>
    <w:rsid w:val="00A24020"/>
    <w:rsid w:val="00A269E9"/>
    <w:rsid w:val="00A26A58"/>
    <w:rsid w:val="00A3095B"/>
    <w:rsid w:val="00A319C8"/>
    <w:rsid w:val="00A31F1B"/>
    <w:rsid w:val="00A333FC"/>
    <w:rsid w:val="00A33D14"/>
    <w:rsid w:val="00A35A50"/>
    <w:rsid w:val="00A37D0A"/>
    <w:rsid w:val="00A40263"/>
    <w:rsid w:val="00A40814"/>
    <w:rsid w:val="00A40D03"/>
    <w:rsid w:val="00A41F67"/>
    <w:rsid w:val="00A42716"/>
    <w:rsid w:val="00A42E53"/>
    <w:rsid w:val="00A43E18"/>
    <w:rsid w:val="00A453EF"/>
    <w:rsid w:val="00A46530"/>
    <w:rsid w:val="00A5012F"/>
    <w:rsid w:val="00A50425"/>
    <w:rsid w:val="00A50479"/>
    <w:rsid w:val="00A506C1"/>
    <w:rsid w:val="00A50B80"/>
    <w:rsid w:val="00A50C6B"/>
    <w:rsid w:val="00A51CC5"/>
    <w:rsid w:val="00A54BCA"/>
    <w:rsid w:val="00A5518C"/>
    <w:rsid w:val="00A57278"/>
    <w:rsid w:val="00A601AC"/>
    <w:rsid w:val="00A61CB9"/>
    <w:rsid w:val="00A61DC4"/>
    <w:rsid w:val="00A6235F"/>
    <w:rsid w:val="00A628CF"/>
    <w:rsid w:val="00A6468A"/>
    <w:rsid w:val="00A648F5"/>
    <w:rsid w:val="00A65B40"/>
    <w:rsid w:val="00A66E1C"/>
    <w:rsid w:val="00A70BE2"/>
    <w:rsid w:val="00A711D2"/>
    <w:rsid w:val="00A73122"/>
    <w:rsid w:val="00A73BFF"/>
    <w:rsid w:val="00A7480F"/>
    <w:rsid w:val="00A74AFD"/>
    <w:rsid w:val="00A752EA"/>
    <w:rsid w:val="00A760A2"/>
    <w:rsid w:val="00A76883"/>
    <w:rsid w:val="00A8126B"/>
    <w:rsid w:val="00A81F07"/>
    <w:rsid w:val="00A83BBE"/>
    <w:rsid w:val="00A83D53"/>
    <w:rsid w:val="00A84B1A"/>
    <w:rsid w:val="00A86B5F"/>
    <w:rsid w:val="00A90425"/>
    <w:rsid w:val="00A921AC"/>
    <w:rsid w:val="00A92D2D"/>
    <w:rsid w:val="00A92F3D"/>
    <w:rsid w:val="00A9364E"/>
    <w:rsid w:val="00A94267"/>
    <w:rsid w:val="00A95B06"/>
    <w:rsid w:val="00A95F3E"/>
    <w:rsid w:val="00A961E9"/>
    <w:rsid w:val="00A97F62"/>
    <w:rsid w:val="00AA17FC"/>
    <w:rsid w:val="00AA591D"/>
    <w:rsid w:val="00AA5FDF"/>
    <w:rsid w:val="00AA63E5"/>
    <w:rsid w:val="00AA690B"/>
    <w:rsid w:val="00AA7673"/>
    <w:rsid w:val="00AA7790"/>
    <w:rsid w:val="00AA7D5F"/>
    <w:rsid w:val="00AB0320"/>
    <w:rsid w:val="00AB1321"/>
    <w:rsid w:val="00AB1650"/>
    <w:rsid w:val="00AB1F10"/>
    <w:rsid w:val="00AB2B1D"/>
    <w:rsid w:val="00AB34FF"/>
    <w:rsid w:val="00AB4A25"/>
    <w:rsid w:val="00AB59D3"/>
    <w:rsid w:val="00AB5A6F"/>
    <w:rsid w:val="00AB5FB7"/>
    <w:rsid w:val="00AB62C4"/>
    <w:rsid w:val="00AB64C6"/>
    <w:rsid w:val="00AC0708"/>
    <w:rsid w:val="00AC1257"/>
    <w:rsid w:val="00AC2DC8"/>
    <w:rsid w:val="00AC3C4D"/>
    <w:rsid w:val="00AC4AE2"/>
    <w:rsid w:val="00AC5A61"/>
    <w:rsid w:val="00AC5BD6"/>
    <w:rsid w:val="00AC5E9B"/>
    <w:rsid w:val="00AC6316"/>
    <w:rsid w:val="00AC7B0C"/>
    <w:rsid w:val="00AC7EB0"/>
    <w:rsid w:val="00AD08D5"/>
    <w:rsid w:val="00AD15C4"/>
    <w:rsid w:val="00AD196B"/>
    <w:rsid w:val="00AD32A7"/>
    <w:rsid w:val="00AD373D"/>
    <w:rsid w:val="00AD4AB8"/>
    <w:rsid w:val="00AD4D28"/>
    <w:rsid w:val="00AD63A8"/>
    <w:rsid w:val="00AE053B"/>
    <w:rsid w:val="00AE0606"/>
    <w:rsid w:val="00AE0D00"/>
    <w:rsid w:val="00AE48DF"/>
    <w:rsid w:val="00AE55BB"/>
    <w:rsid w:val="00AE5FED"/>
    <w:rsid w:val="00AE73C7"/>
    <w:rsid w:val="00AF2A21"/>
    <w:rsid w:val="00AF5F40"/>
    <w:rsid w:val="00AF7BCF"/>
    <w:rsid w:val="00B00BAD"/>
    <w:rsid w:val="00B0250B"/>
    <w:rsid w:val="00B03485"/>
    <w:rsid w:val="00B05700"/>
    <w:rsid w:val="00B06786"/>
    <w:rsid w:val="00B06D82"/>
    <w:rsid w:val="00B11207"/>
    <w:rsid w:val="00B11E2C"/>
    <w:rsid w:val="00B12F75"/>
    <w:rsid w:val="00B14372"/>
    <w:rsid w:val="00B148BE"/>
    <w:rsid w:val="00B14E2D"/>
    <w:rsid w:val="00B16A7B"/>
    <w:rsid w:val="00B16B2D"/>
    <w:rsid w:val="00B16E93"/>
    <w:rsid w:val="00B21460"/>
    <w:rsid w:val="00B22307"/>
    <w:rsid w:val="00B22D0E"/>
    <w:rsid w:val="00B2476D"/>
    <w:rsid w:val="00B2628D"/>
    <w:rsid w:val="00B3220F"/>
    <w:rsid w:val="00B324F0"/>
    <w:rsid w:val="00B33472"/>
    <w:rsid w:val="00B33FC9"/>
    <w:rsid w:val="00B34036"/>
    <w:rsid w:val="00B35F30"/>
    <w:rsid w:val="00B363EB"/>
    <w:rsid w:val="00B36BCC"/>
    <w:rsid w:val="00B37092"/>
    <w:rsid w:val="00B41FF5"/>
    <w:rsid w:val="00B43A36"/>
    <w:rsid w:val="00B447F4"/>
    <w:rsid w:val="00B4587A"/>
    <w:rsid w:val="00B45EBB"/>
    <w:rsid w:val="00B46C8D"/>
    <w:rsid w:val="00B51864"/>
    <w:rsid w:val="00B544C3"/>
    <w:rsid w:val="00B56E52"/>
    <w:rsid w:val="00B606A8"/>
    <w:rsid w:val="00B61B61"/>
    <w:rsid w:val="00B62E0D"/>
    <w:rsid w:val="00B63754"/>
    <w:rsid w:val="00B63BC9"/>
    <w:rsid w:val="00B65379"/>
    <w:rsid w:val="00B6624B"/>
    <w:rsid w:val="00B66B2E"/>
    <w:rsid w:val="00B67859"/>
    <w:rsid w:val="00B71F6D"/>
    <w:rsid w:val="00B720F6"/>
    <w:rsid w:val="00B7351B"/>
    <w:rsid w:val="00B762F4"/>
    <w:rsid w:val="00B76886"/>
    <w:rsid w:val="00B77155"/>
    <w:rsid w:val="00B7752B"/>
    <w:rsid w:val="00B77727"/>
    <w:rsid w:val="00B777FA"/>
    <w:rsid w:val="00B82277"/>
    <w:rsid w:val="00B8270A"/>
    <w:rsid w:val="00B8303C"/>
    <w:rsid w:val="00B8361F"/>
    <w:rsid w:val="00B85AFF"/>
    <w:rsid w:val="00B868A9"/>
    <w:rsid w:val="00B94192"/>
    <w:rsid w:val="00B95D3E"/>
    <w:rsid w:val="00B96838"/>
    <w:rsid w:val="00BA01C3"/>
    <w:rsid w:val="00BA0EE7"/>
    <w:rsid w:val="00BA1ADD"/>
    <w:rsid w:val="00BA1C02"/>
    <w:rsid w:val="00BA28FD"/>
    <w:rsid w:val="00BA38E3"/>
    <w:rsid w:val="00BB456A"/>
    <w:rsid w:val="00BB7491"/>
    <w:rsid w:val="00BC1A97"/>
    <w:rsid w:val="00BC24A0"/>
    <w:rsid w:val="00BC45B7"/>
    <w:rsid w:val="00BC7E43"/>
    <w:rsid w:val="00BD11BF"/>
    <w:rsid w:val="00BD39CB"/>
    <w:rsid w:val="00BD3F3F"/>
    <w:rsid w:val="00BD4340"/>
    <w:rsid w:val="00BD4F7D"/>
    <w:rsid w:val="00BD5001"/>
    <w:rsid w:val="00BD584D"/>
    <w:rsid w:val="00BD5A2F"/>
    <w:rsid w:val="00BD6E7E"/>
    <w:rsid w:val="00BD7082"/>
    <w:rsid w:val="00BD756F"/>
    <w:rsid w:val="00BE0120"/>
    <w:rsid w:val="00BE02CA"/>
    <w:rsid w:val="00BE0DAC"/>
    <w:rsid w:val="00BE268B"/>
    <w:rsid w:val="00BE2C92"/>
    <w:rsid w:val="00BE33AF"/>
    <w:rsid w:val="00BE4026"/>
    <w:rsid w:val="00BE42F4"/>
    <w:rsid w:val="00BE5579"/>
    <w:rsid w:val="00BE6433"/>
    <w:rsid w:val="00BE6EAD"/>
    <w:rsid w:val="00BE77E2"/>
    <w:rsid w:val="00BE7F2C"/>
    <w:rsid w:val="00BF1697"/>
    <w:rsid w:val="00BF53D8"/>
    <w:rsid w:val="00BF54A8"/>
    <w:rsid w:val="00BF773A"/>
    <w:rsid w:val="00BF77B8"/>
    <w:rsid w:val="00C0154A"/>
    <w:rsid w:val="00C0190E"/>
    <w:rsid w:val="00C03067"/>
    <w:rsid w:val="00C058BC"/>
    <w:rsid w:val="00C13683"/>
    <w:rsid w:val="00C13BA3"/>
    <w:rsid w:val="00C13DDF"/>
    <w:rsid w:val="00C13E7D"/>
    <w:rsid w:val="00C150BD"/>
    <w:rsid w:val="00C15B71"/>
    <w:rsid w:val="00C17E3F"/>
    <w:rsid w:val="00C20659"/>
    <w:rsid w:val="00C20CDF"/>
    <w:rsid w:val="00C22B7D"/>
    <w:rsid w:val="00C23021"/>
    <w:rsid w:val="00C23097"/>
    <w:rsid w:val="00C24704"/>
    <w:rsid w:val="00C26DD0"/>
    <w:rsid w:val="00C30475"/>
    <w:rsid w:val="00C3172F"/>
    <w:rsid w:val="00C34E57"/>
    <w:rsid w:val="00C3513F"/>
    <w:rsid w:val="00C40110"/>
    <w:rsid w:val="00C40542"/>
    <w:rsid w:val="00C41CBB"/>
    <w:rsid w:val="00C423E9"/>
    <w:rsid w:val="00C43213"/>
    <w:rsid w:val="00C44E7F"/>
    <w:rsid w:val="00C45B08"/>
    <w:rsid w:val="00C45BB6"/>
    <w:rsid w:val="00C45E14"/>
    <w:rsid w:val="00C463E5"/>
    <w:rsid w:val="00C478C4"/>
    <w:rsid w:val="00C51BF1"/>
    <w:rsid w:val="00C529D6"/>
    <w:rsid w:val="00C52F3B"/>
    <w:rsid w:val="00C5382F"/>
    <w:rsid w:val="00C5438F"/>
    <w:rsid w:val="00C549BA"/>
    <w:rsid w:val="00C54C1B"/>
    <w:rsid w:val="00C57D96"/>
    <w:rsid w:val="00C60370"/>
    <w:rsid w:val="00C6108B"/>
    <w:rsid w:val="00C611FD"/>
    <w:rsid w:val="00C6171E"/>
    <w:rsid w:val="00C62A3A"/>
    <w:rsid w:val="00C65C87"/>
    <w:rsid w:val="00C67B46"/>
    <w:rsid w:val="00C7039D"/>
    <w:rsid w:val="00C706AB"/>
    <w:rsid w:val="00C710A7"/>
    <w:rsid w:val="00C71392"/>
    <w:rsid w:val="00C732F4"/>
    <w:rsid w:val="00C733F5"/>
    <w:rsid w:val="00C734CE"/>
    <w:rsid w:val="00C760BF"/>
    <w:rsid w:val="00C77599"/>
    <w:rsid w:val="00C821DF"/>
    <w:rsid w:val="00C82FC1"/>
    <w:rsid w:val="00C83866"/>
    <w:rsid w:val="00C83CC5"/>
    <w:rsid w:val="00C87265"/>
    <w:rsid w:val="00C908ED"/>
    <w:rsid w:val="00C925EC"/>
    <w:rsid w:val="00C9339D"/>
    <w:rsid w:val="00C93549"/>
    <w:rsid w:val="00C93879"/>
    <w:rsid w:val="00C93B94"/>
    <w:rsid w:val="00C942AB"/>
    <w:rsid w:val="00C94ADE"/>
    <w:rsid w:val="00C94DBE"/>
    <w:rsid w:val="00CA0DA5"/>
    <w:rsid w:val="00CA1A65"/>
    <w:rsid w:val="00CA2765"/>
    <w:rsid w:val="00CA27CC"/>
    <w:rsid w:val="00CA4AB4"/>
    <w:rsid w:val="00CA4FEB"/>
    <w:rsid w:val="00CA55B9"/>
    <w:rsid w:val="00CA7451"/>
    <w:rsid w:val="00CA7C0B"/>
    <w:rsid w:val="00CA7D60"/>
    <w:rsid w:val="00CB18AB"/>
    <w:rsid w:val="00CB3984"/>
    <w:rsid w:val="00CB3FE9"/>
    <w:rsid w:val="00CB43DB"/>
    <w:rsid w:val="00CB5CF7"/>
    <w:rsid w:val="00CB6B34"/>
    <w:rsid w:val="00CB7178"/>
    <w:rsid w:val="00CC1A99"/>
    <w:rsid w:val="00CC1B6B"/>
    <w:rsid w:val="00CC3749"/>
    <w:rsid w:val="00CC3D3A"/>
    <w:rsid w:val="00CC41F7"/>
    <w:rsid w:val="00CC4DE4"/>
    <w:rsid w:val="00CC56ED"/>
    <w:rsid w:val="00CD0FC1"/>
    <w:rsid w:val="00CD1636"/>
    <w:rsid w:val="00CD1C55"/>
    <w:rsid w:val="00CD213C"/>
    <w:rsid w:val="00CD353E"/>
    <w:rsid w:val="00CD48B4"/>
    <w:rsid w:val="00CD4E68"/>
    <w:rsid w:val="00CD5C1D"/>
    <w:rsid w:val="00CD6815"/>
    <w:rsid w:val="00CD6A6F"/>
    <w:rsid w:val="00CE0A44"/>
    <w:rsid w:val="00CE188D"/>
    <w:rsid w:val="00CE2207"/>
    <w:rsid w:val="00CE347A"/>
    <w:rsid w:val="00CE4798"/>
    <w:rsid w:val="00CE48C9"/>
    <w:rsid w:val="00CE5B36"/>
    <w:rsid w:val="00CE6E7E"/>
    <w:rsid w:val="00CF08EA"/>
    <w:rsid w:val="00CF0A25"/>
    <w:rsid w:val="00CF37F3"/>
    <w:rsid w:val="00CF4424"/>
    <w:rsid w:val="00CF44F3"/>
    <w:rsid w:val="00CF5599"/>
    <w:rsid w:val="00CF6762"/>
    <w:rsid w:val="00CF6B6B"/>
    <w:rsid w:val="00D00262"/>
    <w:rsid w:val="00D012DA"/>
    <w:rsid w:val="00D02666"/>
    <w:rsid w:val="00D034EA"/>
    <w:rsid w:val="00D03CC5"/>
    <w:rsid w:val="00D041CA"/>
    <w:rsid w:val="00D04320"/>
    <w:rsid w:val="00D047D4"/>
    <w:rsid w:val="00D0481A"/>
    <w:rsid w:val="00D048EC"/>
    <w:rsid w:val="00D05A24"/>
    <w:rsid w:val="00D05BC9"/>
    <w:rsid w:val="00D06B93"/>
    <w:rsid w:val="00D15234"/>
    <w:rsid w:val="00D15445"/>
    <w:rsid w:val="00D1565F"/>
    <w:rsid w:val="00D16DE0"/>
    <w:rsid w:val="00D20610"/>
    <w:rsid w:val="00D209F9"/>
    <w:rsid w:val="00D20C3E"/>
    <w:rsid w:val="00D216F4"/>
    <w:rsid w:val="00D21923"/>
    <w:rsid w:val="00D21B35"/>
    <w:rsid w:val="00D22F22"/>
    <w:rsid w:val="00D24A2F"/>
    <w:rsid w:val="00D27A8B"/>
    <w:rsid w:val="00D30870"/>
    <w:rsid w:val="00D30A42"/>
    <w:rsid w:val="00D30F95"/>
    <w:rsid w:val="00D33BA3"/>
    <w:rsid w:val="00D344F4"/>
    <w:rsid w:val="00D34E37"/>
    <w:rsid w:val="00D35116"/>
    <w:rsid w:val="00D36710"/>
    <w:rsid w:val="00D373AF"/>
    <w:rsid w:val="00D412CB"/>
    <w:rsid w:val="00D42C9C"/>
    <w:rsid w:val="00D43937"/>
    <w:rsid w:val="00D43B52"/>
    <w:rsid w:val="00D43C49"/>
    <w:rsid w:val="00D45551"/>
    <w:rsid w:val="00D52504"/>
    <w:rsid w:val="00D544E2"/>
    <w:rsid w:val="00D55F42"/>
    <w:rsid w:val="00D5651D"/>
    <w:rsid w:val="00D57487"/>
    <w:rsid w:val="00D60747"/>
    <w:rsid w:val="00D615F2"/>
    <w:rsid w:val="00D61A33"/>
    <w:rsid w:val="00D634DE"/>
    <w:rsid w:val="00D6522D"/>
    <w:rsid w:val="00D705B1"/>
    <w:rsid w:val="00D71978"/>
    <w:rsid w:val="00D73C3A"/>
    <w:rsid w:val="00D73E84"/>
    <w:rsid w:val="00D76618"/>
    <w:rsid w:val="00D77A94"/>
    <w:rsid w:val="00D815B4"/>
    <w:rsid w:val="00D81E01"/>
    <w:rsid w:val="00D8237F"/>
    <w:rsid w:val="00D83EE9"/>
    <w:rsid w:val="00D854FA"/>
    <w:rsid w:val="00D86727"/>
    <w:rsid w:val="00D86CA6"/>
    <w:rsid w:val="00D87ACA"/>
    <w:rsid w:val="00D90A90"/>
    <w:rsid w:val="00D914C2"/>
    <w:rsid w:val="00D919C2"/>
    <w:rsid w:val="00D919F3"/>
    <w:rsid w:val="00D942EC"/>
    <w:rsid w:val="00D95933"/>
    <w:rsid w:val="00D96407"/>
    <w:rsid w:val="00D972AE"/>
    <w:rsid w:val="00DA0948"/>
    <w:rsid w:val="00DA12AF"/>
    <w:rsid w:val="00DA134C"/>
    <w:rsid w:val="00DA1B15"/>
    <w:rsid w:val="00DA2281"/>
    <w:rsid w:val="00DA2CD1"/>
    <w:rsid w:val="00DA2E9C"/>
    <w:rsid w:val="00DA3DD3"/>
    <w:rsid w:val="00DA5CD0"/>
    <w:rsid w:val="00DA5E4F"/>
    <w:rsid w:val="00DA6BB4"/>
    <w:rsid w:val="00DA6F29"/>
    <w:rsid w:val="00DA70B9"/>
    <w:rsid w:val="00DA79F8"/>
    <w:rsid w:val="00DB2301"/>
    <w:rsid w:val="00DB2844"/>
    <w:rsid w:val="00DB2FBF"/>
    <w:rsid w:val="00DB59F7"/>
    <w:rsid w:val="00DB5A1B"/>
    <w:rsid w:val="00DB5EA7"/>
    <w:rsid w:val="00DB7564"/>
    <w:rsid w:val="00DC0111"/>
    <w:rsid w:val="00DC0DAC"/>
    <w:rsid w:val="00DC1BE1"/>
    <w:rsid w:val="00DC1C37"/>
    <w:rsid w:val="00DC314E"/>
    <w:rsid w:val="00DC4760"/>
    <w:rsid w:val="00DC4A8C"/>
    <w:rsid w:val="00DC6D67"/>
    <w:rsid w:val="00DC7E9E"/>
    <w:rsid w:val="00DD0658"/>
    <w:rsid w:val="00DD2048"/>
    <w:rsid w:val="00DD3994"/>
    <w:rsid w:val="00DD3E26"/>
    <w:rsid w:val="00DD518A"/>
    <w:rsid w:val="00DD72F7"/>
    <w:rsid w:val="00DD7407"/>
    <w:rsid w:val="00DE0BB6"/>
    <w:rsid w:val="00DE1603"/>
    <w:rsid w:val="00DE338F"/>
    <w:rsid w:val="00DE3D1B"/>
    <w:rsid w:val="00DE40C6"/>
    <w:rsid w:val="00DE7459"/>
    <w:rsid w:val="00DE75C6"/>
    <w:rsid w:val="00DF1A57"/>
    <w:rsid w:val="00DF1C0F"/>
    <w:rsid w:val="00DF480B"/>
    <w:rsid w:val="00DF5BB4"/>
    <w:rsid w:val="00E00E25"/>
    <w:rsid w:val="00E01F99"/>
    <w:rsid w:val="00E02F2E"/>
    <w:rsid w:val="00E04136"/>
    <w:rsid w:val="00E04484"/>
    <w:rsid w:val="00E078B8"/>
    <w:rsid w:val="00E07C98"/>
    <w:rsid w:val="00E1010B"/>
    <w:rsid w:val="00E10574"/>
    <w:rsid w:val="00E1137E"/>
    <w:rsid w:val="00E11768"/>
    <w:rsid w:val="00E1286D"/>
    <w:rsid w:val="00E13517"/>
    <w:rsid w:val="00E14045"/>
    <w:rsid w:val="00E15E42"/>
    <w:rsid w:val="00E169C1"/>
    <w:rsid w:val="00E17B4C"/>
    <w:rsid w:val="00E2052C"/>
    <w:rsid w:val="00E20E34"/>
    <w:rsid w:val="00E2198F"/>
    <w:rsid w:val="00E236B0"/>
    <w:rsid w:val="00E25A1C"/>
    <w:rsid w:val="00E25FC4"/>
    <w:rsid w:val="00E26FAE"/>
    <w:rsid w:val="00E279F8"/>
    <w:rsid w:val="00E31928"/>
    <w:rsid w:val="00E31D36"/>
    <w:rsid w:val="00E3292F"/>
    <w:rsid w:val="00E32C00"/>
    <w:rsid w:val="00E33367"/>
    <w:rsid w:val="00E33597"/>
    <w:rsid w:val="00E33D68"/>
    <w:rsid w:val="00E33D89"/>
    <w:rsid w:val="00E34AD7"/>
    <w:rsid w:val="00E35131"/>
    <w:rsid w:val="00E36711"/>
    <w:rsid w:val="00E43AD4"/>
    <w:rsid w:val="00E43B94"/>
    <w:rsid w:val="00E4492C"/>
    <w:rsid w:val="00E469D9"/>
    <w:rsid w:val="00E46FF8"/>
    <w:rsid w:val="00E47488"/>
    <w:rsid w:val="00E474EE"/>
    <w:rsid w:val="00E5352B"/>
    <w:rsid w:val="00E53877"/>
    <w:rsid w:val="00E54047"/>
    <w:rsid w:val="00E54C8B"/>
    <w:rsid w:val="00E57710"/>
    <w:rsid w:val="00E60307"/>
    <w:rsid w:val="00E62D2A"/>
    <w:rsid w:val="00E630F4"/>
    <w:rsid w:val="00E63462"/>
    <w:rsid w:val="00E64156"/>
    <w:rsid w:val="00E6592E"/>
    <w:rsid w:val="00E65D4E"/>
    <w:rsid w:val="00E65EB6"/>
    <w:rsid w:val="00E65F9C"/>
    <w:rsid w:val="00E67FB6"/>
    <w:rsid w:val="00E70555"/>
    <w:rsid w:val="00E71372"/>
    <w:rsid w:val="00E73E0D"/>
    <w:rsid w:val="00E7450D"/>
    <w:rsid w:val="00E7474A"/>
    <w:rsid w:val="00E74984"/>
    <w:rsid w:val="00E75563"/>
    <w:rsid w:val="00E7681D"/>
    <w:rsid w:val="00E770E1"/>
    <w:rsid w:val="00E80078"/>
    <w:rsid w:val="00E80093"/>
    <w:rsid w:val="00E8269C"/>
    <w:rsid w:val="00E82D9D"/>
    <w:rsid w:val="00E83500"/>
    <w:rsid w:val="00E84635"/>
    <w:rsid w:val="00E84949"/>
    <w:rsid w:val="00E852E3"/>
    <w:rsid w:val="00E855C5"/>
    <w:rsid w:val="00E8719C"/>
    <w:rsid w:val="00E90680"/>
    <w:rsid w:val="00E91F21"/>
    <w:rsid w:val="00E926A1"/>
    <w:rsid w:val="00E93B98"/>
    <w:rsid w:val="00E951AC"/>
    <w:rsid w:val="00EA072A"/>
    <w:rsid w:val="00EA176F"/>
    <w:rsid w:val="00EA2B36"/>
    <w:rsid w:val="00EA40A9"/>
    <w:rsid w:val="00EA6A82"/>
    <w:rsid w:val="00EA79E5"/>
    <w:rsid w:val="00EB225A"/>
    <w:rsid w:val="00EB24D5"/>
    <w:rsid w:val="00EB2D2B"/>
    <w:rsid w:val="00EB37F7"/>
    <w:rsid w:val="00EB3B62"/>
    <w:rsid w:val="00EB6949"/>
    <w:rsid w:val="00EC036F"/>
    <w:rsid w:val="00EC19B7"/>
    <w:rsid w:val="00EC229F"/>
    <w:rsid w:val="00EC2390"/>
    <w:rsid w:val="00EC2636"/>
    <w:rsid w:val="00EC2BE1"/>
    <w:rsid w:val="00EC2E26"/>
    <w:rsid w:val="00EC45EF"/>
    <w:rsid w:val="00EC61F0"/>
    <w:rsid w:val="00EC675C"/>
    <w:rsid w:val="00EC6B54"/>
    <w:rsid w:val="00ED00F8"/>
    <w:rsid w:val="00ED06D2"/>
    <w:rsid w:val="00ED0827"/>
    <w:rsid w:val="00ED1FCF"/>
    <w:rsid w:val="00ED300D"/>
    <w:rsid w:val="00ED3B68"/>
    <w:rsid w:val="00ED4BED"/>
    <w:rsid w:val="00ED5490"/>
    <w:rsid w:val="00ED58FC"/>
    <w:rsid w:val="00ED5EEB"/>
    <w:rsid w:val="00ED7AD3"/>
    <w:rsid w:val="00EE083A"/>
    <w:rsid w:val="00EE18B5"/>
    <w:rsid w:val="00EE2E27"/>
    <w:rsid w:val="00EE31B1"/>
    <w:rsid w:val="00EE324B"/>
    <w:rsid w:val="00EE5B62"/>
    <w:rsid w:val="00EE64E3"/>
    <w:rsid w:val="00EE65BC"/>
    <w:rsid w:val="00EE7754"/>
    <w:rsid w:val="00EF25FD"/>
    <w:rsid w:val="00EF332B"/>
    <w:rsid w:val="00EF6B7C"/>
    <w:rsid w:val="00EF76C3"/>
    <w:rsid w:val="00F0096D"/>
    <w:rsid w:val="00F02189"/>
    <w:rsid w:val="00F0325A"/>
    <w:rsid w:val="00F03A26"/>
    <w:rsid w:val="00F066DD"/>
    <w:rsid w:val="00F06C9B"/>
    <w:rsid w:val="00F0713A"/>
    <w:rsid w:val="00F11F51"/>
    <w:rsid w:val="00F12E5F"/>
    <w:rsid w:val="00F15B0A"/>
    <w:rsid w:val="00F15FC7"/>
    <w:rsid w:val="00F16C6F"/>
    <w:rsid w:val="00F173D5"/>
    <w:rsid w:val="00F17857"/>
    <w:rsid w:val="00F2163F"/>
    <w:rsid w:val="00F2231D"/>
    <w:rsid w:val="00F2342B"/>
    <w:rsid w:val="00F23656"/>
    <w:rsid w:val="00F2367D"/>
    <w:rsid w:val="00F246C6"/>
    <w:rsid w:val="00F24F1E"/>
    <w:rsid w:val="00F301EA"/>
    <w:rsid w:val="00F30BC1"/>
    <w:rsid w:val="00F33C07"/>
    <w:rsid w:val="00F34274"/>
    <w:rsid w:val="00F3484F"/>
    <w:rsid w:val="00F375F7"/>
    <w:rsid w:val="00F377F4"/>
    <w:rsid w:val="00F40E07"/>
    <w:rsid w:val="00F41BA2"/>
    <w:rsid w:val="00F41E39"/>
    <w:rsid w:val="00F4273D"/>
    <w:rsid w:val="00F42E5E"/>
    <w:rsid w:val="00F443C5"/>
    <w:rsid w:val="00F45273"/>
    <w:rsid w:val="00F457F4"/>
    <w:rsid w:val="00F4772B"/>
    <w:rsid w:val="00F47BCF"/>
    <w:rsid w:val="00F47D46"/>
    <w:rsid w:val="00F5068F"/>
    <w:rsid w:val="00F509A8"/>
    <w:rsid w:val="00F51AA7"/>
    <w:rsid w:val="00F51C84"/>
    <w:rsid w:val="00F56270"/>
    <w:rsid w:val="00F6022E"/>
    <w:rsid w:val="00F6116C"/>
    <w:rsid w:val="00F61E53"/>
    <w:rsid w:val="00F63850"/>
    <w:rsid w:val="00F643D9"/>
    <w:rsid w:val="00F66528"/>
    <w:rsid w:val="00F66B42"/>
    <w:rsid w:val="00F678ED"/>
    <w:rsid w:val="00F67CB7"/>
    <w:rsid w:val="00F70D18"/>
    <w:rsid w:val="00F713F5"/>
    <w:rsid w:val="00F71E0B"/>
    <w:rsid w:val="00F733B8"/>
    <w:rsid w:val="00F73CC9"/>
    <w:rsid w:val="00F7680F"/>
    <w:rsid w:val="00F76FA7"/>
    <w:rsid w:val="00F80DE0"/>
    <w:rsid w:val="00F8267B"/>
    <w:rsid w:val="00F82B09"/>
    <w:rsid w:val="00F82B3D"/>
    <w:rsid w:val="00F83D8B"/>
    <w:rsid w:val="00F84752"/>
    <w:rsid w:val="00F84F5A"/>
    <w:rsid w:val="00F85065"/>
    <w:rsid w:val="00F86193"/>
    <w:rsid w:val="00F863AE"/>
    <w:rsid w:val="00F9011F"/>
    <w:rsid w:val="00F906CF"/>
    <w:rsid w:val="00F90C20"/>
    <w:rsid w:val="00F92475"/>
    <w:rsid w:val="00F931D4"/>
    <w:rsid w:val="00F936EA"/>
    <w:rsid w:val="00F93E78"/>
    <w:rsid w:val="00F941A8"/>
    <w:rsid w:val="00F95E8C"/>
    <w:rsid w:val="00F96FE6"/>
    <w:rsid w:val="00F972DD"/>
    <w:rsid w:val="00FA0331"/>
    <w:rsid w:val="00FA04E3"/>
    <w:rsid w:val="00FA4D10"/>
    <w:rsid w:val="00FA58CA"/>
    <w:rsid w:val="00FA5BB9"/>
    <w:rsid w:val="00FA7DC4"/>
    <w:rsid w:val="00FA7E95"/>
    <w:rsid w:val="00FB017B"/>
    <w:rsid w:val="00FB074A"/>
    <w:rsid w:val="00FB0964"/>
    <w:rsid w:val="00FB0A87"/>
    <w:rsid w:val="00FB0CE9"/>
    <w:rsid w:val="00FB2E41"/>
    <w:rsid w:val="00FB5E31"/>
    <w:rsid w:val="00FB6645"/>
    <w:rsid w:val="00FB682F"/>
    <w:rsid w:val="00FB6DA4"/>
    <w:rsid w:val="00FB73FC"/>
    <w:rsid w:val="00FB7C96"/>
    <w:rsid w:val="00FC1633"/>
    <w:rsid w:val="00FC1A2C"/>
    <w:rsid w:val="00FC368E"/>
    <w:rsid w:val="00FC5A9B"/>
    <w:rsid w:val="00FC7B6E"/>
    <w:rsid w:val="00FD0C6F"/>
    <w:rsid w:val="00FD10A6"/>
    <w:rsid w:val="00FD14C4"/>
    <w:rsid w:val="00FD186A"/>
    <w:rsid w:val="00FD1B3A"/>
    <w:rsid w:val="00FD29AE"/>
    <w:rsid w:val="00FD2D82"/>
    <w:rsid w:val="00FD364A"/>
    <w:rsid w:val="00FD55BA"/>
    <w:rsid w:val="00FD659A"/>
    <w:rsid w:val="00FD6875"/>
    <w:rsid w:val="00FD6C4D"/>
    <w:rsid w:val="00FD7BD8"/>
    <w:rsid w:val="00FE1574"/>
    <w:rsid w:val="00FE164A"/>
    <w:rsid w:val="00FE1D5D"/>
    <w:rsid w:val="00FE3787"/>
    <w:rsid w:val="00FE3F1B"/>
    <w:rsid w:val="00FE4521"/>
    <w:rsid w:val="00FE52F1"/>
    <w:rsid w:val="00FE5384"/>
    <w:rsid w:val="00FF07EE"/>
    <w:rsid w:val="00FF0FF6"/>
    <w:rsid w:val="00FF2512"/>
    <w:rsid w:val="00FF25F6"/>
    <w:rsid w:val="00FF3C43"/>
    <w:rsid w:val="00FF4DC6"/>
    <w:rsid w:val="00FF55CD"/>
    <w:rsid w:val="00FF72CC"/>
    <w:rsid w:val="00FF73C4"/>
    <w:rsid w:val="00FF7FE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5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4" w:unhideWhenUsed="0" w:qFormat="1"/>
    <w:lsdException w:name="heading 2" w:uiPriority="7" w:qFormat="1"/>
    <w:lsdException w:name="heading 3" w:uiPriority="1" w:qFormat="1"/>
    <w:lsdException w:name="heading 4" w:uiPriority="9" w:qFormat="1"/>
    <w:lsdException w:name="heading 5" w:semiHidden="0" w:uiPriority="9" w:unhideWhenUsed="0" w:qFormat="1"/>
    <w:lsdException w:name="heading 6" w:semiHidden="0" w:uiPriority="3" w:unhideWhenUsed="0" w:qFormat="1"/>
    <w:lsdException w:name="heading 7" w:semiHidden="0" w:uiPriority="19" w:unhideWhenUsed="0" w:qFormat="1"/>
    <w:lsdException w:name="heading 8" w:semiHidden="0" w:uiPriority="9" w:unhideWhenUsed="0"/>
    <w:lsdException w:name="heading 9" w:semiHidden="0" w:uiPriority="2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qFormat="1"/>
    <w:lsdException w:name="caption" w:uiPriority="35"/>
    <w:lsdException w:name="footnote reference"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8"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F4DC6"/>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FC1A2C"/>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1"/>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FC1A2C"/>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49"/>
      </w:numPr>
      <w:spacing w:before="120" w:after="120" w:line="260" w:lineRule="atLeast"/>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15"/>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uiPriority w:val="15"/>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uiPriority w:val="15"/>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ft Char1 Char Char Char Ch"/>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E,o"/>
    <w:basedOn w:val="DefaultParagraphFont"/>
    <w:link w:val="ftrefCharChar"/>
    <w:uiPriority w:val="99"/>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qFormat/>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qFormat/>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qFormat/>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qFormat/>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rsid w:val="00F47BCF"/>
    <w:pPr>
      <w:outlineLvl w:val="2"/>
    </w:pPr>
  </w:style>
  <w:style w:type="character" w:styleId="CommentReference">
    <w:name w:val="annotation reference"/>
    <w:basedOn w:val="DefaultParagraphFont"/>
    <w:uiPriority w:val="99"/>
    <w:semiHidden/>
    <w:unhideWhenUsed/>
    <w:rsid w:val="00DA2E9C"/>
    <w:rPr>
      <w:sz w:val="16"/>
      <w:szCs w:val="16"/>
    </w:rPr>
  </w:style>
  <w:style w:type="paragraph" w:styleId="CommentText">
    <w:name w:val="annotation text"/>
    <w:basedOn w:val="Normal"/>
    <w:link w:val="CommentTextChar"/>
    <w:uiPriority w:val="99"/>
    <w:semiHidden/>
    <w:unhideWhenUsed/>
    <w:rsid w:val="00DA2E9C"/>
    <w:pPr>
      <w:widowControl/>
      <w:spacing w:after="160"/>
      <w:jc w:val="left"/>
    </w:pPr>
    <w:rPr>
      <w:sz w:val="20"/>
      <w:szCs w:val="20"/>
    </w:rPr>
  </w:style>
  <w:style w:type="character" w:customStyle="1" w:styleId="CommentTextChar">
    <w:name w:val="Comment Text Char"/>
    <w:basedOn w:val="DefaultParagraphFont"/>
    <w:link w:val="CommentText"/>
    <w:uiPriority w:val="99"/>
    <w:semiHidden/>
    <w:rsid w:val="00DA2E9C"/>
    <w:rPr>
      <w:sz w:val="20"/>
      <w:szCs w:val="20"/>
    </w:rPr>
  </w:style>
  <w:style w:type="paragraph" w:styleId="BalloonText">
    <w:name w:val="Balloon Text"/>
    <w:basedOn w:val="Normal"/>
    <w:link w:val="BalloonTextChar"/>
    <w:uiPriority w:val="99"/>
    <w:semiHidden/>
    <w:unhideWhenUsed/>
    <w:rsid w:val="00DA2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E9C"/>
    <w:rPr>
      <w:rFonts w:ascii="Segoe UI" w:hAnsi="Segoe UI" w:cs="Segoe UI"/>
      <w:sz w:val="18"/>
      <w:szCs w:val="18"/>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l"/>
    <w:link w:val="FootnoteReference"/>
    <w:uiPriority w:val="99"/>
    <w:rsid w:val="00FF3C43"/>
    <w:pPr>
      <w:widowControl/>
      <w:spacing w:after="160" w:line="240" w:lineRule="exact"/>
    </w:pPr>
    <w:rPr>
      <w:vertAlign w:val="superscript"/>
    </w:rPr>
  </w:style>
  <w:style w:type="character" w:customStyle="1" w:styleId="ParaChar0">
    <w:name w:val="Para # Char"/>
    <w:basedOn w:val="DefaultParagraphFont"/>
    <w:link w:val="Para"/>
    <w:uiPriority w:val="4"/>
    <w:rsid w:val="002C3CE9"/>
    <w:rPr>
      <w:sz w:val="20"/>
    </w:rPr>
  </w:style>
  <w:style w:type="paragraph" w:customStyle="1" w:styleId="Commentary">
    <w:name w:val="Commentary"/>
    <w:basedOn w:val="Para0"/>
    <w:link w:val="CommentaryChar"/>
    <w:qFormat/>
    <w:rsid w:val="005330C7"/>
    <w:rPr>
      <w:b/>
      <w:i/>
    </w:rPr>
  </w:style>
  <w:style w:type="character" w:customStyle="1" w:styleId="CommentaryChar">
    <w:name w:val="Commentary Char"/>
    <w:basedOn w:val="ParaChar0"/>
    <w:link w:val="Commentary"/>
    <w:rsid w:val="005330C7"/>
    <w:rPr>
      <w:b/>
      <w:i/>
      <w:color w:val="000000" w:themeColor="text1"/>
      <w:sz w:val="20"/>
    </w:rPr>
  </w:style>
  <w:style w:type="numbering" w:customStyle="1" w:styleId="NoList1">
    <w:name w:val="No List1"/>
    <w:next w:val="NoList"/>
    <w:uiPriority w:val="99"/>
    <w:semiHidden/>
    <w:unhideWhenUsed/>
    <w:rsid w:val="0047749A"/>
  </w:style>
  <w:style w:type="table" w:customStyle="1" w:styleId="TableGrid1">
    <w:name w:val="Table Grid1"/>
    <w:basedOn w:val="TableNormal"/>
    <w:next w:val="TableGrid"/>
    <w:uiPriority w:val="59"/>
    <w:rsid w:val="0047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Old1">
    <w:name w:val="OECD Old1"/>
    <w:basedOn w:val="LightShading-Accent1"/>
    <w:uiPriority w:val="99"/>
    <w:rsid w:val="0047749A"/>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customStyle="1" w:styleId="LightShading-Accent11">
    <w:name w:val="Light Shading - Accent 11"/>
    <w:basedOn w:val="TableNormal"/>
    <w:next w:val="LightShading-Accent1"/>
    <w:uiPriority w:val="60"/>
    <w:semiHidden/>
    <w:unhideWhenUsed/>
    <w:rsid w:val="0047749A"/>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
    <w:name w:val="OECD1"/>
    <w:basedOn w:val="TableSimple1"/>
    <w:uiPriority w:val="99"/>
    <w:rsid w:val="0047749A"/>
    <w:pPr>
      <w:spacing w:before="10" w:after="20" w:line="200" w:lineRule="exact"/>
    </w:pPr>
    <w:rPr>
      <w:rFonts w:ascii="Arial Narrow" w:hAnsi="Arial Narrow"/>
      <w:sz w:val="17"/>
      <w:szCs w:val="20"/>
      <w:lang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customStyle="1" w:styleId="TableSimple11">
    <w:name w:val="Table Simple 11"/>
    <w:basedOn w:val="TableNormal"/>
    <w:next w:val="TableSimple1"/>
    <w:uiPriority w:val="99"/>
    <w:semiHidden/>
    <w:unhideWhenUsed/>
    <w:rsid w:val="0047749A"/>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8">
    <w:name w:val="toc 8"/>
    <w:basedOn w:val="Normal"/>
    <w:next w:val="Normal"/>
    <w:autoRedefine/>
    <w:uiPriority w:val="39"/>
    <w:semiHidden/>
    <w:unhideWhenUsed/>
    <w:rsid w:val="0047749A"/>
    <w:pPr>
      <w:spacing w:after="100"/>
      <w:ind w:left="1540"/>
    </w:pPr>
  </w:style>
  <w:style w:type="paragraph" w:styleId="CommentSubject">
    <w:name w:val="annotation subject"/>
    <w:basedOn w:val="CommentText"/>
    <w:next w:val="CommentText"/>
    <w:link w:val="CommentSubjectChar"/>
    <w:uiPriority w:val="99"/>
    <w:semiHidden/>
    <w:unhideWhenUsed/>
    <w:rsid w:val="0047749A"/>
    <w:pPr>
      <w:widowControl w:val="0"/>
      <w:spacing w:after="0"/>
      <w:jc w:val="both"/>
    </w:pPr>
    <w:rPr>
      <w:b/>
      <w:bCs/>
    </w:rPr>
  </w:style>
  <w:style w:type="character" w:customStyle="1" w:styleId="CommentSubjectChar">
    <w:name w:val="Comment Subject Char"/>
    <w:basedOn w:val="CommentTextChar"/>
    <w:link w:val="CommentSubject"/>
    <w:uiPriority w:val="99"/>
    <w:semiHidden/>
    <w:rsid w:val="0047749A"/>
    <w:rPr>
      <w:b/>
      <w:bCs/>
      <w:sz w:val="20"/>
      <w:szCs w:val="20"/>
    </w:rPr>
  </w:style>
  <w:style w:type="paragraph" w:customStyle="1" w:styleId="CommentaryHeading">
    <w:name w:val="Commentary Heading"/>
    <w:basedOn w:val="Normal"/>
    <w:next w:val="Normal"/>
    <w:qFormat/>
    <w:rsid w:val="00AE053B"/>
    <w:pPr>
      <w:keepNext/>
      <w:widowControl/>
      <w:spacing w:after="240"/>
      <w:ind w:left="851"/>
    </w:pPr>
    <w:rPr>
      <w:rFonts w:ascii="Times New Roman" w:eastAsia="Times New Roman" w:hAnsi="Times New Roman" w:cs="Times New Roman"/>
      <w:b/>
      <w:i/>
      <w:lang w:eastAsia="zh-CN"/>
    </w:rPr>
  </w:style>
  <w:style w:type="table" w:customStyle="1" w:styleId="TableGrid2">
    <w:name w:val="Table Grid2"/>
    <w:basedOn w:val="TableNormal"/>
    <w:next w:val="TableGrid"/>
    <w:uiPriority w:val="59"/>
    <w:rsid w:val="00EC2390"/>
    <w:pPr>
      <w:spacing w:after="0" w:line="240" w:lineRule="auto"/>
    </w:pPr>
    <w:rPr>
      <w:rFonts w:ascii="Georgia" w:eastAsia="Calibri" w:hAnsi="Georg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D1C"/>
    <w:rPr>
      <w:color w:val="800080" w:themeColor="followedHyperlink"/>
      <w:u w:val="single"/>
    </w:rPr>
  </w:style>
  <w:style w:type="character" w:customStyle="1" w:styleId="o1">
    <w:name w:val="o1"/>
    <w:basedOn w:val="DefaultParagraphFont"/>
    <w:uiPriority w:val="99"/>
    <w:unhideWhenUsed/>
    <w:qFormat/>
    <w:rsid w:val="00C821DF"/>
    <w:rPr>
      <w:rFonts w:ascii="Arial" w:hAnsi="Arial"/>
      <w:sz w:val="22"/>
      <w:vertAlign w:val="superscript"/>
    </w:rPr>
  </w:style>
  <w:style w:type="character" w:customStyle="1" w:styleId="Hyperlink1">
    <w:name w:val="Hyperlink1"/>
    <w:basedOn w:val="DefaultParagraphFont"/>
    <w:uiPriority w:val="99"/>
    <w:unhideWhenUsed/>
    <w:rsid w:val="00C821DF"/>
    <w:rPr>
      <w:color w:val="0000FF"/>
      <w:u w:val="single"/>
    </w:rPr>
  </w:style>
  <w:style w:type="character" w:customStyle="1" w:styleId="UnresolvedMention">
    <w:name w:val="Unresolved Mention"/>
    <w:basedOn w:val="DefaultParagraphFont"/>
    <w:uiPriority w:val="99"/>
    <w:semiHidden/>
    <w:unhideWhenUsed/>
    <w:rsid w:val="00795CA1"/>
    <w:rPr>
      <w:color w:val="605E5C"/>
      <w:shd w:val="clear" w:color="auto" w:fill="E1DFDD"/>
    </w:rPr>
  </w:style>
  <w:style w:type="character" w:styleId="Emphasis">
    <w:name w:val="Emphasis"/>
    <w:basedOn w:val="DefaultParagraphFont"/>
    <w:uiPriority w:val="20"/>
    <w:qFormat/>
    <w:rsid w:val="005D6747"/>
    <w:rPr>
      <w:i/>
      <w:iCs/>
    </w:rPr>
  </w:style>
  <w:style w:type="character" w:customStyle="1" w:styleId="viiyi">
    <w:name w:val="viiyi"/>
    <w:basedOn w:val="DefaultParagraphFont"/>
    <w:rsid w:val="00AD4AB8"/>
  </w:style>
  <w:style w:type="character" w:customStyle="1" w:styleId="jlqj4b">
    <w:name w:val="jlqj4b"/>
    <w:basedOn w:val="DefaultParagraphFont"/>
    <w:rsid w:val="00AD4AB8"/>
  </w:style>
  <w:style w:type="character" w:customStyle="1" w:styleId="Footnote">
    <w:name w:val="Footnote_"/>
    <w:basedOn w:val="DefaultParagraphFont"/>
    <w:link w:val="Footnote0"/>
    <w:rsid w:val="00A73122"/>
    <w:rPr>
      <w:rFonts w:ascii="Arial" w:eastAsia="Arial" w:hAnsi="Arial" w:cs="Arial"/>
      <w:sz w:val="19"/>
      <w:szCs w:val="19"/>
      <w:shd w:val="clear" w:color="auto" w:fill="FFFFFF"/>
    </w:rPr>
  </w:style>
  <w:style w:type="character" w:customStyle="1" w:styleId="Bodytext2">
    <w:name w:val="Body text (2)_"/>
    <w:basedOn w:val="DefaultParagraphFont"/>
    <w:link w:val="Bodytext20"/>
    <w:rsid w:val="00A73122"/>
    <w:rPr>
      <w:rFonts w:ascii="Arial" w:eastAsia="Arial" w:hAnsi="Arial" w:cs="Arial"/>
      <w:sz w:val="19"/>
      <w:szCs w:val="19"/>
      <w:shd w:val="clear" w:color="auto" w:fill="FFFFFF"/>
    </w:rPr>
  </w:style>
  <w:style w:type="paragraph" w:customStyle="1" w:styleId="Footnote0">
    <w:name w:val="Footnote"/>
    <w:basedOn w:val="Normal"/>
    <w:link w:val="Footnote"/>
    <w:rsid w:val="00A73122"/>
    <w:pPr>
      <w:shd w:val="clear" w:color="auto" w:fill="FFFFFF"/>
      <w:spacing w:line="240" w:lineRule="exact"/>
    </w:pPr>
    <w:rPr>
      <w:rFonts w:ascii="Arial" w:eastAsia="Arial" w:hAnsi="Arial" w:cs="Arial"/>
      <w:sz w:val="19"/>
      <w:szCs w:val="19"/>
    </w:rPr>
  </w:style>
  <w:style w:type="paragraph" w:customStyle="1" w:styleId="Bodytext20">
    <w:name w:val="Body text (2)"/>
    <w:basedOn w:val="Normal"/>
    <w:link w:val="Bodytext2"/>
    <w:rsid w:val="00A73122"/>
    <w:pPr>
      <w:shd w:val="clear" w:color="auto" w:fill="FFFFFF"/>
      <w:spacing w:before="960" w:after="60" w:line="259" w:lineRule="exact"/>
    </w:pPr>
    <w:rPr>
      <w:rFonts w:ascii="Arial" w:eastAsia="Arial" w:hAnsi="Arial" w:cs="Arial"/>
      <w:sz w:val="19"/>
      <w:szCs w:val="19"/>
    </w:rPr>
  </w:style>
  <w:style w:type="character" w:customStyle="1" w:styleId="Heading30">
    <w:name w:val="Heading #3_"/>
    <w:basedOn w:val="DefaultParagraphFont"/>
    <w:rsid w:val="00BE6433"/>
    <w:rPr>
      <w:rFonts w:ascii="Arial" w:eastAsia="Arial" w:hAnsi="Arial" w:cs="Arial"/>
      <w:b/>
      <w:bCs/>
      <w:i w:val="0"/>
      <w:iCs w:val="0"/>
      <w:smallCaps w:val="0"/>
      <w:strike w:val="0"/>
      <w:u w:val="none"/>
    </w:rPr>
  </w:style>
  <w:style w:type="character" w:customStyle="1" w:styleId="Heading31">
    <w:name w:val="Heading #3"/>
    <w:basedOn w:val="Heading30"/>
    <w:rsid w:val="00BE6433"/>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3">
    <w:name w:val="Body text (3)_"/>
    <w:basedOn w:val="DefaultParagraphFont"/>
    <w:rsid w:val="00572912"/>
    <w:rPr>
      <w:rFonts w:ascii="Arial" w:eastAsia="Arial" w:hAnsi="Arial" w:cs="Arial"/>
      <w:b w:val="0"/>
      <w:bCs w:val="0"/>
      <w:i w:val="0"/>
      <w:iCs w:val="0"/>
      <w:smallCaps w:val="0"/>
      <w:strike w:val="0"/>
      <w:sz w:val="66"/>
      <w:szCs w:val="66"/>
      <w:u w:val="none"/>
    </w:rPr>
  </w:style>
  <w:style w:type="character" w:customStyle="1" w:styleId="Bodytext30">
    <w:name w:val="Body text (3)"/>
    <w:basedOn w:val="Bodytext3"/>
    <w:rsid w:val="00572912"/>
    <w:rPr>
      <w:rFonts w:ascii="Arial" w:eastAsia="Arial" w:hAnsi="Arial" w:cs="Arial"/>
      <w:b w:val="0"/>
      <w:bCs w:val="0"/>
      <w:i w:val="0"/>
      <w:iCs w:val="0"/>
      <w:smallCaps w:val="0"/>
      <w:strike w:val="0"/>
      <w:color w:val="000000"/>
      <w:spacing w:val="0"/>
      <w:w w:val="100"/>
      <w:position w:val="0"/>
      <w:sz w:val="66"/>
      <w:szCs w:val="66"/>
      <w:u w:val="none"/>
      <w:lang w:val="en-US" w:eastAsia="en-US" w:bidi="en-US"/>
    </w:rPr>
  </w:style>
  <w:style w:type="character" w:customStyle="1" w:styleId="Bodytext4">
    <w:name w:val="Body text (4)_"/>
    <w:basedOn w:val="DefaultParagraphFont"/>
    <w:rsid w:val="00572912"/>
    <w:rPr>
      <w:rFonts w:ascii="Arial" w:eastAsia="Arial" w:hAnsi="Arial" w:cs="Arial"/>
      <w:b/>
      <w:bCs/>
      <w:i w:val="0"/>
      <w:iCs w:val="0"/>
      <w:smallCaps w:val="0"/>
      <w:strike w:val="0"/>
      <w:sz w:val="50"/>
      <w:szCs w:val="50"/>
      <w:u w:val="none"/>
    </w:rPr>
  </w:style>
  <w:style w:type="character" w:customStyle="1" w:styleId="Bodytext40">
    <w:name w:val="Body text (4)"/>
    <w:basedOn w:val="Bodytext4"/>
    <w:rsid w:val="00572912"/>
    <w:rPr>
      <w:rFonts w:ascii="Arial" w:eastAsia="Arial" w:hAnsi="Arial" w:cs="Arial"/>
      <w:b/>
      <w:bCs/>
      <w:i w:val="0"/>
      <w:iCs w:val="0"/>
      <w:smallCaps w:val="0"/>
      <w:strike w:val="0"/>
      <w:color w:val="000000"/>
      <w:spacing w:val="0"/>
      <w:w w:val="100"/>
      <w:position w:val="0"/>
      <w:sz w:val="50"/>
      <w:szCs w:val="50"/>
      <w:u w:val="none"/>
      <w:lang w:val="en-US" w:eastAsia="en-US" w:bidi="en-US"/>
    </w:rPr>
  </w:style>
  <w:style w:type="character" w:customStyle="1" w:styleId="Bodytext5">
    <w:name w:val="Body text (5)_"/>
    <w:basedOn w:val="DefaultParagraphFont"/>
    <w:link w:val="Bodytext50"/>
    <w:rsid w:val="00572912"/>
    <w:rPr>
      <w:rFonts w:ascii="Arial" w:eastAsia="Arial" w:hAnsi="Arial" w:cs="Arial"/>
      <w:w w:val="80"/>
      <w:sz w:val="32"/>
      <w:szCs w:val="32"/>
      <w:shd w:val="clear" w:color="auto" w:fill="FFFFFF"/>
    </w:rPr>
  </w:style>
  <w:style w:type="paragraph" w:customStyle="1" w:styleId="Bodytext50">
    <w:name w:val="Body text (5)"/>
    <w:basedOn w:val="Normal"/>
    <w:link w:val="Bodytext5"/>
    <w:rsid w:val="00572912"/>
    <w:pPr>
      <w:shd w:val="clear" w:color="auto" w:fill="FFFFFF"/>
      <w:spacing w:after="1680" w:line="0" w:lineRule="atLeast"/>
      <w:jc w:val="left"/>
    </w:pPr>
    <w:rPr>
      <w:rFonts w:ascii="Arial" w:eastAsia="Arial" w:hAnsi="Arial" w:cs="Arial"/>
      <w:w w:val="8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4" w:unhideWhenUsed="0" w:qFormat="1"/>
    <w:lsdException w:name="heading 2" w:uiPriority="7" w:qFormat="1"/>
    <w:lsdException w:name="heading 3" w:uiPriority="1" w:qFormat="1"/>
    <w:lsdException w:name="heading 4" w:uiPriority="9" w:qFormat="1"/>
    <w:lsdException w:name="heading 5" w:semiHidden="0" w:uiPriority="9" w:unhideWhenUsed="0" w:qFormat="1"/>
    <w:lsdException w:name="heading 6" w:semiHidden="0" w:uiPriority="3" w:unhideWhenUsed="0" w:qFormat="1"/>
    <w:lsdException w:name="heading 7" w:semiHidden="0" w:uiPriority="19" w:unhideWhenUsed="0" w:qFormat="1"/>
    <w:lsdException w:name="heading 8" w:semiHidden="0" w:uiPriority="9" w:unhideWhenUsed="0"/>
    <w:lsdException w:name="heading 9" w:semiHidden="0" w:uiPriority="2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qFormat="1"/>
    <w:lsdException w:name="caption" w:uiPriority="35"/>
    <w:lsdException w:name="footnote reference"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18"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FF4DC6"/>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7"/>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7"/>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1"/>
    <w:qFormat/>
    <w:rsid w:val="000E5F57"/>
    <w:pPr>
      <w:keepNext/>
      <w:keepLines/>
      <w:numPr>
        <w:ilvl w:val="2"/>
        <w:numId w:val="7"/>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FC1A2C"/>
    <w:pPr>
      <w:keepNext/>
      <w:keepLines/>
      <w:numPr>
        <w:ilvl w:val="3"/>
        <w:numId w:val="7"/>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7"/>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7"/>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7"/>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7"/>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1"/>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FC1A2C"/>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49"/>
      </w:numPr>
      <w:spacing w:before="120" w:after="120" w:line="260" w:lineRule="atLeast"/>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15"/>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uiPriority w:val="15"/>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uiPriority w:val="15"/>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ft Char1 Char Char Char Ch"/>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E,o"/>
    <w:basedOn w:val="DefaultParagraphFont"/>
    <w:link w:val="ftrefCharChar"/>
    <w:uiPriority w:val="99"/>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5"/>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qFormat/>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qFormat/>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qFormat/>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qFormat/>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rsid w:val="00F47BCF"/>
    <w:pPr>
      <w:outlineLvl w:val="2"/>
    </w:pPr>
  </w:style>
  <w:style w:type="character" w:styleId="CommentReference">
    <w:name w:val="annotation reference"/>
    <w:basedOn w:val="DefaultParagraphFont"/>
    <w:uiPriority w:val="99"/>
    <w:semiHidden/>
    <w:unhideWhenUsed/>
    <w:rsid w:val="00DA2E9C"/>
    <w:rPr>
      <w:sz w:val="16"/>
      <w:szCs w:val="16"/>
    </w:rPr>
  </w:style>
  <w:style w:type="paragraph" w:styleId="CommentText">
    <w:name w:val="annotation text"/>
    <w:basedOn w:val="Normal"/>
    <w:link w:val="CommentTextChar"/>
    <w:uiPriority w:val="99"/>
    <w:semiHidden/>
    <w:unhideWhenUsed/>
    <w:rsid w:val="00DA2E9C"/>
    <w:pPr>
      <w:widowControl/>
      <w:spacing w:after="160"/>
      <w:jc w:val="left"/>
    </w:pPr>
    <w:rPr>
      <w:sz w:val="20"/>
      <w:szCs w:val="20"/>
    </w:rPr>
  </w:style>
  <w:style w:type="character" w:customStyle="1" w:styleId="CommentTextChar">
    <w:name w:val="Comment Text Char"/>
    <w:basedOn w:val="DefaultParagraphFont"/>
    <w:link w:val="CommentText"/>
    <w:uiPriority w:val="99"/>
    <w:semiHidden/>
    <w:rsid w:val="00DA2E9C"/>
    <w:rPr>
      <w:sz w:val="20"/>
      <w:szCs w:val="20"/>
    </w:rPr>
  </w:style>
  <w:style w:type="paragraph" w:styleId="BalloonText">
    <w:name w:val="Balloon Text"/>
    <w:basedOn w:val="Normal"/>
    <w:link w:val="BalloonTextChar"/>
    <w:uiPriority w:val="99"/>
    <w:semiHidden/>
    <w:unhideWhenUsed/>
    <w:rsid w:val="00DA2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E9C"/>
    <w:rPr>
      <w:rFonts w:ascii="Segoe UI" w:hAnsi="Segoe UI" w:cs="Segoe UI"/>
      <w:sz w:val="18"/>
      <w:szCs w:val="18"/>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
    <w:basedOn w:val="Normal"/>
    <w:link w:val="FootnoteReference"/>
    <w:uiPriority w:val="99"/>
    <w:rsid w:val="00FF3C43"/>
    <w:pPr>
      <w:widowControl/>
      <w:spacing w:after="160" w:line="240" w:lineRule="exact"/>
    </w:pPr>
    <w:rPr>
      <w:vertAlign w:val="superscript"/>
    </w:rPr>
  </w:style>
  <w:style w:type="character" w:customStyle="1" w:styleId="ParaChar0">
    <w:name w:val="Para # Char"/>
    <w:basedOn w:val="DefaultParagraphFont"/>
    <w:link w:val="Para"/>
    <w:uiPriority w:val="4"/>
    <w:rsid w:val="002C3CE9"/>
    <w:rPr>
      <w:sz w:val="20"/>
    </w:rPr>
  </w:style>
  <w:style w:type="paragraph" w:customStyle="1" w:styleId="Commentary">
    <w:name w:val="Commentary"/>
    <w:basedOn w:val="Para0"/>
    <w:link w:val="CommentaryChar"/>
    <w:qFormat/>
    <w:rsid w:val="005330C7"/>
    <w:rPr>
      <w:b/>
      <w:i/>
    </w:rPr>
  </w:style>
  <w:style w:type="character" w:customStyle="1" w:styleId="CommentaryChar">
    <w:name w:val="Commentary Char"/>
    <w:basedOn w:val="ParaChar0"/>
    <w:link w:val="Commentary"/>
    <w:rsid w:val="005330C7"/>
    <w:rPr>
      <w:b/>
      <w:i/>
      <w:color w:val="000000" w:themeColor="text1"/>
      <w:sz w:val="20"/>
    </w:rPr>
  </w:style>
  <w:style w:type="numbering" w:customStyle="1" w:styleId="NoList1">
    <w:name w:val="No List1"/>
    <w:next w:val="NoList"/>
    <w:uiPriority w:val="99"/>
    <w:semiHidden/>
    <w:unhideWhenUsed/>
    <w:rsid w:val="0047749A"/>
  </w:style>
  <w:style w:type="table" w:customStyle="1" w:styleId="TableGrid1">
    <w:name w:val="Table Grid1"/>
    <w:basedOn w:val="TableNormal"/>
    <w:next w:val="TableGrid"/>
    <w:uiPriority w:val="59"/>
    <w:rsid w:val="00477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Old1">
    <w:name w:val="OECD Old1"/>
    <w:basedOn w:val="LightShading-Accent1"/>
    <w:uiPriority w:val="99"/>
    <w:rsid w:val="0047749A"/>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customStyle="1" w:styleId="LightShading-Accent11">
    <w:name w:val="Light Shading - Accent 11"/>
    <w:basedOn w:val="TableNormal"/>
    <w:next w:val="LightShading-Accent1"/>
    <w:uiPriority w:val="60"/>
    <w:semiHidden/>
    <w:unhideWhenUsed/>
    <w:rsid w:val="0047749A"/>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
    <w:name w:val="OECD1"/>
    <w:basedOn w:val="TableSimple1"/>
    <w:uiPriority w:val="99"/>
    <w:rsid w:val="0047749A"/>
    <w:pPr>
      <w:spacing w:before="10" w:after="20" w:line="200" w:lineRule="exact"/>
    </w:pPr>
    <w:rPr>
      <w:rFonts w:ascii="Arial Narrow" w:hAnsi="Arial Narrow"/>
      <w:sz w:val="17"/>
      <w:szCs w:val="20"/>
      <w:lang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customStyle="1" w:styleId="TableSimple11">
    <w:name w:val="Table Simple 11"/>
    <w:basedOn w:val="TableNormal"/>
    <w:next w:val="TableSimple1"/>
    <w:uiPriority w:val="99"/>
    <w:semiHidden/>
    <w:unhideWhenUsed/>
    <w:rsid w:val="0047749A"/>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8">
    <w:name w:val="toc 8"/>
    <w:basedOn w:val="Normal"/>
    <w:next w:val="Normal"/>
    <w:autoRedefine/>
    <w:uiPriority w:val="39"/>
    <w:semiHidden/>
    <w:unhideWhenUsed/>
    <w:rsid w:val="0047749A"/>
    <w:pPr>
      <w:spacing w:after="100"/>
      <w:ind w:left="1540"/>
    </w:pPr>
  </w:style>
  <w:style w:type="paragraph" w:styleId="CommentSubject">
    <w:name w:val="annotation subject"/>
    <w:basedOn w:val="CommentText"/>
    <w:next w:val="CommentText"/>
    <w:link w:val="CommentSubjectChar"/>
    <w:uiPriority w:val="99"/>
    <w:semiHidden/>
    <w:unhideWhenUsed/>
    <w:rsid w:val="0047749A"/>
    <w:pPr>
      <w:widowControl w:val="0"/>
      <w:spacing w:after="0"/>
      <w:jc w:val="both"/>
    </w:pPr>
    <w:rPr>
      <w:b/>
      <w:bCs/>
    </w:rPr>
  </w:style>
  <w:style w:type="character" w:customStyle="1" w:styleId="CommentSubjectChar">
    <w:name w:val="Comment Subject Char"/>
    <w:basedOn w:val="CommentTextChar"/>
    <w:link w:val="CommentSubject"/>
    <w:uiPriority w:val="99"/>
    <w:semiHidden/>
    <w:rsid w:val="0047749A"/>
    <w:rPr>
      <w:b/>
      <w:bCs/>
      <w:sz w:val="20"/>
      <w:szCs w:val="20"/>
    </w:rPr>
  </w:style>
  <w:style w:type="paragraph" w:customStyle="1" w:styleId="CommentaryHeading">
    <w:name w:val="Commentary Heading"/>
    <w:basedOn w:val="Normal"/>
    <w:next w:val="Normal"/>
    <w:qFormat/>
    <w:rsid w:val="00AE053B"/>
    <w:pPr>
      <w:keepNext/>
      <w:widowControl/>
      <w:spacing w:after="240"/>
      <w:ind w:left="851"/>
    </w:pPr>
    <w:rPr>
      <w:rFonts w:ascii="Times New Roman" w:eastAsia="Times New Roman" w:hAnsi="Times New Roman" w:cs="Times New Roman"/>
      <w:b/>
      <w:i/>
      <w:lang w:eastAsia="zh-CN"/>
    </w:rPr>
  </w:style>
  <w:style w:type="table" w:customStyle="1" w:styleId="TableGrid2">
    <w:name w:val="Table Grid2"/>
    <w:basedOn w:val="TableNormal"/>
    <w:next w:val="TableGrid"/>
    <w:uiPriority w:val="59"/>
    <w:rsid w:val="00EC2390"/>
    <w:pPr>
      <w:spacing w:after="0" w:line="240" w:lineRule="auto"/>
    </w:pPr>
    <w:rPr>
      <w:rFonts w:ascii="Georgia" w:eastAsia="Calibri" w:hAnsi="Georg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F2D1C"/>
    <w:rPr>
      <w:color w:val="800080" w:themeColor="followedHyperlink"/>
      <w:u w:val="single"/>
    </w:rPr>
  </w:style>
  <w:style w:type="character" w:customStyle="1" w:styleId="o1">
    <w:name w:val="o1"/>
    <w:basedOn w:val="DefaultParagraphFont"/>
    <w:uiPriority w:val="99"/>
    <w:unhideWhenUsed/>
    <w:qFormat/>
    <w:rsid w:val="00C821DF"/>
    <w:rPr>
      <w:rFonts w:ascii="Arial" w:hAnsi="Arial"/>
      <w:sz w:val="22"/>
      <w:vertAlign w:val="superscript"/>
    </w:rPr>
  </w:style>
  <w:style w:type="character" w:customStyle="1" w:styleId="Hyperlink1">
    <w:name w:val="Hyperlink1"/>
    <w:basedOn w:val="DefaultParagraphFont"/>
    <w:uiPriority w:val="99"/>
    <w:unhideWhenUsed/>
    <w:rsid w:val="00C821DF"/>
    <w:rPr>
      <w:color w:val="0000FF"/>
      <w:u w:val="single"/>
    </w:rPr>
  </w:style>
  <w:style w:type="character" w:customStyle="1" w:styleId="UnresolvedMention">
    <w:name w:val="Unresolved Mention"/>
    <w:basedOn w:val="DefaultParagraphFont"/>
    <w:uiPriority w:val="99"/>
    <w:semiHidden/>
    <w:unhideWhenUsed/>
    <w:rsid w:val="00795CA1"/>
    <w:rPr>
      <w:color w:val="605E5C"/>
      <w:shd w:val="clear" w:color="auto" w:fill="E1DFDD"/>
    </w:rPr>
  </w:style>
  <w:style w:type="character" w:styleId="Emphasis">
    <w:name w:val="Emphasis"/>
    <w:basedOn w:val="DefaultParagraphFont"/>
    <w:uiPriority w:val="20"/>
    <w:qFormat/>
    <w:rsid w:val="005D6747"/>
    <w:rPr>
      <w:i/>
      <w:iCs/>
    </w:rPr>
  </w:style>
  <w:style w:type="character" w:customStyle="1" w:styleId="viiyi">
    <w:name w:val="viiyi"/>
    <w:basedOn w:val="DefaultParagraphFont"/>
    <w:rsid w:val="00AD4AB8"/>
  </w:style>
  <w:style w:type="character" w:customStyle="1" w:styleId="jlqj4b">
    <w:name w:val="jlqj4b"/>
    <w:basedOn w:val="DefaultParagraphFont"/>
    <w:rsid w:val="00AD4AB8"/>
  </w:style>
  <w:style w:type="character" w:customStyle="1" w:styleId="Footnote">
    <w:name w:val="Footnote_"/>
    <w:basedOn w:val="DefaultParagraphFont"/>
    <w:link w:val="Footnote0"/>
    <w:rsid w:val="00A73122"/>
    <w:rPr>
      <w:rFonts w:ascii="Arial" w:eastAsia="Arial" w:hAnsi="Arial" w:cs="Arial"/>
      <w:sz w:val="19"/>
      <w:szCs w:val="19"/>
      <w:shd w:val="clear" w:color="auto" w:fill="FFFFFF"/>
    </w:rPr>
  </w:style>
  <w:style w:type="character" w:customStyle="1" w:styleId="Bodytext2">
    <w:name w:val="Body text (2)_"/>
    <w:basedOn w:val="DefaultParagraphFont"/>
    <w:link w:val="Bodytext20"/>
    <w:rsid w:val="00A73122"/>
    <w:rPr>
      <w:rFonts w:ascii="Arial" w:eastAsia="Arial" w:hAnsi="Arial" w:cs="Arial"/>
      <w:sz w:val="19"/>
      <w:szCs w:val="19"/>
      <w:shd w:val="clear" w:color="auto" w:fill="FFFFFF"/>
    </w:rPr>
  </w:style>
  <w:style w:type="paragraph" w:customStyle="1" w:styleId="Footnote0">
    <w:name w:val="Footnote"/>
    <w:basedOn w:val="Normal"/>
    <w:link w:val="Footnote"/>
    <w:rsid w:val="00A73122"/>
    <w:pPr>
      <w:shd w:val="clear" w:color="auto" w:fill="FFFFFF"/>
      <w:spacing w:line="240" w:lineRule="exact"/>
    </w:pPr>
    <w:rPr>
      <w:rFonts w:ascii="Arial" w:eastAsia="Arial" w:hAnsi="Arial" w:cs="Arial"/>
      <w:sz w:val="19"/>
      <w:szCs w:val="19"/>
    </w:rPr>
  </w:style>
  <w:style w:type="paragraph" w:customStyle="1" w:styleId="Bodytext20">
    <w:name w:val="Body text (2)"/>
    <w:basedOn w:val="Normal"/>
    <w:link w:val="Bodytext2"/>
    <w:rsid w:val="00A73122"/>
    <w:pPr>
      <w:shd w:val="clear" w:color="auto" w:fill="FFFFFF"/>
      <w:spacing w:before="960" w:after="60" w:line="259" w:lineRule="exact"/>
    </w:pPr>
    <w:rPr>
      <w:rFonts w:ascii="Arial" w:eastAsia="Arial" w:hAnsi="Arial" w:cs="Arial"/>
      <w:sz w:val="19"/>
      <w:szCs w:val="19"/>
    </w:rPr>
  </w:style>
  <w:style w:type="character" w:customStyle="1" w:styleId="Heading30">
    <w:name w:val="Heading #3_"/>
    <w:basedOn w:val="DefaultParagraphFont"/>
    <w:rsid w:val="00BE6433"/>
    <w:rPr>
      <w:rFonts w:ascii="Arial" w:eastAsia="Arial" w:hAnsi="Arial" w:cs="Arial"/>
      <w:b/>
      <w:bCs/>
      <w:i w:val="0"/>
      <w:iCs w:val="0"/>
      <w:smallCaps w:val="0"/>
      <w:strike w:val="0"/>
      <w:u w:val="none"/>
    </w:rPr>
  </w:style>
  <w:style w:type="character" w:customStyle="1" w:styleId="Heading31">
    <w:name w:val="Heading #3"/>
    <w:basedOn w:val="Heading30"/>
    <w:rsid w:val="00BE6433"/>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3">
    <w:name w:val="Body text (3)_"/>
    <w:basedOn w:val="DefaultParagraphFont"/>
    <w:rsid w:val="00572912"/>
    <w:rPr>
      <w:rFonts w:ascii="Arial" w:eastAsia="Arial" w:hAnsi="Arial" w:cs="Arial"/>
      <w:b w:val="0"/>
      <w:bCs w:val="0"/>
      <w:i w:val="0"/>
      <w:iCs w:val="0"/>
      <w:smallCaps w:val="0"/>
      <w:strike w:val="0"/>
      <w:sz w:val="66"/>
      <w:szCs w:val="66"/>
      <w:u w:val="none"/>
    </w:rPr>
  </w:style>
  <w:style w:type="character" w:customStyle="1" w:styleId="Bodytext30">
    <w:name w:val="Body text (3)"/>
    <w:basedOn w:val="Bodytext3"/>
    <w:rsid w:val="00572912"/>
    <w:rPr>
      <w:rFonts w:ascii="Arial" w:eastAsia="Arial" w:hAnsi="Arial" w:cs="Arial"/>
      <w:b w:val="0"/>
      <w:bCs w:val="0"/>
      <w:i w:val="0"/>
      <w:iCs w:val="0"/>
      <w:smallCaps w:val="0"/>
      <w:strike w:val="0"/>
      <w:color w:val="000000"/>
      <w:spacing w:val="0"/>
      <w:w w:val="100"/>
      <w:position w:val="0"/>
      <w:sz w:val="66"/>
      <w:szCs w:val="66"/>
      <w:u w:val="none"/>
      <w:lang w:val="en-US" w:eastAsia="en-US" w:bidi="en-US"/>
    </w:rPr>
  </w:style>
  <w:style w:type="character" w:customStyle="1" w:styleId="Bodytext4">
    <w:name w:val="Body text (4)_"/>
    <w:basedOn w:val="DefaultParagraphFont"/>
    <w:rsid w:val="00572912"/>
    <w:rPr>
      <w:rFonts w:ascii="Arial" w:eastAsia="Arial" w:hAnsi="Arial" w:cs="Arial"/>
      <w:b/>
      <w:bCs/>
      <w:i w:val="0"/>
      <w:iCs w:val="0"/>
      <w:smallCaps w:val="0"/>
      <w:strike w:val="0"/>
      <w:sz w:val="50"/>
      <w:szCs w:val="50"/>
      <w:u w:val="none"/>
    </w:rPr>
  </w:style>
  <w:style w:type="character" w:customStyle="1" w:styleId="Bodytext40">
    <w:name w:val="Body text (4)"/>
    <w:basedOn w:val="Bodytext4"/>
    <w:rsid w:val="00572912"/>
    <w:rPr>
      <w:rFonts w:ascii="Arial" w:eastAsia="Arial" w:hAnsi="Arial" w:cs="Arial"/>
      <w:b/>
      <w:bCs/>
      <w:i w:val="0"/>
      <w:iCs w:val="0"/>
      <w:smallCaps w:val="0"/>
      <w:strike w:val="0"/>
      <w:color w:val="000000"/>
      <w:spacing w:val="0"/>
      <w:w w:val="100"/>
      <w:position w:val="0"/>
      <w:sz w:val="50"/>
      <w:szCs w:val="50"/>
      <w:u w:val="none"/>
      <w:lang w:val="en-US" w:eastAsia="en-US" w:bidi="en-US"/>
    </w:rPr>
  </w:style>
  <w:style w:type="character" w:customStyle="1" w:styleId="Bodytext5">
    <w:name w:val="Body text (5)_"/>
    <w:basedOn w:val="DefaultParagraphFont"/>
    <w:link w:val="Bodytext50"/>
    <w:rsid w:val="00572912"/>
    <w:rPr>
      <w:rFonts w:ascii="Arial" w:eastAsia="Arial" w:hAnsi="Arial" w:cs="Arial"/>
      <w:w w:val="80"/>
      <w:sz w:val="32"/>
      <w:szCs w:val="32"/>
      <w:shd w:val="clear" w:color="auto" w:fill="FFFFFF"/>
    </w:rPr>
  </w:style>
  <w:style w:type="paragraph" w:customStyle="1" w:styleId="Bodytext50">
    <w:name w:val="Body text (5)"/>
    <w:basedOn w:val="Normal"/>
    <w:link w:val="Bodytext5"/>
    <w:rsid w:val="00572912"/>
    <w:pPr>
      <w:shd w:val="clear" w:color="auto" w:fill="FFFFFF"/>
      <w:spacing w:after="1680" w:line="0" w:lineRule="atLeast"/>
      <w:jc w:val="left"/>
    </w:pPr>
    <w:rPr>
      <w:rFonts w:ascii="Arial" w:eastAsia="Arial" w:hAnsi="Arial" w:cs="Arial"/>
      <w:w w:val="8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53882">
      <w:bodyDiv w:val="1"/>
      <w:marLeft w:val="0"/>
      <w:marRight w:val="0"/>
      <w:marTop w:val="0"/>
      <w:marBottom w:val="0"/>
      <w:divBdr>
        <w:top w:val="none" w:sz="0" w:space="0" w:color="auto"/>
        <w:left w:val="none" w:sz="0" w:space="0" w:color="auto"/>
        <w:bottom w:val="none" w:sz="0" w:space="0" w:color="auto"/>
        <w:right w:val="none" w:sz="0" w:space="0" w:color="auto"/>
      </w:divBdr>
    </w:div>
    <w:div w:id="659231760">
      <w:bodyDiv w:val="1"/>
      <w:marLeft w:val="0"/>
      <w:marRight w:val="0"/>
      <w:marTop w:val="0"/>
      <w:marBottom w:val="0"/>
      <w:divBdr>
        <w:top w:val="none" w:sz="0" w:space="0" w:color="auto"/>
        <w:left w:val="none" w:sz="0" w:space="0" w:color="auto"/>
        <w:bottom w:val="none" w:sz="0" w:space="0" w:color="auto"/>
        <w:right w:val="none" w:sz="0" w:space="0" w:color="auto"/>
      </w:divBdr>
    </w:div>
    <w:div w:id="20128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oecd.org/daf/anti-bribery/anti-briberyconvention/249824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oecd.org/daf/anti-bribery/anti-briberyconvention/Icelandphase3reportEN.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dans.bg/en/msip-091209-menu-en/results-from-national-risk-assessment" TargetMode="External"/><Relationship Id="rId13" Type="http://schemas.openxmlformats.org/officeDocument/2006/relationships/hyperlink" Target="https://globalinvestigationsreview.com/extradition/bulgarian-eaws-invalid-rules-eu-court?utm_source=Ex-Citi%2Btrader%2Blawsuit%2Bagainst%2Bbank%2Bto%2Bproceed&amp;utm_medium=email&amp;utm_campaign=GIR%2BAlerts" TargetMode="External"/><Relationship Id="rId3" Type="http://schemas.openxmlformats.org/officeDocument/2006/relationships/hyperlink" Target="https://www.transparency.org/en/publications/exporting-corruption-2020" TargetMode="External"/><Relationship Id="rId7" Type="http://schemas.openxmlformats.org/officeDocument/2006/relationships/hyperlink" Target="https://www.oecd.org/corruption/anti-bribery/The-Detection-of-Foreign-Bribery-ENG.pdf" TargetMode="External"/><Relationship Id="rId12" Type="http://schemas.openxmlformats.org/officeDocument/2006/relationships/hyperlink" Target="https://curia.europa.eu/juris/document/document.jsf?text=%2522european%2Barrest%2Bwarrant%2522&amp;docid=238710&amp;pageIndex=0&amp;doclang=en&amp;mode=req&amp;dir=&amp;occ=first&amp;part=1&amp;cid=4784276" TargetMode="External"/><Relationship Id="rId2" Type="http://schemas.openxmlformats.org/officeDocument/2006/relationships/hyperlink" Target="https://transparency.bg/en/transp_indexes/indexes/perceptions-index-corruption/corruption-perception-index-2020/" TargetMode="External"/><Relationship Id="rId1" Type="http://schemas.openxmlformats.org/officeDocument/2006/relationships/hyperlink" Target="https://www.imf.org/en/Topics/imf-and-covid19/Policy-Responses-to-COVID-19" TargetMode="External"/><Relationship Id="rId6" Type="http://schemas.openxmlformats.org/officeDocument/2006/relationships/hyperlink" Target="https://www.unodc.org/unodc/en/global-it-products/goaml.html" TargetMode="External"/><Relationship Id="rId11" Type="http://schemas.openxmlformats.org/officeDocument/2006/relationships/hyperlink" Target="https://ec.europa.eu/info/sites/default/files/bg_rol_country_chapter.pdf" TargetMode="External"/><Relationship Id="rId5" Type="http://schemas.openxmlformats.org/officeDocument/2006/relationships/hyperlink" Target="https://baselgovernance.org/basel-aml-index/public-ranking" TargetMode="External"/><Relationship Id="rId10" Type="http://schemas.openxmlformats.org/officeDocument/2006/relationships/hyperlink" Target="https://ec.europa.eu/info/sites/default/files/bg_rol_country_chapter.pdf" TargetMode="External"/><Relationship Id="rId4" Type="http://schemas.openxmlformats.org/officeDocument/2006/relationships/hyperlink" Target="https://www.transparency.org/en/search/filter?project=exporting-corruption&amp;type=publication" TargetMode="External"/><Relationship Id="rId9" Type="http://schemas.openxmlformats.org/officeDocument/2006/relationships/hyperlink" Target="https://baselgovernance.org/basel-aml-index/public-ranking" TargetMode="External"/><Relationship Id="rId14" Type="http://schemas.openxmlformats.org/officeDocument/2006/relationships/hyperlink" Target="https://www.worldbank.org/en/projects-operations/procurement/debarred-firm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6860364267129228E-2"/>
          <c:y val="0.10837438423645321"/>
          <c:w val="0.95229835212489156"/>
          <c:h val="0.78325123152709364"/>
        </c:manualLayout>
      </c:layout>
      <c:barChart>
        <c:barDir val="bar"/>
        <c:grouping val="percentStacked"/>
        <c:varyColors val="0"/>
        <c:ser>
          <c:idx val="0"/>
          <c:order val="0"/>
          <c:tx>
            <c:strRef>
              <c:f>Sheet1!$B$1</c:f>
              <c:strCache>
                <c:ptCount val="1"/>
                <c:pt idx="0">
                  <c:v>10 Fully Implemented</c:v>
                </c:pt>
              </c:strCache>
            </c:strRef>
          </c:tx>
          <c:invertIfNegative val="0"/>
          <c:dLbls>
            <c:dLbl>
              <c:idx val="0"/>
              <c:layout>
                <c:manualLayout>
                  <c:x val="-1.6791426856396314E-3"/>
                  <c:y val="-9.8526046313176813E-3"/>
                </c:manualLayout>
              </c:layout>
              <c:tx>
                <c:rich>
                  <a:bodyPr wrap="square" lIns="38100" tIns="19050" rIns="38100" bIns="19050" anchor="ctr">
                    <a:noAutofit/>
                  </a:bodyPr>
                  <a:lstStyle/>
                  <a:p>
                    <a:pPr>
                      <a:defRPr>
                        <a:latin typeface="+mn-lt"/>
                        <a:cs typeface="Times New Roman" panose="02020603050405020304" pitchFamily="18" charset="0"/>
                      </a:defRPr>
                    </a:pPr>
                    <a:r>
                      <a:rPr lang="bg-BG" sz="900">
                        <a:latin typeface="+mn-lt"/>
                      </a:rPr>
                      <a:t>8 изцяло изпълнени</a:t>
                    </a:r>
                    <a:endParaRPr lang="bg-BG">
                      <a:latin typeface="+mn-lt"/>
                    </a:endParaRPr>
                  </a:p>
                </c:rich>
              </c:tx>
              <c:spPr>
                <a:noFill/>
                <a:ln>
                  <a:noFill/>
                </a:ln>
                <a:effectLst/>
              </c:spPr>
              <c:showLegendKey val="0"/>
              <c:showVal val="1"/>
              <c:showCatName val="0"/>
              <c:showSerName val="1"/>
              <c:showPercent val="0"/>
              <c:showBubbleSize val="0"/>
              <c:extLst xmlns:c16r2="http://schemas.microsoft.com/office/drawing/2015/06/chart">
                <c:ext xmlns:c15="http://schemas.microsoft.com/office/drawing/2012/chart" uri="{CE6537A1-D6FC-4f65-9D91-7224C49458BB}">
                  <c15:layout>
                    <c:manualLayout>
                      <c:w val="0.15467479961865754"/>
                      <c:h val="0.30881812187269692"/>
                    </c:manualLayout>
                  </c15:layout>
                </c:ext>
                <c:ext xmlns:c16="http://schemas.microsoft.com/office/drawing/2014/chart" uri="{C3380CC4-5D6E-409C-BE32-E72D297353CC}">
                  <c16:uniqueId val="{00000000-574D-4576-949E-EF81626FE9C2}"/>
                </c:ext>
              </c:extLst>
            </c:dLbl>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bg-BG"/>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1-574D-4576-949E-EF81626FE9C2}"/>
            </c:ext>
          </c:extLst>
        </c:ser>
        <c:ser>
          <c:idx val="1"/>
          <c:order val="1"/>
          <c:tx>
            <c:strRef>
              <c:f>Sheet1!$C$1</c:f>
              <c:strCache>
                <c:ptCount val="1"/>
                <c:pt idx="0">
                  <c:v>Partially Implemented</c:v>
                </c:pt>
              </c:strCache>
            </c:strRef>
          </c:tx>
          <c:invertIfNegative val="0"/>
          <c:dLbls>
            <c:dLbl>
              <c:idx val="0"/>
              <c:tx>
                <c:rich>
                  <a:bodyPr/>
                  <a:lstStyle/>
                  <a:p>
                    <a:r>
                      <a:rPr lang="bg-BG" sz="900"/>
                      <a:t>8 частично изпълнени</a:t>
                    </a:r>
                    <a:endParaRPr lang="bg-BG"/>
                  </a:p>
                </c:rich>
              </c:tx>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74D-4576-949E-EF81626FE9C2}"/>
                </c:ext>
              </c:extLst>
            </c:dLbl>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bg-BG"/>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3-574D-4576-949E-EF81626FE9C2}"/>
            </c:ext>
          </c:extLst>
        </c:ser>
        <c:ser>
          <c:idx val="2"/>
          <c:order val="2"/>
          <c:tx>
            <c:strRef>
              <c:f>Sheet1!$D$1</c:f>
              <c:strCache>
                <c:ptCount val="1"/>
                <c:pt idx="0">
                  <c:v> Not Implemented</c:v>
                </c:pt>
              </c:strCache>
            </c:strRef>
          </c:tx>
          <c:invertIfNegative val="0"/>
          <c:dLbls>
            <c:dLbl>
              <c:idx val="0"/>
              <c:tx>
                <c:rich>
                  <a:bodyPr/>
                  <a:lstStyle/>
                  <a:p>
                    <a:r>
                      <a:rPr lang="bg-BG" sz="900"/>
                      <a:t>12 неизпълнени</a:t>
                    </a:r>
                    <a:endParaRPr lang="bg-BG"/>
                  </a:p>
                </c:rich>
              </c:tx>
              <c:showLegendKey val="0"/>
              <c:showVal val="1"/>
              <c:showCatName val="0"/>
              <c:showSerName val="1"/>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74D-4576-949E-EF81626FE9C2}"/>
                </c:ext>
              </c:extLst>
            </c:dLbl>
            <c:spPr>
              <a:noFill/>
              <a:ln>
                <a:noFill/>
              </a:ln>
              <a:effectLst/>
            </c:spPr>
            <c:txPr>
              <a:bodyPr wrap="square" lIns="38100" tIns="19050" rIns="38100" bIns="19050" anchor="ctr">
                <a:spAutoFit/>
              </a:bodyPr>
              <a:lstStyle/>
              <a:p>
                <a:pPr>
                  <a:defRPr>
                    <a:latin typeface="+mn-lt"/>
                    <a:cs typeface="Times New Roman" panose="02020603050405020304" pitchFamily="18" charset="0"/>
                  </a:defRPr>
                </a:pPr>
                <a:endParaRPr lang="bg-BG"/>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General</c:formatCode>
                <c:ptCount val="1"/>
                <c:pt idx="0">
                  <c:v>12</c:v>
                </c:pt>
              </c:numCache>
            </c:numRef>
          </c:val>
          <c:extLst xmlns:c16r2="http://schemas.microsoft.com/office/drawing/2015/06/chart">
            <c:ext xmlns:c16="http://schemas.microsoft.com/office/drawing/2014/chart" uri="{C3380CC4-5D6E-409C-BE32-E72D297353CC}">
              <c16:uniqueId val="{00000005-574D-4576-949E-EF81626FE9C2}"/>
            </c:ext>
          </c:extLst>
        </c:ser>
        <c:dLbls>
          <c:showLegendKey val="0"/>
          <c:showVal val="0"/>
          <c:showCatName val="0"/>
          <c:showSerName val="0"/>
          <c:showPercent val="0"/>
          <c:showBubbleSize val="0"/>
        </c:dLbls>
        <c:gapWidth val="55"/>
        <c:overlap val="100"/>
        <c:axId val="342988800"/>
        <c:axId val="344791808"/>
      </c:barChart>
      <c:catAx>
        <c:axId val="342988800"/>
        <c:scaling>
          <c:orientation val="minMax"/>
        </c:scaling>
        <c:delete val="1"/>
        <c:axPos val="l"/>
        <c:numFmt formatCode="General" sourceLinked="0"/>
        <c:majorTickMark val="none"/>
        <c:minorTickMark val="none"/>
        <c:tickLblPos val="nextTo"/>
        <c:crossAx val="344791808"/>
        <c:crosses val="autoZero"/>
        <c:auto val="1"/>
        <c:lblAlgn val="ctr"/>
        <c:lblOffset val="100"/>
        <c:noMultiLvlLbl val="0"/>
      </c:catAx>
      <c:valAx>
        <c:axId val="344791808"/>
        <c:scaling>
          <c:orientation val="minMax"/>
        </c:scaling>
        <c:delete val="1"/>
        <c:axPos val="b"/>
        <c:numFmt formatCode="0%" sourceLinked="1"/>
        <c:majorTickMark val="none"/>
        <c:minorTickMark val="none"/>
        <c:tickLblPos val="nextTo"/>
        <c:crossAx val="342988800"/>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oecd-en.xsl" StyleName="OECD English" Version="20180904"/>
</file>

<file path=customXml/itemProps1.xml><?xml version="1.0" encoding="utf-8"?>
<ds:datastoreItem xmlns:ds="http://schemas.openxmlformats.org/officeDocument/2006/customXml" ds:itemID="{FB46AB7B-5C38-455D-B3DA-B6D6CD42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80</Pages>
  <Words>32587</Words>
  <Characters>185748</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Draft Phase 4 Report of Bulgaria</vt:lpstr>
    </vt:vector>
  </TitlesOfParts>
  <Company>OECD</Company>
  <LinksUpToDate>false</LinksUpToDate>
  <CharactersWithSpaces>217900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Phase 4 Report of Bulgaria</dc:title>
  <dc:subject>[подзаглавие]</dc:subject>
  <dc:creator>Apostolos ZAMPOUNIDIS</dc:creator>
  <cp:keywords>DAF/WGB(2021)58/FINAL</cp:keywords>
  <cp:lastModifiedBy>Florian Florov</cp:lastModifiedBy>
  <cp:revision>24</cp:revision>
  <cp:lastPrinted>2021-10-01T13:46:00Z</cp:lastPrinted>
  <dcterms:created xsi:type="dcterms:W3CDTF">2021-10-27T12:20:00Z</dcterms:created>
  <dcterms:modified xsi:type="dcterms:W3CDTF">2021-10-29T09:20:00Z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ies>
</file>