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50"/>
        <w:gridCol w:w="8257"/>
      </w:tblGrid>
      <w:tr w:rsidR="00EF2D31" w:rsidRPr="008E2A3B" w:rsidTr="000D7677">
        <w:trPr>
          <w:trHeight w:val="701"/>
        </w:trPr>
        <w:tc>
          <w:tcPr>
            <w:tcW w:w="1950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92200F">
              <w:rPr>
                <w:rFonts w:ascii="Calibri" w:hAnsi="Calibri" w:cs="Calibri"/>
                <w:b/>
                <w:color w:val="FFFFFF" w:themeColor="background1"/>
                <w:lang w:val="bg-BG"/>
              </w:rPr>
              <w:t>Административна услуга №</w:t>
            </w:r>
          </w:p>
        </w:tc>
        <w:tc>
          <w:tcPr>
            <w:tcW w:w="8257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ЦЕНТРАЛЕН РЕГИСТЪР НА ОСОБЕНИТЕ ЗАЛОЗИ</w:t>
            </w:r>
          </w:p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КЪМ МИНИСТЕРСТВО НА ПРАВОСЪДИЕТО</w:t>
            </w:r>
          </w:p>
        </w:tc>
      </w:tr>
      <w:tr w:rsidR="00A720BB" w:rsidRPr="00A720BB" w:rsidTr="00EF2D31">
        <w:trPr>
          <w:trHeight w:val="567"/>
        </w:trPr>
        <w:tc>
          <w:tcPr>
            <w:tcW w:w="1950" w:type="dxa"/>
            <w:vAlign w:val="center"/>
          </w:tcPr>
          <w:p w:rsidR="003A0D97" w:rsidRPr="00954054" w:rsidRDefault="006074EA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bg-BG"/>
              </w:rPr>
              <w:t>530</w:t>
            </w:r>
          </w:p>
        </w:tc>
        <w:tc>
          <w:tcPr>
            <w:tcW w:w="8257" w:type="dxa"/>
            <w:vAlign w:val="center"/>
          </w:tcPr>
          <w:p w:rsidR="003A0D97" w:rsidRPr="00BF7239" w:rsidRDefault="006074EA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proofErr w:type="spellStart"/>
            <w:r w:rsidRPr="00BF7239">
              <w:rPr>
                <w:b/>
              </w:rPr>
              <w:t>Заличаване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на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вписване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на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договор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за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залог</w:t>
            </w:r>
            <w:proofErr w:type="spellEnd"/>
            <w:r w:rsidRPr="00BF7239">
              <w:rPr>
                <w:b/>
              </w:rPr>
              <w:t xml:space="preserve">, </w:t>
            </w:r>
            <w:proofErr w:type="spellStart"/>
            <w:r w:rsidRPr="00BF7239">
              <w:rPr>
                <w:b/>
              </w:rPr>
              <w:t>договор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за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продажба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със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запазване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на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собствеността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до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изплащане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на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цената</w:t>
            </w:r>
            <w:proofErr w:type="spellEnd"/>
            <w:r w:rsidRPr="00BF7239">
              <w:rPr>
                <w:b/>
              </w:rPr>
              <w:t xml:space="preserve"> и </w:t>
            </w:r>
            <w:proofErr w:type="spellStart"/>
            <w:r w:rsidRPr="00BF7239">
              <w:rPr>
                <w:b/>
              </w:rPr>
              <w:t>договор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за</w:t>
            </w:r>
            <w:proofErr w:type="spellEnd"/>
            <w:r w:rsidRPr="00BF7239">
              <w:rPr>
                <w:b/>
              </w:rPr>
              <w:t xml:space="preserve"> </w:t>
            </w:r>
            <w:proofErr w:type="spellStart"/>
            <w:r w:rsidRPr="00BF7239">
              <w:rPr>
                <w:b/>
              </w:rPr>
              <w:t>лизинг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A0160A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Предоставя се н</w:t>
            </w:r>
            <w:r w:rsidR="003A0D97" w:rsidRPr="00FA479E">
              <w:rPr>
                <w:rFonts w:ascii="Calibri" w:hAnsi="Calibri" w:cs="Calibri"/>
                <w:b/>
                <w:color w:val="663300"/>
              </w:rPr>
              <w:t xml:space="preserve">а </w:t>
            </w:r>
            <w:proofErr w:type="spellStart"/>
            <w:r w:rsidR="003A0D97" w:rsidRPr="00FA479E">
              <w:rPr>
                <w:rFonts w:ascii="Calibri" w:hAnsi="Calibri" w:cs="Calibri"/>
                <w:b/>
                <w:color w:val="663300"/>
              </w:rPr>
              <w:t>основание</w:t>
            </w:r>
            <w:proofErr w:type="spellEnd"/>
            <w:r w:rsidR="003A0D97"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="003A0D97"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="003A0D97"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7E07E6" w:rsidTr="00DB3036">
        <w:tc>
          <w:tcPr>
            <w:tcW w:w="10207" w:type="dxa"/>
            <w:gridSpan w:val="2"/>
          </w:tcPr>
          <w:p w:rsidR="007E07E6" w:rsidRPr="007E07E6" w:rsidRDefault="007E07E6" w:rsidP="007E07E6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eastAsia="Times New Roman" w:hAnsi="Calibri" w:cs="Calibri"/>
                <w:lang w:val="bg-BG" w:eastAsia="bg-BG"/>
              </w:rPr>
            </w:pPr>
            <w:r w:rsidRPr="007E07E6">
              <w:rPr>
                <w:rFonts w:ascii="Calibri" w:eastAsia="Times New Roman" w:hAnsi="Calibri" w:cs="Calibri"/>
                <w:lang w:val="bg-BG" w:eastAsia="bg-BG"/>
              </w:rPr>
              <w:t>Закон за особените залози - чл. 27</w:t>
            </w:r>
          </w:p>
          <w:p w:rsidR="003A0D97" w:rsidRPr="007E07E6" w:rsidRDefault="007E07E6" w:rsidP="007E07E6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" w:eastAsia="Times New Roman" w:hAnsi="Calibri" w:cs="Calibri"/>
                <w:lang w:val="bg-BG" w:eastAsia="bg-BG"/>
              </w:rPr>
            </w:pPr>
            <w:r w:rsidRPr="007E07E6">
              <w:rPr>
                <w:rFonts w:ascii="Calibri" w:eastAsia="Times New Roman" w:hAnsi="Calibri" w:cs="Calibri"/>
                <w:lang w:val="bg-BG" w:eastAsia="bg-BG"/>
              </w:rPr>
              <w:t>Правилник за устройството и дейността на Централния регистър на особените залози - чл. 20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и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като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вътрешно-административна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Не.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административната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Директор на ЦРОЗ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724A60" w:rsidP="0006076B">
            <w:pPr>
              <w:rPr>
                <w:rFonts w:ascii="Calibri" w:hAnsi="Calibri" w:cs="Calibri"/>
              </w:rPr>
            </w:pPr>
            <w:proofErr w:type="spellStart"/>
            <w:r>
              <w:t>Искането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разглежда</w:t>
            </w:r>
            <w:proofErr w:type="spellEnd"/>
            <w:r>
              <w:t xml:space="preserve"> </w:t>
            </w:r>
            <w:proofErr w:type="spellStart"/>
            <w:r>
              <w:t>незабавно</w:t>
            </w:r>
            <w:proofErr w:type="spellEnd"/>
            <w: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действие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документа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/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индивидуалния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B40AA" w:rsidRDefault="0025144A" w:rsidP="005D15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Б</w:t>
            </w:r>
            <w:r w:rsidR="005D159E">
              <w:rPr>
                <w:rFonts w:ascii="Calibri" w:hAnsi="Calibri" w:cs="Calibri"/>
                <w:lang w:val="bg-BG"/>
              </w:rPr>
              <w:t>е</w:t>
            </w:r>
            <w:r>
              <w:rPr>
                <w:rFonts w:ascii="Calibri" w:hAnsi="Calibri" w:cs="Calibri"/>
                <w:lang w:val="bg-BG"/>
              </w:rPr>
              <w:t>зсрочно</w:t>
            </w:r>
            <w:r w:rsidR="003B40AA">
              <w:rPr>
                <w:rFonts w:ascii="Calibri" w:hAnsi="Calibri" w:cs="Calibri"/>
              </w:rP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осъществяващ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контрол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върху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дейността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proofErr w:type="spellStart"/>
            <w:r>
              <w:t>Министър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правосъдието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обжалва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индивидуален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proofErr w:type="spellStart"/>
            <w:r>
              <w:t>Министър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правосъдието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Ред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включително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срокове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обжалване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действията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BC7CC2" w:rsidTr="00DB3036">
        <w:tc>
          <w:tcPr>
            <w:tcW w:w="10207" w:type="dxa"/>
            <w:gridSpan w:val="2"/>
          </w:tcPr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Вписването може да бъде отказано само ако искането няма необходимото съдържание или не е внесена определената държавна такса, като едновременно с това отказът се съобщава на заявителя срещу подпис върху заявлението или с препоръчано писмо с обратна разписка.</w:t>
            </w:r>
          </w:p>
          <w:p w:rsidR="00BC7CC2" w:rsidRPr="00BC7CC2" w:rsidRDefault="00BC7CC2" w:rsidP="00417851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да бъде извършено вписването подлежи на обжалване по административен ред пред министъра на правосъдието. Заявителят може незабавно да обжалва отказа и допълнително да изложи съображенията си в седемдневния срок за обжалване.  </w:t>
            </w:r>
          </w:p>
          <w:p w:rsidR="003A0D97" w:rsidRPr="00BC7CC2" w:rsidRDefault="00BC7CC2" w:rsidP="00417851">
            <w:pPr>
              <w:pStyle w:val="NormalWeb"/>
              <w:spacing w:before="120" w:beforeAutospacing="0" w:after="0" w:afterAutospacing="0"/>
              <w:jc w:val="both"/>
              <w:rPr>
                <w:rFonts w:ascii="Calibri" w:hAnsi="Calibri" w:cs="Calibr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на министъра на правосъдието подлежи на обжалване по реда на Административнопроцесуалния кодекс.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Електронен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DF2DDF" w:rsidP="0006076B">
            <w:pPr>
              <w:rPr>
                <w:rFonts w:ascii="Calibri" w:hAnsi="Calibri" w:cs="Calibri"/>
              </w:rPr>
            </w:pPr>
            <w:hyperlink r:id="rId8" w:tgtFrame="_blank" w:history="1">
              <w:r w:rsidR="004B7E31">
                <w:rPr>
                  <w:rStyle w:val="Hyperlink"/>
                </w:rPr>
                <w:t>https://www.justice.government.bg/home/index/32797d12-56b2-4385-9b36-b0ed9e7416f0?top=1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Електронен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предложения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DF2DDF" w:rsidP="0006076B">
            <w:pPr>
              <w:rPr>
                <w:rFonts w:ascii="Calibri" w:hAnsi="Calibri" w:cs="Calibri"/>
              </w:rPr>
            </w:pPr>
            <w:hyperlink r:id="rId9" w:history="1">
              <w:r w:rsidR="00BD2060">
                <w:rPr>
                  <w:rStyle w:val="Hyperlink"/>
                </w:rPr>
                <w:t>croz@justice.government.bg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Административни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звена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, в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които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подават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документите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получава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информация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за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хода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на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преписката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>: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6D3459" w:rsidRDefault="00C4099F" w:rsidP="000D7677">
            <w:pPr>
              <w:spacing w:after="12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>Главна дирекция "Централна регистърна служба и местни регистърни бюра"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(02)9237-528, (02)9237-526, 9237-459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ботно време, от 09:00 до 17:30</w:t>
            </w:r>
          </w:p>
          <w:p w:rsidR="00C4099F" w:rsidRPr="00BB3D27" w:rsidRDefault="00C4099F" w:rsidP="000D7677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Приемното време за граждани е съобразено с нуждите на потребителите, ползващи предоставяните 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lastRenderedPageBreak/>
              <w:t>административни услуги - всеки работен ден от 09,30 часа до 12,00 часа и от 13,30 часа до 16,00 часа.</w:t>
            </w:r>
          </w:p>
          <w:p w:rsidR="00C4099F" w:rsidRPr="00BB3D27" w:rsidRDefault="00C4099F" w:rsidP="00DE7B37">
            <w:pPr>
              <w:jc w:val="both"/>
              <w:rPr>
                <w:rFonts w:ascii="Calibri" w:hAnsi="Calibri" w:cs="Calibri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  <w:r w:rsidR="00DE7B37">
              <w:rPr>
                <w:rFonts w:ascii="Calibri" w:eastAsia="Times New Roman" w:hAnsi="Calibri" w:cs="Calibri"/>
                <w:szCs w:val="24"/>
                <w:lang w:val="bg-BG" w:eastAsia="bg-BG"/>
              </w:rPr>
              <w:t>.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5C0712" w:rsidRDefault="00C4099F" w:rsidP="00F834A0">
            <w:pPr>
              <w:spacing w:before="60" w:after="6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lastRenderedPageBreak/>
              <w:t>Отдел "Финансово-счетоводна и стопанска дейност"</w:t>
            </w:r>
            <w:r w:rsidRPr="005E50DA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 xml:space="preserve"> - Деловодство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(02)9237-492, (02)9237-485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работно време, от 09:00 до 17:30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Необходими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документи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изисквания</w:t>
            </w:r>
            <w:proofErr w:type="spellEnd"/>
          </w:p>
        </w:tc>
      </w:tr>
      <w:tr w:rsidR="0031048E" w:rsidRPr="00095456" w:rsidTr="00DB3036">
        <w:tc>
          <w:tcPr>
            <w:tcW w:w="10207" w:type="dxa"/>
            <w:gridSpan w:val="2"/>
          </w:tcPr>
          <w:p w:rsidR="00095456" w:rsidRPr="00095456" w:rsidRDefault="00095456" w:rsidP="001E6108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b/>
                <w:bCs/>
                <w:u w:val="single"/>
                <w:lang w:val="bg-BG" w:eastAsia="bg-BG"/>
              </w:rPr>
              <w:t>Заличаване на вписване на договор за залог, договор за продажба със запазване на собствеността до изплащане на цената и договор за лизинг</w:t>
            </w:r>
          </w:p>
          <w:p w:rsidR="00095456" w:rsidRPr="00095456" w:rsidRDefault="00095456" w:rsidP="001E6108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 xml:space="preserve">1. Попълнено заявление - образец № 12 за съгласие за заличаване  на вписване </w:t>
            </w:r>
            <w:r w:rsidRPr="00095456">
              <w:rPr>
                <w:rFonts w:eastAsia="Times New Roman" w:cstheme="minorHAnsi"/>
                <w:lang w:val="bg-BG" w:eastAsia="bg-BG"/>
              </w:rPr>
              <w:t>(чл. 20,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095456" w:rsidRPr="00095456" w:rsidRDefault="00095456" w:rsidP="00095456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 xml:space="preserve">- </w:t>
            </w:r>
            <w:r w:rsidRPr="00095456">
              <w:rPr>
                <w:rFonts w:eastAsia="Times New Roman" w:cstheme="minorHAnsi"/>
                <w:lang w:val="bg-BG" w:eastAsia="bg-BG"/>
              </w:rPr>
              <w:t>В Група №1 "№ на разпореждането за първоначално вписване" на заявлението за вписване задължително се посочва номерът на първоначалното вписване на договора за залог, договора за продажба със запазване на собствеността до изплащане на цената и договора за лизинг.</w:t>
            </w:r>
          </w:p>
          <w:p w:rsidR="00095456" w:rsidRDefault="00095456" w:rsidP="00530D3F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="008E24E1" w:rsidRPr="008E24E1">
              <w:rPr>
                <w:rFonts w:eastAsia="Times New Roman" w:cstheme="minorHAnsi"/>
                <w:lang w:val="bg-BG" w:eastAsia="bg-BG"/>
              </w:rPr>
              <w:t>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095456" w:rsidRPr="00095456" w:rsidRDefault="00095456" w:rsidP="00530D3F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 xml:space="preserve">2. Писмено съгласие с нотариална заверка на подписа </w:t>
            </w:r>
            <w:r w:rsidR="000D2492" w:rsidRPr="00095456">
              <w:rPr>
                <w:rFonts w:eastAsia="Times New Roman" w:cstheme="minorHAnsi"/>
                <w:lang w:val="bg-BG" w:eastAsia="bg-BG"/>
              </w:rPr>
              <w:t xml:space="preserve">на лицето, вписано в регистъра като "заложен кредитор" по договора за залог, съответно "продавач" по договора за продажба със запазване на собствеността до изплащане на цената, съответно "лизингодател" по договора за лизинг </w:t>
            </w:r>
            <w:r w:rsidRPr="00095456">
              <w:rPr>
                <w:rFonts w:eastAsia="Times New Roman" w:cstheme="minorHAnsi"/>
                <w:lang w:val="bg-BG" w:eastAsia="bg-BG"/>
              </w:rPr>
              <w:t>(чл. 27, ал. 6 от Закона за особените залози, чл. 20, ал. 2 от Правилника за устройството и дейността на Централния регистър на особените залози към Министерството на правосъдието).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</w:t>
            </w:r>
          </w:p>
          <w:p w:rsidR="00725754" w:rsidRDefault="00095456" w:rsidP="00530D3F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3. Декларация по чл. 27, ал. 2, т. 4 от Закона за особените залози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за истинност на заявените обстоятелства.   </w:t>
            </w:r>
            <w:r w:rsidR="00725754" w:rsidRPr="00725754">
              <w:rPr>
                <w:rFonts w:eastAsia="Times New Roman" w:cstheme="minorHAnsi"/>
                <w:lang w:val="bg-BG" w:eastAsia="bg-BG"/>
              </w:rPr>
              <w:t>Декларацията се подписва лично от заявителя при заявяване на вписването пред служителя на регистъра. Когато заявителят не се явява лично, а преписката се подава от приносител, различен от заявителя и упълномощен да извършва съответното действие пред ЦРОЗ, декларацията следва да е нотариално заверена.</w:t>
            </w:r>
          </w:p>
          <w:p w:rsidR="00095456" w:rsidRPr="00095456" w:rsidRDefault="00095456" w:rsidP="00530D3F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4. Документ за платена държавна такса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(чл.2 и чл.7, т.1 от Тарифа за държавните такси, събирани от Централния регистър на особените залози по Закона за особените залози) - 25 лв. за първия лист от заявлението и по 10 лв. за всяка следваща страница </w:t>
            </w:r>
            <w:r w:rsidR="00490E1D">
              <w:rPr>
                <w:rFonts w:eastAsia="Times New Roman" w:cstheme="minorHAnsi"/>
                <w:lang w:val="bg-BG" w:eastAsia="bg-BG"/>
              </w:rPr>
              <w:t>от заявлението и документа за съгласие, ако е приложен отделно</w:t>
            </w:r>
            <w:r w:rsidRPr="00095456">
              <w:rPr>
                <w:rFonts w:eastAsia="Times New Roman" w:cstheme="minorHAnsi"/>
                <w:lang w:val="bg-BG" w:eastAsia="bg-BG"/>
              </w:rPr>
              <w:t>.</w:t>
            </w:r>
          </w:p>
          <w:p w:rsidR="00095456" w:rsidRDefault="00095456" w:rsidP="00530D3F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5. Документ за самоличност на заявителя (приносителя)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- Документ за самоличност на заявителя (приносителя)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</w:t>
            </w:r>
            <w:r w:rsidRPr="00095456">
              <w:rPr>
                <w:rFonts w:eastAsia="Times New Roman" w:cstheme="minorHAnsi"/>
                <w:lang w:val="bg-BG" w:eastAsia="bg-BG"/>
              </w:rPr>
              <w:lastRenderedPageBreak/>
              <w:t>залози към Министерството на правосъдието).</w:t>
            </w:r>
          </w:p>
          <w:p w:rsidR="000C6AF4" w:rsidRPr="00095456" w:rsidRDefault="000C6AF4" w:rsidP="001E6108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C6AF4">
              <w:rPr>
                <w:rFonts w:eastAsia="Times New Roman" w:cstheme="minorHAnsi"/>
                <w:lang w:val="bg-BG" w:eastAsia="bg-BG"/>
              </w:rPr>
              <w:t>В случаите, предвидени със закон, вписване и заличаване се извършват въз основа на акт на съда, на друг държавен орган и на лице, осъществяващо публични функции. Искането за вписване се изпраща служебно до ЦРОЗ.</w:t>
            </w:r>
          </w:p>
          <w:p w:rsidR="00095456" w:rsidRPr="00095456" w:rsidRDefault="00095456" w:rsidP="00095456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 </w:t>
            </w:r>
          </w:p>
          <w:p w:rsidR="00095456" w:rsidRDefault="00095456" w:rsidP="00095456">
            <w:pPr>
              <w:jc w:val="both"/>
              <w:rPr>
                <w:rFonts w:eastAsia="Times New Roman" w:cstheme="minorHAnsi"/>
                <w:b/>
                <w:bCs/>
                <w:u w:val="single"/>
                <w:lang w:val="bg-BG" w:eastAsia="bg-BG"/>
              </w:rPr>
            </w:pPr>
            <w:r w:rsidRPr="00095456">
              <w:rPr>
                <w:rFonts w:eastAsia="Times New Roman" w:cstheme="minorHAnsi"/>
                <w:b/>
                <w:bCs/>
                <w:u w:val="single"/>
                <w:lang w:val="bg-BG" w:eastAsia="bg-BG"/>
              </w:rPr>
              <w:t>Заличаване на вписан залог в полза на акционерите от емисия ипотечни облигации</w:t>
            </w:r>
          </w:p>
          <w:p w:rsidR="00095456" w:rsidRPr="00095456" w:rsidRDefault="00095456" w:rsidP="000152E0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1. Попълнено заявление - образец № 12 за съгласие за заличаване на вписване (чл. 20,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095456" w:rsidRDefault="00095456" w:rsidP="00095456">
            <w:pPr>
              <w:jc w:val="both"/>
              <w:rPr>
                <w:rFonts w:eastAsia="Times New Roman" w:cstheme="minorHAnsi"/>
                <w:lang w:eastAsia="bg-BG"/>
              </w:rPr>
            </w:pP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-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В Група №1 "№ на разпореждането за първоначално вписване" на заявлението за вписване задължително се посочва номерът на първоначалното вписване на договора за залог на ипотечни облигации.</w:t>
            </w:r>
          </w:p>
          <w:p w:rsidR="00442FC3" w:rsidRPr="00442FC3" w:rsidRDefault="00442FC3" w:rsidP="00442FC3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r w:rsidRPr="008E24E1">
              <w:rPr>
                <w:rFonts w:eastAsia="Times New Roman" w:cstheme="minorHAnsi"/>
                <w:lang w:val="bg-BG" w:eastAsia="bg-BG"/>
              </w:rPr>
              <w:t>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095456" w:rsidRPr="00095456" w:rsidRDefault="00095456" w:rsidP="000C6AF4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2. Удостоверение от Българска народна банка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за лицата, които са назначени за проверители на банката издател, в оригинал или нотариално удостоверен препис (чл. 20, ал. 3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095456" w:rsidRPr="00095456" w:rsidRDefault="00095456" w:rsidP="000C6AF4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3. Декларация от проверителите на банката</w:t>
            </w:r>
            <w:r w:rsidRPr="00095456">
              <w:rPr>
                <w:rFonts w:eastAsia="Times New Roman" w:cstheme="minorHAnsi"/>
                <w:lang w:val="bg-BG" w:eastAsia="bg-BG"/>
              </w:rPr>
              <w:t>, с нотариална заверка на подписите, че задълженията на банката издател по съответната емисия ипотечни облигации са погасени напълно (чл. 20, ал. 3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095456" w:rsidRPr="00095456" w:rsidRDefault="00095456" w:rsidP="00095456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4. Декларация по чл. 27, ал. 2, т. 4 от Закона за особените залози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за истинност на заявените обстоятелства.   Декларацията се подписва от заявителя при заявяване на вписването пред служителя на регистъра.</w:t>
            </w:r>
          </w:p>
          <w:p w:rsidR="00095456" w:rsidRPr="00095456" w:rsidRDefault="00095456" w:rsidP="000C6AF4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5. Документ за платена държавна такса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(чл.2 и чл.7, т.1 от Тарифа за държавните такси, събирани от Централния регистър на особените залози по Закона за особените залози) - 25 лв. за първия лист от заявлението и по 10 лв. за всяка следваща страница </w:t>
            </w:r>
            <w:r w:rsidR="006B5CCB">
              <w:rPr>
                <w:rFonts w:eastAsia="Times New Roman" w:cstheme="minorHAnsi"/>
                <w:lang w:val="bg-BG" w:eastAsia="bg-BG"/>
              </w:rPr>
              <w:t>от заявлението и документа за съгласие, ако е приложен отделно</w:t>
            </w:r>
            <w:r w:rsidRPr="00095456">
              <w:rPr>
                <w:rFonts w:eastAsia="Times New Roman" w:cstheme="minorHAnsi"/>
                <w:lang w:val="bg-BG" w:eastAsia="bg-BG"/>
              </w:rPr>
              <w:t>.</w:t>
            </w:r>
          </w:p>
          <w:p w:rsidR="00095456" w:rsidRPr="00095456" w:rsidRDefault="00095456" w:rsidP="000C6AF4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6. Документ за самоличност на заявителя (приносителя)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095456" w:rsidRPr="00095456" w:rsidRDefault="00095456" w:rsidP="00095456">
            <w:pPr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</w:p>
          <w:p w:rsidR="00095456" w:rsidRPr="00095456" w:rsidRDefault="00095456" w:rsidP="00095456">
            <w:pPr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 xml:space="preserve">Ред за приемане и разглеждане на исканията за вписване </w:t>
            </w:r>
          </w:p>
          <w:p w:rsidR="007B0D7B" w:rsidRDefault="007B0D7B" w:rsidP="007D011F">
            <w:pPr>
              <w:spacing w:before="6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Заявленията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вписване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подават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лично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Централната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служба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-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София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или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което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и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местните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бюра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страната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които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подписът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нотариално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удостоверен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преписката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може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бъде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подадена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упълномощен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извършва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съответното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действие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bookmarkStart w:id="0" w:name="_GoBack"/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тези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представя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“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Вярно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с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оригинала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”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пълномощното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>.</w:t>
            </w:r>
          </w:p>
          <w:p w:rsidR="007B0D7B" w:rsidRDefault="007B0D7B" w:rsidP="007D011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721A60">
              <w:rPr>
                <w:rFonts w:eastAsia="Times New Roman" w:cstheme="minorHAnsi"/>
                <w:lang w:val="bg-BG" w:eastAsia="bg-BG"/>
              </w:rPr>
              <w:t xml:space="preserve">Преписки за вписване </w:t>
            </w:r>
            <w:r>
              <w:rPr>
                <w:rFonts w:eastAsia="Times New Roman" w:cstheme="minorHAnsi"/>
                <w:lang w:val="bg-BG" w:eastAsia="bg-BG"/>
              </w:rPr>
              <w:t xml:space="preserve">с нотариално удостоверени подписи </w:t>
            </w:r>
            <w:proofErr w:type="spellStart"/>
            <w:r>
              <w:rPr>
                <w:rFonts w:eastAsia="Times New Roman" w:cstheme="minorHAnsi"/>
                <w:lang w:eastAsia="bg-BG"/>
              </w:rPr>
              <w:t>върху</w:t>
            </w:r>
            <w:proofErr w:type="spellEnd"/>
            <w:r>
              <w:rPr>
                <w:rFonts w:eastAsia="Times New Roman" w:cstheme="minorHAnsi"/>
                <w:lang w:val="bg-BG" w:eastAsia="bg-BG"/>
              </w:rPr>
              <w:t xml:space="preserve"> документите </w:t>
            </w:r>
            <w:r w:rsidRPr="00721A60">
              <w:rPr>
                <w:rFonts w:eastAsia="Times New Roman" w:cstheme="minorHAnsi"/>
                <w:lang w:val="bg-BG" w:eastAsia="bg-BG"/>
              </w:rPr>
              <w:t>може да бъдат заявени и чрез лицензиран пощенски оператор в Централната регистърна служба в гр. София.</w:t>
            </w:r>
          </w:p>
          <w:p w:rsidR="00095456" w:rsidRPr="00095456" w:rsidRDefault="00095456" w:rsidP="007D011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</w:t>
            </w:r>
            <w:r w:rsidR="002E20DF" w:rsidRPr="002E20DF">
              <w:rPr>
                <w:rFonts w:eastAsia="Times New Roman" w:cstheme="minorHAnsi"/>
                <w:lang w:val="bg-BG" w:eastAsia="bg-BG"/>
              </w:rPr>
              <w:t>Заявленията за вписване се разглеждат незабавно от длъжностните лица, които извършват проверка за съответствие с изискванията, регламентирани в Закона за особените залози и Правилника за устройството и дейността на ЦРОЗ. Длъжностните лица по вписванията оказват съдействие на заявителите при попълване на образците на заявленията.</w:t>
            </w:r>
          </w:p>
          <w:p w:rsidR="00095456" w:rsidRPr="00095456" w:rsidRDefault="00095456" w:rsidP="007D011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lastRenderedPageBreak/>
              <w:t> При констатиране на непълноти в заявените за вписване обстоятелства и/или представени документи, длъжностното лице връща заявлението на заявителя с указания за тяхното отстраняване или предоставяне на необходимата информация. Длъжностното лице по вписванията е длъжно да посочи на заявителя всички допуснати пропуски. Заявителят може да отстрани пороците и да подаде ново искане. Новото искане се вписва по реда, по който е постъпило в регистъра.</w:t>
            </w:r>
          </w:p>
          <w:p w:rsidR="00095456" w:rsidRPr="00095456" w:rsidRDefault="00095456" w:rsidP="007D011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Постъпилите в местните регистърни бюра искания за вписване се разглеждат и се изпращат незабавно по реда на постъпването им в Централната регистърна служба – гр.София.</w:t>
            </w:r>
          </w:p>
          <w:p w:rsidR="00095456" w:rsidRPr="00095456" w:rsidRDefault="00095456" w:rsidP="007D011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> Заличаването на вписване, както всяко друго допълнително вписване, получава пореден номер, генериран автоматично от информационната система на регистъра на особените залози. Със заличаването на първоначалното вписване се заличават и всички допълнителни вписвания към него.</w:t>
            </w:r>
          </w:p>
          <w:p w:rsidR="00095456" w:rsidRPr="00095456" w:rsidRDefault="00095456" w:rsidP="007D011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 xml:space="preserve">Заличаването може да бъде заявено преди да е изтекъл </w:t>
            </w:r>
            <w:bookmarkEnd w:id="0"/>
            <w:r w:rsidRPr="00095456">
              <w:rPr>
                <w:rFonts w:eastAsia="Times New Roman" w:cstheme="minorHAnsi"/>
                <w:lang w:val="bg-BG" w:eastAsia="bg-BG"/>
              </w:rPr>
              <w:t>петгодишният законов срок на действие на вписването. След изтичане на този срок, специализираната информационна система на регистъра на особените залози снема отнасящата се до вписването информация от централната база данни и я архивира. Всяко лице може да иска издаване на съответните удостоверения и справки относно архивираното вписване. Отказите се обжалват по общия ред.</w:t>
            </w:r>
          </w:p>
          <w:p w:rsidR="00095456" w:rsidRPr="00095456" w:rsidRDefault="00095456" w:rsidP="00251352">
            <w:pPr>
              <w:spacing w:before="120"/>
              <w:rPr>
                <w:rFonts w:eastAsia="Times New Roman" w:cstheme="minorHAnsi"/>
                <w:lang w:val="bg-BG" w:eastAsia="bg-BG"/>
              </w:rPr>
            </w:pPr>
            <w:r w:rsidRPr="00095456">
              <w:rPr>
                <w:rFonts w:eastAsia="Times New Roman" w:cstheme="minorHAnsi"/>
                <w:b/>
                <w:bCs/>
                <w:lang w:val="bg-BG" w:eastAsia="bg-BG"/>
              </w:rPr>
              <w:t>Получаване на документ, удостоверяващ извършената услуга</w:t>
            </w:r>
          </w:p>
          <w:p w:rsidR="003A0D97" w:rsidRPr="00095456" w:rsidRDefault="00095456" w:rsidP="00095456">
            <w:pPr>
              <w:jc w:val="both"/>
              <w:rPr>
                <w:rFonts w:cstheme="minorHAnsi"/>
              </w:rPr>
            </w:pPr>
            <w:r w:rsidRPr="00095456">
              <w:rPr>
                <w:rFonts w:eastAsia="Times New Roman" w:cstheme="minorHAnsi"/>
                <w:lang w:val="bg-BG" w:eastAsia="bg-BG"/>
              </w:rPr>
              <w:t xml:space="preserve">След извършване на вписването на заявителя се издава </w:t>
            </w:r>
            <w:r w:rsidRPr="00901FEC">
              <w:rPr>
                <w:rFonts w:eastAsia="Times New Roman" w:cstheme="minorHAnsi"/>
                <w:bCs/>
                <w:lang w:val="bg-BG" w:eastAsia="bg-BG"/>
              </w:rPr>
              <w:t>потвърждение</w:t>
            </w:r>
            <w:r w:rsidRPr="00095456">
              <w:rPr>
                <w:rFonts w:eastAsia="Times New Roman" w:cstheme="minorHAnsi"/>
                <w:lang w:val="bg-BG" w:eastAsia="bg-BG"/>
              </w:rPr>
              <w:t xml:space="preserve"> за извършеното вписване с приложени към него заверени копия на съхранените в регистъра електронни образи на документите, въз основа на които е извършено вписването.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lastRenderedPageBreak/>
              <w:t>Образци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665BB4" w:rsidRDefault="00DF2DDF" w:rsidP="00665BB4">
            <w:hyperlink r:id="rId10" w:tgtFrame="_blank" w:tooltip="Образец №12 Съгласие за заличаване на вписването" w:history="1">
              <w:proofErr w:type="spellStart"/>
              <w:r w:rsidR="00665BB4">
                <w:rPr>
                  <w:rStyle w:val="Hyperlink"/>
                </w:rPr>
                <w:t>Образец</w:t>
              </w:r>
              <w:proofErr w:type="spellEnd"/>
              <w:r w:rsidR="00665BB4">
                <w:rPr>
                  <w:rStyle w:val="Hyperlink"/>
                </w:rPr>
                <w:t xml:space="preserve"> №12 </w:t>
              </w:r>
              <w:proofErr w:type="spellStart"/>
              <w:r w:rsidR="00665BB4">
                <w:rPr>
                  <w:rStyle w:val="Hyperlink"/>
                </w:rPr>
                <w:t>Съгласие</w:t>
              </w:r>
              <w:proofErr w:type="spellEnd"/>
              <w:r w:rsidR="00665BB4">
                <w:rPr>
                  <w:rStyle w:val="Hyperlink"/>
                </w:rPr>
                <w:t xml:space="preserve"> </w:t>
              </w:r>
              <w:proofErr w:type="spellStart"/>
              <w:r w:rsidR="00665BB4">
                <w:rPr>
                  <w:rStyle w:val="Hyperlink"/>
                </w:rPr>
                <w:t>за</w:t>
              </w:r>
              <w:proofErr w:type="spellEnd"/>
              <w:r w:rsidR="00665BB4">
                <w:rPr>
                  <w:rStyle w:val="Hyperlink"/>
                </w:rPr>
                <w:t xml:space="preserve"> </w:t>
              </w:r>
              <w:proofErr w:type="spellStart"/>
              <w:r w:rsidR="00665BB4">
                <w:rPr>
                  <w:rStyle w:val="Hyperlink"/>
                </w:rPr>
                <w:t>заличаване</w:t>
              </w:r>
              <w:proofErr w:type="spellEnd"/>
              <w:r w:rsidR="00665BB4">
                <w:rPr>
                  <w:rStyle w:val="Hyperlink"/>
                </w:rPr>
                <w:t xml:space="preserve"> </w:t>
              </w:r>
              <w:proofErr w:type="spellStart"/>
              <w:r w:rsidR="00665BB4">
                <w:rPr>
                  <w:rStyle w:val="Hyperlink"/>
                </w:rPr>
                <w:t>на</w:t>
              </w:r>
              <w:proofErr w:type="spellEnd"/>
              <w:r w:rsidR="00665BB4">
                <w:rPr>
                  <w:rStyle w:val="Hyperlink"/>
                </w:rPr>
                <w:t xml:space="preserve"> </w:t>
              </w:r>
              <w:proofErr w:type="spellStart"/>
              <w:r w:rsidR="00665BB4">
                <w:rPr>
                  <w:rStyle w:val="Hyperlink"/>
                </w:rPr>
                <w:t>вписването</w:t>
              </w:r>
              <w:proofErr w:type="spellEnd"/>
            </w:hyperlink>
            <w:r w:rsidR="00665BB4">
              <w:t xml:space="preserve"> </w:t>
            </w:r>
          </w:p>
          <w:p w:rsidR="003A0D97" w:rsidRPr="000718A2" w:rsidRDefault="00DF2DDF" w:rsidP="0006076B">
            <w:hyperlink r:id="rId11" w:tgtFrame="_blank" w:tooltip="Декларация за истинност по чл.27, ал.2, т.4 ЗОЗ" w:history="1">
              <w:proofErr w:type="spellStart"/>
              <w:r w:rsidR="00665BB4">
                <w:rPr>
                  <w:rStyle w:val="Hyperlink"/>
                </w:rPr>
                <w:t>Декларация</w:t>
              </w:r>
              <w:proofErr w:type="spellEnd"/>
              <w:r w:rsidR="00665BB4">
                <w:rPr>
                  <w:rStyle w:val="Hyperlink"/>
                </w:rPr>
                <w:t xml:space="preserve"> </w:t>
              </w:r>
              <w:proofErr w:type="spellStart"/>
              <w:r w:rsidR="00665BB4">
                <w:rPr>
                  <w:rStyle w:val="Hyperlink"/>
                </w:rPr>
                <w:t>за</w:t>
              </w:r>
              <w:proofErr w:type="spellEnd"/>
              <w:r w:rsidR="00665BB4">
                <w:rPr>
                  <w:rStyle w:val="Hyperlink"/>
                </w:rPr>
                <w:t xml:space="preserve"> </w:t>
              </w:r>
              <w:proofErr w:type="spellStart"/>
              <w:r w:rsidR="00665BB4">
                <w:rPr>
                  <w:rStyle w:val="Hyperlink"/>
                </w:rPr>
                <w:t>истинност</w:t>
              </w:r>
              <w:proofErr w:type="spellEnd"/>
              <w:r w:rsidR="00665BB4">
                <w:rPr>
                  <w:rStyle w:val="Hyperlink"/>
                </w:rPr>
                <w:t xml:space="preserve"> </w:t>
              </w:r>
              <w:proofErr w:type="spellStart"/>
              <w:r w:rsidR="00665BB4">
                <w:rPr>
                  <w:rStyle w:val="Hyperlink"/>
                </w:rPr>
                <w:t>по</w:t>
              </w:r>
              <w:proofErr w:type="spellEnd"/>
              <w:r w:rsidR="00665BB4">
                <w:rPr>
                  <w:rStyle w:val="Hyperlink"/>
                </w:rPr>
                <w:t xml:space="preserve"> чл.27, ал.2, т.4 ЗОЗ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Нормативна уредба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964F41" w:rsidRDefault="00DF2DDF" w:rsidP="00964F41">
            <w:hyperlink r:id="rId12" w:tgtFrame="_blank" w:tooltip="Закон за особените залози" w:history="1">
              <w:proofErr w:type="spellStart"/>
              <w:r w:rsidR="00964F41">
                <w:rPr>
                  <w:rStyle w:val="Hyperlink"/>
                </w:rPr>
                <w:t>Закон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</w:hyperlink>
            <w:r w:rsidR="00964F41">
              <w:t xml:space="preserve"> </w:t>
            </w:r>
          </w:p>
          <w:p w:rsidR="00964F41" w:rsidRDefault="00DF2DDF" w:rsidP="00964F41">
            <w:hyperlink r:id="rId13" w:tgtFrame="_blank" w:tooltip="Правилник за устройството и дейността на Централния регистър на особените залози към Министерството на правосъдието " w:history="1">
              <w:proofErr w:type="spellStart"/>
              <w:r w:rsidR="00964F41">
                <w:rPr>
                  <w:rStyle w:val="Hyperlink"/>
                </w:rPr>
                <w:t>Правилник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устройството</w:t>
              </w:r>
              <w:proofErr w:type="spellEnd"/>
              <w:r w:rsidR="00964F41">
                <w:rPr>
                  <w:rStyle w:val="Hyperlink"/>
                </w:rPr>
                <w:t xml:space="preserve"> и </w:t>
              </w:r>
              <w:proofErr w:type="spellStart"/>
              <w:r w:rsidR="00964F41">
                <w:rPr>
                  <w:rStyle w:val="Hyperlink"/>
                </w:rPr>
                <w:t>дейността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Централния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регистър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към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Министерството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правосъдието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</w:hyperlink>
          </w:p>
          <w:p w:rsidR="00964F41" w:rsidRDefault="00DF2DDF" w:rsidP="00964F41">
            <w:hyperlink r:id="rId14" w:tgtFrame="_blank" w:tooltip="Тарифа за държавните такси, събирани от Централния регистър на особените залози по Закона за особените залози" w:history="1">
              <w:proofErr w:type="spellStart"/>
              <w:r w:rsidR="00964F41">
                <w:rPr>
                  <w:rStyle w:val="Hyperlink"/>
                </w:rPr>
                <w:t>Тарифа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държавните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такси</w:t>
              </w:r>
              <w:proofErr w:type="spellEnd"/>
              <w:r w:rsidR="00964F41">
                <w:rPr>
                  <w:rStyle w:val="Hyperlink"/>
                </w:rPr>
                <w:t xml:space="preserve">, </w:t>
              </w:r>
              <w:proofErr w:type="spellStart"/>
              <w:r w:rsidR="00964F41">
                <w:rPr>
                  <w:rStyle w:val="Hyperlink"/>
                </w:rPr>
                <w:t>събирани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от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Централния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регистър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по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Закона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</w:hyperlink>
            <w:r w:rsidR="00964F41">
              <w:t xml:space="preserve"> </w:t>
            </w:r>
          </w:p>
          <w:p w:rsidR="00964F41" w:rsidRDefault="00DF2DDF" w:rsidP="00964F41">
            <w:hyperlink r:id="rId15" w:tgtFrame="_blank" w:tooltip="Кодове на държавите" w:history="1">
              <w:proofErr w:type="spellStart"/>
              <w:r w:rsidR="00964F41">
                <w:rPr>
                  <w:rStyle w:val="Hyperlink"/>
                </w:rPr>
                <w:t>Кодове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държавите</w:t>
              </w:r>
              <w:proofErr w:type="spellEnd"/>
            </w:hyperlink>
            <w:r w:rsidR="00964F41">
              <w:t xml:space="preserve"> </w:t>
            </w:r>
          </w:p>
          <w:p w:rsidR="000454E9" w:rsidRDefault="00DF2DDF" w:rsidP="0006076B">
            <w:pPr>
              <w:rPr>
                <w:lang w:val="bg-BG"/>
              </w:rPr>
            </w:pPr>
            <w:hyperlink r:id="rId16" w:tgtFrame="_blank" w:tooltip="Кодове на окръжните съдилища" w:history="1">
              <w:proofErr w:type="spellStart"/>
              <w:r w:rsidR="000454E9">
                <w:rPr>
                  <w:rStyle w:val="Hyperlink"/>
                </w:rPr>
                <w:t>Кодове</w:t>
              </w:r>
              <w:proofErr w:type="spellEnd"/>
              <w:r w:rsidR="000454E9">
                <w:rPr>
                  <w:rStyle w:val="Hyperlink"/>
                </w:rPr>
                <w:t xml:space="preserve"> </w:t>
              </w:r>
              <w:proofErr w:type="spellStart"/>
              <w:r w:rsidR="000454E9">
                <w:rPr>
                  <w:rStyle w:val="Hyperlink"/>
                </w:rPr>
                <w:t>на</w:t>
              </w:r>
              <w:proofErr w:type="spellEnd"/>
              <w:r w:rsidR="000454E9">
                <w:rPr>
                  <w:rStyle w:val="Hyperlink"/>
                </w:rPr>
                <w:t xml:space="preserve"> </w:t>
              </w:r>
              <w:proofErr w:type="spellStart"/>
              <w:r w:rsidR="000454E9">
                <w:rPr>
                  <w:rStyle w:val="Hyperlink"/>
                </w:rPr>
                <w:t>окръжните</w:t>
              </w:r>
              <w:proofErr w:type="spellEnd"/>
              <w:r w:rsidR="000454E9">
                <w:rPr>
                  <w:rStyle w:val="Hyperlink"/>
                </w:rPr>
                <w:t xml:space="preserve"> </w:t>
              </w:r>
              <w:proofErr w:type="spellStart"/>
              <w:r w:rsidR="000454E9">
                <w:rPr>
                  <w:rStyle w:val="Hyperlink"/>
                </w:rPr>
                <w:t>съдилища</w:t>
              </w:r>
              <w:proofErr w:type="spellEnd"/>
            </w:hyperlink>
          </w:p>
          <w:p w:rsidR="003A0D97" w:rsidRPr="00964F41" w:rsidRDefault="00DF2DDF" w:rsidP="0006076B">
            <w:hyperlink r:id="rId17" w:tgtFrame="_blank" w:tooltip="Кодове на митниците" w:history="1">
              <w:proofErr w:type="spellStart"/>
              <w:r w:rsidR="00964F41">
                <w:rPr>
                  <w:rStyle w:val="Hyperlink"/>
                </w:rPr>
                <w:t>Кодове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митниците</w:t>
              </w:r>
              <w:proofErr w:type="spellEnd"/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Заплащане за услугата</w:t>
            </w:r>
          </w:p>
        </w:tc>
      </w:tr>
      <w:tr w:rsidR="0031048E" w:rsidRPr="00A16655" w:rsidTr="00DB3036">
        <w:tc>
          <w:tcPr>
            <w:tcW w:w="10207" w:type="dxa"/>
            <w:gridSpan w:val="2"/>
          </w:tcPr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За услугата се заплаща такса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За вписването в Централния регистър на особените залози се заплаща държавна такса, определена по Тарифа на Министерски съвет за държавните такси, събирани от Централния регистър на особените залози по Закона за особените залози.</w:t>
            </w:r>
          </w:p>
          <w:p w:rsidR="004C29E1" w:rsidRDefault="002734CC" w:rsidP="00AE76BC">
            <w:pPr>
              <w:spacing w:before="6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заличаване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събира</w:t>
            </w:r>
            <w:proofErr w:type="spellEnd"/>
            <w:r>
              <w:t xml:space="preserve"> </w:t>
            </w:r>
            <w:proofErr w:type="spellStart"/>
            <w:r>
              <w:t>такса</w:t>
            </w:r>
            <w:proofErr w:type="spellEnd"/>
            <w:r>
              <w:t xml:space="preserve"> 25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първия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и </w:t>
            </w:r>
            <w:proofErr w:type="spellStart"/>
            <w:r>
              <w:t>по</w:t>
            </w:r>
            <w:proofErr w:type="spellEnd"/>
            <w:r>
              <w:t xml:space="preserve"> 10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всяка</w:t>
            </w:r>
            <w:proofErr w:type="spellEnd"/>
            <w:r>
              <w:t xml:space="preserve"> </w:t>
            </w:r>
            <w:proofErr w:type="spellStart"/>
            <w:r>
              <w:t>следваща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и </w:t>
            </w:r>
            <w:proofErr w:type="spellStart"/>
            <w:r>
              <w:t>документа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съгласие</w:t>
            </w:r>
            <w:proofErr w:type="spellEnd"/>
            <w:r>
              <w:t xml:space="preserve">, </w:t>
            </w:r>
            <w:proofErr w:type="spellStart"/>
            <w:r>
              <w:t>ако</w:t>
            </w:r>
            <w:proofErr w:type="spellEnd"/>
            <w:r>
              <w:t xml:space="preserve"> е </w:t>
            </w:r>
            <w:proofErr w:type="spellStart"/>
            <w:r>
              <w:t>приложен</w:t>
            </w:r>
            <w:proofErr w:type="spellEnd"/>
            <w:r>
              <w:t xml:space="preserve"> </w:t>
            </w:r>
            <w:proofErr w:type="spellStart"/>
            <w:r>
              <w:t>отделно</w:t>
            </w:r>
            <w:proofErr w:type="spellEnd"/>
            <w:r>
              <w:t xml:space="preserve"> (чл.2 и чл.7,т.1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Тарифа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държавните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, </w:t>
            </w:r>
            <w:proofErr w:type="spellStart"/>
            <w:r>
              <w:t>събирани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Централния</w:t>
            </w:r>
            <w:proofErr w:type="spellEnd"/>
            <w:r>
              <w:t xml:space="preserve"> </w:t>
            </w:r>
            <w:proofErr w:type="spellStart"/>
            <w:r>
              <w:t>регистър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особените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особените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>).</w:t>
            </w:r>
          </w:p>
          <w:p w:rsidR="003924BE" w:rsidRPr="00F85BA5" w:rsidRDefault="003924BE" w:rsidP="003924BE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Плащанията се извършват по банков път по банковата сметка на ЦРОЗ:</w:t>
            </w:r>
          </w:p>
          <w:p w:rsidR="003924BE" w:rsidRPr="00F85BA5" w:rsidRDefault="003924BE" w:rsidP="003924BE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"УНИКРЕДИТ БУЛБАНК" АД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ул. ИВАН ВАЗОВ №1</w:t>
            </w:r>
            <w:r>
              <w:rPr>
                <w:rFonts w:eastAsia="Times New Roman" w:cstheme="minorHAnsi"/>
                <w:lang w:val="bg-BG" w:eastAsia="bg-BG"/>
              </w:rPr>
              <w:t xml:space="preserve">        </w:t>
            </w:r>
            <w:r w:rsidRPr="00F85BA5">
              <w:rPr>
                <w:rFonts w:eastAsia="Times New Roman" w:cstheme="minorHAnsi"/>
                <w:lang w:val="bg-BG" w:eastAsia="bg-BG"/>
              </w:rPr>
              <w:t>IBAN: BG02UNCR76303100111765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BIC: UNCRBGSF</w:t>
            </w:r>
          </w:p>
          <w:p w:rsidR="00D82EE6" w:rsidRDefault="006D2C83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>
              <w:t xml:space="preserve">В </w:t>
            </w:r>
            <w:proofErr w:type="spellStart"/>
            <w:r>
              <w:t>платежното</w:t>
            </w:r>
            <w:proofErr w:type="spellEnd"/>
            <w:r>
              <w:t xml:space="preserve"> </w:t>
            </w:r>
            <w:proofErr w:type="spellStart"/>
            <w:r>
              <w:t>нареждане</w:t>
            </w:r>
            <w:proofErr w:type="spellEnd"/>
            <w:r>
              <w:t xml:space="preserve"> </w:t>
            </w:r>
            <w:proofErr w:type="spellStart"/>
            <w:r>
              <w:t>задължително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посочва</w:t>
            </w:r>
            <w:proofErr w:type="spellEnd"/>
            <w:r>
              <w:t xml:space="preserve"> </w:t>
            </w:r>
            <w:proofErr w:type="spellStart"/>
            <w:r>
              <w:t>основанието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плащане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заличаване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) и </w:t>
            </w:r>
            <w:proofErr w:type="spellStart"/>
            <w:r>
              <w:t>наименованието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лицето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чиято</w:t>
            </w:r>
            <w:proofErr w:type="spellEnd"/>
            <w:r>
              <w:t xml:space="preserve"> </w:t>
            </w:r>
            <w:proofErr w:type="spellStart"/>
            <w:r>
              <w:t>партида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иска</w:t>
            </w:r>
            <w:proofErr w:type="spellEnd"/>
            <w:r>
              <w:t xml:space="preserve"> </w:t>
            </w:r>
            <w:proofErr w:type="spellStart"/>
            <w:r>
              <w:t>вписването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номера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първоначалното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което</w:t>
            </w:r>
            <w:proofErr w:type="spellEnd"/>
            <w:r>
              <w:t xml:space="preserve"> е </w:t>
            </w:r>
            <w:proofErr w:type="spellStart"/>
            <w:r>
              <w:t>подадено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заличаване</w:t>
            </w:r>
            <w:proofErr w:type="spellEnd"/>
            <w:r>
              <w:t>.</w:t>
            </w:r>
          </w:p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Към всяка преписка за вписване се прилага документ, удостоверяващ платената държавна такса.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Услугата може да бъде заплатена по един от следните начини:</w:t>
            </w:r>
          </w:p>
          <w:p w:rsidR="003A0D97" w:rsidRPr="00A16655" w:rsidRDefault="00A16655" w:rsidP="00D92FD0">
            <w:pPr>
              <w:jc w:val="both"/>
              <w:rPr>
                <w:rFonts w:cstheme="minorHAnsi"/>
                <w:lang w:val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По банков път</w:t>
            </w:r>
          </w:p>
        </w:tc>
      </w:tr>
    </w:tbl>
    <w:p w:rsidR="006B6D29" w:rsidRPr="001A61E6" w:rsidRDefault="006B6D29" w:rsidP="001E6108">
      <w:pPr>
        <w:tabs>
          <w:tab w:val="left" w:pos="1676"/>
        </w:tabs>
        <w:rPr>
          <w:rFonts w:ascii="Calibri" w:hAnsi="Calibri" w:cs="Calibri"/>
        </w:rPr>
      </w:pPr>
    </w:p>
    <w:sectPr w:rsidR="006B6D29" w:rsidRPr="001A61E6" w:rsidSect="0052442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D3" w:rsidRDefault="00A510D3" w:rsidP="001A61E6">
      <w:pPr>
        <w:spacing w:after="0" w:line="240" w:lineRule="auto"/>
      </w:pPr>
      <w:r>
        <w:separator/>
      </w:r>
    </w:p>
  </w:endnote>
  <w:endnote w:type="continuationSeparator" w:id="0">
    <w:p w:rsidR="00A510D3" w:rsidRDefault="00A510D3" w:rsidP="001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32946"/>
      <w:docPartObj>
        <w:docPartGallery w:val="Page Numbers (Bottom of Page)"/>
        <w:docPartUnique/>
      </w:docPartObj>
    </w:sdtPr>
    <w:sdtEndPr/>
    <w:sdtContent>
      <w:p w:rsidR="001A61E6" w:rsidRDefault="001A61E6">
        <w:pPr>
          <w:pStyle w:val="Footer"/>
        </w:pPr>
        <w:r>
          <w:rPr>
            <w:noProof/>
            <w:lang w:val="bg-BG"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6455391" cy="190500"/>
                  <wp:effectExtent l="0" t="0" r="222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55391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5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A61E6" w:rsidRPr="001A61E6" w:rsidRDefault="001A61E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D011F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  <w:lang w:val="bg-BG"/>
                                  </w:rPr>
                                  <w:t>/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NUMPAGES 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D011F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27293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7231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08.3pt;height:15pt;z-index:251659264;mso-position-horizontal:center;mso-position-horizontal-relative:margin;mso-position-vertical:top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995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1A61E6" w:rsidRPr="001A61E6" w:rsidRDefault="001A61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011F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sz w:val="20"/>
                              <w:szCs w:val="20"/>
                              <w:lang w:val="bg-BG"/>
                            </w:rPr>
                            <w:t>/</w:t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011F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0+sIAAADaAAAADwAAAGRycy9kb3ducmV2LnhtbESPT4vCMBTE74LfITzBm6aKyFKNsgri&#10;nz1pdff6aJ5t2ealNLG2394sLHgcZuY3zHLdmlI0VLvCsoLJOAJBnFpdcKbgmuxGHyCcR9ZYWiYF&#10;HTlYr/q9JcbaPvlMzcVnIkDYxagg976KpXRpTgbd2FbEwbvb2qAPss6krvEZ4KaU0yiaS4MFh4Uc&#10;K9rmlP5eHkbBcdMkzp3vyY9uuq/uOMfb9/6k1HDQfi5AeGr9O/zfPmgFM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G0+sIAAADaAAAADwAAAAAAAAAAAAAA&#10;AAChAgAAZHJzL2Rvd25yZXYueG1sUEsFBgAAAAAEAAQA+QAAAJADAAAAAA==&#10;" adj="5895" strokecolor="#63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17fsMAAADaAAAADwAAAGRycy9kb3ducmV2LnhtbESPQWsCMRSE70L/Q3iFXqRmW7DI1ijF&#10;Iu3Rrlro7bF5bhY3L0vy1PXfN0Khx2FmvmHmy8F36kwxtYENPE0KUMR1sC03Bnbb9eMMVBJki11g&#10;MnClBMvF3WiOpQ0X/qJzJY3KEE4lGnAifal1qh15TJPQE2fvEKJHyTI22ka8ZLjv9HNRvGiPLecF&#10;hz2tHNXH6uQNVPv3QT6+15urbVY/MnanbdyQMQ/3w9srKKFB/sN/7U9rYAq3K/kG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Ne37DAAAA2gAAAA8AAAAAAAAAAAAA&#10;AAAAoQIAAGRycy9kb3ducmV2LnhtbFBLBQYAAAAABAAEAPkAAACRAwAAAAA=&#10;" adj="21002" strokecolor="#630"/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D3" w:rsidRDefault="00A510D3" w:rsidP="001A61E6">
      <w:pPr>
        <w:spacing w:after="0" w:line="240" w:lineRule="auto"/>
      </w:pPr>
      <w:r>
        <w:separator/>
      </w:r>
    </w:p>
  </w:footnote>
  <w:footnote w:type="continuationSeparator" w:id="0">
    <w:p w:rsidR="00A510D3" w:rsidRDefault="00A510D3" w:rsidP="001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4D4"/>
    <w:multiLevelType w:val="multilevel"/>
    <w:tmpl w:val="17B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E2774"/>
    <w:multiLevelType w:val="multilevel"/>
    <w:tmpl w:val="880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061A0"/>
    <w:multiLevelType w:val="hybridMultilevel"/>
    <w:tmpl w:val="19E246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3732D"/>
    <w:multiLevelType w:val="multilevel"/>
    <w:tmpl w:val="ABB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9"/>
    <w:rsid w:val="000007A8"/>
    <w:rsid w:val="00011E30"/>
    <w:rsid w:val="000152E0"/>
    <w:rsid w:val="000301B1"/>
    <w:rsid w:val="000307EE"/>
    <w:rsid w:val="00033313"/>
    <w:rsid w:val="000347A9"/>
    <w:rsid w:val="00037AD2"/>
    <w:rsid w:val="000429C4"/>
    <w:rsid w:val="000454E9"/>
    <w:rsid w:val="0006076B"/>
    <w:rsid w:val="000718A2"/>
    <w:rsid w:val="00075044"/>
    <w:rsid w:val="00095456"/>
    <w:rsid w:val="000C1DAB"/>
    <w:rsid w:val="000C6AF4"/>
    <w:rsid w:val="000D2492"/>
    <w:rsid w:val="00110251"/>
    <w:rsid w:val="00153A7D"/>
    <w:rsid w:val="00162C79"/>
    <w:rsid w:val="001734D4"/>
    <w:rsid w:val="00177EBC"/>
    <w:rsid w:val="001A61E6"/>
    <w:rsid w:val="001C3FAB"/>
    <w:rsid w:val="001C7D29"/>
    <w:rsid w:val="001D6A51"/>
    <w:rsid w:val="001E6108"/>
    <w:rsid w:val="0021703D"/>
    <w:rsid w:val="00251352"/>
    <w:rsid w:val="0025144A"/>
    <w:rsid w:val="00265DD7"/>
    <w:rsid w:val="002734CC"/>
    <w:rsid w:val="00296067"/>
    <w:rsid w:val="002A4BBB"/>
    <w:rsid w:val="002B251A"/>
    <w:rsid w:val="002B43DF"/>
    <w:rsid w:val="002D3AE2"/>
    <w:rsid w:val="002D7B65"/>
    <w:rsid w:val="002E20DF"/>
    <w:rsid w:val="002E386E"/>
    <w:rsid w:val="003045D5"/>
    <w:rsid w:val="0031048E"/>
    <w:rsid w:val="003265AE"/>
    <w:rsid w:val="00331B21"/>
    <w:rsid w:val="0034506E"/>
    <w:rsid w:val="00353D49"/>
    <w:rsid w:val="00373CC1"/>
    <w:rsid w:val="00380CFE"/>
    <w:rsid w:val="00381173"/>
    <w:rsid w:val="003924BE"/>
    <w:rsid w:val="003969A9"/>
    <w:rsid w:val="003975B4"/>
    <w:rsid w:val="003A0644"/>
    <w:rsid w:val="003A0D97"/>
    <w:rsid w:val="003B40AA"/>
    <w:rsid w:val="003B51E5"/>
    <w:rsid w:val="003C0FF5"/>
    <w:rsid w:val="003C672F"/>
    <w:rsid w:val="003E68F9"/>
    <w:rsid w:val="00411115"/>
    <w:rsid w:val="00415754"/>
    <w:rsid w:val="00415903"/>
    <w:rsid w:val="00417851"/>
    <w:rsid w:val="00442FC3"/>
    <w:rsid w:val="004716E4"/>
    <w:rsid w:val="00484ACB"/>
    <w:rsid w:val="00490700"/>
    <w:rsid w:val="00490E1D"/>
    <w:rsid w:val="00494737"/>
    <w:rsid w:val="004B7E31"/>
    <w:rsid w:val="004C29E1"/>
    <w:rsid w:val="004C56F9"/>
    <w:rsid w:val="004D0644"/>
    <w:rsid w:val="004D255B"/>
    <w:rsid w:val="004D39D3"/>
    <w:rsid w:val="004E697B"/>
    <w:rsid w:val="00510000"/>
    <w:rsid w:val="0052442A"/>
    <w:rsid w:val="00530D3F"/>
    <w:rsid w:val="00563702"/>
    <w:rsid w:val="0059671C"/>
    <w:rsid w:val="00597758"/>
    <w:rsid w:val="005C4BF7"/>
    <w:rsid w:val="005C7D88"/>
    <w:rsid w:val="005D159E"/>
    <w:rsid w:val="00602B1C"/>
    <w:rsid w:val="006074EA"/>
    <w:rsid w:val="00624D06"/>
    <w:rsid w:val="00665BB4"/>
    <w:rsid w:val="006A15D0"/>
    <w:rsid w:val="006B5CCB"/>
    <w:rsid w:val="006B6D29"/>
    <w:rsid w:val="006D2C83"/>
    <w:rsid w:val="006E4A98"/>
    <w:rsid w:val="00724A60"/>
    <w:rsid w:val="00725754"/>
    <w:rsid w:val="00726510"/>
    <w:rsid w:val="00737C25"/>
    <w:rsid w:val="00755666"/>
    <w:rsid w:val="0075585D"/>
    <w:rsid w:val="007A2D08"/>
    <w:rsid w:val="007B0D7B"/>
    <w:rsid w:val="007D011F"/>
    <w:rsid w:val="007E07E6"/>
    <w:rsid w:val="00832388"/>
    <w:rsid w:val="008474E7"/>
    <w:rsid w:val="00851FC9"/>
    <w:rsid w:val="0085724C"/>
    <w:rsid w:val="008802AA"/>
    <w:rsid w:val="00890691"/>
    <w:rsid w:val="008A506E"/>
    <w:rsid w:val="008A56DB"/>
    <w:rsid w:val="008E24E1"/>
    <w:rsid w:val="008E2A3B"/>
    <w:rsid w:val="008F560D"/>
    <w:rsid w:val="00901FEC"/>
    <w:rsid w:val="009356D7"/>
    <w:rsid w:val="00954054"/>
    <w:rsid w:val="00964F41"/>
    <w:rsid w:val="00967DA1"/>
    <w:rsid w:val="00A00D14"/>
    <w:rsid w:val="00A01040"/>
    <w:rsid w:val="00A0160A"/>
    <w:rsid w:val="00A16655"/>
    <w:rsid w:val="00A17B55"/>
    <w:rsid w:val="00A23F0C"/>
    <w:rsid w:val="00A50E49"/>
    <w:rsid w:val="00A510D3"/>
    <w:rsid w:val="00A61C4E"/>
    <w:rsid w:val="00A720BB"/>
    <w:rsid w:val="00A72521"/>
    <w:rsid w:val="00A9659D"/>
    <w:rsid w:val="00A97F13"/>
    <w:rsid w:val="00AA586F"/>
    <w:rsid w:val="00AA5D78"/>
    <w:rsid w:val="00AC6699"/>
    <w:rsid w:val="00AE76BC"/>
    <w:rsid w:val="00B13713"/>
    <w:rsid w:val="00B33E49"/>
    <w:rsid w:val="00B83B72"/>
    <w:rsid w:val="00B92839"/>
    <w:rsid w:val="00B92B4D"/>
    <w:rsid w:val="00BC7CC2"/>
    <w:rsid w:val="00BD2060"/>
    <w:rsid w:val="00BE5583"/>
    <w:rsid w:val="00BF7239"/>
    <w:rsid w:val="00C4099F"/>
    <w:rsid w:val="00C479DB"/>
    <w:rsid w:val="00C57358"/>
    <w:rsid w:val="00C84430"/>
    <w:rsid w:val="00CD694D"/>
    <w:rsid w:val="00CE1E06"/>
    <w:rsid w:val="00CE5A4D"/>
    <w:rsid w:val="00CF5F3C"/>
    <w:rsid w:val="00D029E6"/>
    <w:rsid w:val="00D20C12"/>
    <w:rsid w:val="00D43648"/>
    <w:rsid w:val="00D82EE6"/>
    <w:rsid w:val="00D9101B"/>
    <w:rsid w:val="00D92FD0"/>
    <w:rsid w:val="00DB3036"/>
    <w:rsid w:val="00DC36B3"/>
    <w:rsid w:val="00DC3945"/>
    <w:rsid w:val="00DC5C99"/>
    <w:rsid w:val="00DE2668"/>
    <w:rsid w:val="00DE7B37"/>
    <w:rsid w:val="00DF2DDF"/>
    <w:rsid w:val="00E063F9"/>
    <w:rsid w:val="00E371E0"/>
    <w:rsid w:val="00E5403F"/>
    <w:rsid w:val="00E54174"/>
    <w:rsid w:val="00E60502"/>
    <w:rsid w:val="00E90358"/>
    <w:rsid w:val="00E909EE"/>
    <w:rsid w:val="00EB1147"/>
    <w:rsid w:val="00EB3397"/>
    <w:rsid w:val="00EB372C"/>
    <w:rsid w:val="00EB7217"/>
    <w:rsid w:val="00EE3CFE"/>
    <w:rsid w:val="00EE4C4F"/>
    <w:rsid w:val="00EF180E"/>
    <w:rsid w:val="00EF1FB1"/>
    <w:rsid w:val="00EF2D31"/>
    <w:rsid w:val="00EF5933"/>
    <w:rsid w:val="00EF6393"/>
    <w:rsid w:val="00F0183D"/>
    <w:rsid w:val="00F07204"/>
    <w:rsid w:val="00F42D95"/>
    <w:rsid w:val="00F834A0"/>
    <w:rsid w:val="00FA479E"/>
    <w:rsid w:val="00FC34AC"/>
    <w:rsid w:val="00FC7A71"/>
    <w:rsid w:val="00FD2583"/>
    <w:rsid w:val="00FE65E9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ernment.bg/home/index/32797d12-56b2-4385-9b36-b0ed9e7416f0?top=1" TargetMode="External"/><Relationship Id="rId13" Type="http://schemas.openxmlformats.org/officeDocument/2006/relationships/hyperlink" Target="https://iisda.government.bg/adm_services/service_regulatory_file/61415_5152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adm_services/service_regulatory_file/61415_51521" TargetMode="External"/><Relationship Id="rId17" Type="http://schemas.openxmlformats.org/officeDocument/2006/relationships/hyperlink" Target="https://iisda.government.bg/adm_services/service_regulatory_file/61415_515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isda.government.bg/adm_services/service_regulatory_file/61416_5153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isda.government.bg/adm_services/service_sample_file/61470_730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isda.government.bg/adm_services/service_regulatory_file/61415_51523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iisda.government.bg/adm_services/service_sample_file/61470_4794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roz@justice.government.bg" TargetMode="External"/><Relationship Id="rId14" Type="http://schemas.openxmlformats.org/officeDocument/2006/relationships/hyperlink" Target="https://iisda.government.bg/adm_services/service_regulatory_file/61415_4788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sgrigorova</cp:lastModifiedBy>
  <cp:revision>73</cp:revision>
  <dcterms:created xsi:type="dcterms:W3CDTF">2021-01-25T17:12:00Z</dcterms:created>
  <dcterms:modified xsi:type="dcterms:W3CDTF">2021-02-07T21:09:00Z</dcterms:modified>
</cp:coreProperties>
</file>