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69" w:rsidRPr="00966194" w:rsidRDefault="00AC3F95">
      <w:pPr>
        <w:spacing w:after="0" w:line="240" w:lineRule="auto"/>
        <w:jc w:val="center"/>
        <w:rPr>
          <w:rFonts w:ascii="Times New Roman" w:hAnsi="Times New Roman" w:cs="Times New Roman"/>
          <w:b/>
          <w:sz w:val="24"/>
          <w:szCs w:val="24"/>
        </w:rPr>
      </w:pPr>
      <w:r w:rsidRPr="00966194">
        <w:rPr>
          <w:rFonts w:ascii="Times New Roman" w:hAnsi="Times New Roman" w:cs="Times New Roman"/>
          <w:b/>
          <w:sz w:val="24"/>
          <w:szCs w:val="24"/>
        </w:rPr>
        <w:t>МОТИВИ</w:t>
      </w:r>
    </w:p>
    <w:p w:rsidR="005229B3" w:rsidRDefault="00AC3F95">
      <w:pPr>
        <w:spacing w:after="0" w:line="240" w:lineRule="auto"/>
        <w:jc w:val="center"/>
        <w:rPr>
          <w:rFonts w:ascii="Times New Roman" w:hAnsi="Times New Roman" w:cs="Times New Roman"/>
          <w:b/>
          <w:sz w:val="24"/>
          <w:szCs w:val="24"/>
        </w:rPr>
      </w:pPr>
      <w:r w:rsidRPr="00966194">
        <w:rPr>
          <w:rFonts w:ascii="Times New Roman" w:hAnsi="Times New Roman" w:cs="Times New Roman"/>
          <w:b/>
          <w:sz w:val="24"/>
          <w:szCs w:val="24"/>
        </w:rPr>
        <w:t xml:space="preserve">КЪМ ЗАКОНА ЗА ИЗМЕНЕНИЕ И ДОПЪЛНЕНИЕ </w:t>
      </w:r>
    </w:p>
    <w:p w:rsidR="00160F69" w:rsidRPr="00966194" w:rsidRDefault="00AC3F95">
      <w:pPr>
        <w:spacing w:after="0" w:line="240" w:lineRule="auto"/>
        <w:jc w:val="center"/>
        <w:rPr>
          <w:rFonts w:ascii="Times New Roman" w:hAnsi="Times New Roman" w:cs="Times New Roman"/>
          <w:b/>
          <w:sz w:val="24"/>
          <w:szCs w:val="24"/>
        </w:rPr>
      </w:pPr>
      <w:r w:rsidRPr="00966194">
        <w:rPr>
          <w:rFonts w:ascii="Times New Roman" w:hAnsi="Times New Roman" w:cs="Times New Roman"/>
          <w:b/>
          <w:sz w:val="24"/>
          <w:szCs w:val="24"/>
        </w:rPr>
        <w:t>НА НАКАЗАТЕЛНИЯ КОДЕКС</w:t>
      </w:r>
    </w:p>
    <w:p w:rsidR="00160F69" w:rsidRPr="00966194" w:rsidRDefault="00160F69">
      <w:pPr>
        <w:spacing w:after="0" w:line="240" w:lineRule="auto"/>
        <w:jc w:val="both"/>
        <w:rPr>
          <w:rFonts w:ascii="Times New Roman" w:hAnsi="Times New Roman" w:cs="Times New Roman"/>
          <w:b/>
          <w:sz w:val="24"/>
          <w:szCs w:val="24"/>
        </w:rPr>
      </w:pPr>
    </w:p>
    <w:p w:rsidR="00160F69" w:rsidRPr="00966194" w:rsidRDefault="00AC3F95">
      <w:pPr>
        <w:spacing w:after="0" w:line="240" w:lineRule="auto"/>
        <w:jc w:val="both"/>
        <w:rPr>
          <w:rFonts w:ascii="Times New Roman" w:hAnsi="Times New Roman" w:cs="Times New Roman"/>
          <w:sz w:val="24"/>
          <w:szCs w:val="24"/>
        </w:rPr>
      </w:pPr>
      <w:r w:rsidRPr="00966194">
        <w:rPr>
          <w:rFonts w:ascii="Times New Roman" w:hAnsi="Times New Roman" w:cs="Times New Roman"/>
          <w:sz w:val="24"/>
          <w:szCs w:val="24"/>
        </w:rPr>
        <w:tab/>
      </w:r>
      <w:proofErr w:type="spellStart"/>
      <w:r w:rsidRPr="00966194">
        <w:rPr>
          <w:rFonts w:ascii="Times New Roman" w:hAnsi="Times New Roman" w:cs="Times New Roman"/>
          <w:sz w:val="24"/>
          <w:szCs w:val="24"/>
        </w:rPr>
        <w:t>Киберпрестъпността</w:t>
      </w:r>
      <w:proofErr w:type="spellEnd"/>
      <w:r w:rsidRPr="00966194">
        <w:rPr>
          <w:rFonts w:ascii="Times New Roman" w:hAnsi="Times New Roman" w:cs="Times New Roman"/>
          <w:sz w:val="24"/>
          <w:szCs w:val="24"/>
        </w:rPr>
        <w:t xml:space="preserve"> е обществено явление, което не признава граници, възползва се от постоянно разрастващата се глобализация, от новите технологии, от регионалните и националните кризи в страните – било то икономически, политически или военни. Ежедневно ставаме свидетели на мащабни и разнородни </w:t>
      </w:r>
      <w:proofErr w:type="spellStart"/>
      <w:r w:rsidRPr="00966194">
        <w:rPr>
          <w:rFonts w:ascii="Times New Roman" w:hAnsi="Times New Roman" w:cs="Times New Roman"/>
          <w:sz w:val="24"/>
          <w:szCs w:val="24"/>
        </w:rPr>
        <w:t>кибератаки</w:t>
      </w:r>
      <w:proofErr w:type="spellEnd"/>
      <w:r w:rsidRPr="00966194">
        <w:rPr>
          <w:rFonts w:ascii="Times New Roman" w:hAnsi="Times New Roman" w:cs="Times New Roman"/>
          <w:sz w:val="24"/>
          <w:szCs w:val="24"/>
        </w:rPr>
        <w:t xml:space="preserve">, нанасящи огромни щети на компании и интернет потребители от цял свят, като същите са факт и в страната ни. Нещо повече, </w:t>
      </w:r>
      <w:proofErr w:type="spellStart"/>
      <w:r w:rsidRPr="00966194">
        <w:rPr>
          <w:rFonts w:ascii="Times New Roman" w:hAnsi="Times New Roman" w:cs="Times New Roman"/>
          <w:sz w:val="24"/>
          <w:szCs w:val="24"/>
        </w:rPr>
        <w:t>киберпрестъпността</w:t>
      </w:r>
      <w:proofErr w:type="spellEnd"/>
      <w:r w:rsidRPr="00966194">
        <w:rPr>
          <w:rFonts w:ascii="Times New Roman" w:hAnsi="Times New Roman" w:cs="Times New Roman"/>
          <w:sz w:val="24"/>
          <w:szCs w:val="24"/>
        </w:rPr>
        <w:t xml:space="preserve"> и употребата на Интернет пространството  успешно и ефективно благоприятства и всяка една останала престъпна дейност на национално и транснационално ниво, която нанася огромни щети на бюджета. </w:t>
      </w:r>
    </w:p>
    <w:p w:rsidR="00160F69" w:rsidRPr="00966194" w:rsidRDefault="00AC3F95">
      <w:pPr>
        <w:spacing w:after="0" w:line="240" w:lineRule="auto"/>
        <w:jc w:val="both"/>
        <w:rPr>
          <w:rFonts w:ascii="Times New Roman" w:hAnsi="Times New Roman" w:cs="Times New Roman"/>
          <w:sz w:val="24"/>
          <w:szCs w:val="24"/>
        </w:rPr>
      </w:pPr>
      <w:r w:rsidRPr="00966194">
        <w:rPr>
          <w:rFonts w:ascii="Times New Roman" w:hAnsi="Times New Roman" w:cs="Times New Roman"/>
          <w:sz w:val="24"/>
          <w:szCs w:val="24"/>
        </w:rPr>
        <w:tab/>
        <w:t xml:space="preserve">В последното десетилетие е налице рязко и масово нахлуване на технологиите и интернет пространството в ежедневието на обществото </w:t>
      </w:r>
      <w:r w:rsidRPr="008D4777">
        <w:rPr>
          <w:rFonts w:ascii="Times New Roman" w:hAnsi="Times New Roman" w:cs="Times New Roman"/>
          <w:sz w:val="24"/>
          <w:szCs w:val="24"/>
        </w:rPr>
        <w:t>ни</w:t>
      </w:r>
      <w:r w:rsidR="008D4777">
        <w:rPr>
          <w:rFonts w:ascii="Times New Roman" w:hAnsi="Times New Roman" w:cs="Times New Roman"/>
          <w:sz w:val="24"/>
          <w:szCs w:val="24"/>
          <w:lang w:val="en-US"/>
        </w:rPr>
        <w:t xml:space="preserve"> </w:t>
      </w:r>
      <w:r w:rsidRPr="008D4777">
        <w:rPr>
          <w:rFonts w:ascii="Times New Roman" w:hAnsi="Times New Roman" w:cs="Times New Roman"/>
          <w:sz w:val="24"/>
          <w:szCs w:val="24"/>
        </w:rPr>
        <w:t>като част от неговото развитие. С това във времето все повече се разширява и възможния</w:t>
      </w:r>
      <w:r w:rsidR="005229B3" w:rsidRPr="008D4777">
        <w:rPr>
          <w:rFonts w:ascii="Times New Roman" w:hAnsi="Times New Roman" w:cs="Times New Roman"/>
          <w:sz w:val="24"/>
          <w:szCs w:val="24"/>
        </w:rPr>
        <w:t>т</w:t>
      </w:r>
      <w:r w:rsidRPr="00966194">
        <w:rPr>
          <w:rFonts w:ascii="Times New Roman" w:hAnsi="Times New Roman" w:cs="Times New Roman"/>
          <w:sz w:val="24"/>
          <w:szCs w:val="24"/>
        </w:rPr>
        <w:t xml:space="preserve"> обект на престъпления от подобен тип посегателства – засягат се както икономическите отношения (чл. 216,  ал. 3-6,  чл.</w:t>
      </w:r>
      <w:r w:rsidR="005229B3">
        <w:rPr>
          <w:rFonts w:ascii="Times New Roman" w:hAnsi="Times New Roman" w:cs="Times New Roman"/>
          <w:sz w:val="24"/>
          <w:szCs w:val="24"/>
        </w:rPr>
        <w:t xml:space="preserve"> </w:t>
      </w:r>
      <w:r w:rsidRPr="00966194">
        <w:rPr>
          <w:rFonts w:ascii="Times New Roman" w:hAnsi="Times New Roman" w:cs="Times New Roman"/>
          <w:sz w:val="24"/>
          <w:szCs w:val="24"/>
        </w:rPr>
        <w:t>212а, чл. 246,  ал. 3 , чл.</w:t>
      </w:r>
      <w:r w:rsidR="005229B3">
        <w:rPr>
          <w:rFonts w:ascii="Times New Roman" w:hAnsi="Times New Roman" w:cs="Times New Roman"/>
          <w:sz w:val="24"/>
          <w:szCs w:val="24"/>
        </w:rPr>
        <w:t xml:space="preserve"> </w:t>
      </w:r>
      <w:r w:rsidRPr="00966194">
        <w:rPr>
          <w:rFonts w:ascii="Times New Roman" w:hAnsi="Times New Roman" w:cs="Times New Roman"/>
          <w:sz w:val="24"/>
          <w:szCs w:val="24"/>
        </w:rPr>
        <w:t xml:space="preserve">319а,  чл. 319 б, чл. 319в НК), така и </w:t>
      </w:r>
      <w:r w:rsidRPr="008D4777">
        <w:rPr>
          <w:rFonts w:ascii="Times New Roman" w:hAnsi="Times New Roman" w:cs="Times New Roman"/>
          <w:sz w:val="24"/>
          <w:szCs w:val="24"/>
        </w:rPr>
        <w:t>неприкос</w:t>
      </w:r>
      <w:r w:rsidR="005229B3" w:rsidRPr="008D4777">
        <w:rPr>
          <w:rFonts w:ascii="Times New Roman" w:hAnsi="Times New Roman" w:cs="Times New Roman"/>
          <w:sz w:val="24"/>
          <w:szCs w:val="24"/>
        </w:rPr>
        <w:t>но</w:t>
      </w:r>
      <w:r w:rsidRPr="008D4777">
        <w:rPr>
          <w:rFonts w:ascii="Times New Roman" w:hAnsi="Times New Roman" w:cs="Times New Roman"/>
          <w:sz w:val="24"/>
          <w:szCs w:val="24"/>
        </w:rPr>
        <w:t>веността на кореспо</w:t>
      </w:r>
      <w:r w:rsidR="005229B3" w:rsidRPr="008D4777">
        <w:rPr>
          <w:rFonts w:ascii="Times New Roman" w:hAnsi="Times New Roman" w:cs="Times New Roman"/>
          <w:sz w:val="24"/>
          <w:szCs w:val="24"/>
        </w:rPr>
        <w:t>н</w:t>
      </w:r>
      <w:r w:rsidRPr="008D4777">
        <w:rPr>
          <w:rFonts w:ascii="Times New Roman" w:hAnsi="Times New Roman" w:cs="Times New Roman"/>
          <w:sz w:val="24"/>
          <w:szCs w:val="24"/>
        </w:rPr>
        <w:t>денцията ни (чл. 171 и чл. 319д НК), правата, защитаващи интелектуалната собственост</w:t>
      </w:r>
      <w:r w:rsidR="005229B3" w:rsidRPr="008D4777">
        <w:rPr>
          <w:rFonts w:ascii="Times New Roman" w:hAnsi="Times New Roman" w:cs="Times New Roman"/>
          <w:sz w:val="24"/>
          <w:szCs w:val="24"/>
        </w:rPr>
        <w:t>,</w:t>
      </w:r>
      <w:r w:rsidRPr="008D4777">
        <w:rPr>
          <w:rFonts w:ascii="Times New Roman" w:hAnsi="Times New Roman" w:cs="Times New Roman"/>
          <w:sz w:val="24"/>
          <w:szCs w:val="24"/>
        </w:rPr>
        <w:t xml:space="preserve"> и</w:t>
      </w:r>
      <w:r w:rsidRPr="00966194">
        <w:rPr>
          <w:rFonts w:ascii="Times New Roman" w:hAnsi="Times New Roman" w:cs="Times New Roman"/>
          <w:sz w:val="24"/>
          <w:szCs w:val="24"/>
        </w:rPr>
        <w:t xml:space="preserve"> други. Към днешната дата обект на компютърните престъпления могат да бъдат както държавата, така и бизнес</w:t>
      </w:r>
      <w:r w:rsidR="005229B3" w:rsidRPr="005229B3">
        <w:rPr>
          <w:rFonts w:ascii="Times New Roman" w:hAnsi="Times New Roman" w:cs="Times New Roman"/>
          <w:sz w:val="24"/>
          <w:szCs w:val="24"/>
        </w:rPr>
        <w:t>ът</w:t>
      </w:r>
      <w:r w:rsidRPr="00966194">
        <w:rPr>
          <w:rFonts w:ascii="Times New Roman" w:hAnsi="Times New Roman" w:cs="Times New Roman"/>
          <w:sz w:val="24"/>
          <w:szCs w:val="24"/>
        </w:rPr>
        <w:t xml:space="preserve"> и гражданите.</w:t>
      </w:r>
    </w:p>
    <w:p w:rsidR="00160F69" w:rsidRPr="00966194" w:rsidRDefault="00AC3F95">
      <w:pPr>
        <w:spacing w:after="0" w:line="240" w:lineRule="auto"/>
        <w:jc w:val="both"/>
        <w:rPr>
          <w:rFonts w:ascii="Times New Roman" w:hAnsi="Times New Roman" w:cs="Times New Roman"/>
          <w:sz w:val="24"/>
          <w:szCs w:val="24"/>
        </w:rPr>
      </w:pPr>
      <w:r w:rsidRPr="00966194">
        <w:rPr>
          <w:rFonts w:ascii="Times New Roman" w:hAnsi="Times New Roman" w:cs="Times New Roman"/>
          <w:sz w:val="24"/>
          <w:szCs w:val="24"/>
        </w:rPr>
        <w:tab/>
        <w:t>Горепосоченото се потвърждава и от статистика на Г</w:t>
      </w:r>
      <w:r w:rsidR="00D01C28" w:rsidRPr="00966194">
        <w:rPr>
          <w:rFonts w:ascii="Times New Roman" w:hAnsi="Times New Roman" w:cs="Times New Roman"/>
          <w:sz w:val="24"/>
          <w:szCs w:val="24"/>
        </w:rPr>
        <w:t>лавна дирекция „Борба с организираната престъпност“ към Министерството на вътрешните работи</w:t>
      </w:r>
      <w:r w:rsidRPr="00966194">
        <w:rPr>
          <w:rFonts w:ascii="Times New Roman" w:hAnsi="Times New Roman" w:cs="Times New Roman"/>
          <w:sz w:val="24"/>
          <w:szCs w:val="24"/>
        </w:rPr>
        <w:t xml:space="preserve"> за постъпили сигнали от жертви на компютърни и компютърно свързани престъпления през последните 5 години, чиито показатели са следните:</w:t>
      </w:r>
    </w:p>
    <w:p w:rsidR="00160F69" w:rsidRPr="00966194" w:rsidRDefault="00AC3F95">
      <w:pPr>
        <w:spacing w:after="0" w:line="240" w:lineRule="auto"/>
        <w:jc w:val="both"/>
        <w:rPr>
          <w:rFonts w:ascii="Times New Roman" w:hAnsi="Times New Roman" w:cs="Times New Roman"/>
          <w:sz w:val="24"/>
          <w:szCs w:val="24"/>
        </w:rPr>
      </w:pPr>
      <w:r w:rsidRPr="00966194">
        <w:rPr>
          <w:rFonts w:ascii="Times New Roman" w:hAnsi="Times New Roman" w:cs="Times New Roman"/>
          <w:sz w:val="24"/>
          <w:szCs w:val="24"/>
        </w:rPr>
        <w:tab/>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958"/>
        <w:gridCol w:w="3180"/>
        <w:gridCol w:w="4782"/>
      </w:tblGrid>
      <w:tr w:rsidR="00160F69" w:rsidRPr="00966194">
        <w:trPr>
          <w:trHeight w:val="945"/>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rPr>
                <w:rFonts w:ascii="Times New Roman" w:eastAsia="Times New Roman" w:hAnsi="Times New Roman" w:cs="Times New Roman"/>
                <w:b/>
                <w:bCs/>
                <w:color w:val="000000"/>
                <w:sz w:val="24"/>
                <w:szCs w:val="24"/>
                <w:lang w:eastAsia="bg-BG"/>
              </w:rPr>
            </w:pPr>
            <w:r w:rsidRPr="00966194">
              <w:rPr>
                <w:rFonts w:ascii="Times New Roman" w:eastAsia="Times New Roman" w:hAnsi="Times New Roman" w:cs="Times New Roman"/>
                <w:b/>
                <w:bCs/>
                <w:color w:val="000000"/>
                <w:sz w:val="24"/>
                <w:szCs w:val="24"/>
                <w:lang w:eastAsia="bg-BG"/>
              </w:rPr>
              <w:t>Година</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pPr>
            <w:r w:rsidRPr="00966194">
              <w:rPr>
                <w:rFonts w:ascii="Times New Roman" w:eastAsia="Times New Roman" w:hAnsi="Times New Roman" w:cs="Times New Roman"/>
                <w:b/>
                <w:bCs/>
                <w:color w:val="000000"/>
                <w:sz w:val="24"/>
                <w:szCs w:val="24"/>
                <w:lang w:eastAsia="bg-BG"/>
              </w:rPr>
              <w:t xml:space="preserve">Постъпили жалби и сигнали от жертви на </w:t>
            </w:r>
            <w:proofErr w:type="spellStart"/>
            <w:r w:rsidRPr="00966194">
              <w:rPr>
                <w:rFonts w:ascii="Times New Roman" w:eastAsia="Times New Roman" w:hAnsi="Times New Roman" w:cs="Times New Roman"/>
                <w:b/>
                <w:bCs/>
                <w:color w:val="000000"/>
                <w:sz w:val="24"/>
                <w:szCs w:val="24"/>
                <w:lang w:eastAsia="bg-BG"/>
              </w:rPr>
              <w:t>киберпрестъпления</w:t>
            </w:r>
            <w:proofErr w:type="spellEnd"/>
          </w:p>
        </w:tc>
        <w:tc>
          <w:tcPr>
            <w:tcW w:w="4782" w:type="dxa"/>
            <w:tcBorders>
              <w:top w:val="single" w:sz="4" w:space="0" w:color="000000"/>
              <w:left w:val="single" w:sz="4" w:space="0" w:color="000000"/>
              <w:bottom w:val="single" w:sz="4" w:space="0" w:color="000000"/>
              <w:right w:val="single" w:sz="4" w:space="0" w:color="000000"/>
            </w:tcBorders>
            <w:shd w:val="clear" w:color="auto" w:fill="auto"/>
          </w:tcPr>
          <w:p w:rsidR="00160F69" w:rsidRPr="00966194" w:rsidRDefault="00AC3F95">
            <w:pPr>
              <w:spacing w:after="0" w:line="240" w:lineRule="auto"/>
            </w:pPr>
            <w:r w:rsidRPr="00966194">
              <w:rPr>
                <w:rFonts w:ascii="Times New Roman" w:eastAsia="Times New Roman" w:hAnsi="Times New Roman" w:cs="Times New Roman"/>
                <w:b/>
                <w:bCs/>
                <w:color w:val="000000"/>
                <w:sz w:val="24"/>
                <w:szCs w:val="24"/>
                <w:lang w:eastAsia="bg-BG"/>
              </w:rPr>
              <w:t xml:space="preserve">Взето отношение по </w:t>
            </w:r>
          </w:p>
          <w:p w:rsidR="00160F69" w:rsidRPr="00966194" w:rsidRDefault="00AC3F95">
            <w:pPr>
              <w:spacing w:after="0" w:line="240" w:lineRule="auto"/>
            </w:pPr>
            <w:r w:rsidRPr="00966194">
              <w:rPr>
                <w:rFonts w:ascii="Times New Roman" w:eastAsia="Times New Roman" w:hAnsi="Times New Roman" w:cs="Times New Roman"/>
                <w:b/>
                <w:bCs/>
                <w:color w:val="000000"/>
                <w:sz w:val="24"/>
                <w:szCs w:val="24"/>
                <w:lang w:eastAsia="bg-BG"/>
              </w:rPr>
              <w:t xml:space="preserve">постъпилите жалби и сигнали имащи </w:t>
            </w:r>
            <w:proofErr w:type="spellStart"/>
            <w:r w:rsidRPr="00966194">
              <w:rPr>
                <w:rFonts w:ascii="Times New Roman" w:eastAsia="Times New Roman" w:hAnsi="Times New Roman" w:cs="Times New Roman"/>
                <w:b/>
                <w:bCs/>
                <w:color w:val="000000"/>
                <w:sz w:val="24"/>
                <w:szCs w:val="24"/>
                <w:lang w:eastAsia="bg-BG"/>
              </w:rPr>
              <w:t>съставомерност</w:t>
            </w:r>
            <w:proofErr w:type="spellEnd"/>
            <w:r w:rsidRPr="00966194">
              <w:rPr>
                <w:rFonts w:ascii="Times New Roman" w:eastAsia="Times New Roman" w:hAnsi="Times New Roman" w:cs="Times New Roman"/>
                <w:b/>
                <w:bCs/>
                <w:color w:val="000000"/>
                <w:sz w:val="24"/>
                <w:szCs w:val="24"/>
                <w:lang w:eastAsia="bg-BG"/>
              </w:rPr>
              <w:t xml:space="preserve"> по НК</w:t>
            </w:r>
          </w:p>
        </w:tc>
      </w:tr>
      <w:tr w:rsidR="00160F69" w:rsidRPr="00966194">
        <w:trPr>
          <w:trHeight w:val="315"/>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2015</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57</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39</w:t>
            </w:r>
          </w:p>
        </w:tc>
      </w:tr>
      <w:tr w:rsidR="00160F69" w:rsidRPr="00966194">
        <w:trPr>
          <w:trHeight w:val="315"/>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2016</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757</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543</w:t>
            </w:r>
          </w:p>
        </w:tc>
      </w:tr>
      <w:tr w:rsidR="00160F69" w:rsidRPr="00966194">
        <w:trPr>
          <w:trHeight w:val="315"/>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2017</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1308</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971</w:t>
            </w:r>
          </w:p>
        </w:tc>
      </w:tr>
      <w:tr w:rsidR="00160F69" w:rsidRPr="00966194">
        <w:trPr>
          <w:trHeight w:val="315"/>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2018</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2384</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1660</w:t>
            </w:r>
          </w:p>
        </w:tc>
      </w:tr>
      <w:tr w:rsidR="00160F69" w:rsidRPr="00966194">
        <w:trPr>
          <w:trHeight w:val="315"/>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2019</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2822</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color w:val="000000"/>
                <w:sz w:val="24"/>
                <w:szCs w:val="24"/>
                <w:lang w:eastAsia="bg-BG"/>
              </w:rPr>
            </w:pPr>
            <w:r w:rsidRPr="00966194">
              <w:rPr>
                <w:rFonts w:ascii="Times New Roman" w:eastAsia="Times New Roman" w:hAnsi="Times New Roman" w:cs="Times New Roman"/>
                <w:color w:val="000000"/>
                <w:sz w:val="24"/>
                <w:szCs w:val="24"/>
                <w:lang w:eastAsia="bg-BG"/>
              </w:rPr>
              <w:t>2049</w:t>
            </w:r>
          </w:p>
        </w:tc>
      </w:tr>
      <w:tr w:rsidR="00160F69" w:rsidRPr="00966194">
        <w:trPr>
          <w:trHeight w:val="315"/>
        </w:trPr>
        <w:tc>
          <w:tcPr>
            <w:tcW w:w="9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rPr>
                <w:rFonts w:ascii="Times New Roman" w:eastAsia="Times New Roman" w:hAnsi="Times New Roman" w:cs="Times New Roman"/>
                <w:b/>
                <w:bCs/>
                <w:color w:val="000000"/>
                <w:sz w:val="24"/>
                <w:szCs w:val="24"/>
                <w:lang w:eastAsia="bg-BG"/>
              </w:rPr>
            </w:pPr>
            <w:r w:rsidRPr="00966194">
              <w:rPr>
                <w:rFonts w:ascii="Times New Roman" w:eastAsia="Times New Roman" w:hAnsi="Times New Roman" w:cs="Times New Roman"/>
                <w:b/>
                <w:bCs/>
                <w:color w:val="000000"/>
                <w:sz w:val="24"/>
                <w:szCs w:val="24"/>
                <w:lang w:eastAsia="bg-BG"/>
              </w:rPr>
              <w:t>Общо</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b/>
                <w:bCs/>
                <w:color w:val="000000"/>
                <w:sz w:val="24"/>
                <w:szCs w:val="24"/>
                <w:lang w:eastAsia="bg-BG"/>
              </w:rPr>
            </w:pPr>
            <w:r w:rsidRPr="00966194">
              <w:rPr>
                <w:rFonts w:ascii="Times New Roman" w:eastAsia="Times New Roman" w:hAnsi="Times New Roman" w:cs="Times New Roman"/>
                <w:b/>
                <w:bCs/>
                <w:color w:val="000000"/>
                <w:sz w:val="24"/>
                <w:szCs w:val="24"/>
                <w:lang w:eastAsia="bg-BG"/>
              </w:rPr>
              <w:t>7328</w:t>
            </w:r>
          </w:p>
        </w:tc>
        <w:tc>
          <w:tcPr>
            <w:tcW w:w="47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F69" w:rsidRPr="00966194" w:rsidRDefault="00AC3F95">
            <w:pPr>
              <w:spacing w:after="0" w:line="240" w:lineRule="auto"/>
              <w:jc w:val="right"/>
              <w:rPr>
                <w:rFonts w:ascii="Times New Roman" w:eastAsia="Times New Roman" w:hAnsi="Times New Roman" w:cs="Times New Roman"/>
                <w:b/>
                <w:bCs/>
                <w:color w:val="000000"/>
                <w:sz w:val="24"/>
                <w:szCs w:val="24"/>
                <w:lang w:eastAsia="bg-BG"/>
              </w:rPr>
            </w:pPr>
            <w:r w:rsidRPr="00966194">
              <w:rPr>
                <w:rFonts w:ascii="Times New Roman" w:eastAsia="Times New Roman" w:hAnsi="Times New Roman" w:cs="Times New Roman"/>
                <w:b/>
                <w:bCs/>
                <w:color w:val="000000"/>
                <w:sz w:val="24"/>
                <w:szCs w:val="24"/>
                <w:lang w:eastAsia="bg-BG"/>
              </w:rPr>
              <w:t>5262</w:t>
            </w:r>
          </w:p>
        </w:tc>
      </w:tr>
    </w:tbl>
    <w:p w:rsidR="005229B3" w:rsidRDefault="00AC3F95">
      <w:pPr>
        <w:spacing w:after="0" w:line="240" w:lineRule="auto"/>
        <w:jc w:val="both"/>
        <w:rPr>
          <w:rFonts w:ascii="Times New Roman" w:hAnsi="Times New Roman" w:cs="Times New Roman"/>
          <w:sz w:val="24"/>
          <w:szCs w:val="24"/>
        </w:rPr>
      </w:pP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r w:rsidRPr="00966194">
        <w:rPr>
          <w:rFonts w:ascii="Times New Roman" w:hAnsi="Times New Roman" w:cs="Times New Roman"/>
          <w:sz w:val="24"/>
          <w:szCs w:val="24"/>
        </w:rPr>
        <w:tab/>
      </w:r>
    </w:p>
    <w:p w:rsidR="00160F69" w:rsidRPr="00966194" w:rsidRDefault="00AC3F95" w:rsidP="005229B3">
      <w:pPr>
        <w:spacing w:after="0" w:line="240" w:lineRule="auto"/>
        <w:jc w:val="right"/>
      </w:pPr>
      <w:r w:rsidRPr="00966194">
        <w:rPr>
          <w:rFonts w:ascii="Times New Roman" w:hAnsi="Times New Roman" w:cs="Times New Roman"/>
          <w:sz w:val="24"/>
          <w:szCs w:val="24"/>
        </w:rPr>
        <w:t xml:space="preserve">  </w:t>
      </w:r>
      <w:r w:rsidRPr="00966194">
        <w:rPr>
          <w:rFonts w:ascii="Times New Roman" w:hAnsi="Times New Roman" w:cs="Times New Roman"/>
          <w:b/>
        </w:rPr>
        <w:t>Таблица 1</w:t>
      </w:r>
    </w:p>
    <w:p w:rsidR="00160F69" w:rsidRPr="00966194" w:rsidRDefault="00AC3F95">
      <w:pPr>
        <w:spacing w:after="0" w:line="240" w:lineRule="auto"/>
        <w:ind w:firstLine="709"/>
        <w:jc w:val="both"/>
        <w:rPr>
          <w:rFonts w:ascii="Times New Roman" w:eastAsia="Calibri" w:hAnsi="Times New Roman"/>
          <w:sz w:val="24"/>
          <w:szCs w:val="24"/>
        </w:rPr>
      </w:pPr>
      <w:r w:rsidRPr="00966194">
        <w:rPr>
          <w:rFonts w:ascii="Times New Roman" w:hAnsi="Times New Roman" w:cs="Times New Roman"/>
          <w:sz w:val="24"/>
          <w:szCs w:val="24"/>
        </w:rPr>
        <w:t xml:space="preserve">По данни от Годишния отчет за електронното управление за 2018-2019 година на Държавната агенция „Електронно управление“ в </w:t>
      </w:r>
      <w:r w:rsidRPr="00966194">
        <w:rPr>
          <w:rFonts w:ascii="Times New Roman" w:eastAsia="Calibri" w:hAnsi="Times New Roman"/>
          <w:sz w:val="24"/>
          <w:szCs w:val="24"/>
        </w:rPr>
        <w:t xml:space="preserve">периода август 2018 г.-юли 2019 г. Националният екип за реагиране при инциденти с компютърната сигурност към Държавната агенция „Електронно управление“ констатира непрекъснато усложняване на обстановката в </w:t>
      </w:r>
      <w:proofErr w:type="spellStart"/>
      <w:r w:rsidRPr="00966194">
        <w:rPr>
          <w:rFonts w:ascii="Times New Roman" w:eastAsia="Calibri" w:hAnsi="Times New Roman"/>
          <w:sz w:val="24"/>
          <w:szCs w:val="24"/>
        </w:rPr>
        <w:t>киберсигурността</w:t>
      </w:r>
      <w:proofErr w:type="spellEnd"/>
      <w:r w:rsidRPr="00966194">
        <w:rPr>
          <w:rFonts w:ascii="Times New Roman" w:eastAsia="Calibri" w:hAnsi="Times New Roman"/>
          <w:sz w:val="24"/>
          <w:szCs w:val="24"/>
        </w:rPr>
        <w:t xml:space="preserve"> на страната.</w:t>
      </w:r>
    </w:p>
    <w:p w:rsidR="00160F69" w:rsidRDefault="00AC3F95">
      <w:pPr>
        <w:spacing w:after="0" w:line="240" w:lineRule="auto"/>
        <w:ind w:firstLine="709"/>
        <w:jc w:val="both"/>
        <w:rPr>
          <w:rFonts w:ascii="Times New Roman" w:eastAsia="Calibri" w:hAnsi="Times New Roman"/>
          <w:sz w:val="24"/>
          <w:szCs w:val="24"/>
        </w:rPr>
      </w:pPr>
      <w:r w:rsidRPr="00966194">
        <w:rPr>
          <w:rFonts w:ascii="Times New Roman" w:eastAsia="Calibri" w:hAnsi="Times New Roman"/>
          <w:sz w:val="24"/>
          <w:szCs w:val="24"/>
        </w:rPr>
        <w:t>В таблицата по-долу е показана статистика за отчетния период, свързана с регистрирани инциденти в централните и териториалните администрации с мрежовата и информационната сигурност с висок и среден приоритет.</w:t>
      </w:r>
    </w:p>
    <w:p w:rsidR="00160F69" w:rsidRPr="00966194" w:rsidRDefault="00160F69">
      <w:pPr>
        <w:tabs>
          <w:tab w:val="left" w:pos="567"/>
        </w:tabs>
        <w:spacing w:after="0" w:line="240" w:lineRule="auto"/>
        <w:ind w:firstLine="709"/>
        <w:contextualSpacing/>
        <w:jc w:val="both"/>
        <w:rPr>
          <w:rFonts w:ascii="Times New Roman" w:eastAsia="Calibri" w:hAnsi="Times New Roman"/>
          <w:sz w:val="24"/>
          <w:szCs w:val="24"/>
        </w:rPr>
      </w:pPr>
    </w:p>
    <w:tbl>
      <w:tblPr>
        <w:tblStyle w:val="TableGrid"/>
        <w:tblW w:w="9062" w:type="dxa"/>
        <w:tblLook w:val="04A0" w:firstRow="1" w:lastRow="0" w:firstColumn="1" w:lastColumn="0" w:noHBand="0" w:noVBand="1"/>
      </w:tblPr>
      <w:tblGrid>
        <w:gridCol w:w="458"/>
        <w:gridCol w:w="5078"/>
        <w:gridCol w:w="3526"/>
      </w:tblGrid>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b/>
                <w:sz w:val="24"/>
                <w:szCs w:val="24"/>
              </w:rPr>
            </w:pPr>
            <w:r w:rsidRPr="00966194">
              <w:rPr>
                <w:rFonts w:ascii="Times New Roman" w:eastAsia="Calibri" w:hAnsi="Times New Roman" w:cs="Times New Roman"/>
                <w:b/>
                <w:sz w:val="24"/>
                <w:szCs w:val="24"/>
              </w:rPr>
              <w:t>№</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b/>
                <w:sz w:val="24"/>
                <w:szCs w:val="24"/>
              </w:rPr>
            </w:pPr>
            <w:r w:rsidRPr="00966194">
              <w:rPr>
                <w:rFonts w:ascii="Times New Roman" w:eastAsia="Calibri" w:hAnsi="Times New Roman" w:cs="Times New Roman"/>
                <w:b/>
                <w:sz w:val="24"/>
                <w:szCs w:val="24"/>
              </w:rPr>
              <w:t>Тип на инцидента</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b/>
                <w:sz w:val="24"/>
                <w:szCs w:val="24"/>
              </w:rPr>
            </w:pPr>
            <w:r w:rsidRPr="00966194">
              <w:rPr>
                <w:rFonts w:ascii="Times New Roman" w:eastAsia="Calibri" w:hAnsi="Times New Roman" w:cs="Times New Roman"/>
                <w:b/>
                <w:sz w:val="24"/>
                <w:szCs w:val="24"/>
              </w:rPr>
              <w:t>Брой засегнати  администрации</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1</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proofErr w:type="spellStart"/>
            <w:r w:rsidRPr="00966194">
              <w:rPr>
                <w:rFonts w:ascii="Times New Roman" w:eastAsia="Times New Roman" w:hAnsi="Times New Roman" w:cs="Times New Roman"/>
                <w:sz w:val="24"/>
                <w:szCs w:val="24"/>
              </w:rPr>
              <w:t>DDoS</w:t>
            </w:r>
            <w:proofErr w:type="spellEnd"/>
            <w:r w:rsidRPr="00966194">
              <w:rPr>
                <w:rFonts w:ascii="Times New Roman" w:eastAsia="Times New Roman" w:hAnsi="Times New Roman" w:cs="Times New Roman"/>
                <w:sz w:val="24"/>
                <w:szCs w:val="24"/>
              </w:rPr>
              <w:t xml:space="preserve"> (разпределен отказ от услуга)</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13</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2</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proofErr w:type="spellStart"/>
            <w:r w:rsidRPr="00966194">
              <w:rPr>
                <w:rFonts w:ascii="Times New Roman" w:eastAsia="Times New Roman" w:hAnsi="Times New Roman" w:cs="Times New Roman"/>
                <w:sz w:val="24"/>
                <w:szCs w:val="24"/>
              </w:rPr>
              <w:t>Ransomware</w:t>
            </w:r>
            <w:proofErr w:type="spellEnd"/>
            <w:r w:rsidRPr="00966194">
              <w:rPr>
                <w:rFonts w:ascii="Times New Roman" w:eastAsia="Times New Roman" w:hAnsi="Times New Roman" w:cs="Times New Roman"/>
                <w:sz w:val="24"/>
                <w:szCs w:val="24"/>
              </w:rPr>
              <w:t xml:space="preserve"> (криптиращ вирус)</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4</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3</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proofErr w:type="spellStart"/>
            <w:r w:rsidRPr="00966194">
              <w:rPr>
                <w:rFonts w:ascii="Times New Roman" w:eastAsia="Times New Roman" w:hAnsi="Times New Roman" w:cs="Times New Roman"/>
                <w:sz w:val="24"/>
                <w:szCs w:val="24"/>
              </w:rPr>
              <w:t>Instrusion</w:t>
            </w:r>
            <w:proofErr w:type="spellEnd"/>
            <w:r w:rsidRPr="00966194">
              <w:rPr>
                <w:rFonts w:ascii="Times New Roman" w:eastAsia="Times New Roman" w:hAnsi="Times New Roman" w:cs="Times New Roman"/>
                <w:sz w:val="24"/>
                <w:szCs w:val="24"/>
              </w:rPr>
              <w:t xml:space="preserve"> </w:t>
            </w:r>
            <w:proofErr w:type="spellStart"/>
            <w:r w:rsidRPr="00966194">
              <w:rPr>
                <w:rFonts w:ascii="Times New Roman" w:eastAsia="Times New Roman" w:hAnsi="Times New Roman" w:cs="Times New Roman"/>
                <w:sz w:val="24"/>
                <w:szCs w:val="24"/>
              </w:rPr>
              <w:t>Attempts</w:t>
            </w:r>
            <w:proofErr w:type="spellEnd"/>
            <w:r w:rsidRPr="00966194">
              <w:rPr>
                <w:rFonts w:ascii="Times New Roman" w:eastAsia="Times New Roman" w:hAnsi="Times New Roman" w:cs="Times New Roman"/>
                <w:sz w:val="24"/>
                <w:szCs w:val="24"/>
              </w:rPr>
              <w:t xml:space="preserve"> (общо проникване)</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1</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lastRenderedPageBreak/>
              <w:t>4</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proofErr w:type="spellStart"/>
            <w:r w:rsidRPr="00966194">
              <w:rPr>
                <w:rFonts w:ascii="Times New Roman" w:eastAsia="Times New Roman" w:hAnsi="Times New Roman" w:cs="Times New Roman"/>
                <w:sz w:val="24"/>
                <w:szCs w:val="24"/>
              </w:rPr>
              <w:t>Unauthorised</w:t>
            </w:r>
            <w:proofErr w:type="spellEnd"/>
            <w:r w:rsidRPr="00966194">
              <w:rPr>
                <w:rFonts w:ascii="Times New Roman" w:eastAsia="Times New Roman" w:hAnsi="Times New Roman" w:cs="Times New Roman"/>
                <w:sz w:val="24"/>
                <w:szCs w:val="24"/>
              </w:rPr>
              <w:t xml:space="preserve"> Access </w:t>
            </w:r>
            <w:proofErr w:type="spellStart"/>
            <w:r w:rsidRPr="00966194">
              <w:rPr>
                <w:rFonts w:ascii="Times New Roman" w:eastAsia="Times New Roman" w:hAnsi="Times New Roman" w:cs="Times New Roman"/>
                <w:sz w:val="24"/>
                <w:szCs w:val="24"/>
              </w:rPr>
              <w:t>to</w:t>
            </w:r>
            <w:proofErr w:type="spellEnd"/>
            <w:r w:rsidRPr="00966194">
              <w:rPr>
                <w:rFonts w:ascii="Times New Roman" w:eastAsia="Times New Roman" w:hAnsi="Times New Roman" w:cs="Times New Roman"/>
                <w:sz w:val="24"/>
                <w:szCs w:val="24"/>
              </w:rPr>
              <w:t xml:space="preserve"> </w:t>
            </w:r>
            <w:proofErr w:type="spellStart"/>
            <w:r w:rsidRPr="00966194">
              <w:rPr>
                <w:rFonts w:ascii="Times New Roman" w:eastAsia="Times New Roman" w:hAnsi="Times New Roman" w:cs="Times New Roman"/>
                <w:sz w:val="24"/>
                <w:szCs w:val="24"/>
              </w:rPr>
              <w:t>information</w:t>
            </w:r>
            <w:proofErr w:type="spellEnd"/>
            <w:r w:rsidRPr="00966194">
              <w:rPr>
                <w:rFonts w:ascii="Times New Roman" w:eastAsia="Times New Roman" w:hAnsi="Times New Roman" w:cs="Times New Roman"/>
                <w:sz w:val="24"/>
                <w:szCs w:val="24"/>
              </w:rPr>
              <w:t xml:space="preserve"> (</w:t>
            </w:r>
            <w:proofErr w:type="spellStart"/>
            <w:r w:rsidRPr="00966194">
              <w:rPr>
                <w:rFonts w:ascii="Times New Roman" w:eastAsia="Times New Roman" w:hAnsi="Times New Roman" w:cs="Times New Roman"/>
                <w:sz w:val="24"/>
                <w:szCs w:val="24"/>
              </w:rPr>
              <w:t>неоторизаран</w:t>
            </w:r>
            <w:proofErr w:type="spellEnd"/>
            <w:r w:rsidRPr="00966194">
              <w:rPr>
                <w:rFonts w:ascii="Times New Roman" w:eastAsia="Times New Roman" w:hAnsi="Times New Roman" w:cs="Times New Roman"/>
                <w:sz w:val="24"/>
                <w:szCs w:val="24"/>
              </w:rPr>
              <w:t xml:space="preserve"> достъп до информация)</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9</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5</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Кражба на лични данни</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1</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6</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Уязвимост</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2</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7</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proofErr w:type="spellStart"/>
            <w:r w:rsidRPr="00966194">
              <w:rPr>
                <w:rFonts w:ascii="Times New Roman" w:eastAsia="Times New Roman" w:hAnsi="Times New Roman" w:cs="Times New Roman"/>
                <w:sz w:val="24"/>
                <w:szCs w:val="24"/>
              </w:rPr>
              <w:t>Phishing</w:t>
            </w:r>
            <w:proofErr w:type="spellEnd"/>
            <w:r w:rsidRPr="00966194">
              <w:rPr>
                <w:rFonts w:ascii="Times New Roman" w:eastAsia="Times New Roman" w:hAnsi="Times New Roman" w:cs="Times New Roman"/>
                <w:sz w:val="24"/>
                <w:szCs w:val="24"/>
              </w:rPr>
              <w:t xml:space="preserve"> (измамнически сайт)</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3</w:t>
            </w:r>
          </w:p>
        </w:tc>
      </w:tr>
      <w:tr w:rsidR="00160F69" w:rsidRPr="00966194">
        <w:tc>
          <w:tcPr>
            <w:tcW w:w="45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8</w:t>
            </w:r>
          </w:p>
        </w:tc>
        <w:tc>
          <w:tcPr>
            <w:tcW w:w="5078"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Times New Roman" w:hAnsi="Times New Roman" w:cs="Times New Roman"/>
                <w:sz w:val="24"/>
                <w:szCs w:val="24"/>
              </w:rPr>
              <w:t xml:space="preserve">SQL </w:t>
            </w:r>
            <w:proofErr w:type="spellStart"/>
            <w:r w:rsidRPr="00966194">
              <w:rPr>
                <w:rFonts w:ascii="Times New Roman" w:eastAsia="Times New Roman" w:hAnsi="Times New Roman" w:cs="Times New Roman"/>
                <w:sz w:val="24"/>
                <w:szCs w:val="24"/>
              </w:rPr>
              <w:t>injection</w:t>
            </w:r>
            <w:proofErr w:type="spellEnd"/>
            <w:r w:rsidRPr="00966194">
              <w:rPr>
                <w:rFonts w:ascii="Times New Roman" w:eastAsia="Times New Roman" w:hAnsi="Times New Roman" w:cs="Times New Roman"/>
                <w:sz w:val="24"/>
                <w:szCs w:val="24"/>
              </w:rPr>
              <w:t xml:space="preserve"> </w:t>
            </w:r>
          </w:p>
        </w:tc>
        <w:tc>
          <w:tcPr>
            <w:tcW w:w="3526" w:type="dxa"/>
            <w:shd w:val="clear" w:color="auto" w:fill="auto"/>
          </w:tcPr>
          <w:p w:rsidR="00160F69" w:rsidRPr="00966194" w:rsidRDefault="00AC3F95">
            <w:pPr>
              <w:tabs>
                <w:tab w:val="left" w:pos="567"/>
              </w:tabs>
              <w:spacing w:after="0" w:line="240" w:lineRule="auto"/>
              <w:contextualSpacing/>
              <w:jc w:val="both"/>
              <w:rPr>
                <w:rFonts w:eastAsia="Calibri"/>
                <w:sz w:val="24"/>
                <w:szCs w:val="24"/>
              </w:rPr>
            </w:pPr>
            <w:r w:rsidRPr="00966194">
              <w:rPr>
                <w:rFonts w:ascii="Times New Roman" w:eastAsia="Calibri" w:hAnsi="Times New Roman" w:cs="Times New Roman"/>
                <w:sz w:val="24"/>
                <w:szCs w:val="24"/>
              </w:rPr>
              <w:t>2</w:t>
            </w:r>
          </w:p>
        </w:tc>
      </w:tr>
    </w:tbl>
    <w:p w:rsidR="005229B3" w:rsidRDefault="00AC3F95">
      <w:pPr>
        <w:tabs>
          <w:tab w:val="left" w:pos="567"/>
        </w:tabs>
        <w:spacing w:after="0" w:line="240" w:lineRule="auto"/>
        <w:ind w:firstLine="709"/>
        <w:contextualSpacing/>
        <w:jc w:val="both"/>
        <w:rPr>
          <w:rFonts w:ascii="Times New Roman" w:eastAsia="Calibri" w:hAnsi="Times New Roman"/>
          <w:sz w:val="24"/>
          <w:szCs w:val="24"/>
        </w:rPr>
      </w:pP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r>
      <w:r w:rsidRPr="00966194">
        <w:rPr>
          <w:rFonts w:ascii="Times New Roman" w:eastAsia="Calibri" w:hAnsi="Times New Roman"/>
          <w:sz w:val="24"/>
          <w:szCs w:val="24"/>
        </w:rPr>
        <w:tab/>
        <w:t xml:space="preserve">    </w:t>
      </w:r>
    </w:p>
    <w:p w:rsidR="00160F69" w:rsidRPr="00966194" w:rsidRDefault="00AC3F95" w:rsidP="005229B3">
      <w:pPr>
        <w:tabs>
          <w:tab w:val="left" w:pos="567"/>
        </w:tabs>
        <w:spacing w:after="0" w:line="240" w:lineRule="auto"/>
        <w:ind w:firstLine="709"/>
        <w:contextualSpacing/>
        <w:jc w:val="right"/>
        <w:rPr>
          <w:rFonts w:ascii="Times New Roman" w:eastAsia="Calibri" w:hAnsi="Times New Roman"/>
          <w:b/>
        </w:rPr>
      </w:pPr>
      <w:r w:rsidRPr="00966194">
        <w:rPr>
          <w:rFonts w:ascii="Times New Roman" w:eastAsia="Calibri" w:hAnsi="Times New Roman"/>
          <w:b/>
        </w:rPr>
        <w:t>Таблица 2</w:t>
      </w:r>
    </w:p>
    <w:p w:rsidR="00D01C28" w:rsidRPr="00966194" w:rsidRDefault="00AC3F95">
      <w:pPr>
        <w:spacing w:after="0" w:line="240" w:lineRule="auto"/>
        <w:ind w:firstLine="709"/>
        <w:jc w:val="both"/>
        <w:rPr>
          <w:rFonts w:ascii="Times New Roman" w:eastAsia="Calibri" w:hAnsi="Times New Roman"/>
          <w:sz w:val="24"/>
          <w:szCs w:val="24"/>
        </w:rPr>
      </w:pPr>
      <w:r w:rsidRPr="00966194">
        <w:rPr>
          <w:rFonts w:ascii="Times New Roman" w:eastAsia="Calibri" w:hAnsi="Times New Roman"/>
          <w:sz w:val="24"/>
          <w:szCs w:val="24"/>
        </w:rPr>
        <w:t xml:space="preserve">По данни от статистиката, която се води от Екипа за нарушения в и от българското Интернет пространство, са регистрирани 2 851 сигнала, което е с 34% увеличение спрямо предходния период. От тях като инциденти, съгласно таксономията на Европейската агенция за </w:t>
      </w:r>
      <w:proofErr w:type="spellStart"/>
      <w:r w:rsidRPr="00966194">
        <w:rPr>
          <w:rFonts w:ascii="Times New Roman" w:eastAsia="Calibri" w:hAnsi="Times New Roman"/>
          <w:sz w:val="24"/>
          <w:szCs w:val="24"/>
        </w:rPr>
        <w:t>киберсигурност</w:t>
      </w:r>
      <w:proofErr w:type="spellEnd"/>
      <w:r w:rsidRPr="00966194">
        <w:rPr>
          <w:rFonts w:ascii="Times New Roman" w:eastAsia="Calibri" w:hAnsi="Times New Roman"/>
          <w:sz w:val="24"/>
          <w:szCs w:val="24"/>
        </w:rPr>
        <w:t xml:space="preserve"> – ENISA, са регистрирани 2 030, което е увеличение с 33%. Наблюдава се рязко увеличаване на броя засегнати IP адреси в българското адресно пространство – над 6.5 пъти. </w:t>
      </w:r>
    </w:p>
    <w:p w:rsidR="00160F69" w:rsidRPr="00966194" w:rsidRDefault="00AC3F95">
      <w:pPr>
        <w:spacing w:after="0" w:line="240" w:lineRule="auto"/>
        <w:ind w:firstLine="709"/>
        <w:jc w:val="both"/>
        <w:rPr>
          <w:rFonts w:ascii="Times New Roman" w:eastAsia="Calibri" w:hAnsi="Times New Roman"/>
          <w:sz w:val="24"/>
          <w:szCs w:val="24"/>
        </w:rPr>
      </w:pPr>
      <w:r w:rsidRPr="00966194">
        <w:rPr>
          <w:rFonts w:ascii="Times New Roman" w:eastAsia="Calibri" w:hAnsi="Times New Roman"/>
          <w:sz w:val="24"/>
          <w:szCs w:val="24"/>
        </w:rPr>
        <w:t>Данните от статистиката също показват, че рязко нараства относителният дял на инцидентите със значително увреждащо въздействие в мрежовата и информационната сигурност с висока степен на опасност. Най-голям е процентът на регистрираните инциденти, дължащи са на злонамерен код (</w:t>
      </w:r>
      <w:proofErr w:type="spellStart"/>
      <w:r w:rsidRPr="00966194">
        <w:rPr>
          <w:rFonts w:ascii="Times New Roman" w:eastAsia="Calibri" w:hAnsi="Times New Roman"/>
          <w:sz w:val="24"/>
          <w:szCs w:val="24"/>
        </w:rPr>
        <w:t>malware</w:t>
      </w:r>
      <w:proofErr w:type="spellEnd"/>
      <w:r w:rsidRPr="00966194">
        <w:rPr>
          <w:rFonts w:ascii="Times New Roman" w:eastAsia="Calibri" w:hAnsi="Times New Roman"/>
          <w:sz w:val="24"/>
          <w:szCs w:val="24"/>
        </w:rPr>
        <w:t>), следвани от инцидентите, дължащи се на измама (</w:t>
      </w:r>
      <w:proofErr w:type="spellStart"/>
      <w:r w:rsidRPr="00966194">
        <w:rPr>
          <w:rFonts w:ascii="Times New Roman" w:eastAsia="Calibri" w:hAnsi="Times New Roman"/>
          <w:sz w:val="24"/>
          <w:szCs w:val="24"/>
        </w:rPr>
        <w:t>phishing</w:t>
      </w:r>
      <w:proofErr w:type="spellEnd"/>
      <w:r w:rsidRPr="00966194">
        <w:rPr>
          <w:rFonts w:ascii="Times New Roman" w:eastAsia="Calibri" w:hAnsi="Times New Roman"/>
          <w:sz w:val="24"/>
          <w:szCs w:val="24"/>
        </w:rPr>
        <w:t>).</w:t>
      </w:r>
    </w:p>
    <w:p w:rsidR="00160F69" w:rsidRPr="00966194" w:rsidRDefault="00AC3F95">
      <w:pPr>
        <w:tabs>
          <w:tab w:val="left" w:pos="567"/>
        </w:tabs>
        <w:spacing w:after="0" w:line="240" w:lineRule="auto"/>
        <w:contextualSpacing/>
        <w:jc w:val="center"/>
      </w:pPr>
      <w:r w:rsidRPr="00966194">
        <w:rPr>
          <w:noProof/>
          <w:lang w:eastAsia="bg-BG"/>
        </w:rPr>
        <w:drawing>
          <wp:inline distT="0" distB="0" distL="0" distR="0" wp14:anchorId="27B4428B" wp14:editId="496994EE">
            <wp:extent cx="5666105" cy="468630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5666105" cy="4686300"/>
                    </a:xfrm>
                    <a:prstGeom prst="rect">
                      <a:avLst/>
                    </a:prstGeom>
                  </pic:spPr>
                </pic:pic>
              </a:graphicData>
            </a:graphic>
          </wp:inline>
        </w:drawing>
      </w:r>
      <w:r w:rsidRPr="00966194">
        <w:rPr>
          <w:rFonts w:ascii="Times New Roman" w:eastAsia="Calibri" w:hAnsi="Times New Roman"/>
          <w:i/>
          <w:sz w:val="24"/>
          <w:szCs w:val="24"/>
        </w:rPr>
        <w:t>Фиг. 1 Обем на базите данни</w:t>
      </w:r>
    </w:p>
    <w:p w:rsidR="00160F69" w:rsidRPr="00966194" w:rsidRDefault="00AC3F95">
      <w:pPr>
        <w:spacing w:after="0" w:line="240" w:lineRule="auto"/>
        <w:ind w:firstLine="709"/>
        <w:jc w:val="both"/>
        <w:rPr>
          <w:rFonts w:ascii="Times New Roman" w:eastAsia="Calibri" w:hAnsi="Times New Roman"/>
          <w:sz w:val="24"/>
          <w:szCs w:val="24"/>
        </w:rPr>
      </w:pPr>
      <w:r w:rsidRPr="00966194">
        <w:rPr>
          <w:rFonts w:ascii="Times New Roman" w:eastAsia="Calibri" w:hAnsi="Times New Roman"/>
          <w:sz w:val="24"/>
          <w:szCs w:val="24"/>
        </w:rPr>
        <w:t>Хакерски групи продължават да се н</w:t>
      </w:r>
      <w:r w:rsidR="005229B3">
        <w:rPr>
          <w:rFonts w:ascii="Times New Roman" w:eastAsia="Calibri" w:hAnsi="Times New Roman"/>
          <w:sz w:val="24"/>
          <w:szCs w:val="24"/>
        </w:rPr>
        <w:t xml:space="preserve">асочват към субекти в държавите </w:t>
      </w:r>
      <w:r w:rsidRPr="00966194">
        <w:rPr>
          <w:rFonts w:ascii="Times New Roman" w:eastAsia="Calibri" w:hAnsi="Times New Roman"/>
          <w:sz w:val="24"/>
          <w:szCs w:val="24"/>
        </w:rPr>
        <w:t>членки на ЕС, в т.ч. и България, с цел придобиване на чувствителна информация. Най-значимите атаки на тези групи са насочени към мрежови устройства като рутери, комутатори, защитни стени, мрежово базирани системи за откриване на прониквания (</w:t>
      </w:r>
      <w:proofErr w:type="spellStart"/>
      <w:r w:rsidRPr="00966194">
        <w:rPr>
          <w:rFonts w:ascii="Times New Roman" w:eastAsia="Calibri" w:hAnsi="Times New Roman"/>
          <w:sz w:val="24"/>
          <w:szCs w:val="24"/>
        </w:rPr>
        <w:t>Intrusion</w:t>
      </w:r>
      <w:proofErr w:type="spellEnd"/>
      <w:r w:rsidRPr="00966194">
        <w:rPr>
          <w:rFonts w:ascii="Times New Roman" w:eastAsia="Calibri" w:hAnsi="Times New Roman"/>
          <w:sz w:val="24"/>
          <w:szCs w:val="24"/>
        </w:rPr>
        <w:t xml:space="preserve"> </w:t>
      </w:r>
      <w:proofErr w:type="spellStart"/>
      <w:r w:rsidRPr="00966194">
        <w:rPr>
          <w:rFonts w:ascii="Times New Roman" w:eastAsia="Calibri" w:hAnsi="Times New Roman"/>
          <w:sz w:val="24"/>
          <w:szCs w:val="24"/>
        </w:rPr>
        <w:t>Detection</w:t>
      </w:r>
      <w:proofErr w:type="spellEnd"/>
      <w:r w:rsidRPr="00966194">
        <w:rPr>
          <w:rFonts w:ascii="Times New Roman" w:eastAsia="Calibri" w:hAnsi="Times New Roman"/>
          <w:sz w:val="24"/>
          <w:szCs w:val="24"/>
        </w:rPr>
        <w:t xml:space="preserve"> </w:t>
      </w:r>
      <w:proofErr w:type="spellStart"/>
      <w:r w:rsidRPr="00966194">
        <w:rPr>
          <w:rFonts w:ascii="Times New Roman" w:eastAsia="Calibri" w:hAnsi="Times New Roman"/>
          <w:sz w:val="24"/>
          <w:szCs w:val="24"/>
        </w:rPr>
        <w:t>System</w:t>
      </w:r>
      <w:proofErr w:type="spellEnd"/>
      <w:r w:rsidRPr="00966194">
        <w:rPr>
          <w:rFonts w:ascii="Times New Roman" w:eastAsia="Calibri" w:hAnsi="Times New Roman"/>
          <w:sz w:val="24"/>
          <w:szCs w:val="24"/>
        </w:rPr>
        <w:t xml:space="preserve">), разположени в мрежите предимно на правителствени и частни </w:t>
      </w:r>
      <w:r w:rsidRPr="00966194">
        <w:rPr>
          <w:rFonts w:ascii="Times New Roman" w:eastAsia="Calibri" w:hAnsi="Times New Roman"/>
          <w:sz w:val="24"/>
          <w:szCs w:val="24"/>
        </w:rPr>
        <w:lastRenderedPageBreak/>
        <w:t xml:space="preserve">организации, ръководители на обекти от критичната инфраструктура и доставчици на достъп до интернет (ISP), които поддържат тези сектори.  </w:t>
      </w:r>
    </w:p>
    <w:p w:rsidR="00160F69" w:rsidRPr="00966194" w:rsidRDefault="00AC3F95">
      <w:pPr>
        <w:spacing w:after="0" w:line="240" w:lineRule="auto"/>
        <w:ind w:firstLine="709"/>
        <w:jc w:val="both"/>
        <w:rPr>
          <w:rFonts w:ascii="Times New Roman" w:eastAsia="Calibri" w:hAnsi="Times New Roman"/>
          <w:sz w:val="24"/>
          <w:szCs w:val="24"/>
        </w:rPr>
      </w:pPr>
      <w:r w:rsidRPr="00966194">
        <w:rPr>
          <w:rFonts w:ascii="Times New Roman" w:eastAsia="Calibri" w:hAnsi="Times New Roman"/>
          <w:sz w:val="24"/>
          <w:szCs w:val="24"/>
        </w:rPr>
        <w:t xml:space="preserve">Националният екип за реагиране при инциденти с компютърната сигурност ежемесечно в изпълнение на проактивните си действия изпраща бюлетин до служителите в публичната администрация, отговарящи за мрежовата и информационната сигурност. Бюлетинът съдържа статистика на инцидентите за предходния месец, информация и препоръки за добри практики. </w:t>
      </w:r>
    </w:p>
    <w:p w:rsidR="00160F69" w:rsidRPr="00966194" w:rsidRDefault="00AC3F95">
      <w:pPr>
        <w:spacing w:after="0" w:line="240" w:lineRule="auto"/>
        <w:ind w:firstLine="709"/>
        <w:jc w:val="both"/>
        <w:rPr>
          <w:rFonts w:ascii="Times New Roman" w:eastAsia="Calibri" w:hAnsi="Times New Roman"/>
          <w:sz w:val="24"/>
          <w:szCs w:val="24"/>
        </w:rPr>
      </w:pPr>
      <w:r w:rsidRPr="00966194">
        <w:rPr>
          <w:rFonts w:ascii="Times New Roman" w:eastAsia="Calibri" w:hAnsi="Times New Roman"/>
          <w:sz w:val="24"/>
          <w:szCs w:val="24"/>
        </w:rPr>
        <w:t>В допълнение на това в годишния си доклад за 2019 година Центъ</w:t>
      </w:r>
      <w:r w:rsidRPr="00B217C4">
        <w:rPr>
          <w:rFonts w:ascii="Times New Roman" w:eastAsia="Calibri" w:hAnsi="Times New Roman"/>
          <w:sz w:val="24"/>
          <w:szCs w:val="24"/>
        </w:rPr>
        <w:t>р</w:t>
      </w:r>
      <w:r w:rsidR="005229B3" w:rsidRPr="00B217C4">
        <w:rPr>
          <w:rFonts w:ascii="Times New Roman" w:eastAsia="Calibri" w:hAnsi="Times New Roman"/>
          <w:sz w:val="24"/>
          <w:szCs w:val="24"/>
        </w:rPr>
        <w:t>ът</w:t>
      </w:r>
      <w:r w:rsidRPr="00966194">
        <w:rPr>
          <w:rFonts w:ascii="Times New Roman" w:eastAsia="Calibri" w:hAnsi="Times New Roman"/>
          <w:sz w:val="24"/>
          <w:szCs w:val="24"/>
        </w:rPr>
        <w:t xml:space="preserve"> по </w:t>
      </w:r>
      <w:proofErr w:type="spellStart"/>
      <w:r w:rsidRPr="00966194">
        <w:rPr>
          <w:rFonts w:ascii="Times New Roman" w:eastAsia="Calibri" w:hAnsi="Times New Roman"/>
          <w:sz w:val="24"/>
          <w:szCs w:val="24"/>
        </w:rPr>
        <w:t>киберсигурност</w:t>
      </w:r>
      <w:proofErr w:type="spellEnd"/>
      <w:r w:rsidRPr="00966194">
        <w:rPr>
          <w:rFonts w:ascii="Times New Roman" w:eastAsia="Calibri" w:hAnsi="Times New Roman"/>
          <w:sz w:val="24"/>
          <w:szCs w:val="24"/>
        </w:rPr>
        <w:t xml:space="preserve"> към </w:t>
      </w:r>
      <w:proofErr w:type="spellStart"/>
      <w:r w:rsidRPr="00966194">
        <w:rPr>
          <w:rFonts w:ascii="Times New Roman" w:eastAsia="Calibri" w:hAnsi="Times New Roman"/>
          <w:sz w:val="24"/>
          <w:szCs w:val="24"/>
        </w:rPr>
        <w:t>Европол</w:t>
      </w:r>
      <w:proofErr w:type="spellEnd"/>
      <w:r w:rsidRPr="00966194">
        <w:rPr>
          <w:rFonts w:ascii="Times New Roman" w:eastAsia="Calibri" w:hAnsi="Times New Roman"/>
          <w:sz w:val="24"/>
          <w:szCs w:val="24"/>
        </w:rPr>
        <w:t xml:space="preserve"> също отчита, че </w:t>
      </w:r>
      <w:proofErr w:type="spellStart"/>
      <w:r w:rsidRPr="00966194">
        <w:rPr>
          <w:rFonts w:ascii="Times New Roman" w:eastAsia="Calibri" w:hAnsi="Times New Roman"/>
          <w:sz w:val="24"/>
          <w:szCs w:val="24"/>
        </w:rPr>
        <w:t>киберпрестъпленията</w:t>
      </w:r>
      <w:proofErr w:type="spellEnd"/>
      <w:r w:rsidRPr="00966194">
        <w:rPr>
          <w:rFonts w:ascii="Times New Roman" w:eastAsia="Calibri" w:hAnsi="Times New Roman"/>
          <w:sz w:val="24"/>
          <w:szCs w:val="24"/>
        </w:rPr>
        <w:t xml:space="preserve"> стават все по-дръзки, а фоку</w:t>
      </w:r>
      <w:r w:rsidRPr="00B217C4">
        <w:rPr>
          <w:rFonts w:ascii="Times New Roman" w:eastAsia="Calibri" w:hAnsi="Times New Roman"/>
          <w:sz w:val="24"/>
          <w:szCs w:val="24"/>
        </w:rPr>
        <w:t>с</w:t>
      </w:r>
      <w:r w:rsidR="005229B3" w:rsidRPr="00B217C4">
        <w:rPr>
          <w:rFonts w:ascii="Times New Roman" w:eastAsia="Calibri" w:hAnsi="Times New Roman"/>
          <w:sz w:val="24"/>
          <w:szCs w:val="24"/>
        </w:rPr>
        <w:t>ът</w:t>
      </w:r>
      <w:r w:rsidRPr="00966194">
        <w:rPr>
          <w:rFonts w:ascii="Times New Roman" w:eastAsia="Calibri" w:hAnsi="Times New Roman"/>
          <w:sz w:val="24"/>
          <w:szCs w:val="24"/>
        </w:rPr>
        <w:t xml:space="preserve"> им се измества към по-големи и по-печеливши цели. В тази връзка Центъра по </w:t>
      </w:r>
      <w:proofErr w:type="spellStart"/>
      <w:r w:rsidRPr="00966194">
        <w:rPr>
          <w:rFonts w:ascii="Times New Roman" w:eastAsia="Calibri" w:hAnsi="Times New Roman"/>
          <w:sz w:val="24"/>
          <w:szCs w:val="24"/>
        </w:rPr>
        <w:t>киберсигурност</w:t>
      </w:r>
      <w:proofErr w:type="spellEnd"/>
      <w:r w:rsidRPr="00966194">
        <w:rPr>
          <w:rFonts w:ascii="Times New Roman" w:eastAsia="Calibri" w:hAnsi="Times New Roman"/>
          <w:sz w:val="24"/>
          <w:szCs w:val="24"/>
        </w:rPr>
        <w:t xml:space="preserve"> препоръчва</w:t>
      </w:r>
      <w:r w:rsidRPr="00B217C4">
        <w:rPr>
          <w:rFonts w:ascii="Times New Roman" w:eastAsia="Calibri" w:hAnsi="Times New Roman"/>
          <w:sz w:val="24"/>
          <w:szCs w:val="24"/>
        </w:rPr>
        <w:t>,</w:t>
      </w:r>
      <w:r w:rsidRPr="00966194">
        <w:rPr>
          <w:rFonts w:ascii="Times New Roman" w:eastAsia="Calibri" w:hAnsi="Times New Roman"/>
          <w:sz w:val="24"/>
          <w:szCs w:val="24"/>
        </w:rPr>
        <w:t xml:space="preserve"> една от мерките за справяне на държавите членки да бъде прилагане на закон, който трябва да бъде еднакво дързък, за да отговори на предизвикателството и в тази връзка законодателството на държавите членки да еволюира съобразно постоянно променящите се и развиващи се технологии.</w:t>
      </w:r>
    </w:p>
    <w:p w:rsidR="007D782E"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t>В доклада се посочва също така тревожна статистика по отношение на т.нар. компютърен саботаж в частния сектор, а именно компютърните престъпления</w:t>
      </w:r>
      <w:r w:rsidR="00D01C28" w:rsidRPr="00966194">
        <w:rPr>
          <w:rFonts w:ascii="Times New Roman" w:eastAsia="Calibri" w:hAnsi="Times New Roman"/>
          <w:sz w:val="24"/>
          <w:szCs w:val="24"/>
        </w:rPr>
        <w:t>,</w:t>
      </w:r>
      <w:r w:rsidRPr="00966194">
        <w:rPr>
          <w:rFonts w:ascii="Times New Roman" w:eastAsia="Calibri" w:hAnsi="Times New Roman"/>
          <w:sz w:val="24"/>
          <w:szCs w:val="24"/>
        </w:rPr>
        <w:t xml:space="preserve"> при които не само неправомерно се достъпва дадена информационна система, но и данните в нея се увреждат или унищожават с цел затрудняване работата на съответното юридическо лице. Това води до нарастващ страх у частния сектор. Статистиката през първите 6 месеца на 2019 година показва, че </w:t>
      </w:r>
      <w:proofErr w:type="spellStart"/>
      <w:r w:rsidRPr="00966194">
        <w:rPr>
          <w:rFonts w:ascii="Times New Roman" w:eastAsia="Calibri" w:hAnsi="Times New Roman"/>
          <w:sz w:val="24"/>
          <w:szCs w:val="24"/>
        </w:rPr>
        <w:t>кибератаките</w:t>
      </w:r>
      <w:proofErr w:type="spellEnd"/>
      <w:r w:rsidR="00D24B30" w:rsidRPr="00B217C4">
        <w:rPr>
          <w:rFonts w:ascii="Times New Roman" w:eastAsia="Calibri" w:hAnsi="Times New Roman"/>
          <w:sz w:val="24"/>
          <w:szCs w:val="24"/>
        </w:rPr>
        <w:t>,</w:t>
      </w:r>
      <w:r w:rsidRPr="00B217C4">
        <w:rPr>
          <w:rFonts w:ascii="Times New Roman" w:eastAsia="Calibri" w:hAnsi="Times New Roman"/>
          <w:sz w:val="24"/>
          <w:szCs w:val="24"/>
        </w:rPr>
        <w:t xml:space="preserve"> предназначени да причиняват щети</w:t>
      </w:r>
      <w:r w:rsidR="00D24B30" w:rsidRPr="00B217C4">
        <w:rPr>
          <w:rFonts w:ascii="Times New Roman" w:eastAsia="Calibri" w:hAnsi="Times New Roman"/>
          <w:sz w:val="24"/>
          <w:szCs w:val="24"/>
        </w:rPr>
        <w:t>,</w:t>
      </w:r>
      <w:r w:rsidRPr="00B217C4">
        <w:rPr>
          <w:rFonts w:ascii="Times New Roman" w:eastAsia="Calibri" w:hAnsi="Times New Roman"/>
          <w:sz w:val="24"/>
          <w:szCs w:val="24"/>
        </w:rPr>
        <w:t xml:space="preserve"> са се удвоили, като 50% от ата</w:t>
      </w:r>
      <w:r w:rsidRPr="00966194">
        <w:rPr>
          <w:rFonts w:ascii="Times New Roman" w:eastAsia="Calibri" w:hAnsi="Times New Roman"/>
          <w:sz w:val="24"/>
          <w:szCs w:val="24"/>
        </w:rPr>
        <w:t xml:space="preserve">куваните фирми са били в производствения сектор. Това принуждава </w:t>
      </w:r>
      <w:r w:rsidRPr="00B217C4">
        <w:rPr>
          <w:rFonts w:ascii="Times New Roman" w:eastAsia="Calibri" w:hAnsi="Times New Roman"/>
          <w:sz w:val="24"/>
          <w:szCs w:val="24"/>
        </w:rPr>
        <w:t>частния</w:t>
      </w:r>
      <w:r w:rsidR="00D24B30" w:rsidRPr="00B217C4">
        <w:rPr>
          <w:rFonts w:ascii="Times New Roman" w:eastAsia="Calibri" w:hAnsi="Times New Roman"/>
          <w:sz w:val="24"/>
          <w:szCs w:val="24"/>
        </w:rPr>
        <w:t>т</w:t>
      </w:r>
      <w:r w:rsidRPr="00B217C4">
        <w:rPr>
          <w:rFonts w:ascii="Times New Roman" w:eastAsia="Calibri" w:hAnsi="Times New Roman"/>
          <w:sz w:val="24"/>
          <w:szCs w:val="24"/>
        </w:rPr>
        <w:t xml:space="preserve"> сектор да прави вложения в защитени резервни копия на данните, тъй като иначе биха загубил</w:t>
      </w:r>
      <w:r w:rsidR="00D24B30" w:rsidRPr="00B217C4">
        <w:rPr>
          <w:rFonts w:ascii="Times New Roman" w:eastAsia="Calibri" w:hAnsi="Times New Roman"/>
          <w:sz w:val="24"/>
          <w:szCs w:val="24"/>
        </w:rPr>
        <w:t>и</w:t>
      </w:r>
      <w:r w:rsidRPr="00B217C4">
        <w:rPr>
          <w:rFonts w:ascii="Times New Roman" w:eastAsia="Calibri" w:hAnsi="Times New Roman"/>
          <w:sz w:val="24"/>
          <w:szCs w:val="24"/>
        </w:rPr>
        <w:t xml:space="preserve"> трайно</w:t>
      </w:r>
      <w:r w:rsidRPr="00966194">
        <w:rPr>
          <w:rFonts w:ascii="Times New Roman" w:eastAsia="Calibri" w:hAnsi="Times New Roman"/>
          <w:sz w:val="24"/>
          <w:szCs w:val="24"/>
        </w:rPr>
        <w:t xml:space="preserve"> своите данни.</w:t>
      </w:r>
      <w:r w:rsidR="00D24B30">
        <w:rPr>
          <w:rFonts w:ascii="Times New Roman" w:eastAsia="Calibri" w:hAnsi="Times New Roman"/>
          <w:sz w:val="24"/>
          <w:szCs w:val="24"/>
        </w:rPr>
        <w:t xml:space="preserve"> </w:t>
      </w:r>
    </w:p>
    <w:p w:rsidR="003E656E" w:rsidRPr="00966194" w:rsidRDefault="003E656E">
      <w:pPr>
        <w:spacing w:after="0" w:line="240" w:lineRule="auto"/>
        <w:jc w:val="both"/>
        <w:rPr>
          <w:rFonts w:ascii="Times New Roman" w:eastAsia="Calibri" w:hAnsi="Times New Roman"/>
          <w:color w:val="FF0000"/>
          <w:sz w:val="24"/>
          <w:szCs w:val="24"/>
        </w:rPr>
      </w:pPr>
      <w:r>
        <w:rPr>
          <w:rFonts w:ascii="Times New Roman" w:eastAsia="Calibri" w:hAnsi="Times New Roman"/>
          <w:sz w:val="24"/>
          <w:szCs w:val="24"/>
        </w:rPr>
        <w:tab/>
      </w:r>
      <w:r w:rsidRPr="003E656E">
        <w:rPr>
          <w:rFonts w:ascii="Times New Roman" w:eastAsia="Calibri" w:hAnsi="Times New Roman"/>
          <w:sz w:val="24"/>
          <w:szCs w:val="24"/>
        </w:rPr>
        <w:t xml:space="preserve">Също така на 14 октомври 2019 г. в Министерството на правосъдието постъпи официално уведомително писмо на Европейската комисия (ОУП) № С (2019) 6272 по процедура за нарушение № 2019/2240 относно неизпълнение на задълженията на Република България във връзка с чл. 9, </w:t>
      </w:r>
      <w:proofErr w:type="spellStart"/>
      <w:r w:rsidRPr="003E656E">
        <w:rPr>
          <w:rFonts w:ascii="Times New Roman" w:eastAsia="Calibri" w:hAnsi="Times New Roman"/>
          <w:sz w:val="24"/>
          <w:szCs w:val="24"/>
        </w:rPr>
        <w:t>пар</w:t>
      </w:r>
      <w:proofErr w:type="spellEnd"/>
      <w:r w:rsidRPr="003E656E">
        <w:rPr>
          <w:rFonts w:ascii="Times New Roman" w:eastAsia="Calibri" w:hAnsi="Times New Roman"/>
          <w:sz w:val="24"/>
          <w:szCs w:val="24"/>
        </w:rPr>
        <w:t xml:space="preserve">. 4, буква „б“ и буква „в“ от Директива 2013/40/ЕС относно атаките срещу информационните системи. Според констатациите на Европейската комисия при транспонирането на Директива 2013/40/ЕС България не се е съобразила с изискуемия максимален праг на наказанието лишаване от свобода, предвиден в случаите, посочени в чл. 9, </w:t>
      </w:r>
      <w:proofErr w:type="spellStart"/>
      <w:r w:rsidRPr="003E656E">
        <w:rPr>
          <w:rFonts w:ascii="Times New Roman" w:eastAsia="Calibri" w:hAnsi="Times New Roman"/>
          <w:sz w:val="24"/>
          <w:szCs w:val="24"/>
        </w:rPr>
        <w:t>пар</w:t>
      </w:r>
      <w:proofErr w:type="spellEnd"/>
      <w:r w:rsidRPr="003E656E">
        <w:rPr>
          <w:rFonts w:ascii="Times New Roman" w:eastAsia="Calibri" w:hAnsi="Times New Roman"/>
          <w:sz w:val="24"/>
          <w:szCs w:val="24"/>
        </w:rPr>
        <w:t>. 4 от Директивата, който следва да бъде не по-малък от пет години. Този праг се предвижда, когато деянията по чл. 4 и 5 от Директивата са причинили сериозни вреди или са извършени срещу информационна система, която е част от критична инфраструктура.</w:t>
      </w:r>
    </w:p>
    <w:p w:rsidR="00160F69" w:rsidRPr="00966194"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t>Особено важно за нормалното функциониране на държавата е осигуряването на безпроблемната работа както на държавния апарат, така и на обектите от стратегическо значение в различните структуроопределящи сектори</w:t>
      </w:r>
      <w:r w:rsidRPr="00F52375">
        <w:rPr>
          <w:rFonts w:ascii="Times New Roman" w:eastAsia="Calibri" w:hAnsi="Times New Roman"/>
          <w:sz w:val="24"/>
          <w:szCs w:val="24"/>
        </w:rPr>
        <w:t>,</w:t>
      </w:r>
      <w:r w:rsidRPr="00966194">
        <w:rPr>
          <w:rFonts w:ascii="Times New Roman" w:eastAsia="Calibri" w:hAnsi="Times New Roman"/>
          <w:sz w:val="24"/>
          <w:szCs w:val="24"/>
        </w:rPr>
        <w:t xml:space="preserve"> като земеделието, транспорта, енергетиката, здравеопазването и други. Това е т.нар. критична </w:t>
      </w:r>
      <w:r w:rsidR="00D3153A" w:rsidRPr="00966194">
        <w:rPr>
          <w:rFonts w:ascii="Times New Roman" w:eastAsia="Calibri" w:hAnsi="Times New Roman"/>
          <w:sz w:val="24"/>
          <w:szCs w:val="24"/>
        </w:rPr>
        <w:t>инфраструктура</w:t>
      </w:r>
      <w:r w:rsidRPr="00966194">
        <w:rPr>
          <w:rFonts w:ascii="Times New Roman" w:eastAsia="Calibri" w:hAnsi="Times New Roman"/>
          <w:sz w:val="24"/>
          <w:szCs w:val="24"/>
        </w:rPr>
        <w:t>. Нарушаването на нормалното й функциониране може да доведе освен до сериозни финансови загуби, до заплаха за националнат</w:t>
      </w:r>
      <w:r w:rsidR="00F52375">
        <w:rPr>
          <w:rFonts w:ascii="Times New Roman" w:eastAsia="Calibri" w:hAnsi="Times New Roman"/>
          <w:sz w:val="24"/>
          <w:szCs w:val="24"/>
        </w:rPr>
        <w:t xml:space="preserve">а сигурност на страната, а също </w:t>
      </w:r>
      <w:r w:rsidRPr="00966194">
        <w:rPr>
          <w:rFonts w:ascii="Times New Roman" w:eastAsia="Calibri" w:hAnsi="Times New Roman"/>
          <w:sz w:val="24"/>
          <w:szCs w:val="24"/>
        </w:rPr>
        <w:t xml:space="preserve">и до нарушаване на нормалното снабдяване на обществото с жизнено важни услуги и/или продукти. През 2019 година в европейски план се наблюдава разширяване на обхвата на представляващите критична инфраструктура обекти от разследващите органи в европейските държави, като дължащо се както на повишената бдителност на националните компетентни органи, така </w:t>
      </w:r>
      <w:r w:rsidR="00D3153A" w:rsidRPr="00966194">
        <w:rPr>
          <w:rFonts w:ascii="Times New Roman" w:eastAsia="Calibri" w:hAnsi="Times New Roman"/>
          <w:sz w:val="24"/>
          <w:szCs w:val="24"/>
        </w:rPr>
        <w:t xml:space="preserve">и на увеличаващия се брой </w:t>
      </w:r>
      <w:proofErr w:type="spellStart"/>
      <w:r w:rsidR="00D3153A" w:rsidRPr="00966194">
        <w:rPr>
          <w:rFonts w:ascii="Times New Roman" w:eastAsia="Calibri" w:hAnsi="Times New Roman"/>
          <w:sz w:val="24"/>
          <w:szCs w:val="24"/>
        </w:rPr>
        <w:t>кибер</w:t>
      </w:r>
      <w:proofErr w:type="spellEnd"/>
      <w:r w:rsidR="00D3153A" w:rsidRPr="00966194">
        <w:rPr>
          <w:rFonts w:ascii="Times New Roman" w:eastAsia="Calibri" w:hAnsi="Times New Roman"/>
          <w:sz w:val="24"/>
          <w:szCs w:val="24"/>
        </w:rPr>
        <w:t xml:space="preserve"> </w:t>
      </w:r>
      <w:r w:rsidRPr="00966194">
        <w:rPr>
          <w:rFonts w:ascii="Times New Roman" w:eastAsia="Calibri" w:hAnsi="Times New Roman"/>
          <w:sz w:val="24"/>
          <w:szCs w:val="24"/>
        </w:rPr>
        <w:t>атаки.</w:t>
      </w:r>
    </w:p>
    <w:p w:rsidR="00160F69" w:rsidRPr="00966194"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t>Същевременно по линия противодействие този вид престъпления, извършени в и чрез дигитална среда, са налице трудности при документиране на престъпната дейност и установяване на извършителя, произтичащи от настоящата законодателна уредба и по-</w:t>
      </w:r>
      <w:r w:rsidRPr="00F52375">
        <w:rPr>
          <w:rFonts w:ascii="Times New Roman" w:eastAsia="Calibri" w:hAnsi="Times New Roman"/>
          <w:sz w:val="24"/>
          <w:szCs w:val="24"/>
        </w:rPr>
        <w:t xml:space="preserve">конкретно </w:t>
      </w:r>
      <w:r w:rsidR="00D24B30" w:rsidRPr="00F52375">
        <w:rPr>
          <w:rFonts w:ascii="Times New Roman" w:eastAsia="Calibri" w:hAnsi="Times New Roman"/>
          <w:sz w:val="24"/>
          <w:szCs w:val="24"/>
        </w:rPr>
        <w:t>от</w:t>
      </w:r>
      <w:r w:rsidR="00D24B30">
        <w:rPr>
          <w:rFonts w:ascii="Times New Roman" w:eastAsia="Calibri" w:hAnsi="Times New Roman"/>
          <w:sz w:val="24"/>
          <w:szCs w:val="24"/>
        </w:rPr>
        <w:t xml:space="preserve"> </w:t>
      </w:r>
      <w:r w:rsidRPr="00966194">
        <w:rPr>
          <w:rFonts w:ascii="Times New Roman" w:eastAsia="Calibri" w:hAnsi="Times New Roman"/>
          <w:sz w:val="24"/>
          <w:szCs w:val="24"/>
        </w:rPr>
        <w:t xml:space="preserve">Закона за електронните съобщения (ЗЕС) и Наказателния кодекс (НК). Съгласно чл. 251б, ал. 2 от ЗЕС </w:t>
      </w:r>
      <w:r w:rsidR="00D3153A" w:rsidRPr="00966194">
        <w:rPr>
          <w:rFonts w:ascii="Times New Roman" w:eastAsia="Calibri" w:hAnsi="Times New Roman"/>
          <w:sz w:val="24"/>
          <w:szCs w:val="24"/>
        </w:rPr>
        <w:t xml:space="preserve">се </w:t>
      </w:r>
      <w:r w:rsidRPr="00966194">
        <w:rPr>
          <w:rFonts w:ascii="Times New Roman" w:eastAsia="Calibri" w:hAnsi="Times New Roman"/>
          <w:sz w:val="24"/>
          <w:szCs w:val="24"/>
        </w:rPr>
        <w:t>регламентира, че компютърно-информационни данни могат да се изискват по съответния ред</w:t>
      </w:r>
      <w:r w:rsidR="00D3153A" w:rsidRPr="00966194">
        <w:rPr>
          <w:rFonts w:ascii="Times New Roman" w:eastAsia="Calibri" w:hAnsi="Times New Roman"/>
          <w:sz w:val="24"/>
          <w:szCs w:val="24"/>
        </w:rPr>
        <w:t>,</w:t>
      </w:r>
      <w:r w:rsidRPr="00966194">
        <w:rPr>
          <w:rFonts w:ascii="Times New Roman" w:eastAsia="Calibri" w:hAnsi="Times New Roman"/>
          <w:sz w:val="24"/>
          <w:szCs w:val="24"/>
        </w:rPr>
        <w:t xml:space="preserve"> само когато са свързани с извършено тежко умишлено престъпление – тоест предв</w:t>
      </w:r>
      <w:r w:rsidR="00D3153A" w:rsidRPr="00966194">
        <w:rPr>
          <w:rFonts w:ascii="Times New Roman" w:eastAsia="Calibri" w:hAnsi="Times New Roman"/>
          <w:sz w:val="24"/>
          <w:szCs w:val="24"/>
        </w:rPr>
        <w:t>идено е наказание над 5 години лишаване от свобода</w:t>
      </w:r>
      <w:r w:rsidRPr="00966194">
        <w:rPr>
          <w:rFonts w:ascii="Times New Roman" w:eastAsia="Calibri" w:hAnsi="Times New Roman"/>
          <w:sz w:val="24"/>
          <w:szCs w:val="24"/>
        </w:rPr>
        <w:t>.</w:t>
      </w:r>
    </w:p>
    <w:p w:rsidR="00341586"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lastRenderedPageBreak/>
        <w:tab/>
      </w:r>
      <w:r w:rsidR="00341586" w:rsidRPr="00341586">
        <w:rPr>
          <w:rFonts w:ascii="Times New Roman" w:eastAsia="Calibri" w:hAnsi="Times New Roman"/>
          <w:sz w:val="24"/>
          <w:szCs w:val="24"/>
        </w:rPr>
        <w:t>В същото време това е и единственият начин за събиране на дигитални следи, от които може да се достигне до извършителя на престъплението. Подобна е правната уредба и на деянията по чл. 319г от НК, касаещи въвеждането на компютърен вирус в информационна система или компютърна мрежа, както и въвеждането на друга компютърна програма, която е предназначена за нарушаване на дейността на информационна система или компютърна мрежа или за узнаване, заличаване, изтриване, изменение или копиране на компютърни данни без разрешение, когато такова се изисква. Противоправни деяния, изразяващи се в неправомерно осъществен достъп до информационна система или части от нея, при които не са настъпили тежки последици, както и при достъп до или промяна на компютърни данни в информационна система, когато това не е свързано е дейността на организирана престъпна група или достъпът не касае критична инфраструктура, също на практика не могат да бъдат ефективно разследвани и пресичани.</w:t>
      </w:r>
    </w:p>
    <w:p w:rsidR="00160F69" w:rsidRPr="00966194" w:rsidRDefault="00AC3F95">
      <w:pPr>
        <w:spacing w:after="0" w:line="240" w:lineRule="auto"/>
        <w:jc w:val="both"/>
      </w:pPr>
      <w:bookmarkStart w:id="0" w:name="_GoBack"/>
      <w:bookmarkEnd w:id="0"/>
      <w:r w:rsidRPr="00966194">
        <w:rPr>
          <w:rFonts w:ascii="Times New Roman" w:eastAsia="Calibri" w:hAnsi="Times New Roman"/>
          <w:sz w:val="24"/>
          <w:szCs w:val="24"/>
        </w:rPr>
        <w:tab/>
        <w:t xml:space="preserve">Престъпленията срещу интелектуалната собственост, авторското право и сродните му права </w:t>
      </w:r>
      <w:r w:rsidR="00D24B30">
        <w:rPr>
          <w:rFonts w:ascii="Times New Roman" w:eastAsia="Calibri" w:hAnsi="Times New Roman"/>
          <w:sz w:val="24"/>
          <w:szCs w:val="24"/>
        </w:rPr>
        <w:t>(</w:t>
      </w:r>
      <w:r w:rsidR="00E53187">
        <w:rPr>
          <w:rFonts w:ascii="Times New Roman" w:eastAsia="Calibri" w:hAnsi="Times New Roman"/>
          <w:sz w:val="24"/>
          <w:szCs w:val="24"/>
        </w:rPr>
        <w:t xml:space="preserve">Глава </w:t>
      </w:r>
      <w:r w:rsidR="00D24B30" w:rsidRPr="00E53187">
        <w:rPr>
          <w:rFonts w:ascii="Times New Roman" w:eastAsia="Calibri" w:hAnsi="Times New Roman"/>
          <w:sz w:val="24"/>
          <w:szCs w:val="24"/>
        </w:rPr>
        <w:t>трета,</w:t>
      </w:r>
      <w:r w:rsidRPr="00966194">
        <w:rPr>
          <w:rFonts w:ascii="Times New Roman" w:eastAsia="Calibri" w:hAnsi="Times New Roman"/>
          <w:sz w:val="24"/>
          <w:szCs w:val="24"/>
        </w:rPr>
        <w:t xml:space="preserve"> раздел VII от НК</w:t>
      </w:r>
      <w:r w:rsidR="00D24B30">
        <w:rPr>
          <w:rFonts w:ascii="Times New Roman" w:eastAsia="Calibri" w:hAnsi="Times New Roman"/>
          <w:sz w:val="24"/>
          <w:szCs w:val="24"/>
        </w:rPr>
        <w:t>)</w:t>
      </w:r>
      <w:r w:rsidRPr="00966194">
        <w:rPr>
          <w:rFonts w:ascii="Times New Roman" w:eastAsia="Calibri" w:hAnsi="Times New Roman"/>
          <w:sz w:val="24"/>
          <w:szCs w:val="24"/>
        </w:rPr>
        <w:t xml:space="preserve"> са деяния с висока степен на обществена опасност, не само предвид правата и интересите на авторите, които засягат, а и с нанасянето на финансови загуби в особено големи размери, което се отразява на приходите в държавния бюджет. Тяхното разследване също е невъзможно да бъде извършено без изискване на т.нар. „</w:t>
      </w:r>
      <w:proofErr w:type="spellStart"/>
      <w:r w:rsidRPr="00966194">
        <w:rPr>
          <w:rFonts w:ascii="Times New Roman" w:eastAsia="Calibri" w:hAnsi="Times New Roman"/>
          <w:sz w:val="24"/>
          <w:szCs w:val="24"/>
        </w:rPr>
        <w:t>трафични</w:t>
      </w:r>
      <w:proofErr w:type="spellEnd"/>
      <w:r w:rsidRPr="00966194">
        <w:rPr>
          <w:rFonts w:ascii="Times New Roman" w:eastAsia="Calibri" w:hAnsi="Times New Roman"/>
          <w:sz w:val="24"/>
          <w:szCs w:val="24"/>
        </w:rPr>
        <w:t xml:space="preserve"> данни“.   </w:t>
      </w:r>
    </w:p>
    <w:p w:rsidR="00160F69" w:rsidRPr="00966194" w:rsidRDefault="00AC3F95">
      <w:pPr>
        <w:spacing w:after="0" w:line="240" w:lineRule="auto"/>
        <w:jc w:val="both"/>
      </w:pPr>
      <w:r w:rsidRPr="00966194">
        <w:rPr>
          <w:rFonts w:ascii="Times New Roman" w:eastAsia="Calibri" w:hAnsi="Times New Roman"/>
          <w:sz w:val="24"/>
          <w:szCs w:val="24"/>
        </w:rPr>
        <w:tab/>
        <w:t xml:space="preserve">Същевременно децата, като едни от най-малките и най-активни потребители на интернет пространството са ежедневно изложени на порнографско съдържание, което още от ранна възраст провокира деструктивно действие върху оформянето на личността им. Нещо повече, малолетни и непълнолетни ежедневно стават жертви на сексуални набези от страна на лица, имащи такъв тип сексуално поведение. В тази връзка са необходими спешни промени и </w:t>
      </w:r>
      <w:r w:rsidR="000D0244">
        <w:rPr>
          <w:rFonts w:ascii="Times New Roman" w:eastAsia="Calibri" w:hAnsi="Times New Roman"/>
          <w:sz w:val="24"/>
          <w:szCs w:val="24"/>
        </w:rPr>
        <w:t>на съставите на престъпления в Г</w:t>
      </w:r>
      <w:r w:rsidRPr="00966194">
        <w:rPr>
          <w:rFonts w:ascii="Times New Roman" w:eastAsia="Calibri" w:hAnsi="Times New Roman"/>
          <w:sz w:val="24"/>
          <w:szCs w:val="24"/>
        </w:rPr>
        <w:t xml:space="preserve">лава </w:t>
      </w:r>
      <w:r w:rsidR="00D24B30" w:rsidRPr="00D24B30">
        <w:rPr>
          <w:rFonts w:ascii="Times New Roman" w:eastAsia="Calibri" w:hAnsi="Times New Roman"/>
          <w:sz w:val="24"/>
          <w:szCs w:val="24"/>
        </w:rPr>
        <w:t>втора</w:t>
      </w:r>
      <w:r w:rsidRPr="00966194">
        <w:rPr>
          <w:rFonts w:ascii="Times New Roman" w:eastAsia="Calibri" w:hAnsi="Times New Roman"/>
          <w:sz w:val="24"/>
          <w:szCs w:val="24"/>
        </w:rPr>
        <w:t xml:space="preserve">, раздел VIII от </w:t>
      </w:r>
      <w:r w:rsidRPr="000D0244">
        <w:rPr>
          <w:rFonts w:ascii="Times New Roman" w:eastAsia="Calibri" w:hAnsi="Times New Roman"/>
          <w:sz w:val="24"/>
          <w:szCs w:val="24"/>
        </w:rPr>
        <w:t xml:space="preserve">НК </w:t>
      </w:r>
      <w:r w:rsidR="000D0244">
        <w:rPr>
          <w:rFonts w:ascii="Times New Roman" w:eastAsia="Calibri" w:hAnsi="Times New Roman"/>
          <w:sz w:val="24"/>
          <w:szCs w:val="24"/>
        </w:rPr>
        <w:t>-</w:t>
      </w:r>
      <w:r w:rsidR="00C37366" w:rsidRPr="000D0244">
        <w:rPr>
          <w:rFonts w:ascii="Times New Roman" w:eastAsia="Calibri" w:hAnsi="Times New Roman"/>
          <w:sz w:val="24"/>
          <w:szCs w:val="24"/>
        </w:rPr>
        <w:t>„</w:t>
      </w:r>
      <w:r w:rsidRPr="000D0244">
        <w:rPr>
          <w:rFonts w:ascii="Times New Roman" w:eastAsia="Calibri" w:hAnsi="Times New Roman"/>
          <w:sz w:val="24"/>
          <w:szCs w:val="24"/>
        </w:rPr>
        <w:t>Разврат</w:t>
      </w:r>
      <w:r w:rsidR="00C37366" w:rsidRPr="000D0244">
        <w:rPr>
          <w:rFonts w:ascii="Times New Roman" w:eastAsia="Calibri" w:hAnsi="Times New Roman"/>
          <w:sz w:val="24"/>
          <w:szCs w:val="24"/>
        </w:rPr>
        <w:t>“</w:t>
      </w:r>
      <w:r w:rsidRPr="000D0244">
        <w:rPr>
          <w:rFonts w:ascii="Times New Roman" w:eastAsia="Calibri" w:hAnsi="Times New Roman"/>
          <w:sz w:val="24"/>
          <w:szCs w:val="24"/>
        </w:rPr>
        <w:t>.</w:t>
      </w:r>
    </w:p>
    <w:p w:rsidR="006517A6" w:rsidRPr="00966194"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t>От изложеното по-горе става ясно, че</w:t>
      </w:r>
      <w:r w:rsidR="006517A6" w:rsidRPr="00966194">
        <w:rPr>
          <w:rFonts w:ascii="Times New Roman" w:eastAsia="Calibri" w:hAnsi="Times New Roman"/>
          <w:sz w:val="24"/>
          <w:szCs w:val="24"/>
        </w:rPr>
        <w:t xml:space="preserve"> освен наличието на усложнена </w:t>
      </w:r>
      <w:proofErr w:type="spellStart"/>
      <w:r w:rsidR="006517A6" w:rsidRPr="00966194">
        <w:rPr>
          <w:rFonts w:ascii="Times New Roman" w:eastAsia="Calibri" w:hAnsi="Times New Roman"/>
          <w:sz w:val="24"/>
          <w:szCs w:val="24"/>
        </w:rPr>
        <w:t>кибер</w:t>
      </w:r>
      <w:proofErr w:type="spellEnd"/>
      <w:r w:rsidR="006517A6" w:rsidRPr="00966194">
        <w:rPr>
          <w:rFonts w:ascii="Times New Roman" w:eastAsia="Calibri" w:hAnsi="Times New Roman"/>
          <w:sz w:val="24"/>
          <w:szCs w:val="24"/>
        </w:rPr>
        <w:t xml:space="preserve"> обстановка</w:t>
      </w:r>
      <w:r w:rsidR="00233998">
        <w:rPr>
          <w:rFonts w:ascii="Times New Roman" w:eastAsia="Calibri" w:hAnsi="Times New Roman"/>
          <w:sz w:val="24"/>
          <w:szCs w:val="24"/>
        </w:rPr>
        <w:t xml:space="preserve"> </w:t>
      </w:r>
      <w:r w:rsidR="006517A6" w:rsidRPr="00966194">
        <w:rPr>
          <w:rFonts w:ascii="Times New Roman" w:eastAsia="Calibri" w:hAnsi="Times New Roman"/>
          <w:sz w:val="24"/>
          <w:szCs w:val="24"/>
        </w:rPr>
        <w:t xml:space="preserve">както в Република България, така и в Европейския съюз, е налице необходимост </w:t>
      </w:r>
      <w:r w:rsidR="006517A6" w:rsidRPr="00233998">
        <w:rPr>
          <w:rFonts w:ascii="Times New Roman" w:eastAsia="Calibri" w:hAnsi="Times New Roman"/>
          <w:sz w:val="24"/>
          <w:szCs w:val="24"/>
        </w:rPr>
        <w:t xml:space="preserve">и от осигуряване на възможност на </w:t>
      </w:r>
      <w:proofErr w:type="spellStart"/>
      <w:r w:rsidR="006517A6" w:rsidRPr="00233998">
        <w:rPr>
          <w:rFonts w:ascii="Times New Roman" w:eastAsia="Calibri" w:hAnsi="Times New Roman"/>
          <w:sz w:val="24"/>
          <w:szCs w:val="24"/>
        </w:rPr>
        <w:t>пра</w:t>
      </w:r>
      <w:r w:rsidR="00C37366" w:rsidRPr="00233998">
        <w:rPr>
          <w:rFonts w:ascii="Times New Roman" w:eastAsia="Calibri" w:hAnsi="Times New Roman"/>
          <w:sz w:val="24"/>
          <w:szCs w:val="24"/>
        </w:rPr>
        <w:t>в</w:t>
      </w:r>
      <w:r w:rsidR="006517A6" w:rsidRPr="00233998">
        <w:rPr>
          <w:rFonts w:ascii="Times New Roman" w:eastAsia="Calibri" w:hAnsi="Times New Roman"/>
          <w:sz w:val="24"/>
          <w:szCs w:val="24"/>
        </w:rPr>
        <w:t>оохранителните</w:t>
      </w:r>
      <w:proofErr w:type="spellEnd"/>
      <w:r w:rsidR="006517A6" w:rsidRPr="00233998">
        <w:rPr>
          <w:rFonts w:ascii="Times New Roman" w:eastAsia="Calibri" w:hAnsi="Times New Roman"/>
          <w:sz w:val="24"/>
          <w:szCs w:val="24"/>
        </w:rPr>
        <w:t xml:space="preserve"> органи пълноценно да могат да извършват разследвания на </w:t>
      </w:r>
      <w:r w:rsidRPr="00233998">
        <w:rPr>
          <w:rFonts w:ascii="Times New Roman" w:eastAsia="Calibri" w:hAnsi="Times New Roman"/>
          <w:sz w:val="24"/>
          <w:szCs w:val="24"/>
        </w:rPr>
        <w:t>компютърните</w:t>
      </w:r>
      <w:r w:rsidRPr="00966194">
        <w:rPr>
          <w:rFonts w:ascii="Times New Roman" w:eastAsia="Calibri" w:hAnsi="Times New Roman"/>
          <w:sz w:val="24"/>
          <w:szCs w:val="24"/>
        </w:rPr>
        <w:t xml:space="preserve"> престъпления, извършвани на територията на страната.</w:t>
      </w:r>
    </w:p>
    <w:p w:rsidR="00160F69" w:rsidRPr="00966194"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t xml:space="preserve">Така формулирана, </w:t>
      </w:r>
      <w:r w:rsidR="006517A6" w:rsidRPr="00966194">
        <w:rPr>
          <w:rFonts w:ascii="Times New Roman" w:eastAsia="Calibri" w:hAnsi="Times New Roman"/>
          <w:sz w:val="24"/>
          <w:szCs w:val="24"/>
        </w:rPr>
        <w:t xml:space="preserve">нормата на чл. 251б, ал 2 от ЗЕС </w:t>
      </w:r>
      <w:r w:rsidRPr="00966194">
        <w:rPr>
          <w:rFonts w:ascii="Times New Roman" w:eastAsia="Calibri" w:hAnsi="Times New Roman"/>
          <w:sz w:val="24"/>
          <w:szCs w:val="24"/>
        </w:rPr>
        <w:t xml:space="preserve">не позволява придобиването й по единствения възможен начин на значимата информация за разкриването на престъпления срещу почти всички състави на визираните по-горе престъпления: </w:t>
      </w:r>
    </w:p>
    <w:p w:rsidR="00160F69" w:rsidRPr="00966194" w:rsidRDefault="00AC3F95" w:rsidP="00C37366">
      <w:pPr>
        <w:spacing w:after="0" w:line="240" w:lineRule="auto"/>
        <w:ind w:firstLine="851"/>
        <w:jc w:val="both"/>
        <w:rPr>
          <w:rFonts w:ascii="Times New Roman" w:eastAsia="Calibri" w:hAnsi="Times New Roman"/>
          <w:sz w:val="24"/>
          <w:szCs w:val="24"/>
        </w:rPr>
      </w:pPr>
      <w:r w:rsidRPr="00966194">
        <w:rPr>
          <w:rFonts w:ascii="Times New Roman" w:eastAsia="Calibri" w:hAnsi="Times New Roman"/>
          <w:sz w:val="24"/>
          <w:szCs w:val="24"/>
        </w:rPr>
        <w:t xml:space="preserve">- за същинските компютърни </w:t>
      </w:r>
      <w:r w:rsidRPr="00233998">
        <w:rPr>
          <w:rFonts w:ascii="Times New Roman" w:eastAsia="Calibri" w:hAnsi="Times New Roman"/>
          <w:sz w:val="24"/>
          <w:szCs w:val="24"/>
        </w:rPr>
        <w:t>пр</w:t>
      </w:r>
      <w:r w:rsidR="006517A6" w:rsidRPr="00233998">
        <w:rPr>
          <w:rFonts w:ascii="Times New Roman" w:eastAsia="Calibri" w:hAnsi="Times New Roman"/>
          <w:sz w:val="24"/>
          <w:szCs w:val="24"/>
        </w:rPr>
        <w:t>естъплени</w:t>
      </w:r>
      <w:r w:rsidR="00C37366" w:rsidRPr="00233998">
        <w:rPr>
          <w:rFonts w:ascii="Times New Roman" w:eastAsia="Calibri" w:hAnsi="Times New Roman"/>
          <w:sz w:val="24"/>
          <w:szCs w:val="24"/>
        </w:rPr>
        <w:t>я</w:t>
      </w:r>
      <w:r w:rsidR="006517A6" w:rsidRPr="00233998">
        <w:rPr>
          <w:rFonts w:ascii="Times New Roman" w:eastAsia="Calibri" w:hAnsi="Times New Roman"/>
          <w:sz w:val="24"/>
          <w:szCs w:val="24"/>
        </w:rPr>
        <w:t xml:space="preserve"> от Глава </w:t>
      </w:r>
      <w:r w:rsidR="00C37366" w:rsidRPr="00233998">
        <w:rPr>
          <w:rFonts w:ascii="Times New Roman" w:eastAsia="Calibri" w:hAnsi="Times New Roman"/>
          <w:sz w:val="24"/>
          <w:szCs w:val="24"/>
        </w:rPr>
        <w:t>девета „а“</w:t>
      </w:r>
      <w:r w:rsidR="006517A6" w:rsidRPr="00233998">
        <w:rPr>
          <w:rFonts w:ascii="Times New Roman" w:eastAsia="Calibri" w:hAnsi="Times New Roman"/>
          <w:sz w:val="24"/>
          <w:szCs w:val="24"/>
        </w:rPr>
        <w:t xml:space="preserve"> от НК</w:t>
      </w:r>
      <w:r w:rsidR="006517A6" w:rsidRPr="00966194">
        <w:rPr>
          <w:rFonts w:ascii="Times New Roman" w:eastAsia="Calibri" w:hAnsi="Times New Roman"/>
          <w:sz w:val="24"/>
          <w:szCs w:val="24"/>
        </w:rPr>
        <w:t>;</w:t>
      </w:r>
    </w:p>
    <w:p w:rsidR="00160F69" w:rsidRPr="00966194" w:rsidRDefault="00AC3F95" w:rsidP="00C37366">
      <w:pPr>
        <w:spacing w:after="0" w:line="240" w:lineRule="auto"/>
        <w:ind w:firstLine="851"/>
        <w:jc w:val="both"/>
        <w:rPr>
          <w:rFonts w:ascii="Times New Roman" w:eastAsia="Calibri" w:hAnsi="Times New Roman"/>
          <w:sz w:val="24"/>
          <w:szCs w:val="24"/>
        </w:rPr>
      </w:pPr>
      <w:r w:rsidRPr="00966194">
        <w:rPr>
          <w:rFonts w:ascii="Times New Roman" w:eastAsia="Calibri" w:hAnsi="Times New Roman"/>
          <w:sz w:val="24"/>
          <w:szCs w:val="24"/>
        </w:rPr>
        <w:t>- за компют</w:t>
      </w:r>
      <w:r w:rsidR="00233998">
        <w:rPr>
          <w:rFonts w:ascii="Times New Roman" w:eastAsia="Calibri" w:hAnsi="Times New Roman"/>
          <w:sz w:val="24"/>
          <w:szCs w:val="24"/>
        </w:rPr>
        <w:t xml:space="preserve">ърно свързаните престъпления в Глава </w:t>
      </w:r>
      <w:r w:rsidR="00C37366">
        <w:rPr>
          <w:rFonts w:ascii="Times New Roman" w:eastAsia="Calibri" w:hAnsi="Times New Roman"/>
          <w:sz w:val="24"/>
          <w:szCs w:val="24"/>
        </w:rPr>
        <w:t>втора</w:t>
      </w:r>
      <w:r w:rsidRPr="00966194">
        <w:rPr>
          <w:rFonts w:ascii="Times New Roman" w:eastAsia="Calibri" w:hAnsi="Times New Roman"/>
          <w:sz w:val="24"/>
          <w:szCs w:val="24"/>
        </w:rPr>
        <w:t>, раздел VIII от НК - онлайн д</w:t>
      </w:r>
      <w:r w:rsidR="00233998">
        <w:rPr>
          <w:rFonts w:ascii="Times New Roman" w:eastAsia="Calibri" w:hAnsi="Times New Roman"/>
          <w:sz w:val="24"/>
          <w:szCs w:val="24"/>
        </w:rPr>
        <w:t>етска сексуална експлоатация и Г</w:t>
      </w:r>
      <w:r w:rsidRPr="00966194">
        <w:rPr>
          <w:rFonts w:ascii="Times New Roman" w:eastAsia="Calibri" w:hAnsi="Times New Roman"/>
          <w:sz w:val="24"/>
          <w:szCs w:val="24"/>
        </w:rPr>
        <w:t xml:space="preserve">лава </w:t>
      </w:r>
      <w:r w:rsidR="00C37366" w:rsidRPr="00233998">
        <w:rPr>
          <w:rFonts w:ascii="Times New Roman" w:eastAsia="Calibri" w:hAnsi="Times New Roman"/>
          <w:sz w:val="24"/>
          <w:szCs w:val="24"/>
        </w:rPr>
        <w:t>трета,</w:t>
      </w:r>
      <w:r w:rsidRPr="00233998">
        <w:rPr>
          <w:rFonts w:ascii="Times New Roman" w:eastAsia="Calibri" w:hAnsi="Times New Roman"/>
          <w:sz w:val="24"/>
          <w:szCs w:val="24"/>
        </w:rPr>
        <w:t xml:space="preserve"> раздел</w:t>
      </w:r>
      <w:r w:rsidRPr="00966194">
        <w:rPr>
          <w:rFonts w:ascii="Times New Roman" w:eastAsia="Calibri" w:hAnsi="Times New Roman"/>
          <w:sz w:val="24"/>
          <w:szCs w:val="24"/>
        </w:rPr>
        <w:t xml:space="preserve"> VII от НК – интелектуална, индустриална собственост и авторско право.</w:t>
      </w:r>
    </w:p>
    <w:p w:rsidR="00160F69" w:rsidRPr="00966194"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r>
      <w:r w:rsidR="00C37366" w:rsidRPr="00D82020">
        <w:rPr>
          <w:rFonts w:ascii="Times New Roman" w:eastAsia="Calibri" w:hAnsi="Times New Roman"/>
          <w:sz w:val="24"/>
          <w:szCs w:val="24"/>
        </w:rPr>
        <w:t>Съставите</w:t>
      </w:r>
      <w:r w:rsidRPr="00D82020">
        <w:rPr>
          <w:rFonts w:ascii="Times New Roman" w:eastAsia="Calibri" w:hAnsi="Times New Roman"/>
          <w:sz w:val="24"/>
          <w:szCs w:val="24"/>
        </w:rPr>
        <w:t xml:space="preserve"> на горепосочените престъпления</w:t>
      </w:r>
      <w:r w:rsidR="00D82020" w:rsidRPr="00D82020">
        <w:rPr>
          <w:rFonts w:ascii="Times New Roman" w:eastAsia="Calibri" w:hAnsi="Times New Roman"/>
          <w:sz w:val="24"/>
          <w:szCs w:val="24"/>
        </w:rPr>
        <w:t xml:space="preserve"> </w:t>
      </w:r>
      <w:r w:rsidRPr="00D82020">
        <w:rPr>
          <w:rFonts w:ascii="Times New Roman" w:eastAsia="Calibri" w:hAnsi="Times New Roman"/>
          <w:sz w:val="24"/>
          <w:szCs w:val="24"/>
        </w:rPr>
        <w:t xml:space="preserve">предвиждат наказания „лишаване от свобода“ по-малко </w:t>
      </w:r>
      <w:r w:rsidR="00C37366" w:rsidRPr="00D82020">
        <w:rPr>
          <w:rFonts w:ascii="Times New Roman" w:eastAsia="Calibri" w:hAnsi="Times New Roman"/>
          <w:sz w:val="24"/>
          <w:szCs w:val="24"/>
        </w:rPr>
        <w:t xml:space="preserve">от 5 години </w:t>
      </w:r>
      <w:r w:rsidRPr="00D82020">
        <w:rPr>
          <w:rFonts w:ascii="Times New Roman" w:eastAsia="Calibri" w:hAnsi="Times New Roman"/>
          <w:sz w:val="24"/>
          <w:szCs w:val="24"/>
        </w:rPr>
        <w:t xml:space="preserve">или </w:t>
      </w:r>
      <w:r w:rsidR="00C37366" w:rsidRPr="00D82020">
        <w:rPr>
          <w:rFonts w:ascii="Times New Roman" w:eastAsia="Calibri" w:hAnsi="Times New Roman"/>
          <w:sz w:val="24"/>
          <w:szCs w:val="24"/>
        </w:rPr>
        <w:t xml:space="preserve">до </w:t>
      </w:r>
      <w:r w:rsidRPr="00D82020">
        <w:rPr>
          <w:rFonts w:ascii="Times New Roman" w:eastAsia="Calibri" w:hAnsi="Times New Roman"/>
          <w:sz w:val="24"/>
          <w:szCs w:val="24"/>
        </w:rPr>
        <w:t>5 години. От друга страна</w:t>
      </w:r>
      <w:r w:rsidR="00C37366" w:rsidRPr="00D82020">
        <w:rPr>
          <w:rFonts w:ascii="Times New Roman" w:eastAsia="Calibri" w:hAnsi="Times New Roman"/>
          <w:sz w:val="24"/>
          <w:szCs w:val="24"/>
        </w:rPr>
        <w:t>,</w:t>
      </w:r>
      <w:r w:rsidRPr="00D82020">
        <w:rPr>
          <w:rFonts w:ascii="Times New Roman" w:eastAsia="Calibri" w:hAnsi="Times New Roman"/>
          <w:sz w:val="24"/>
          <w:szCs w:val="24"/>
        </w:rPr>
        <w:t xml:space="preserve"> за ефективното им разследване и наказателно преследване е необходимо да бъде получена информация по чл. 251б от </w:t>
      </w:r>
      <w:r w:rsidR="00C37366" w:rsidRPr="00D82020">
        <w:rPr>
          <w:rFonts w:ascii="Times New Roman" w:eastAsia="Calibri" w:hAnsi="Times New Roman"/>
          <w:sz w:val="24"/>
          <w:szCs w:val="24"/>
        </w:rPr>
        <w:t xml:space="preserve">ЗЕС </w:t>
      </w:r>
      <w:r w:rsidRPr="00D82020">
        <w:rPr>
          <w:rFonts w:ascii="Times New Roman" w:eastAsia="Calibri" w:hAnsi="Times New Roman"/>
          <w:sz w:val="24"/>
          <w:szCs w:val="24"/>
        </w:rPr>
        <w:t>(</w:t>
      </w:r>
      <w:proofErr w:type="spellStart"/>
      <w:r w:rsidRPr="00D82020">
        <w:rPr>
          <w:rFonts w:ascii="Times New Roman" w:eastAsia="Calibri" w:hAnsi="Times New Roman"/>
          <w:sz w:val="24"/>
          <w:szCs w:val="24"/>
        </w:rPr>
        <w:t>трафични</w:t>
      </w:r>
      <w:proofErr w:type="spellEnd"/>
      <w:r w:rsidRPr="00D82020">
        <w:rPr>
          <w:rFonts w:ascii="Times New Roman" w:eastAsia="Calibri" w:hAnsi="Times New Roman"/>
          <w:sz w:val="24"/>
          <w:szCs w:val="24"/>
        </w:rPr>
        <w:t xml:space="preserve"> данни</w:t>
      </w:r>
      <w:r w:rsidRPr="00966194">
        <w:rPr>
          <w:rFonts w:ascii="Times New Roman" w:eastAsia="Calibri" w:hAnsi="Times New Roman"/>
          <w:sz w:val="24"/>
          <w:szCs w:val="24"/>
        </w:rPr>
        <w:t>). Съгласно ал.</w:t>
      </w:r>
      <w:r w:rsidR="00C37366">
        <w:rPr>
          <w:rFonts w:ascii="Times New Roman" w:eastAsia="Calibri" w:hAnsi="Times New Roman"/>
          <w:sz w:val="24"/>
          <w:szCs w:val="24"/>
        </w:rPr>
        <w:t xml:space="preserve"> </w:t>
      </w:r>
      <w:r w:rsidRPr="00966194">
        <w:rPr>
          <w:rFonts w:ascii="Times New Roman" w:eastAsia="Calibri" w:hAnsi="Times New Roman"/>
          <w:sz w:val="24"/>
          <w:szCs w:val="24"/>
        </w:rPr>
        <w:t>2 на същия такива данни се съхраняват за нуждите на националната сигурност и за предотвратяване, разкриване и разследване на тежки престъпления. В този смисъл е и решение на Конституционния съд № 2 от 12 март 2015 г. по конституционно дело № 8 от 2014 г. Със същото съдът обявява за противоконституционни актуалните към 2014 г. текстове на ЗЕС, като намира, че същите не удовлетворяват установените европейски стандарти за гарантиране на конституционно закрепените основни пр</w:t>
      </w:r>
      <w:r w:rsidR="00D82020">
        <w:rPr>
          <w:rFonts w:ascii="Times New Roman" w:eastAsia="Calibri" w:hAnsi="Times New Roman"/>
          <w:sz w:val="24"/>
          <w:szCs w:val="24"/>
        </w:rPr>
        <w:t xml:space="preserve">ава на гражданите. Решението на </w:t>
      </w:r>
      <w:r w:rsidR="00D82020" w:rsidRPr="00D82020">
        <w:rPr>
          <w:rFonts w:ascii="Times New Roman" w:eastAsia="Calibri" w:hAnsi="Times New Roman"/>
          <w:sz w:val="24"/>
          <w:szCs w:val="24"/>
        </w:rPr>
        <w:t>Конституционния с</w:t>
      </w:r>
      <w:r w:rsidR="00C37366" w:rsidRPr="00D82020">
        <w:rPr>
          <w:rFonts w:ascii="Times New Roman" w:eastAsia="Calibri" w:hAnsi="Times New Roman"/>
          <w:sz w:val="24"/>
          <w:szCs w:val="24"/>
        </w:rPr>
        <w:t>ъд</w:t>
      </w:r>
      <w:r w:rsidRPr="00D82020">
        <w:rPr>
          <w:rFonts w:ascii="Times New Roman" w:eastAsia="Calibri" w:hAnsi="Times New Roman"/>
          <w:sz w:val="24"/>
          <w:szCs w:val="24"/>
        </w:rPr>
        <w:t xml:space="preserve"> е в пряка</w:t>
      </w:r>
      <w:r w:rsidRPr="00966194">
        <w:rPr>
          <w:rFonts w:ascii="Times New Roman" w:eastAsia="Calibri" w:hAnsi="Times New Roman"/>
          <w:sz w:val="24"/>
          <w:szCs w:val="24"/>
        </w:rPr>
        <w:t xml:space="preserve"> връзка с Решение на Съда на ЕС от 8.04.2014 г., разширен състав, по съединени дела С-293/12 и С-594/12, (по-известно като </w:t>
      </w:r>
      <w:proofErr w:type="spellStart"/>
      <w:r w:rsidRPr="00966194">
        <w:rPr>
          <w:rFonts w:ascii="Times New Roman" w:eastAsia="Calibri" w:hAnsi="Times New Roman"/>
          <w:sz w:val="24"/>
          <w:szCs w:val="24"/>
        </w:rPr>
        <w:t>Digital</w:t>
      </w:r>
      <w:proofErr w:type="spellEnd"/>
      <w:r w:rsidRPr="00966194">
        <w:rPr>
          <w:rFonts w:ascii="Times New Roman" w:eastAsia="Calibri" w:hAnsi="Times New Roman"/>
          <w:sz w:val="24"/>
          <w:szCs w:val="24"/>
        </w:rPr>
        <w:t xml:space="preserve"> </w:t>
      </w:r>
      <w:proofErr w:type="spellStart"/>
      <w:r w:rsidRPr="00966194">
        <w:rPr>
          <w:rFonts w:ascii="Times New Roman" w:eastAsia="Calibri" w:hAnsi="Times New Roman"/>
          <w:sz w:val="24"/>
          <w:szCs w:val="24"/>
        </w:rPr>
        <w:t>rights</w:t>
      </w:r>
      <w:proofErr w:type="spellEnd"/>
      <w:r w:rsidRPr="00966194">
        <w:rPr>
          <w:rFonts w:ascii="Times New Roman" w:eastAsia="Calibri" w:hAnsi="Times New Roman"/>
          <w:sz w:val="24"/>
          <w:szCs w:val="24"/>
        </w:rPr>
        <w:t xml:space="preserve"> </w:t>
      </w:r>
      <w:proofErr w:type="spellStart"/>
      <w:r w:rsidRPr="00966194">
        <w:rPr>
          <w:rFonts w:ascii="Times New Roman" w:eastAsia="Calibri" w:hAnsi="Times New Roman"/>
          <w:sz w:val="24"/>
          <w:szCs w:val="24"/>
        </w:rPr>
        <w:t>Ireland</w:t>
      </w:r>
      <w:proofErr w:type="spellEnd"/>
      <w:r w:rsidRPr="00966194">
        <w:rPr>
          <w:rFonts w:ascii="Times New Roman" w:eastAsia="Calibri" w:hAnsi="Times New Roman"/>
          <w:sz w:val="24"/>
          <w:szCs w:val="24"/>
        </w:rPr>
        <w:t xml:space="preserve">) с което транспонираната в ЗЕС Директива 2006/24/ЕО е обявена за невалидна поради несъответствието й с разпоредбите на чл. 7, чл. 8 и чл. 52, § 1 от Хартата на основните права на Европейския съюз. Съдебната практика на Съда на ЕС относно съхранението </w:t>
      </w:r>
      <w:r w:rsidRPr="00966194">
        <w:rPr>
          <w:rFonts w:ascii="Times New Roman" w:eastAsia="Calibri" w:hAnsi="Times New Roman"/>
          <w:sz w:val="24"/>
          <w:szCs w:val="24"/>
        </w:rPr>
        <w:lastRenderedPageBreak/>
        <w:t xml:space="preserve">на данни е доразвито с Решение на Съда от 21.12.2016 г. по съединени дела C 203/15 и C 698/15 (известно и като </w:t>
      </w:r>
      <w:proofErr w:type="spellStart"/>
      <w:r w:rsidRPr="00966194">
        <w:rPr>
          <w:rFonts w:ascii="Times New Roman" w:eastAsia="Calibri" w:hAnsi="Times New Roman"/>
          <w:sz w:val="24"/>
          <w:szCs w:val="24"/>
        </w:rPr>
        <w:t>Tele</w:t>
      </w:r>
      <w:proofErr w:type="spellEnd"/>
      <w:r w:rsidRPr="00966194">
        <w:rPr>
          <w:rFonts w:ascii="Times New Roman" w:eastAsia="Calibri" w:hAnsi="Times New Roman"/>
          <w:sz w:val="24"/>
          <w:szCs w:val="24"/>
        </w:rPr>
        <w:t xml:space="preserve"> 2 &amp; </w:t>
      </w:r>
      <w:proofErr w:type="spellStart"/>
      <w:r w:rsidRPr="00966194">
        <w:rPr>
          <w:rFonts w:ascii="Times New Roman" w:eastAsia="Calibri" w:hAnsi="Times New Roman"/>
          <w:sz w:val="24"/>
          <w:szCs w:val="24"/>
        </w:rPr>
        <w:t>Watson</w:t>
      </w:r>
      <w:proofErr w:type="spellEnd"/>
      <w:r w:rsidRPr="00966194">
        <w:rPr>
          <w:rFonts w:ascii="Times New Roman" w:eastAsia="Calibri" w:hAnsi="Times New Roman"/>
          <w:sz w:val="24"/>
          <w:szCs w:val="24"/>
        </w:rPr>
        <w:t xml:space="preserve">). В същото Съда на ЕС потвърждава, че събирането на </w:t>
      </w:r>
      <w:proofErr w:type="spellStart"/>
      <w:r w:rsidRPr="00966194">
        <w:rPr>
          <w:rFonts w:ascii="Times New Roman" w:eastAsia="Calibri" w:hAnsi="Times New Roman"/>
          <w:sz w:val="24"/>
          <w:szCs w:val="24"/>
        </w:rPr>
        <w:t>трафични</w:t>
      </w:r>
      <w:proofErr w:type="spellEnd"/>
      <w:r w:rsidRPr="00966194">
        <w:rPr>
          <w:rFonts w:ascii="Times New Roman" w:eastAsia="Calibri" w:hAnsi="Times New Roman"/>
          <w:sz w:val="24"/>
          <w:szCs w:val="24"/>
        </w:rPr>
        <w:t xml:space="preserve"> данни е мярка, чийто характер предпоставя сериозно ограничаване на правото на личен и семеен живот и на правото на защита на личните данни (защитени в чл.</w:t>
      </w:r>
      <w:r w:rsidR="00C37366">
        <w:rPr>
          <w:rFonts w:ascii="Times New Roman" w:eastAsia="Calibri" w:hAnsi="Times New Roman"/>
          <w:sz w:val="24"/>
          <w:szCs w:val="24"/>
        </w:rPr>
        <w:t xml:space="preserve"> </w:t>
      </w:r>
      <w:r w:rsidRPr="00966194">
        <w:rPr>
          <w:rFonts w:ascii="Times New Roman" w:eastAsia="Calibri" w:hAnsi="Times New Roman"/>
          <w:sz w:val="24"/>
          <w:szCs w:val="24"/>
        </w:rPr>
        <w:t>7 и чл.</w:t>
      </w:r>
      <w:r w:rsidR="00C37366">
        <w:rPr>
          <w:rFonts w:ascii="Times New Roman" w:eastAsia="Calibri" w:hAnsi="Times New Roman"/>
          <w:sz w:val="24"/>
          <w:szCs w:val="24"/>
        </w:rPr>
        <w:t xml:space="preserve"> </w:t>
      </w:r>
      <w:r w:rsidRPr="00966194">
        <w:rPr>
          <w:rFonts w:ascii="Times New Roman" w:eastAsia="Calibri" w:hAnsi="Times New Roman"/>
          <w:sz w:val="24"/>
          <w:szCs w:val="24"/>
        </w:rPr>
        <w:t xml:space="preserve">8 от Хартата на основните права на ЕС), поради което достъп до </w:t>
      </w:r>
      <w:proofErr w:type="spellStart"/>
      <w:r w:rsidRPr="00966194">
        <w:rPr>
          <w:rFonts w:ascii="Times New Roman" w:eastAsia="Calibri" w:hAnsi="Times New Roman"/>
          <w:sz w:val="24"/>
          <w:szCs w:val="24"/>
        </w:rPr>
        <w:t>трафични</w:t>
      </w:r>
      <w:proofErr w:type="spellEnd"/>
      <w:r w:rsidRPr="00966194">
        <w:rPr>
          <w:rFonts w:ascii="Times New Roman" w:eastAsia="Calibri" w:hAnsi="Times New Roman"/>
          <w:sz w:val="24"/>
          <w:szCs w:val="24"/>
        </w:rPr>
        <w:t xml:space="preserve"> данни е възможен само за целите на превенция, разследване и наказателно преследване на тежки престъпления. Така практиката на Съда на ЕС прави невъзможно използването на </w:t>
      </w:r>
      <w:proofErr w:type="spellStart"/>
      <w:r w:rsidRPr="00966194">
        <w:rPr>
          <w:rFonts w:ascii="Times New Roman" w:eastAsia="Calibri" w:hAnsi="Times New Roman"/>
          <w:sz w:val="24"/>
          <w:szCs w:val="24"/>
        </w:rPr>
        <w:t>трафични</w:t>
      </w:r>
      <w:proofErr w:type="spellEnd"/>
      <w:r w:rsidRPr="00966194">
        <w:rPr>
          <w:rFonts w:ascii="Times New Roman" w:eastAsia="Calibri" w:hAnsi="Times New Roman"/>
          <w:sz w:val="24"/>
          <w:szCs w:val="24"/>
        </w:rPr>
        <w:t xml:space="preserve"> данни при извършени престъпления, които не са тежки по смисъла на националното законодателство на всяка държава членка.</w:t>
      </w:r>
    </w:p>
    <w:p w:rsidR="006517A6" w:rsidRPr="00966194" w:rsidRDefault="00AC3F95">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t xml:space="preserve">От описаните по-горе проблеми </w:t>
      </w:r>
      <w:r w:rsidRPr="00340697">
        <w:rPr>
          <w:rFonts w:ascii="Times New Roman" w:eastAsia="Calibri" w:hAnsi="Times New Roman"/>
          <w:sz w:val="24"/>
          <w:szCs w:val="24"/>
        </w:rPr>
        <w:t>става ясно</w:t>
      </w:r>
      <w:r w:rsidR="00C37366" w:rsidRPr="00340697">
        <w:rPr>
          <w:rFonts w:ascii="Times New Roman" w:eastAsia="Calibri" w:hAnsi="Times New Roman"/>
          <w:sz w:val="24"/>
          <w:szCs w:val="24"/>
        </w:rPr>
        <w:t>,</w:t>
      </w:r>
      <w:r w:rsidRPr="00340697">
        <w:rPr>
          <w:rFonts w:ascii="Times New Roman" w:eastAsia="Calibri" w:hAnsi="Times New Roman"/>
          <w:sz w:val="24"/>
          <w:szCs w:val="24"/>
        </w:rPr>
        <w:t xml:space="preserve"> че се налага актуализиране</w:t>
      </w:r>
      <w:r w:rsidRPr="00966194">
        <w:rPr>
          <w:rFonts w:ascii="Times New Roman" w:eastAsia="Calibri" w:hAnsi="Times New Roman"/>
          <w:sz w:val="24"/>
          <w:szCs w:val="24"/>
        </w:rPr>
        <w:t xml:space="preserve"> на действащата нормативна уредба на компютърните и компютърно свързаните пре</w:t>
      </w:r>
      <w:r w:rsidR="00340697">
        <w:rPr>
          <w:rFonts w:ascii="Times New Roman" w:eastAsia="Calibri" w:hAnsi="Times New Roman"/>
          <w:sz w:val="24"/>
          <w:szCs w:val="24"/>
        </w:rPr>
        <w:t>стъпления в Наказателния кодекс</w:t>
      </w:r>
      <w:r w:rsidRPr="00966194">
        <w:rPr>
          <w:rFonts w:ascii="Times New Roman" w:eastAsia="Calibri" w:hAnsi="Times New Roman"/>
          <w:sz w:val="24"/>
          <w:szCs w:val="24"/>
        </w:rPr>
        <w:t>, във връзка с което и с оглед осигуряване на по-адекватна защита на държавата, бизнеса и гражданите от неправомерни деяния, засягащи техните основни права</w:t>
      </w:r>
      <w:r w:rsidR="006517A6" w:rsidRPr="00966194">
        <w:rPr>
          <w:rFonts w:ascii="Times New Roman" w:eastAsia="Calibri" w:hAnsi="Times New Roman"/>
          <w:sz w:val="24"/>
          <w:szCs w:val="24"/>
        </w:rPr>
        <w:t>,</w:t>
      </w:r>
      <w:r w:rsidRPr="00966194">
        <w:rPr>
          <w:rFonts w:ascii="Times New Roman" w:eastAsia="Calibri" w:hAnsi="Times New Roman"/>
          <w:sz w:val="24"/>
          <w:szCs w:val="24"/>
        </w:rPr>
        <w:t xml:space="preserve"> предлагаме в </w:t>
      </w:r>
      <w:r w:rsidRPr="00A3744B">
        <w:rPr>
          <w:rFonts w:ascii="Times New Roman" w:eastAsia="Calibri" w:hAnsi="Times New Roman"/>
          <w:sz w:val="24"/>
          <w:szCs w:val="24"/>
        </w:rPr>
        <w:t xml:space="preserve">Глава </w:t>
      </w:r>
      <w:r w:rsidR="00C37366" w:rsidRPr="00A3744B">
        <w:rPr>
          <w:rFonts w:ascii="Times New Roman" w:eastAsia="Calibri" w:hAnsi="Times New Roman"/>
          <w:sz w:val="24"/>
          <w:szCs w:val="24"/>
        </w:rPr>
        <w:t>втора</w:t>
      </w:r>
      <w:r w:rsidRPr="00A3744B">
        <w:rPr>
          <w:rFonts w:ascii="Times New Roman" w:eastAsia="Calibri" w:hAnsi="Times New Roman"/>
          <w:sz w:val="24"/>
          <w:szCs w:val="24"/>
        </w:rPr>
        <w:t xml:space="preserve">, раздел VIII, Глава </w:t>
      </w:r>
      <w:r w:rsidR="00C37366" w:rsidRPr="00A3744B">
        <w:rPr>
          <w:rFonts w:ascii="Times New Roman" w:eastAsia="Calibri" w:hAnsi="Times New Roman"/>
          <w:sz w:val="24"/>
          <w:szCs w:val="24"/>
        </w:rPr>
        <w:t>трета</w:t>
      </w:r>
      <w:r w:rsidRPr="00A3744B">
        <w:rPr>
          <w:rFonts w:ascii="Times New Roman" w:eastAsia="Calibri" w:hAnsi="Times New Roman"/>
          <w:sz w:val="24"/>
          <w:szCs w:val="24"/>
        </w:rPr>
        <w:t xml:space="preserve">, раздел VII и </w:t>
      </w:r>
      <w:r w:rsidR="00A3744B" w:rsidRPr="00A3744B">
        <w:rPr>
          <w:rFonts w:ascii="Times New Roman" w:eastAsia="Calibri" w:hAnsi="Times New Roman"/>
          <w:sz w:val="24"/>
          <w:szCs w:val="24"/>
        </w:rPr>
        <w:t xml:space="preserve">Глава </w:t>
      </w:r>
      <w:r w:rsidR="00B2335D" w:rsidRPr="00A3744B">
        <w:rPr>
          <w:rFonts w:ascii="Times New Roman" w:eastAsia="Calibri" w:hAnsi="Times New Roman"/>
          <w:sz w:val="24"/>
          <w:szCs w:val="24"/>
        </w:rPr>
        <w:t xml:space="preserve">девета „а“ от НК </w:t>
      </w:r>
      <w:r w:rsidRPr="00A3744B">
        <w:rPr>
          <w:rFonts w:ascii="Times New Roman" w:eastAsia="Calibri" w:hAnsi="Times New Roman"/>
          <w:sz w:val="24"/>
          <w:szCs w:val="24"/>
        </w:rPr>
        <w:t>увеличаване на размера на наказанията в НК и включване квалифицирани състави на престъпления за компютърни и компютърно свързани престъпления с оглед постигане на съответствие</w:t>
      </w:r>
      <w:r w:rsidRPr="00966194">
        <w:rPr>
          <w:rFonts w:ascii="Times New Roman" w:eastAsia="Calibri" w:hAnsi="Times New Roman"/>
          <w:sz w:val="24"/>
          <w:szCs w:val="24"/>
        </w:rPr>
        <w:t xml:space="preserve"> между обществената опасност на тези престъпления и предвидените от закона наказания. </w:t>
      </w:r>
    </w:p>
    <w:p w:rsidR="00160F69" w:rsidRPr="00966194" w:rsidRDefault="006517A6">
      <w:pPr>
        <w:spacing w:after="0" w:line="240" w:lineRule="auto"/>
        <w:jc w:val="both"/>
        <w:rPr>
          <w:rFonts w:ascii="Times New Roman" w:eastAsia="Calibri" w:hAnsi="Times New Roman"/>
          <w:sz w:val="24"/>
          <w:szCs w:val="24"/>
        </w:rPr>
      </w:pPr>
      <w:r w:rsidRPr="00966194">
        <w:rPr>
          <w:rFonts w:ascii="Times New Roman" w:eastAsia="Calibri" w:hAnsi="Times New Roman"/>
          <w:sz w:val="24"/>
          <w:szCs w:val="24"/>
        </w:rPr>
        <w:tab/>
      </w:r>
      <w:r w:rsidR="00AC3F95" w:rsidRPr="00966194">
        <w:rPr>
          <w:rFonts w:ascii="Times New Roman" w:eastAsia="Calibri" w:hAnsi="Times New Roman"/>
          <w:sz w:val="24"/>
          <w:szCs w:val="24"/>
        </w:rPr>
        <w:t xml:space="preserve">В последните години се наблюдава тенденция на дигитализиране и автоматизиране на все повече услуги и процеси, които са свързани както със стопанския живот, така и с ежедневните дейности на гражданите. Съвременните технологии позволяват сключване на сделки, банкови трансфери, съхранение на и достъп до лични данни и друга чувствителна информация онлайн. </w:t>
      </w:r>
      <w:proofErr w:type="spellStart"/>
      <w:r w:rsidR="00AC3F95" w:rsidRPr="00966194">
        <w:rPr>
          <w:rFonts w:ascii="Times New Roman" w:eastAsia="Calibri" w:hAnsi="Times New Roman"/>
          <w:sz w:val="24"/>
          <w:szCs w:val="24"/>
        </w:rPr>
        <w:t>Блокчейн</w:t>
      </w:r>
      <w:proofErr w:type="spellEnd"/>
      <w:r w:rsidR="00AC3F95" w:rsidRPr="00966194">
        <w:rPr>
          <w:rFonts w:ascii="Times New Roman" w:eastAsia="Calibri" w:hAnsi="Times New Roman"/>
          <w:sz w:val="24"/>
          <w:szCs w:val="24"/>
        </w:rPr>
        <w:t xml:space="preserve"> като иновативна технология за верифициране навлиза във все по-широк кръг обществени отношения. На практика няма дейност, която да се осъществява без електронен обмен на дигитална информация. Компютрите се превръщат в средство за извършване на повечето престъпления, инкриминирани в НК. Увеличаването на възможностите на компютърните технологии води и до увеличаване на опасностите и възможностите за засягане на правата на гражданите. По тази причина все по-широк кръг обществени отношения са засягани от компютърни престъпления или от престъпления, извършени чрез използване на компютърни мрежи или системи. От друга страна се наблюдава тенденция към увеличаване на тежестта на засягане на обществените отношения от компютърни и компютърно свързани престъпления. Изграждането на автоматизирани информационни бази данни прави възможно засягането на много широк кръг лица, създавайки условия за последващо извършване на множество други престъпления, засягащи правата на широк кръг лица.</w:t>
      </w:r>
    </w:p>
    <w:p w:rsidR="00160F69" w:rsidRPr="00966194" w:rsidRDefault="00AC3F95" w:rsidP="00E53187">
      <w:pPr>
        <w:spacing w:after="0" w:line="240" w:lineRule="auto"/>
        <w:jc w:val="both"/>
      </w:pPr>
      <w:r w:rsidRPr="00966194">
        <w:rPr>
          <w:rFonts w:ascii="Times New Roman" w:eastAsia="Calibri" w:hAnsi="Times New Roman"/>
          <w:sz w:val="24"/>
          <w:szCs w:val="24"/>
        </w:rPr>
        <w:tab/>
      </w:r>
    </w:p>
    <w:p w:rsidR="00160F69" w:rsidRPr="00966194" w:rsidRDefault="00160F69">
      <w:pPr>
        <w:tabs>
          <w:tab w:val="left" w:pos="0"/>
        </w:tabs>
        <w:spacing w:line="320" w:lineRule="exact"/>
        <w:jc w:val="both"/>
        <w:rPr>
          <w:rFonts w:ascii="Times New Roman" w:hAnsi="Times New Roman" w:cs="Times New Roman"/>
          <w:sz w:val="28"/>
          <w:szCs w:val="28"/>
          <w:highlight w:val="yellow"/>
        </w:rPr>
      </w:pPr>
    </w:p>
    <w:sectPr w:rsidR="00160F69" w:rsidRPr="00966194" w:rsidSect="005229B3">
      <w:headerReference w:type="default" r:id="rId8"/>
      <w:pgSz w:w="11906" w:h="16838"/>
      <w:pgMar w:top="1134" w:right="1417" w:bottom="993"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27" w:rsidRDefault="00C94227">
      <w:pPr>
        <w:spacing w:after="0" w:line="240" w:lineRule="auto"/>
      </w:pPr>
      <w:r>
        <w:separator/>
      </w:r>
    </w:p>
  </w:endnote>
  <w:endnote w:type="continuationSeparator" w:id="0">
    <w:p w:rsidR="00C94227" w:rsidRDefault="00C9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Times New Roma">
    <w:altName w:val="Times New Roman"/>
    <w:panose1 w:val="00000000000000000000"/>
    <w:charset w:val="00"/>
    <w:family w:val="roman"/>
    <w:notTrueType/>
    <w:pitch w:val="default"/>
  </w:font>
  <w:font w:name="Liberation Sans">
    <w:altName w:val="Arial"/>
    <w:charset w:val="01"/>
    <w:family w:val="roman"/>
    <w:pitch w:val="variable"/>
  </w:font>
  <w:font w:name="PingFang SC">
    <w:charset w:val="01"/>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27" w:rsidRDefault="00C94227">
      <w:pPr>
        <w:spacing w:after="0" w:line="240" w:lineRule="auto"/>
      </w:pPr>
      <w:r>
        <w:separator/>
      </w:r>
    </w:p>
  </w:footnote>
  <w:footnote w:type="continuationSeparator" w:id="0">
    <w:p w:rsidR="00C94227" w:rsidRDefault="00C94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69" w:rsidRDefault="00AC3F95">
    <w:pPr>
      <w:pStyle w:val="Header"/>
      <w:rPr>
        <w:rFonts w:ascii="Times New Roman" w:hAnsi="Times New Roman" w:cs="Times New Roman"/>
        <w:b/>
        <w:sz w:val="24"/>
        <w:szCs w:val="24"/>
      </w:rPr>
    </w:pPr>
    <w:r>
      <w:tab/>
    </w:r>
    <w:r>
      <w:tab/>
    </w:r>
    <w:r>
      <w:rPr>
        <w:rFonts w:ascii="Times New Roman" w:hAnsi="Times New Roman" w:cs="Times New Roman"/>
        <w:b/>
        <w:sz w:val="24"/>
        <w:szCs w:val="24"/>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69"/>
    <w:rsid w:val="000D0244"/>
    <w:rsid w:val="00160F69"/>
    <w:rsid w:val="002146F5"/>
    <w:rsid w:val="00233998"/>
    <w:rsid w:val="00293C3A"/>
    <w:rsid w:val="00340697"/>
    <w:rsid w:val="00341586"/>
    <w:rsid w:val="00371813"/>
    <w:rsid w:val="003E656E"/>
    <w:rsid w:val="00463F62"/>
    <w:rsid w:val="005229B3"/>
    <w:rsid w:val="005E22A7"/>
    <w:rsid w:val="006517A6"/>
    <w:rsid w:val="007D782E"/>
    <w:rsid w:val="007E19F7"/>
    <w:rsid w:val="007F013B"/>
    <w:rsid w:val="00847D7E"/>
    <w:rsid w:val="008546D4"/>
    <w:rsid w:val="008D4777"/>
    <w:rsid w:val="00966194"/>
    <w:rsid w:val="00A03C34"/>
    <w:rsid w:val="00A311F5"/>
    <w:rsid w:val="00A3744B"/>
    <w:rsid w:val="00AC3F95"/>
    <w:rsid w:val="00B217C4"/>
    <w:rsid w:val="00B2335D"/>
    <w:rsid w:val="00B30C34"/>
    <w:rsid w:val="00C37366"/>
    <w:rsid w:val="00C41B18"/>
    <w:rsid w:val="00C83F87"/>
    <w:rsid w:val="00C94227"/>
    <w:rsid w:val="00CB60CF"/>
    <w:rsid w:val="00D01C28"/>
    <w:rsid w:val="00D24B30"/>
    <w:rsid w:val="00D3153A"/>
    <w:rsid w:val="00D3216D"/>
    <w:rsid w:val="00D82020"/>
    <w:rsid w:val="00E53187"/>
    <w:rsid w:val="00EE2323"/>
    <w:rsid w:val="00F52375"/>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DA5"/>
  <w15:docId w15:val="{77F8D0F9-BDA0-4097-AB49-2FE1577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91E78"/>
  </w:style>
  <w:style w:type="character" w:customStyle="1" w:styleId="FooterChar">
    <w:name w:val="Footer Char"/>
    <w:basedOn w:val="DefaultParagraphFont"/>
    <w:link w:val="Footer"/>
    <w:uiPriority w:val="99"/>
    <w:qFormat/>
    <w:rsid w:val="00D91E78"/>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WW8Num5z0">
    <w:name w:val="WW8Num5z0"/>
    <w:qFormat/>
    <w:rPr>
      <w:rFonts w:ascii="Times New Roman" w:eastAsia="Times New Roman" w:hAnsi="Times New Roman" w:cs="Times New Roman"/>
      <w:w w:val="98"/>
      <w:sz w:val="23"/>
      <w:szCs w:val="23"/>
      <w:lang w:val="bg-BG" w:bidi="bg-BG"/>
    </w:rPr>
  </w:style>
  <w:style w:type="character" w:customStyle="1" w:styleId="WW8Num5z2">
    <w:name w:val="WW8Num5z2"/>
    <w:qFormat/>
    <w:rPr>
      <w:rFonts w:ascii="Liberation Serif;Times New Roma" w:hAnsi="Liberation Serif;Times New Roma" w:cs="Liberation Serif;Times New Roma"/>
      <w:lang w:val="bg-BG" w:bidi="bg-BG"/>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Header">
    <w:name w:val="header"/>
    <w:basedOn w:val="Normal"/>
    <w:link w:val="HeaderChar"/>
    <w:uiPriority w:val="99"/>
    <w:unhideWhenUsed/>
    <w:rsid w:val="00D91E78"/>
    <w:pPr>
      <w:tabs>
        <w:tab w:val="center" w:pos="4536"/>
        <w:tab w:val="right" w:pos="9072"/>
      </w:tabs>
      <w:spacing w:after="0" w:line="240" w:lineRule="auto"/>
    </w:pPr>
  </w:style>
  <w:style w:type="paragraph" w:styleId="Footer">
    <w:name w:val="footer"/>
    <w:basedOn w:val="Normal"/>
    <w:link w:val="FooterChar"/>
    <w:uiPriority w:val="99"/>
    <w:unhideWhenUsed/>
    <w:rsid w:val="00D91E78"/>
    <w:pPr>
      <w:tabs>
        <w:tab w:val="center" w:pos="4536"/>
        <w:tab w:val="right" w:pos="9072"/>
      </w:tabs>
      <w:spacing w:after="0" w:line="240" w:lineRule="auto"/>
    </w:pPr>
  </w:style>
  <w:style w:type="paragraph" w:styleId="ListParagraph">
    <w:name w:val="List Paragraph"/>
    <w:basedOn w:val="Normal"/>
    <w:uiPriority w:val="34"/>
    <w:qFormat/>
    <w:rsid w:val="00D91E78"/>
    <w:pPr>
      <w:ind w:left="720"/>
      <w:contextualSpacing/>
    </w:pPr>
  </w:style>
  <w:style w:type="numbering" w:customStyle="1" w:styleId="WW8Num5">
    <w:name w:val="WW8Num5"/>
    <w:qFormat/>
  </w:style>
  <w:style w:type="table" w:styleId="TableGrid">
    <w:name w:val="Table Grid"/>
    <w:basedOn w:val="TableNormal"/>
    <w:rsid w:val="00A354C6"/>
    <w:rPr>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C819E-E410-4CBE-BC54-AF42957C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Десислава Трифонова</dc:creator>
  <dc:description/>
  <cp:lastModifiedBy>Десислава Трифонова</cp:lastModifiedBy>
  <cp:revision>4</cp:revision>
  <cp:lastPrinted>2020-06-30T06:04:00Z</cp:lastPrinted>
  <dcterms:created xsi:type="dcterms:W3CDTF">2020-06-30T06:38:00Z</dcterms:created>
  <dcterms:modified xsi:type="dcterms:W3CDTF">2020-06-30T06:40:00Z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