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4C4" w:rsidRPr="00497AD5" w:rsidRDefault="00146ABA" w:rsidP="00497AD5">
      <w:pPr>
        <w:pStyle w:val="DecHTitle"/>
        <w:rPr>
          <w:sz w:val="4"/>
          <w:szCs w:val="4"/>
        </w:rPr>
      </w:pPr>
      <w:bookmarkStart w:id="0" w:name="_GoBack"/>
      <w:bookmarkEnd w:id="0"/>
      <w:r>
        <w:t>ТРЕТО ОТДЕЛЕНИЕ</w:t>
      </w:r>
    </w:p>
    <w:p w:rsidR="006544C4" w:rsidRPr="00497AD5" w:rsidRDefault="00146ABA" w:rsidP="00497AD5">
      <w:pPr>
        <w:pStyle w:val="DecHTitle"/>
        <w:rPr>
          <w:caps/>
          <w:sz w:val="32"/>
        </w:rPr>
      </w:pPr>
      <w:r>
        <w:t>РЕШЕНИЕ</w:t>
      </w:r>
    </w:p>
    <w:p w:rsidR="006544C4" w:rsidRPr="00497AD5" w:rsidRDefault="00146ABA" w:rsidP="00497AD5">
      <w:pPr>
        <w:pStyle w:val="DecHCase"/>
      </w:pPr>
      <w:r>
        <w:t>Жалба № 9059/25</w:t>
      </w:r>
      <w:r>
        <w:cr/>
      </w:r>
      <w:r>
        <w:br/>
        <w:t>Ивелин Людмилов Михайлов срещу България</w:t>
      </w:r>
      <w:r>
        <w:cr/>
      </w:r>
      <w:r>
        <w:br/>
        <w:t>и три други жалби</w:t>
      </w:r>
      <w:r>
        <w:cr/>
      </w:r>
      <w:r>
        <w:br/>
        <w:t>(вж. списъка в приложението)</w:t>
      </w:r>
    </w:p>
    <w:p w:rsidR="00F773BD" w:rsidRPr="00497AD5" w:rsidRDefault="00146ABA" w:rsidP="00497AD5">
      <w:pPr>
        <w:pStyle w:val="JuPara"/>
      </w:pPr>
      <w:r>
        <w:t>Европейският съд по правата на човека (Трето отделение), заседаващ на 7 октомври 2025 г. в състав:</w:t>
      </w:r>
    </w:p>
    <w:p w:rsidR="00F773BD" w:rsidRPr="00497AD5" w:rsidRDefault="00146ABA" w:rsidP="00497AD5">
      <w:pPr>
        <w:pStyle w:val="JuJudges"/>
      </w:pPr>
      <w:r>
        <w:tab/>
        <w:t>Йоанис Ктистакис, Председател,</w:t>
      </w:r>
      <w:r>
        <w:cr/>
      </w:r>
      <w:r>
        <w:br/>
        <w:t>Пеетер Роосма,</w:t>
      </w:r>
      <w:r>
        <w:cr/>
      </w:r>
      <w:r>
        <w:br/>
        <w:t>Лятиф Хюсеинов,</w:t>
      </w:r>
      <w:r>
        <w:cr/>
      </w:r>
      <w:r>
        <w:br/>
        <w:t>Диана Ковачева,</w:t>
      </w:r>
      <w:r>
        <w:cr/>
      </w:r>
      <w:r>
        <w:br/>
        <w:t>Матея Джурович,</w:t>
      </w:r>
      <w:r>
        <w:cr/>
      </w:r>
      <w:r>
        <w:br/>
        <w:t>Канолик Мингоренс Кайрат,</w:t>
      </w:r>
      <w:r>
        <w:cr/>
      </w:r>
      <w:r>
        <w:br/>
        <w:t>Василка Санчин, Съдии,</w:t>
      </w:r>
      <w:r>
        <w:cr/>
      </w:r>
      <w:r>
        <w:br/>
        <w:t>и Милан Блашко, Секретар на отделението,</w:t>
      </w:r>
    </w:p>
    <w:p w:rsidR="00F773BD" w:rsidRPr="00497AD5" w:rsidRDefault="00146ABA" w:rsidP="00497AD5">
      <w:pPr>
        <w:pStyle w:val="JuPara"/>
      </w:pPr>
      <w:r>
        <w:t>Като взе предвид горепосочените жалби, подадени на датите, посочени в таблицата, приложена към решението,</w:t>
      </w:r>
    </w:p>
    <w:p w:rsidR="00F773BD" w:rsidRPr="00497AD5" w:rsidRDefault="00146ABA" w:rsidP="00497AD5">
      <w:pPr>
        <w:pStyle w:val="JuPara"/>
        <w:rPr>
          <w:color w:val="000000"/>
        </w:rPr>
      </w:pPr>
      <w:r>
        <w:t>След обсъждане постановява следното решение:</w:t>
      </w:r>
    </w:p>
    <w:p w:rsidR="00F773BD" w:rsidRPr="00497AD5" w:rsidRDefault="00146ABA" w:rsidP="00497AD5">
      <w:pPr>
        <w:pStyle w:val="JuHHead"/>
      </w:pPr>
      <w:r>
        <w:t>ФАКТИЧЕСКИ ОБСТОЯТЕЛСТВА</w:t>
      </w:r>
    </w:p>
    <w:p w:rsidR="00F773BD" w:rsidRPr="00497AD5" w:rsidRDefault="00497AD5" w:rsidP="00497AD5">
      <w:pPr>
        <w:pStyle w:val="JuPara"/>
      </w:pPr>
      <w:r w:rsidRPr="00497AD5">
        <w:fldChar w:fldCharType="begin"/>
      </w:r>
      <w:r w:rsidR="00146ABA">
        <w:instrText xml:space="preserve"> SEQ level0 \*arabic \* MERGEFORMAT </w:instrText>
      </w:r>
      <w:r w:rsidRPr="00497AD5">
        <w:fldChar w:fldCharType="separate"/>
      </w:r>
      <w:r w:rsidR="000E1177">
        <w:rPr>
          <w:noProof/>
        </w:rPr>
        <w:t>1</w:t>
      </w:r>
      <w:r w:rsidRPr="00497AD5">
        <w:fldChar w:fldCharType="end"/>
      </w:r>
      <w:r>
        <w:t>. Списъкът на жалбоподателите е поместен в приложението.</w:t>
      </w:r>
    </w:p>
    <w:p w:rsidR="00F773BD" w:rsidRPr="00497AD5" w:rsidRDefault="00146ABA" w:rsidP="00497AD5">
      <w:pPr>
        <w:pStyle w:val="JuHA"/>
      </w:pPr>
      <w:r>
        <w:t>ОБСТОЯТЕЛСТВА ПО ДЕЛОТО</w:t>
      </w:r>
    </w:p>
    <w:p w:rsidR="00F773BD" w:rsidRPr="00497AD5" w:rsidRDefault="00497AD5" w:rsidP="00497AD5">
      <w:pPr>
        <w:pStyle w:val="JuPara"/>
      </w:pPr>
      <w:r w:rsidRPr="00497AD5">
        <w:fldChar w:fldCharType="begin"/>
      </w:r>
      <w:r w:rsidR="00146ABA">
        <w:instrText xml:space="preserve"> SEQ level0 \*arabic \* MERGEFORMAT </w:instrText>
      </w:r>
      <w:r w:rsidRPr="00497AD5">
        <w:fldChar w:fldCharType="separate"/>
      </w:r>
      <w:r w:rsidR="000E1177">
        <w:rPr>
          <w:noProof/>
        </w:rPr>
        <w:t>2</w:t>
      </w:r>
      <w:r w:rsidRPr="00497AD5">
        <w:fldChar w:fldCharType="end"/>
      </w:r>
      <w:r>
        <w:t>. Фактите по делото, както са представени от жалбоподателите, могат да бъдат обобщени по следния начин:</w:t>
      </w:r>
    </w:p>
    <w:bookmarkStart w:id="1" w:name="para3"/>
    <w:p w:rsidR="00F773BD" w:rsidRPr="00497AD5" w:rsidRDefault="00146ABA" w:rsidP="00497AD5">
      <w:pPr>
        <w:pStyle w:val="JuPara"/>
      </w:pPr>
      <w:r w:rsidRPr="00497AD5">
        <w:fldChar w:fldCharType="begin"/>
      </w:r>
      <w:r w:rsidRPr="00497AD5">
        <w:instrText xml:space="preserve"> SEQ level0 \*arabic \* MERGEFORMAT </w:instrText>
      </w:r>
      <w:r w:rsidRPr="00497AD5">
        <w:fldChar w:fldCharType="separate"/>
      </w:r>
      <w:r w:rsidR="000E1177">
        <w:rPr>
          <w:noProof/>
        </w:rPr>
        <w:t>3</w:t>
      </w:r>
      <w:r w:rsidRPr="00497AD5">
        <w:fldChar w:fldCharType="end"/>
      </w:r>
      <w:bookmarkEnd w:id="1"/>
      <w:r>
        <w:t xml:space="preserve">. Първият (г-н Михайлов), третият (г-жа Бобчева) и четвъртият жалбоподател (г-н Панков) са български граждани. Те са участвали като кандидати за народни представители от листите на втория жалбоподател – политическа партия „Величие“, в </w:t>
      </w:r>
      <w:r w:rsidR="00524553">
        <w:t xml:space="preserve">българските </w:t>
      </w:r>
      <w:r>
        <w:t>парламентарните избори, проведени на 27 октомври 2024 г.</w:t>
      </w:r>
    </w:p>
    <w:bookmarkStart w:id="2" w:name="para4"/>
    <w:p w:rsidR="00F773BD" w:rsidRPr="00497AD5" w:rsidRDefault="00146ABA" w:rsidP="00497AD5">
      <w:pPr>
        <w:pStyle w:val="JuPara"/>
        <w:keepNext/>
        <w:keepLines/>
      </w:pPr>
      <w:r w:rsidRPr="00497AD5">
        <w:lastRenderedPageBreak/>
        <w:fldChar w:fldCharType="begin"/>
      </w:r>
      <w:r w:rsidRPr="00497AD5">
        <w:instrText xml:space="preserve"> SEQ level0 \*arabic \* MERGEFORMAT </w:instrText>
      </w:r>
      <w:r w:rsidRPr="00497AD5">
        <w:fldChar w:fldCharType="separate"/>
      </w:r>
      <w:r w:rsidR="000E1177">
        <w:rPr>
          <w:noProof/>
        </w:rPr>
        <w:t>4</w:t>
      </w:r>
      <w:r w:rsidRPr="00497AD5">
        <w:fldChar w:fldCharType="end"/>
      </w:r>
      <w:bookmarkEnd w:id="2"/>
      <w:r>
        <w:t>. Вторият жалбоподател е политическа партия, учредена през 2023 г. Тя участва в парламентарните избори на 9 юни 2024 г., в резултат на което печели тринадесет мандата в 50-ото Народно събрание на Република България.</w:t>
      </w:r>
    </w:p>
    <w:bookmarkStart w:id="3" w:name="para5"/>
    <w:p w:rsidR="00F773BD" w:rsidRPr="00497AD5" w:rsidRDefault="00146ABA" w:rsidP="00497AD5">
      <w:pPr>
        <w:pStyle w:val="JuPara"/>
        <w:keepNext/>
        <w:keepLines/>
      </w:pPr>
      <w:r w:rsidRPr="00497AD5">
        <w:fldChar w:fldCharType="begin"/>
      </w:r>
      <w:r w:rsidRPr="00497AD5">
        <w:instrText xml:space="preserve"> SEQ level0 \*arabic \* MERGEFORMAT </w:instrText>
      </w:r>
      <w:r w:rsidRPr="00497AD5">
        <w:fldChar w:fldCharType="separate"/>
      </w:r>
      <w:r w:rsidR="000E1177">
        <w:rPr>
          <w:noProof/>
        </w:rPr>
        <w:t>5</w:t>
      </w:r>
      <w:r w:rsidRPr="00497AD5">
        <w:fldChar w:fldCharType="end"/>
      </w:r>
      <w:bookmarkEnd w:id="3"/>
      <w:r>
        <w:t xml:space="preserve">. Тъй като 50-ото Народно събрание не успява да излъчи правителство, </w:t>
      </w:r>
      <w:r w:rsidR="00524553">
        <w:t>бяха организирани нови парламентарни избори на 27 октомври 2024 г</w:t>
      </w:r>
      <w:r>
        <w:t>. В тях участва и партия „Величие“, която регистрира кандидатски листи във всички 31 многомандатни избирателни района (МИР) в страната. Останалите трима жалбоподатели са били включени в листите на партията съответно в трите избирате</w:t>
      </w:r>
      <w:r w:rsidR="004C5A80">
        <w:t>лни района на територията на град</w:t>
      </w:r>
      <w:r>
        <w:t xml:space="preserve"> София.</w:t>
      </w:r>
    </w:p>
    <w:bookmarkStart w:id="4" w:name="para6"/>
    <w:p w:rsidR="00F773BD" w:rsidRPr="00497AD5" w:rsidRDefault="00146ABA" w:rsidP="00497AD5">
      <w:pPr>
        <w:pStyle w:val="JuPara"/>
      </w:pPr>
      <w:r w:rsidRPr="00497AD5">
        <w:fldChar w:fldCharType="begin"/>
      </w:r>
      <w:r w:rsidRPr="00497AD5">
        <w:instrText xml:space="preserve"> SEQ level0 \*arabic \* MERGEFORMAT </w:instrText>
      </w:r>
      <w:r w:rsidRPr="00497AD5">
        <w:fldChar w:fldCharType="separate"/>
      </w:r>
      <w:r w:rsidR="000E1177">
        <w:rPr>
          <w:noProof/>
        </w:rPr>
        <w:t>6</w:t>
      </w:r>
      <w:r w:rsidRPr="00497AD5">
        <w:fldChar w:fldCharType="end"/>
      </w:r>
      <w:bookmarkEnd w:id="4"/>
      <w:r>
        <w:t>. След приключване на гласуването и преброяването на бюлетините, с Решение от 30 октомври 2024 г., обнародвано на същата дата, Централната избирателна комисия (ЦИК) обявява резултатите от изборите. Според тях партия „Величие“ е получила 97 438 гласа, което представлява 3,999% от действителните гласове. Този резултат поставя партията под законоустановения изборен праг от 4% (равняващ се на 97 458,24 гласа). Поради това партията не участва в разпределението на мандатите в 51-ото Народно събрание и нито един от нейните кандидати не е избран.</w:t>
      </w:r>
    </w:p>
    <w:bookmarkStart w:id="5" w:name="para7"/>
    <w:p w:rsidR="00F773BD" w:rsidRPr="00497AD5" w:rsidRDefault="00146ABA" w:rsidP="00497AD5">
      <w:pPr>
        <w:pStyle w:val="JuPara"/>
      </w:pPr>
      <w:r w:rsidRPr="00497AD5">
        <w:fldChar w:fldCharType="begin"/>
      </w:r>
      <w:r w:rsidRPr="00497AD5">
        <w:instrText xml:space="preserve"> SEQ level0 \*arabic \* MERGEFORMAT </w:instrText>
      </w:r>
      <w:r w:rsidRPr="00497AD5">
        <w:fldChar w:fldCharType="separate"/>
      </w:r>
      <w:r w:rsidR="000E1177">
        <w:rPr>
          <w:noProof/>
        </w:rPr>
        <w:t>7</w:t>
      </w:r>
      <w:r w:rsidRPr="00497AD5">
        <w:fldChar w:fldCharType="end"/>
      </w:r>
      <w:bookmarkEnd w:id="5"/>
      <w:r>
        <w:t xml:space="preserve">. В дните непосредствено след изборите </w:t>
      </w:r>
      <w:r w:rsidR="00524553">
        <w:t xml:space="preserve">няколко </w:t>
      </w:r>
      <w:r>
        <w:t>журналистически материали и публикации в различни медии изнасят данни за нарушения в редица избирателни секции, свързани с преброяването на гласовете и попълването на секционните протоколи.</w:t>
      </w:r>
    </w:p>
    <w:bookmarkStart w:id="6" w:name="para8"/>
    <w:p w:rsidR="00F773BD" w:rsidRPr="00497AD5" w:rsidRDefault="00146ABA" w:rsidP="00497AD5">
      <w:pPr>
        <w:pStyle w:val="JuPara"/>
      </w:pPr>
      <w:r w:rsidRPr="00497AD5">
        <w:fldChar w:fldCharType="begin"/>
      </w:r>
      <w:r w:rsidRPr="00497AD5">
        <w:instrText xml:space="preserve"> SEQ level0 \*arabic \* MERGEFORMAT </w:instrText>
      </w:r>
      <w:r w:rsidRPr="00497AD5">
        <w:fldChar w:fldCharType="separate"/>
      </w:r>
      <w:r w:rsidR="000E1177">
        <w:rPr>
          <w:noProof/>
        </w:rPr>
        <w:t>8</w:t>
      </w:r>
      <w:r w:rsidRPr="00497AD5">
        <w:fldChar w:fldCharType="end"/>
      </w:r>
      <w:bookmarkEnd w:id="6"/>
      <w:r>
        <w:t>. На 6 ноември 2024 г. партия „Величие“ предприема действия за оспорване на законността на проведените избори, като внася мотивирани искания до органите, имащи право да сезират Конституционния съд – главния прокурор, председателя на Върховния касационен съд (ВКС), председателя на Върховния административен съд (ВАС), Президента на Републиката и Министерския съвет. Партията посочва множество нарушения в изборния процес, които според нея са опорочили вота и са я лишили от парламентарно представителство. С исканията си тя настоява посочените институции да упражнят правомощието си да сезират Конституционния съд с искане за касиране на изборите.</w:t>
      </w:r>
    </w:p>
    <w:bookmarkStart w:id="7" w:name="para9"/>
    <w:p w:rsidR="00F773BD" w:rsidRPr="00497AD5" w:rsidRDefault="00146ABA" w:rsidP="00497AD5">
      <w:pPr>
        <w:pStyle w:val="JuPara"/>
      </w:pPr>
      <w:r w:rsidRPr="00497AD5">
        <w:fldChar w:fldCharType="begin"/>
      </w:r>
      <w:r w:rsidRPr="00497AD5">
        <w:instrText xml:space="preserve"> SEQ level0 \*arabic \* MERGEFORMAT </w:instrText>
      </w:r>
      <w:r w:rsidRPr="00497AD5">
        <w:fldChar w:fldCharType="separate"/>
      </w:r>
      <w:r w:rsidR="000E1177">
        <w:rPr>
          <w:noProof/>
        </w:rPr>
        <w:t>9</w:t>
      </w:r>
      <w:r w:rsidRPr="00497AD5">
        <w:fldChar w:fldCharType="end"/>
      </w:r>
      <w:bookmarkEnd w:id="7"/>
      <w:r>
        <w:t>. Жалбоподателите твърдят, че не са получили отговор на тези искания и че нито един от сезираните от тях държавни органи не е препратил жалбата им до Конституционния съд, нито е инициирал самостоятелно производство пред него въз основа на техните твърдения.</w:t>
      </w:r>
    </w:p>
    <w:p w:rsidR="00F773BD" w:rsidRPr="00497AD5" w:rsidRDefault="00146ABA" w:rsidP="00497AD5">
      <w:pPr>
        <w:pStyle w:val="JuHA"/>
      </w:pPr>
      <w:r>
        <w:t>Други относими обстоятелства</w:t>
      </w:r>
    </w:p>
    <w:bookmarkStart w:id="8" w:name="para10"/>
    <w:p w:rsidR="00F773BD" w:rsidRPr="00497AD5" w:rsidRDefault="00146ABA" w:rsidP="00497AD5">
      <w:pPr>
        <w:pStyle w:val="JuPara"/>
      </w:pPr>
      <w:r w:rsidRPr="00497AD5">
        <w:fldChar w:fldCharType="begin"/>
      </w:r>
      <w:r w:rsidRPr="00497AD5">
        <w:instrText xml:space="preserve"> SEQ level0 \*arabic \* MERGEFORMAT </w:instrText>
      </w:r>
      <w:r w:rsidRPr="00497AD5">
        <w:fldChar w:fldCharType="separate"/>
      </w:r>
      <w:r w:rsidR="000E1177">
        <w:rPr>
          <w:noProof/>
        </w:rPr>
        <w:t>10</w:t>
      </w:r>
      <w:r w:rsidRPr="00497AD5">
        <w:fldChar w:fldCharType="end"/>
      </w:r>
      <w:bookmarkEnd w:id="8"/>
      <w:r>
        <w:t xml:space="preserve">. В периода между 8 и 14 ноември 2024 г. Конституционният съд е сезиран с пет отделни искания за оспорване законността на изборите, подадени от различни групи народни представители от 50-ото (чиито пълномощия продължават до конституирането на новото) и от новоизбраното 51-во Народно събрание. Две от исканията, подадени от народни представители от 50-ото Народно събрание, са подписани съответно от 67 и 58 депутати. Сред тях фигурират и народни представители, избрани на предходните избори (юни 2024 г.) от листите на партия „Величие“ (вж. ал. </w:t>
      </w:r>
      <w:r w:rsidRPr="00497AD5">
        <w:fldChar w:fldCharType="begin"/>
      </w:r>
      <w:r w:rsidRPr="00497AD5">
        <w:instrText xml:space="preserve"> REF para4 \h </w:instrText>
      </w:r>
      <w:r w:rsidRPr="00497AD5">
        <w:fldChar w:fldCharType="separate"/>
      </w:r>
      <w:r w:rsidR="000E1177">
        <w:rPr>
          <w:noProof/>
        </w:rPr>
        <w:t>4</w:t>
      </w:r>
      <w:r w:rsidRPr="00497AD5">
        <w:fldChar w:fldCharType="end"/>
      </w:r>
      <w:r>
        <w:t xml:space="preserve"> по-горе).</w:t>
      </w:r>
    </w:p>
    <w:bookmarkStart w:id="9" w:name="para11"/>
    <w:p w:rsidR="00F773BD" w:rsidRPr="00497AD5" w:rsidRDefault="00146ABA" w:rsidP="00497AD5">
      <w:pPr>
        <w:pStyle w:val="JuPara"/>
        <w:keepNext/>
        <w:keepLines/>
      </w:pPr>
      <w:r w:rsidRPr="00497AD5">
        <w:lastRenderedPageBreak/>
        <w:fldChar w:fldCharType="begin"/>
      </w:r>
      <w:r w:rsidRPr="00497AD5">
        <w:instrText xml:space="preserve"> SEQ level0 \*arabic \* MERGEFORMAT </w:instrText>
      </w:r>
      <w:r w:rsidRPr="00497AD5">
        <w:fldChar w:fldCharType="separate"/>
      </w:r>
      <w:r w:rsidR="000E1177">
        <w:rPr>
          <w:noProof/>
        </w:rPr>
        <w:t>11</w:t>
      </w:r>
      <w:r w:rsidRPr="00497AD5">
        <w:fldChar w:fldCharType="end"/>
      </w:r>
      <w:bookmarkEnd w:id="9"/>
      <w:r>
        <w:t xml:space="preserve">. Конституционният съд обединява петте искания за общо разглеждане в едно </w:t>
      </w:r>
      <w:r w:rsidR="00B36335">
        <w:t>производство</w:t>
      </w:r>
      <w:r>
        <w:t xml:space="preserve"> за оспорване </w:t>
      </w:r>
      <w:r w:rsidR="00B36335">
        <w:t>на изборните резултати</w:t>
      </w:r>
      <w:r>
        <w:t>. В хода на производството Съдът разпорежда извършването на повторно преброяване на гласовете в 1768 избирателни секции.</w:t>
      </w:r>
    </w:p>
    <w:bookmarkStart w:id="10" w:name="para12"/>
    <w:p w:rsidR="00F773BD" w:rsidRPr="00497AD5" w:rsidRDefault="00146ABA" w:rsidP="00497AD5">
      <w:pPr>
        <w:pStyle w:val="JuPara"/>
      </w:pPr>
      <w:r w:rsidRPr="00497AD5">
        <w:fldChar w:fldCharType="begin"/>
      </w:r>
      <w:r w:rsidRPr="00497AD5">
        <w:instrText xml:space="preserve"> SEQ level0 \*arabic \* MERGEFORMAT </w:instrText>
      </w:r>
      <w:r w:rsidRPr="00497AD5">
        <w:fldChar w:fldCharType="separate"/>
      </w:r>
      <w:r w:rsidR="000E1177">
        <w:rPr>
          <w:noProof/>
        </w:rPr>
        <w:t>12</w:t>
      </w:r>
      <w:r w:rsidRPr="00497AD5">
        <w:fldChar w:fldCharType="end"/>
      </w:r>
      <w:bookmarkEnd w:id="10"/>
      <w:r>
        <w:t>. На 13 март 2025 г. Конституционният съд постановява своето окончателно решение по обединеното дело. Съдът констатира конкретни случаи на неправилно отчитане на вота: при повторното преброяване на бюлетините в редица избирателни секции е установено, че броят на действителните гласове е по-малък от вписания в секционните протоколи. Също така е установено, че отразените в протоколите на някои секции резултати на политическите сили не съответстват на реалното разпределение на гласовете, разкрито при повторното преброяване. Приемайки, че тези нарушения са опорочили изборния резултат, Конституционният съд пристъпи към неговото коригиране. Общият брой на действителните гласове, подадени за партийни листи и независими кандидати, е редуциран от 2 436 456 на 2 434 761. Вследствие на това 4-процентният изборен праг е преизчислен и намален от 97 458,24 на 97 390,44 гласа. Коригиран е и броят на действителните гласове, подадени за листите на няколко партии. Резултатът на партия „Величие“ е коригиран във възходяща посока – от 97 438 на 97 497 гласа. С оглед на тези промени Конституционният съд разпорежда на ЦИК да извърши ново разпределение на мандатите въз основа на коригираните данни.</w:t>
      </w:r>
    </w:p>
    <w:bookmarkStart w:id="11" w:name="para13"/>
    <w:p w:rsidR="00F773BD" w:rsidRPr="00497AD5" w:rsidRDefault="00146ABA" w:rsidP="00497AD5">
      <w:pPr>
        <w:pStyle w:val="JuPara"/>
      </w:pPr>
      <w:r w:rsidRPr="00497AD5">
        <w:fldChar w:fldCharType="begin"/>
      </w:r>
      <w:r w:rsidRPr="00497AD5">
        <w:instrText xml:space="preserve"> SEQ level0 \*arabic \* MERGEFORMAT </w:instrText>
      </w:r>
      <w:r w:rsidRPr="00497AD5">
        <w:fldChar w:fldCharType="separate"/>
      </w:r>
      <w:r w:rsidR="000E1177">
        <w:rPr>
          <w:noProof/>
        </w:rPr>
        <w:t>13</w:t>
      </w:r>
      <w:r w:rsidRPr="00497AD5">
        <w:fldChar w:fldCharType="end"/>
      </w:r>
      <w:bookmarkEnd w:id="11"/>
      <w:r>
        <w:t xml:space="preserve">. </w:t>
      </w:r>
      <w:r w:rsidR="00EB25A2">
        <w:t>С</w:t>
      </w:r>
      <w:r>
        <w:t xml:space="preserve"> две решения от 13 март 2025 г. Централната избирателна комисия извършва ново разпределение на мандатите. В резултат на това партия „Величие“ получава десет места в 51-ото Народно събрание. Първият и третият жалбоподател са обявени за избрани в съответните избирателни райони. В избирателния район на четвъртия жалбоподател партия „Величие“ не печели мандат.</w:t>
      </w:r>
    </w:p>
    <w:bookmarkStart w:id="12" w:name="para14"/>
    <w:p w:rsidR="00F773BD" w:rsidRPr="00497AD5" w:rsidRDefault="00146ABA" w:rsidP="00497AD5">
      <w:pPr>
        <w:pStyle w:val="JuPara"/>
      </w:pPr>
      <w:r w:rsidRPr="00497AD5">
        <w:fldChar w:fldCharType="begin"/>
      </w:r>
      <w:r w:rsidRPr="00497AD5">
        <w:instrText xml:space="preserve"> SEQ level0 \*arabic \* MERGEFORMAT </w:instrText>
      </w:r>
      <w:r w:rsidRPr="00497AD5">
        <w:fldChar w:fldCharType="separate"/>
      </w:r>
      <w:r w:rsidR="000E1177">
        <w:rPr>
          <w:noProof/>
        </w:rPr>
        <w:t>14</w:t>
      </w:r>
      <w:r w:rsidRPr="00497AD5">
        <w:fldChar w:fldCharType="end"/>
      </w:r>
      <w:bookmarkEnd w:id="12"/>
      <w:r>
        <w:t>. Впоследствие първият и третият жалбоподател, заедно с останалите осем избрани кандидати от листите на партия „Величие“, полагат клетва като народни представители. Към настоящия момент те изпълняват функциите си в Народното събрание на Република България.</w:t>
      </w:r>
    </w:p>
    <w:p w:rsidR="00F773BD" w:rsidRPr="00497AD5" w:rsidRDefault="00146ABA" w:rsidP="00497AD5">
      <w:pPr>
        <w:pStyle w:val="JuHHead"/>
      </w:pPr>
      <w:r>
        <w:t>ПРИЛОЖИМА НАЦИОНАЛНА И МЕЖДУНАРОДНА ПРАВНА РАМКА</w:t>
      </w:r>
    </w:p>
    <w:p w:rsidR="00F773BD" w:rsidRPr="00497AD5" w:rsidRDefault="00B36335" w:rsidP="00497AD5">
      <w:pPr>
        <w:pStyle w:val="JuHA"/>
      </w:pPr>
      <w:r>
        <w:t>Българско изборно законодателство</w:t>
      </w:r>
    </w:p>
    <w:bookmarkStart w:id="13" w:name="para15"/>
    <w:p w:rsidR="00F773BD" w:rsidRPr="00497AD5" w:rsidRDefault="00146ABA" w:rsidP="00497AD5">
      <w:pPr>
        <w:pStyle w:val="JuPara"/>
      </w:pPr>
      <w:r w:rsidRPr="00497AD5">
        <w:fldChar w:fldCharType="begin"/>
      </w:r>
      <w:r w:rsidRPr="00497AD5">
        <w:instrText xml:space="preserve"> SEQ level0 \*arabic \* MERGEFORMAT </w:instrText>
      </w:r>
      <w:r w:rsidRPr="00497AD5">
        <w:fldChar w:fldCharType="separate"/>
      </w:r>
      <w:r w:rsidR="000E1177">
        <w:rPr>
          <w:noProof/>
        </w:rPr>
        <w:t>15</w:t>
      </w:r>
      <w:r w:rsidRPr="00497AD5">
        <w:fldChar w:fldCharType="end"/>
      </w:r>
      <w:bookmarkEnd w:id="13"/>
      <w:r>
        <w:t>. Съгласно Изборния кодекс от 2014 г. (ИК), 240-те народни представители в българския парламент се избират по пропорционална изборна система с регистрирани в многомандатни изборни райони кандидатски листи на партии и коалиции (чл. 246, ал. 1 и чл. 249, ал. 1 от ИК). Разпределението на мандатите се извършва според метода на най-големия остатък (метода на Хеър-Ниймайер), уреден в чл. 297, ал. 1 и Приложение № 1 към Кодекса. Процедурата включва три последователни етапа: 1) определяне на броя на мандатите за всяка партия и коалиция на национално ниво; 2) разпределение на мандатите на партиите и коалициите по 31 многомандатни изборни района; и 3) персонализиране на мандатите (определяне на избраните кандидати) във всеки от районитe.</w:t>
      </w:r>
    </w:p>
    <w:bookmarkStart w:id="14" w:name="para16"/>
    <w:p w:rsidR="00F773BD" w:rsidRPr="00497AD5" w:rsidRDefault="00146ABA" w:rsidP="00497AD5">
      <w:pPr>
        <w:pStyle w:val="JuPara"/>
      </w:pPr>
      <w:r w:rsidRPr="00497AD5">
        <w:lastRenderedPageBreak/>
        <w:fldChar w:fldCharType="begin"/>
      </w:r>
      <w:r w:rsidRPr="00497AD5">
        <w:instrText xml:space="preserve"> SEQ level0 \*arabic \* MERGEFORMAT </w:instrText>
      </w:r>
      <w:r w:rsidRPr="00497AD5">
        <w:fldChar w:fldCharType="separate"/>
      </w:r>
      <w:r w:rsidR="000E1177">
        <w:rPr>
          <w:noProof/>
        </w:rPr>
        <w:t>16</w:t>
      </w:r>
      <w:r w:rsidRPr="00497AD5">
        <w:fldChar w:fldCharType="end"/>
      </w:r>
      <w:bookmarkEnd w:id="14"/>
      <w:r>
        <w:t>. Член 297, ал. 2 от ИК установява изборен праг</w:t>
      </w:r>
      <w:r w:rsidR="00F60472" w:rsidRPr="00A62EE2">
        <w:t xml:space="preserve">, </w:t>
      </w:r>
      <w:r w:rsidR="00F60472">
        <w:t>който е фиксиран на</w:t>
      </w:r>
      <w:r>
        <w:t xml:space="preserve"> 4% от всички действителни гласове</w:t>
      </w:r>
      <w:r w:rsidR="00F60472">
        <w:t>,</w:t>
      </w:r>
      <w:r w:rsidR="00F60472" w:rsidRPr="00F60472">
        <w:t xml:space="preserve"> </w:t>
      </w:r>
      <w:r w:rsidR="00F60472">
        <w:t>п</w:t>
      </w:r>
      <w:r w:rsidR="00F60472" w:rsidRPr="00F60472">
        <w:t>одадени за партийните листи или за независими кандидати</w:t>
      </w:r>
      <w:r w:rsidR="00EB25A2">
        <w:t>:</w:t>
      </w:r>
      <w:r>
        <w:t xml:space="preserve"> </w:t>
      </w:r>
      <w:r w:rsidR="00EB25A2">
        <w:t>п</w:t>
      </w:r>
      <w:r>
        <w:t>ри разпределянето на мандатите в Народното събрание участват само партиите и коалициите, които са получили гласове, равни на или надвишаващи този праг.</w:t>
      </w:r>
    </w:p>
    <w:bookmarkStart w:id="15" w:name="para17"/>
    <w:p w:rsidR="00F773BD" w:rsidRPr="00497AD5" w:rsidRDefault="00146ABA" w:rsidP="00497AD5">
      <w:pPr>
        <w:pStyle w:val="JuPara"/>
      </w:pPr>
      <w:r w:rsidRPr="00497AD5">
        <w:fldChar w:fldCharType="begin"/>
      </w:r>
      <w:r w:rsidRPr="00497AD5">
        <w:instrText xml:space="preserve"> SEQ level0 \*arabic \* MERGEFORMAT </w:instrText>
      </w:r>
      <w:r w:rsidRPr="00497AD5">
        <w:fldChar w:fldCharType="separate"/>
      </w:r>
      <w:r w:rsidR="000E1177">
        <w:rPr>
          <w:noProof/>
        </w:rPr>
        <w:t>17</w:t>
      </w:r>
      <w:r w:rsidRPr="00497AD5">
        <w:fldChar w:fldCharType="end"/>
      </w:r>
      <w:bookmarkEnd w:id="15"/>
      <w:r>
        <w:t>. Централната избирателна комисия (ЦИК) обявява резултатите от гласуването и разпределението на мандатите между партиите и коалициите с решение, което се приема не по-късно от четири дни след изборния ден (чл. 300, ал. 1 от ИК).</w:t>
      </w:r>
    </w:p>
    <w:bookmarkStart w:id="16" w:name="para18"/>
    <w:p w:rsidR="00F773BD" w:rsidRPr="00497AD5" w:rsidRDefault="00146ABA" w:rsidP="00497AD5">
      <w:pPr>
        <w:pStyle w:val="JuPara"/>
      </w:pPr>
      <w:r w:rsidRPr="00497AD5">
        <w:fldChar w:fldCharType="begin"/>
      </w:r>
      <w:r w:rsidRPr="00497AD5">
        <w:instrText xml:space="preserve"> SEQ level0 \*arabic \* MERGEFORMAT </w:instrText>
      </w:r>
      <w:r w:rsidRPr="00497AD5">
        <w:fldChar w:fldCharType="separate"/>
      </w:r>
      <w:r w:rsidR="000E1177">
        <w:rPr>
          <w:noProof/>
        </w:rPr>
        <w:t>18</w:t>
      </w:r>
      <w:r w:rsidRPr="00497AD5">
        <w:fldChar w:fldCharType="end"/>
      </w:r>
      <w:bookmarkEnd w:id="16"/>
      <w:r>
        <w:t xml:space="preserve">. </w:t>
      </w:r>
      <w:r w:rsidR="00F60472">
        <w:t>Жалбите за о</w:t>
      </w:r>
      <w:r>
        <w:t>спорване на законността на изборите е уредено в чл. 305 от ИК, който в приложимата си част гласи следното:</w:t>
      </w:r>
    </w:p>
    <w:p w:rsidR="00F773BD" w:rsidRPr="00497AD5" w:rsidRDefault="00146ABA" w:rsidP="00497AD5">
      <w:pPr>
        <w:pStyle w:val="JuHArticle"/>
      </w:pPr>
      <w:r>
        <w:t>Член 305</w:t>
      </w:r>
    </w:p>
    <w:p w:rsidR="00F773BD" w:rsidRPr="00497AD5" w:rsidRDefault="00146ABA" w:rsidP="00497AD5">
      <w:pPr>
        <w:pStyle w:val="JuQuot"/>
      </w:pPr>
      <w:r>
        <w:t>(1) Кандидатите за народни представители, партиите, коалициите и лицето, което представлява инициативния комитет, регистрирали кандидати в изборите, може да оспорят законността на изборите за народни представители и на избора на народен представител пред орган по чл. 150 ал. 1 от Конституцията в 7-дневен срок от обявяването на решението с резултатите от изборите от Централната избирателна комисия.</w:t>
      </w:r>
    </w:p>
    <w:p w:rsidR="00F773BD" w:rsidRPr="00497AD5" w:rsidRDefault="00146ABA" w:rsidP="00497AD5">
      <w:pPr>
        <w:pStyle w:val="JuQuot"/>
      </w:pPr>
      <w:r>
        <w:t>(2) В 15-дневен срок от обявяването на решението с резултатите от изборите от Централната избирателна комисия органът по чл. 150, ал. 1 от Конституцията въз основа на постъпилото оспорване по ал. 1 или по своя инициатива може да сезира Конституционния съд с мотивирано искане да се произнесе по законността на изборите за народни представители или на избора на народен представител.</w:t>
      </w:r>
    </w:p>
    <w:bookmarkStart w:id="17" w:name="para19"/>
    <w:p w:rsidR="00F773BD" w:rsidRPr="00497AD5" w:rsidRDefault="00146ABA" w:rsidP="00497AD5">
      <w:pPr>
        <w:pStyle w:val="JuPara"/>
      </w:pPr>
      <w:r w:rsidRPr="00497AD5">
        <w:fldChar w:fldCharType="begin"/>
      </w:r>
      <w:r w:rsidRPr="00497AD5">
        <w:instrText xml:space="preserve"> SEQ level0 \*arabic \* MERGEFORMAT </w:instrText>
      </w:r>
      <w:r w:rsidRPr="00497AD5">
        <w:fldChar w:fldCharType="separate"/>
      </w:r>
      <w:r w:rsidR="000E1177">
        <w:rPr>
          <w:noProof/>
        </w:rPr>
        <w:t>19</w:t>
      </w:r>
      <w:r w:rsidRPr="00497AD5">
        <w:fldChar w:fldCharType="end"/>
      </w:r>
      <w:bookmarkEnd w:id="17"/>
      <w:r>
        <w:t>. Чл. 150, ал. 1 от Конституцията предвижда следното в относимата към настоящото дело част:</w:t>
      </w:r>
    </w:p>
    <w:p w:rsidR="00F773BD" w:rsidRPr="00497AD5" w:rsidRDefault="00146ABA" w:rsidP="00497AD5">
      <w:pPr>
        <w:pStyle w:val="JuHArticle"/>
      </w:pPr>
      <w:r>
        <w:t>Член 150</w:t>
      </w:r>
    </w:p>
    <w:p w:rsidR="00F773BD" w:rsidRPr="00497AD5" w:rsidRDefault="00146ABA" w:rsidP="00497AD5">
      <w:pPr>
        <w:pStyle w:val="JuQuot"/>
      </w:pPr>
      <w:r>
        <w:t>„(1) Конституционният съд действа по инициатива най-малко на една пета от народните представители, президента, Министерския съвет, Върховния касационен съд, Върховния административен съд и главния прокурор.“</w:t>
      </w:r>
    </w:p>
    <w:p w:rsidR="00F773BD" w:rsidRPr="00497AD5" w:rsidRDefault="00146ABA" w:rsidP="00497AD5">
      <w:pPr>
        <w:pStyle w:val="JuHA"/>
      </w:pPr>
      <w:r>
        <w:t>ОТНОСИМИ МЕЖДУНАРОДНИ ДОКУМЕНТИ</w:t>
      </w:r>
    </w:p>
    <w:bookmarkStart w:id="18" w:name="para20"/>
    <w:p w:rsidR="00F773BD" w:rsidRPr="00497AD5" w:rsidRDefault="00146ABA" w:rsidP="00497AD5">
      <w:pPr>
        <w:pStyle w:val="JuPara"/>
      </w:pPr>
      <w:r w:rsidRPr="00497AD5">
        <w:fldChar w:fldCharType="begin"/>
      </w:r>
      <w:r w:rsidRPr="00497AD5">
        <w:instrText xml:space="preserve"> SEQ level0 \*arabic \* MERGEFORMAT </w:instrText>
      </w:r>
      <w:r w:rsidRPr="00497AD5">
        <w:fldChar w:fldCharType="separate"/>
      </w:r>
      <w:r w:rsidR="000E1177">
        <w:rPr>
          <w:noProof/>
        </w:rPr>
        <w:t>20</w:t>
      </w:r>
      <w:r w:rsidRPr="00497AD5">
        <w:fldChar w:fldCharType="end"/>
      </w:r>
      <w:bookmarkEnd w:id="18"/>
      <w:r>
        <w:t>. На своята 52-ра пленарна сесия (проведена на 18 и 19 октомври 2002 г.) Европейската комисия за демокрация чрез право („Венецианската комисия“) приема Кодекса на добрите практики в изборната материя. В приложимата си към настоящия случай част Кодексът гласи следното:</w:t>
      </w:r>
    </w:p>
    <w:p w:rsidR="00F773BD" w:rsidRPr="00497AD5" w:rsidRDefault="00146ABA" w:rsidP="00497AD5">
      <w:pPr>
        <w:pStyle w:val="JuQuot"/>
        <w:keepNext/>
        <w:keepLines/>
      </w:pPr>
      <w:r>
        <w:t>Насоки</w:t>
      </w:r>
    </w:p>
    <w:p w:rsidR="00F773BD" w:rsidRPr="00497AD5" w:rsidRDefault="00146ABA" w:rsidP="00497AD5">
      <w:pPr>
        <w:pStyle w:val="JuQuot"/>
        <w:keepNext/>
        <w:keepLines/>
      </w:pPr>
      <w:r>
        <w:t>« (...)</w:t>
      </w:r>
    </w:p>
    <w:p w:rsidR="00F773BD" w:rsidRPr="00497AD5" w:rsidRDefault="00146ABA" w:rsidP="00497AD5">
      <w:pPr>
        <w:pStyle w:val="JuQuot"/>
        <w:keepNext/>
        <w:keepLines/>
      </w:pPr>
      <w:r>
        <w:t>3.3. Ефективна система за обжалване</w:t>
      </w:r>
    </w:p>
    <w:p w:rsidR="00F773BD" w:rsidRPr="00497AD5" w:rsidRDefault="00146ABA" w:rsidP="00497AD5">
      <w:pPr>
        <w:pStyle w:val="JuQuot"/>
        <w:keepNext/>
        <w:keepLines/>
      </w:pPr>
      <w:r>
        <w:t>a. Органът по обжалването в изборната материя следва да бъде или избирателна комисия, или съд. (...)</w:t>
      </w:r>
    </w:p>
    <w:p w:rsidR="00F773BD" w:rsidRPr="00497AD5" w:rsidRDefault="00146ABA" w:rsidP="00497AD5">
      <w:pPr>
        <w:pStyle w:val="JuQuot"/>
        <w:keepNext/>
        <w:keepLines/>
      </w:pPr>
      <w:r>
        <w:t>f. Всеки кандидат и всеки избирател, регистриран в съответния изборен район, трябва да разполага с процесуална легитимация да подаде жалба. По отношение на жалбите на избиратели, свързани с изборните резултати, може да бъде въведено изискване за разумен кворум.</w:t>
      </w:r>
    </w:p>
    <w:p w:rsidR="00F773BD" w:rsidRPr="00497AD5" w:rsidRDefault="00146ABA" w:rsidP="00497AD5">
      <w:pPr>
        <w:pStyle w:val="JuQuot"/>
      </w:pPr>
      <w:r>
        <w:t>Обяснителен доклад</w:t>
      </w:r>
    </w:p>
    <w:p w:rsidR="00F773BD" w:rsidRPr="00497AD5" w:rsidRDefault="00146ABA" w:rsidP="00497AD5">
      <w:pPr>
        <w:pStyle w:val="JuQuot"/>
      </w:pPr>
      <w:r>
        <w:lastRenderedPageBreak/>
        <w:t>« (...)</w:t>
      </w:r>
    </w:p>
    <w:p w:rsidR="00F773BD" w:rsidRPr="00497AD5" w:rsidRDefault="00146ABA" w:rsidP="00497AD5">
      <w:pPr>
        <w:pStyle w:val="JuQuot"/>
      </w:pPr>
      <w:r>
        <w:t>3.3. Ефективна система за обжалване</w:t>
      </w:r>
    </w:p>
    <w:p w:rsidR="00F773BD" w:rsidRPr="00497AD5" w:rsidRDefault="00146ABA" w:rsidP="00497AD5">
      <w:pPr>
        <w:pStyle w:val="JuQuot"/>
      </w:pPr>
      <w:r>
        <w:t>92. За да не останат разпоредбите на изборното право само „думи на хартия“, неспазването им трябва да подлежи на оспорване пред компетентен контролен орган. (...)</w:t>
      </w:r>
    </w:p>
    <w:p w:rsidR="00F773BD" w:rsidRPr="00497AD5" w:rsidRDefault="00146ABA" w:rsidP="00497AD5">
      <w:pPr>
        <w:pStyle w:val="JuQuot"/>
      </w:pPr>
      <w:r>
        <w:t>93. Възможни са две решения.</w:t>
      </w:r>
    </w:p>
    <w:p w:rsidR="00F773BD" w:rsidRPr="00497AD5" w:rsidRDefault="00146ABA" w:rsidP="00497AD5">
      <w:pPr>
        <w:pStyle w:val="JuQuot"/>
      </w:pPr>
      <w:r>
        <w:t>– жалбите да се разглеждат от общите съдилища, от специализирани съдилища или от конституционния съд;</w:t>
      </w:r>
    </w:p>
    <w:p w:rsidR="00F773BD" w:rsidRPr="00497AD5" w:rsidRDefault="00146ABA" w:rsidP="00497AD5">
      <w:pPr>
        <w:pStyle w:val="JuQuot"/>
      </w:pPr>
      <w:r>
        <w:t>– компетентни органи да бъдат избирателните комисии. (...)</w:t>
      </w:r>
    </w:p>
    <w:p w:rsidR="00F773BD" w:rsidRPr="00497AD5" w:rsidRDefault="00146ABA" w:rsidP="00497AD5">
      <w:pPr>
        <w:pStyle w:val="JuQuot"/>
      </w:pPr>
      <w:r>
        <w:t>99. Правото на обжалване (процесуалната легитимация) следва да бъде предоставено възможно най-широко. То трябва да е достъпно за всеки избирател в съответния изборен район, както и за всеки кандидат, участващ в изборите в този район. Допустимо е обаче въвеждането на изискване за разумен кворум при жалбите, подавани от избиратели срещу изборните резултати. »</w:t>
      </w:r>
    </w:p>
    <w:bookmarkStart w:id="19" w:name="para21"/>
    <w:p w:rsidR="00F773BD" w:rsidRPr="00497AD5" w:rsidRDefault="00146ABA" w:rsidP="00497AD5">
      <w:pPr>
        <w:pStyle w:val="JuPara"/>
      </w:pPr>
      <w:r w:rsidRPr="00497AD5">
        <w:fldChar w:fldCharType="begin"/>
      </w:r>
      <w:r w:rsidRPr="00497AD5">
        <w:instrText xml:space="preserve"> SEQ level0 \*arabic \* MERGEFORMAT </w:instrText>
      </w:r>
      <w:r w:rsidRPr="00497AD5">
        <w:fldChar w:fldCharType="separate"/>
      </w:r>
      <w:r w:rsidR="000E1177">
        <w:rPr>
          <w:noProof/>
        </w:rPr>
        <w:t>21</w:t>
      </w:r>
      <w:r w:rsidRPr="00497AD5">
        <w:fldChar w:fldCharType="end"/>
      </w:r>
      <w:bookmarkEnd w:id="19"/>
      <w:r>
        <w:t xml:space="preserve">. В своето Съвместно становище от 2017 г. относно измененията в </w:t>
      </w:r>
      <w:r w:rsidR="00F60472">
        <w:t>българския Изборен кодекс</w:t>
      </w:r>
      <w:r>
        <w:t>, Венецианската комисия и Бюрото за демократични институции и права на човека към Организацията за сигурност и сътрудничество в Европа (ОССЕ/БДИПЧ) изразяват следната позиция относно уредбата на оспорването на изборните резултати:</w:t>
      </w:r>
    </w:p>
    <w:p w:rsidR="00F773BD" w:rsidRPr="00497AD5" w:rsidRDefault="00146ABA" w:rsidP="00497AD5">
      <w:pPr>
        <w:pStyle w:val="JuQuot"/>
      </w:pPr>
      <w:r>
        <w:t>« (...)</w:t>
      </w:r>
    </w:p>
    <w:p w:rsidR="00F773BD" w:rsidRPr="00497AD5" w:rsidRDefault="00146ABA" w:rsidP="00497AD5">
      <w:pPr>
        <w:pStyle w:val="JuQuot"/>
      </w:pPr>
      <w:r>
        <w:t>9. 9. Измененията в българския Изборен кодекс, приети в периода 2014–2016 г., доведоха до редица подобрения и отразяват част от предходните препоръки на Венецианската комисия и ОССЕ/БДИПЧ. (...)</w:t>
      </w:r>
    </w:p>
    <w:p w:rsidR="00F773BD" w:rsidRPr="00497AD5" w:rsidRDefault="00146ABA" w:rsidP="00497AD5">
      <w:pPr>
        <w:pStyle w:val="JuQuot"/>
      </w:pPr>
      <w:r>
        <w:t>10. Въпреки това новите разпоредби не изпълняват изцяло препоръките, изложени в съвместните становища от 2011 г. и 2014 г., както и в докладите от наблюдението на изборите, и повдигат въпросите, разгледани в настоящото становище.</w:t>
      </w:r>
    </w:p>
    <w:p w:rsidR="00F773BD" w:rsidRPr="00497AD5" w:rsidRDefault="00146ABA" w:rsidP="00497AD5">
      <w:pPr>
        <w:pStyle w:val="JuQuot"/>
      </w:pPr>
      <w:r>
        <w:t>12. Венецианската комисия и ОССЕ/БДИПЧ отправят следните ключови препоръки за постигане на по-пълно съответствие на изборната правна рамка и нейното прилагане с международните стандарти: (...)</w:t>
      </w:r>
    </w:p>
    <w:p w:rsidR="00F773BD" w:rsidRPr="00497AD5" w:rsidRDefault="00146ABA" w:rsidP="00497AD5">
      <w:pPr>
        <w:pStyle w:val="JuQuot"/>
      </w:pPr>
      <w:r>
        <w:t>Необходимо е да се създаде ефективна система за обжалване на всички решения, свързани с изборния процес, пред компетентен орган, както и да се гарантира действащ механизъм за оспорване на изборните резултати, който да е достъпен за всички кандидати и избиратели при твърдения за нарушения в изборния процес. (...)</w:t>
      </w:r>
    </w:p>
    <w:p w:rsidR="00F773BD" w:rsidRPr="00497AD5" w:rsidRDefault="00146ABA" w:rsidP="00497AD5">
      <w:pPr>
        <w:pStyle w:val="JuQuot"/>
      </w:pPr>
      <w:r>
        <w:t>79. Предходните препоръки, с които се настоява на избирателите да бъде предоставено право да оспорват изборните резултати, не са взети предвид. В съвместните становища от 2014 г. и 2011 г. ОССЕ/БДИПЧ и Венецианската комисия вече изразиха загриженост относно ограничения кръг от субекти, разполагащи с процесуална легитимация да оспорват резултатите. Това право следва да бъде предоставено на кандидатите и на избирателите, регистрирани в съответния изборен район. Както е отбелязано в параграф 57 от Съвместното становище от 2011 г.: „През юни 2009 г. Европейският съд по правата на човека прие, че сходни разпоредби от Закона за избиране на народни представители не осигуряват ефективно средство за защита, доколкото само ограничен кръг лица и органи могат да сезират Конституционния съд. От съществено значение е Кодексът да предвижда ефективни възможности за оспорване на изборните резултати. Горепосочените разпоредби следва да бъдат изменени в този смисъл.“ Тъй като действащият към момента Кодекс предоставя право на оспорване на резултатите на кандидатите [бел. ред. – само чрез посредничеството на органите по чл. 150 от Конституцията], но не и на избирателите, тези констатации остават валидни. (...) »</w:t>
      </w:r>
    </w:p>
    <w:p w:rsidR="00F773BD" w:rsidRPr="00497AD5" w:rsidRDefault="00146ABA" w:rsidP="00497AD5">
      <w:pPr>
        <w:pStyle w:val="JuHHead"/>
      </w:pPr>
      <w:r>
        <w:lastRenderedPageBreak/>
        <w:t>ОПЛАКВАНИЯ</w:t>
      </w:r>
    </w:p>
    <w:bookmarkStart w:id="20" w:name="para22"/>
    <w:p w:rsidR="00F773BD" w:rsidRPr="00497AD5" w:rsidRDefault="00146ABA" w:rsidP="00497AD5">
      <w:pPr>
        <w:pStyle w:val="JuPara"/>
      </w:pPr>
      <w:r w:rsidRPr="00497AD5">
        <w:fldChar w:fldCharType="begin"/>
      </w:r>
      <w:r w:rsidRPr="00497AD5">
        <w:instrText xml:space="preserve"> SEQ level0 \*arabic \* MERGEFORMAT </w:instrText>
      </w:r>
      <w:r w:rsidRPr="00497AD5">
        <w:fldChar w:fldCharType="separate"/>
      </w:r>
      <w:r w:rsidR="000E1177">
        <w:rPr>
          <w:noProof/>
        </w:rPr>
        <w:t>22</w:t>
      </w:r>
      <w:r w:rsidRPr="00497AD5">
        <w:fldChar w:fldCharType="end"/>
      </w:r>
      <w:bookmarkEnd w:id="20"/>
      <w:r>
        <w:t>. Позовавайки се на чл. 3 от Протокол № 1 към Конвенцията и на чл. 10 от Конвенцията, четиримата жалбоподатели се оплакват от множество нарушения, допуснати при провеждането на парламентарните избори на 27 октомври 2024 г. Те твърдят, че тези нарушения са накърнили правото им да се кандидатират и да бъдат избрани за народни представители (пасивно избирателно право), както и правото на техните избиратели да гласуват за тях (активно избирателно право).</w:t>
      </w:r>
    </w:p>
    <w:bookmarkStart w:id="21" w:name="para23"/>
    <w:p w:rsidR="00F773BD" w:rsidRPr="00497AD5" w:rsidRDefault="00146ABA" w:rsidP="00497AD5">
      <w:pPr>
        <w:pStyle w:val="JuPara"/>
      </w:pPr>
      <w:r w:rsidRPr="00497AD5">
        <w:fldChar w:fldCharType="begin"/>
      </w:r>
      <w:r w:rsidRPr="00497AD5">
        <w:instrText xml:space="preserve"> SEQ level0 \*arabic \* MERGEFORMAT </w:instrText>
      </w:r>
      <w:r w:rsidRPr="00497AD5">
        <w:fldChar w:fldCharType="separate"/>
      </w:r>
      <w:r w:rsidR="000E1177">
        <w:rPr>
          <w:noProof/>
        </w:rPr>
        <w:t>23</w:t>
      </w:r>
      <w:r w:rsidRPr="00497AD5">
        <w:fldChar w:fldCharType="end"/>
      </w:r>
      <w:bookmarkEnd w:id="21"/>
      <w:r>
        <w:t xml:space="preserve">. На основание чл. 13 от Конвенцията </w:t>
      </w:r>
      <w:r w:rsidR="00F60472">
        <w:t xml:space="preserve">четиримата </w:t>
      </w:r>
      <w:r>
        <w:t>жалбоподатели се оплакват и от липсата на ефективно вътрешноправно средство за защита, чрез което да оспорят законността на изборните резултати.</w:t>
      </w:r>
    </w:p>
    <w:p w:rsidR="00F773BD" w:rsidRPr="00497AD5" w:rsidRDefault="00146ABA" w:rsidP="00497AD5">
      <w:pPr>
        <w:pStyle w:val="JuHHead"/>
      </w:pPr>
      <w:r>
        <w:t>ПРАВОТО</w:t>
      </w:r>
    </w:p>
    <w:p w:rsidR="00F773BD" w:rsidRPr="00497AD5" w:rsidRDefault="00497AD5" w:rsidP="00497AD5">
      <w:pPr>
        <w:pStyle w:val="JuPara"/>
      </w:pPr>
      <w:r w:rsidRPr="00497AD5">
        <w:fldChar w:fldCharType="begin"/>
      </w:r>
      <w:r w:rsidR="00146ABA">
        <w:instrText xml:space="preserve"> SEQ level0 \*arabic \* MERGEFORMAT </w:instrText>
      </w:r>
      <w:r w:rsidRPr="00497AD5">
        <w:fldChar w:fldCharType="separate"/>
      </w:r>
      <w:r w:rsidR="000E1177">
        <w:rPr>
          <w:noProof/>
        </w:rPr>
        <w:t>24</w:t>
      </w:r>
      <w:r w:rsidRPr="00497AD5">
        <w:fldChar w:fldCharType="end"/>
      </w:r>
      <w:r>
        <w:t>. Като взе предвид сходството в предмета на четирите жалби, Съдът намира за целесъобразно да ги разгледа съвместно в едно производство, в съответствие с чл. 42, § 1 от Правилника на Съда.</w:t>
      </w:r>
    </w:p>
    <w:p w:rsidR="00F773BD" w:rsidRPr="00497AD5" w:rsidRDefault="00497AD5" w:rsidP="00497AD5">
      <w:pPr>
        <w:pStyle w:val="JuPara"/>
      </w:pPr>
      <w:r w:rsidRPr="00497AD5">
        <w:fldChar w:fldCharType="begin"/>
      </w:r>
      <w:r w:rsidR="00146ABA">
        <w:instrText xml:space="preserve"> SEQ level0 \*arabic \* MERGEFORMAT </w:instrText>
      </w:r>
      <w:r w:rsidRPr="00497AD5">
        <w:fldChar w:fldCharType="separate"/>
      </w:r>
      <w:r w:rsidR="000E1177">
        <w:rPr>
          <w:noProof/>
        </w:rPr>
        <w:t>25</w:t>
      </w:r>
      <w:r w:rsidRPr="00497AD5">
        <w:fldChar w:fldCharType="end"/>
      </w:r>
      <w:r>
        <w:t>. Жалбоподателите твърдят, че при отчитането на резултатите от изборите, проведени на 27 октомври 2024 г., са допуснати множество нарушения на изборното законодателство, което е опорочило законността на изборите. Те поддържат, че това е накърнило правото им да бъдат избирани, както и правото на техните избиратели да гласуват свободно, като се позовават на чл. 3 от Протокол № 1 и чл. 10 от Конвенцията. На основание чл. 13 от Конвенцията те се оплакват и от липсата на ефективни вътрешноправни средства за защита срещу тези нарушения.</w:t>
      </w:r>
    </w:p>
    <w:p w:rsidR="00F773BD" w:rsidRPr="00497AD5" w:rsidRDefault="00497AD5" w:rsidP="00497AD5">
      <w:pPr>
        <w:pStyle w:val="JuPara"/>
      </w:pPr>
      <w:r w:rsidRPr="00497AD5">
        <w:fldChar w:fldCharType="begin"/>
      </w:r>
      <w:r w:rsidR="00146ABA">
        <w:instrText xml:space="preserve"> SEQ level0 \*arabic \* MERGEFORMAT </w:instrText>
      </w:r>
      <w:r w:rsidRPr="00497AD5">
        <w:fldChar w:fldCharType="separate"/>
      </w:r>
      <w:r w:rsidR="000E1177">
        <w:rPr>
          <w:noProof/>
        </w:rPr>
        <w:t>26</w:t>
      </w:r>
      <w:r w:rsidRPr="00497AD5">
        <w:fldChar w:fldCharType="end"/>
      </w:r>
      <w:r>
        <w:t xml:space="preserve">. Съдът припомня, че той е господар на правната квалификация на фактите по делото и не е обвързан от </w:t>
      </w:r>
      <w:r w:rsidR="00A20B9E">
        <w:t xml:space="preserve">квалификацията, дадена от </w:t>
      </w:r>
      <w:r>
        <w:t>жалбоподателите или правителството (вж. Molla Sali срещу Гърция [ГК], № 20452/14, § 85, 19 декември 2018 г.). Въз основа на този принцип и с оглед на изложените факти, Съдът намира за уместно да разгледа оплакванията единствено по чл. 3 от Протокол № 1 и чл. 13 от Конвенцията. В приложимата си към случая част тези разпоредби гласят:</w:t>
      </w:r>
    </w:p>
    <w:p w:rsidR="00F773BD" w:rsidRPr="00497AD5" w:rsidRDefault="00146ABA" w:rsidP="00497AD5">
      <w:pPr>
        <w:pStyle w:val="JuHArticle"/>
      </w:pPr>
      <w:r>
        <w:t>Член 3 на Протокол № 1</w:t>
      </w:r>
    </w:p>
    <w:p w:rsidR="00F773BD" w:rsidRPr="00497AD5" w:rsidRDefault="00146ABA" w:rsidP="00497AD5">
      <w:pPr>
        <w:pStyle w:val="JuQuot"/>
      </w:pPr>
      <w:r>
        <w:t>„Високодоговарящите се страни се задължават да провеждат свободни избори през разумни интервали от време, с тайно гласуване, при условия, осигуряващи свободното изразяване на мнението на народа при избиране на законодателното тяло.“</w:t>
      </w:r>
    </w:p>
    <w:p w:rsidR="00F773BD" w:rsidRPr="00497AD5" w:rsidRDefault="00146ABA" w:rsidP="00497AD5">
      <w:pPr>
        <w:pStyle w:val="JuHArticle"/>
      </w:pPr>
      <w:r>
        <w:t>Член 13</w:t>
      </w:r>
    </w:p>
    <w:p w:rsidR="00F773BD" w:rsidRPr="00497AD5" w:rsidRDefault="00146ABA" w:rsidP="00497AD5">
      <w:pPr>
        <w:pStyle w:val="JuQuot"/>
      </w:pPr>
      <w:r>
        <w:t>„Всеки, чиито права и свободи, провъзгласени в тази Конвенция, са нарушени, има право на ефикасни правни средства за защита пред съответните национални власти, дори и нарушението да е извършено от лица, действащи при изпълнение на служебните си задължения.“</w:t>
      </w:r>
    </w:p>
    <w:p w:rsidR="00F773BD" w:rsidRPr="00C77CFA" w:rsidRDefault="00497AD5" w:rsidP="00497AD5">
      <w:pPr>
        <w:pStyle w:val="JuPara"/>
      </w:pPr>
      <w:r w:rsidRPr="00497AD5">
        <w:fldChar w:fldCharType="begin"/>
      </w:r>
      <w:r w:rsidR="00146ABA">
        <w:instrText xml:space="preserve"> SEQ level0 \*arabic \* MERGEFORMAT </w:instrText>
      </w:r>
      <w:r w:rsidRPr="00497AD5">
        <w:fldChar w:fldCharType="separate"/>
      </w:r>
      <w:r w:rsidR="000E1177">
        <w:rPr>
          <w:noProof/>
        </w:rPr>
        <w:t>27</w:t>
      </w:r>
      <w:r w:rsidRPr="00497AD5">
        <w:fldChar w:fldCharType="end"/>
      </w:r>
      <w:r>
        <w:t xml:space="preserve">. Четиримата жалбоподатели – политическа партия и трима от нейните кандидати на парламентарните избори от 27 октомври 2024 г. (вж. ал. </w:t>
      </w:r>
      <w:r w:rsidR="00146ABA" w:rsidRPr="00497AD5">
        <w:fldChar w:fldCharType="begin"/>
      </w:r>
      <w:r w:rsidR="00146ABA" w:rsidRPr="00497AD5">
        <w:instrText xml:space="preserve"> REF para3 \h </w:instrText>
      </w:r>
      <w:r w:rsidR="00146ABA" w:rsidRPr="00497AD5">
        <w:fldChar w:fldCharType="separate"/>
      </w:r>
      <w:r w:rsidR="000E1177">
        <w:rPr>
          <w:noProof/>
        </w:rPr>
        <w:t>3</w:t>
      </w:r>
      <w:r w:rsidR="00146ABA" w:rsidRPr="00497AD5">
        <w:fldChar w:fldCharType="end"/>
      </w:r>
      <w:r>
        <w:t xml:space="preserve"> по-горе), подават жалбата не само от свое име, но и от името на своите избиратели</w:t>
      </w:r>
      <w:r w:rsidR="00BC2EAF" w:rsidRPr="00A62EE2">
        <w:t>.</w:t>
      </w:r>
    </w:p>
    <w:p w:rsidR="00F773BD" w:rsidRPr="00497AD5" w:rsidRDefault="00497AD5" w:rsidP="00497AD5">
      <w:pPr>
        <w:pStyle w:val="JuPara"/>
      </w:pPr>
      <w:r w:rsidRPr="00497AD5">
        <w:lastRenderedPageBreak/>
        <w:fldChar w:fldCharType="begin"/>
      </w:r>
      <w:r w:rsidR="00146ABA">
        <w:instrText xml:space="preserve"> SEQ level0 \*arabic \* MERGEFORMAT </w:instrText>
      </w:r>
      <w:r w:rsidRPr="00497AD5">
        <w:fldChar w:fldCharType="separate"/>
      </w:r>
      <w:r w:rsidR="000E1177">
        <w:rPr>
          <w:noProof/>
        </w:rPr>
        <w:t>28</w:t>
      </w:r>
      <w:r w:rsidRPr="00497AD5">
        <w:fldChar w:fldCharType="end"/>
      </w:r>
      <w:r>
        <w:t>. Съдът припомня, че чл. 34 от Конвенцията не допуска подаването на абстрактни жалби (</w:t>
      </w:r>
      <w:r>
        <w:rPr>
          <w:i/>
          <w:iCs/>
        </w:rPr>
        <w:t>in abstracto</w:t>
      </w:r>
      <w:r>
        <w:t xml:space="preserve">) за нарушения на Конвенцията. Конвенцията не предвижда </w:t>
      </w:r>
      <w:r w:rsidRPr="00E13174">
        <w:rPr>
          <w:i/>
        </w:rPr>
        <w:t>actio popularis</w:t>
      </w:r>
      <w:r>
        <w:t xml:space="preserve">, което означава, че жалбоподателят не може да оспорва разпоредба на вътрешното право, национална практика или публичен акт единствено на основание, че </w:t>
      </w:r>
      <w:r w:rsidR="00C77CFA">
        <w:t>според него противоречат на</w:t>
      </w:r>
      <w:r>
        <w:t xml:space="preserve"> Конвенцията. За да може жалбоподателят да претендира качеството на „жертва“, той трябва да представи разумни и убедителни доказателства за вероятността от нарушение, засягащо лично него; обикновени подозрения или предположения не са достатъчни в това отношение (вж. Centre for Legal Resources от името на Валентин Къмпеану срещу Румъния [ГК], № 47848/08, § 101, ЕСПЧ 2014). Съгласно постоянната практика на Съда, жалба може да бъде подадена пред него само от живи лица или от тяхно име. Ако жалбоподателят реши да бъде представляван по силата на чл. 36, § 1 от Правилника на Съда, вместо да подаде жалбата лично, чл. 45, § 3 от Правилника изисква той да представи надлежно подписано писмено пълномощно. От съществено значение е представителят да докаже, че е получил конкретни и изрични инструкции от предполагаемата жертва по смисъла на чл. 34, от чието име възнамерява да действа пред Съда (пак там, § 102).</w:t>
      </w:r>
    </w:p>
    <w:p w:rsidR="00F773BD" w:rsidRPr="00497AD5" w:rsidRDefault="00497AD5" w:rsidP="00497AD5">
      <w:pPr>
        <w:pStyle w:val="JuPara"/>
      </w:pPr>
      <w:r w:rsidRPr="00497AD5">
        <w:fldChar w:fldCharType="begin"/>
      </w:r>
      <w:r w:rsidR="00146ABA">
        <w:instrText xml:space="preserve"> SEQ level0 \*arabic \* MERGEFORMAT </w:instrText>
      </w:r>
      <w:r w:rsidRPr="00497AD5">
        <w:fldChar w:fldCharType="separate"/>
      </w:r>
      <w:r w:rsidR="000E1177">
        <w:rPr>
          <w:noProof/>
        </w:rPr>
        <w:t>29</w:t>
      </w:r>
      <w:r w:rsidRPr="00497AD5">
        <w:fldChar w:fldCharType="end"/>
      </w:r>
      <w:r>
        <w:t>. В настоящия случай четиримата жалбоподатели изглежда поддържат тезата, че имат право да подават жалби от името на своите избиратели единствено на основание, че са получили техните гласове на съответните парламентарни избори. Съдът обаче счита, че самият факт, че даден избирател е гласувал за определена политическа партия или кандидат, не може да се приравни на мълчаливо упълномощаване на последните да сезират Съда от негово име. Освен това жалбоподателите не са представили нито едно писмено пълномощно, издадено от техен избирател, с което да им се възлага правомощието да водят производство пред Съда от негово име.</w:t>
      </w:r>
    </w:p>
    <w:p w:rsidR="00F773BD" w:rsidRPr="00497AD5" w:rsidRDefault="00497AD5" w:rsidP="00497AD5">
      <w:pPr>
        <w:pStyle w:val="JuPara"/>
      </w:pPr>
      <w:r w:rsidRPr="00497AD5">
        <w:fldChar w:fldCharType="begin"/>
      </w:r>
      <w:r w:rsidR="00146ABA">
        <w:instrText xml:space="preserve"> SEQ level0 \*arabic \* MERGEFORMAT </w:instrText>
      </w:r>
      <w:r w:rsidRPr="00497AD5">
        <w:fldChar w:fldCharType="separate"/>
      </w:r>
      <w:r w:rsidR="000E1177">
        <w:rPr>
          <w:noProof/>
        </w:rPr>
        <w:t>30</w:t>
      </w:r>
      <w:r w:rsidRPr="00497AD5">
        <w:fldChar w:fldCharType="end"/>
      </w:r>
      <w:r>
        <w:t>. При тези обстоятелства Съдът намира, че жалбите, доколкото са подадени от името на избирателите, са несъвместими ratione personae с разпоредбите на Конвенцията по смисъла на чл. 35, § 3, буква „а“, и трябва да бъдат отхвърлени на основание чл. 35, § 4.</w:t>
      </w:r>
    </w:p>
    <w:p w:rsidR="00F773BD" w:rsidRPr="00497AD5" w:rsidRDefault="00497AD5" w:rsidP="00497AD5">
      <w:pPr>
        <w:pStyle w:val="JuPara"/>
      </w:pPr>
      <w:r w:rsidRPr="00497AD5">
        <w:fldChar w:fldCharType="begin"/>
      </w:r>
      <w:r w:rsidR="00146ABA">
        <w:instrText xml:space="preserve"> SEQ level0 \*arabic \* MERGEFORMAT </w:instrText>
      </w:r>
      <w:r w:rsidRPr="00497AD5">
        <w:fldChar w:fldCharType="separate"/>
      </w:r>
      <w:r w:rsidR="000E1177">
        <w:rPr>
          <w:noProof/>
        </w:rPr>
        <w:t>31</w:t>
      </w:r>
      <w:r w:rsidRPr="00497AD5">
        <w:fldChar w:fldCharType="end"/>
      </w:r>
      <w:r>
        <w:t xml:space="preserve">. Жалбоподателите повдигат оплаквания и от свое собствено име, като твърдят, че е нарушено правото им да бъдат избирани в парламентарните избори, както и правото им на ефективно вътрешноправно средство за защита (вж. ал. </w:t>
      </w:r>
      <w:r w:rsidR="00146ABA" w:rsidRPr="00497AD5">
        <w:fldChar w:fldCharType="begin"/>
      </w:r>
      <w:r w:rsidR="00146ABA" w:rsidRPr="00497AD5">
        <w:instrText xml:space="preserve"> REF para22 \h </w:instrText>
      </w:r>
      <w:r w:rsidR="00146ABA" w:rsidRPr="00497AD5">
        <w:fldChar w:fldCharType="separate"/>
      </w:r>
      <w:r w:rsidR="000E1177">
        <w:rPr>
          <w:noProof/>
        </w:rPr>
        <w:t>22</w:t>
      </w:r>
      <w:r w:rsidR="00146ABA" w:rsidRPr="00497AD5">
        <w:fldChar w:fldCharType="end"/>
      </w:r>
      <w:r>
        <w:t xml:space="preserve"> и </w:t>
      </w:r>
      <w:r w:rsidR="00146ABA" w:rsidRPr="00497AD5">
        <w:fldChar w:fldCharType="begin"/>
      </w:r>
      <w:r w:rsidR="00146ABA" w:rsidRPr="00497AD5">
        <w:instrText xml:space="preserve"> REF para23 \h </w:instrText>
      </w:r>
      <w:r w:rsidR="00146ABA" w:rsidRPr="00497AD5">
        <w:fldChar w:fldCharType="separate"/>
      </w:r>
      <w:r w:rsidR="000E1177">
        <w:rPr>
          <w:noProof/>
        </w:rPr>
        <w:t>23</w:t>
      </w:r>
      <w:r w:rsidR="00146ABA" w:rsidRPr="00497AD5">
        <w:fldChar w:fldCharType="end"/>
      </w:r>
      <w:r>
        <w:t xml:space="preserve"> по-горе).</w:t>
      </w:r>
    </w:p>
    <w:p w:rsidR="00F773BD" w:rsidRPr="00497AD5" w:rsidRDefault="00497AD5" w:rsidP="00497AD5">
      <w:pPr>
        <w:pStyle w:val="JuPara"/>
      </w:pPr>
      <w:r w:rsidRPr="00497AD5">
        <w:fldChar w:fldCharType="begin"/>
      </w:r>
      <w:r w:rsidR="00146ABA">
        <w:instrText xml:space="preserve"> SEQ level0 \*arabic \* MERGEFORMAT </w:instrText>
      </w:r>
      <w:r w:rsidRPr="00497AD5">
        <w:fldChar w:fldCharType="separate"/>
      </w:r>
      <w:r w:rsidR="000E1177">
        <w:rPr>
          <w:noProof/>
        </w:rPr>
        <w:t>32</w:t>
      </w:r>
      <w:r w:rsidRPr="00497AD5">
        <w:fldChar w:fldCharType="end"/>
      </w:r>
      <w:r>
        <w:t xml:space="preserve">. Съдът трябва да установи дали в тази им част четирите жалби са подадени в рамките на четиримесечния срок, предвиден в чл. 35, § 1 от Конвенцията. За тази цел на първо място следва да се определи датата на „окончателното решение“ на национално ниво по смисъла на тази разпоредба. В тази връзка Съдът припомня, че правилото за четиримесечния срок и правилото за изчерпване на вътрешноправните средства за защита са тясно свързани: когато за жалбоподателя липсва ефективно средство за защита, срокът започва да тече от датата на оспорваните действия или мерки (вж. </w:t>
      </w:r>
      <w:r>
        <w:rPr>
          <w:i/>
          <w:iCs/>
        </w:rPr>
        <w:t>Jeronovičs срещу Латвия</w:t>
      </w:r>
      <w:r>
        <w:t xml:space="preserve"> [ГК], № 44898/10, § 75, 5 юли 2016 г.).</w:t>
      </w:r>
    </w:p>
    <w:p w:rsidR="00F773BD" w:rsidRPr="00497AD5" w:rsidRDefault="00497AD5" w:rsidP="00497AD5">
      <w:pPr>
        <w:pStyle w:val="JuPara"/>
      </w:pPr>
      <w:r w:rsidRPr="00497AD5">
        <w:fldChar w:fldCharType="begin"/>
      </w:r>
      <w:r w:rsidR="00146ABA">
        <w:instrText xml:space="preserve"> SEQ level0 \*arabic \* MERGEFORMAT </w:instrText>
      </w:r>
      <w:r w:rsidRPr="00497AD5">
        <w:fldChar w:fldCharType="separate"/>
      </w:r>
      <w:r w:rsidR="000E1177">
        <w:rPr>
          <w:noProof/>
        </w:rPr>
        <w:t>33</w:t>
      </w:r>
      <w:r w:rsidRPr="00497AD5">
        <w:fldChar w:fldCharType="end"/>
      </w:r>
      <w:r>
        <w:t xml:space="preserve">. Съдът отбелязва, че резултатите от парламентарните избори, проведени на 27 октомври 2024 г., чиято законосъобразност се оспорва от четиримата жалбоподатели, са обявени с Решение на Централната избирателна комисия от 30 октомври 2024 г. С това решение е установено, че партия „Величие“ е получила </w:t>
      </w:r>
      <w:r>
        <w:lastRenderedPageBreak/>
        <w:t xml:space="preserve">3,999% от действителните гласове, което я поставя под изборния праг от 4% и съответно я лишава от мандати в 51-ото Народно събрание (вж. ал. </w:t>
      </w:r>
      <w:r w:rsidR="00146ABA" w:rsidRPr="00497AD5">
        <w:fldChar w:fldCharType="begin"/>
      </w:r>
      <w:r w:rsidR="00146ABA" w:rsidRPr="00497AD5">
        <w:instrText xml:space="preserve"> REF para6 \h </w:instrText>
      </w:r>
      <w:r w:rsidR="00146ABA" w:rsidRPr="00497AD5">
        <w:fldChar w:fldCharType="separate"/>
      </w:r>
      <w:r w:rsidR="000E1177">
        <w:rPr>
          <w:noProof/>
        </w:rPr>
        <w:t>6</w:t>
      </w:r>
      <w:r w:rsidR="00146ABA" w:rsidRPr="00497AD5">
        <w:fldChar w:fldCharType="end"/>
      </w:r>
      <w:r>
        <w:t xml:space="preserve"> по-горе).</w:t>
      </w:r>
    </w:p>
    <w:p w:rsidR="00F773BD" w:rsidRPr="00497AD5" w:rsidRDefault="00497AD5" w:rsidP="00497AD5">
      <w:pPr>
        <w:pStyle w:val="JuPara"/>
      </w:pPr>
      <w:r w:rsidRPr="00497AD5">
        <w:fldChar w:fldCharType="begin"/>
      </w:r>
      <w:r w:rsidR="00146ABA">
        <w:instrText xml:space="preserve"> SEQ level0 \*arabic \* MERGEFORMAT </w:instrText>
      </w:r>
      <w:r w:rsidRPr="00497AD5">
        <w:fldChar w:fldCharType="separate"/>
      </w:r>
      <w:r w:rsidR="000E1177">
        <w:rPr>
          <w:noProof/>
        </w:rPr>
        <w:t>34</w:t>
      </w:r>
      <w:r w:rsidRPr="00497AD5">
        <w:fldChar w:fldCharType="end"/>
      </w:r>
      <w:r>
        <w:t xml:space="preserve">. Макар партия „Величие“ да предприема действия за оспорване на това решение, като на 6 ноември 2024 г. внася искания до компетентните държавни органи (вж. ал. </w:t>
      </w:r>
      <w:r w:rsidR="00146ABA" w:rsidRPr="00497AD5">
        <w:fldChar w:fldCharType="begin"/>
      </w:r>
      <w:r w:rsidR="00146ABA" w:rsidRPr="00497AD5">
        <w:instrText xml:space="preserve"> REF para8 \h </w:instrText>
      </w:r>
      <w:r w:rsidR="00146ABA" w:rsidRPr="00497AD5">
        <w:fldChar w:fldCharType="separate"/>
      </w:r>
      <w:r w:rsidR="000E1177">
        <w:rPr>
          <w:noProof/>
        </w:rPr>
        <w:t>8</w:t>
      </w:r>
      <w:r w:rsidR="00146ABA" w:rsidRPr="00497AD5">
        <w:fldChar w:fldCharType="end"/>
      </w:r>
      <w:r>
        <w:t xml:space="preserve"> по-горе), останалите трима жалбоподатели не са предприели самостоятелно такива стъпки. Член 305 от Изборния кодекс, който урежда възможността за оспорване на изборните резултати пред Конституционния съд, </w:t>
      </w:r>
      <w:r w:rsidR="00C77CFA">
        <w:t>уточнява в това отношение</w:t>
      </w:r>
      <w:r>
        <w:t xml:space="preserve">, че </w:t>
      </w:r>
      <w:r w:rsidR="00C77CFA">
        <w:t xml:space="preserve">заинтересованите лица </w:t>
      </w:r>
      <w:r>
        <w:t xml:space="preserve">не могат да сезират пряко съда. Те трябва да направят това чрез посредничеството на изчерпателно изброени в Конституцията органи (вж. ал. </w:t>
      </w:r>
      <w:r w:rsidR="00146ABA" w:rsidRPr="00497AD5">
        <w:fldChar w:fldCharType="begin"/>
      </w:r>
      <w:r w:rsidR="00146ABA" w:rsidRPr="00497AD5">
        <w:instrText xml:space="preserve"> REF para18 \h </w:instrText>
      </w:r>
      <w:r w:rsidR="00146ABA" w:rsidRPr="00497AD5">
        <w:fldChar w:fldCharType="separate"/>
      </w:r>
      <w:r w:rsidR="000E1177">
        <w:rPr>
          <w:noProof/>
        </w:rPr>
        <w:t>18</w:t>
      </w:r>
      <w:r w:rsidR="00146ABA" w:rsidRPr="00497AD5">
        <w:fldChar w:fldCharType="end"/>
      </w:r>
      <w:r>
        <w:t xml:space="preserve"> и </w:t>
      </w:r>
      <w:r w:rsidR="00146ABA" w:rsidRPr="00497AD5">
        <w:fldChar w:fldCharType="begin"/>
      </w:r>
      <w:r w:rsidR="00146ABA" w:rsidRPr="00497AD5">
        <w:instrText xml:space="preserve"> REF para19 \h </w:instrText>
      </w:r>
      <w:r w:rsidR="00146ABA" w:rsidRPr="00497AD5">
        <w:fldChar w:fldCharType="separate"/>
      </w:r>
      <w:r w:rsidR="000E1177">
        <w:rPr>
          <w:noProof/>
        </w:rPr>
        <w:t>19</w:t>
      </w:r>
      <w:r w:rsidR="00146ABA" w:rsidRPr="00497AD5">
        <w:fldChar w:fldCharType="end"/>
      </w:r>
      <w:r>
        <w:t xml:space="preserve"> по-горе). В настоящия случай партията е адресирала искането си именно до тези органи. Това се е наложило, тъй като пряко сезиране на Конституционния съд от група народни представители изисква подписите на поне една пета от тях (48 депутати), а партия „Величие“, разполагаща само с 13 депутати в 50-ото Народно събрание, не е имала необходимия брой гласове, за да се възползва самостоятелно от този способ (вж. ал. </w:t>
      </w:r>
      <w:r w:rsidR="00146ABA" w:rsidRPr="00497AD5">
        <w:fldChar w:fldCharType="begin"/>
      </w:r>
      <w:r w:rsidR="00146ABA" w:rsidRPr="00497AD5">
        <w:instrText xml:space="preserve"> REF para4 \h  \* MERGEFORMAT </w:instrText>
      </w:r>
      <w:r w:rsidR="00146ABA" w:rsidRPr="00497AD5">
        <w:fldChar w:fldCharType="separate"/>
      </w:r>
      <w:r w:rsidR="000E1177">
        <w:t>4</w:t>
      </w:r>
      <w:r w:rsidR="00146ABA" w:rsidRPr="00497AD5">
        <w:fldChar w:fldCharType="end"/>
      </w:r>
      <w:r>
        <w:t xml:space="preserve">, </w:t>
      </w:r>
      <w:r w:rsidR="00146ABA" w:rsidRPr="00497AD5">
        <w:fldChar w:fldCharType="begin"/>
      </w:r>
      <w:r w:rsidR="00146ABA" w:rsidRPr="00497AD5">
        <w:instrText xml:space="preserve"> REF para15 \h </w:instrText>
      </w:r>
      <w:r w:rsidR="00146ABA" w:rsidRPr="00497AD5">
        <w:fldChar w:fldCharType="separate"/>
      </w:r>
      <w:r w:rsidR="000E1177">
        <w:rPr>
          <w:noProof/>
        </w:rPr>
        <w:t>15</w:t>
      </w:r>
      <w:r w:rsidR="00146ABA" w:rsidRPr="00497AD5">
        <w:fldChar w:fldCharType="end"/>
      </w:r>
      <w:r>
        <w:t xml:space="preserve"> и </w:t>
      </w:r>
      <w:r w:rsidR="00146ABA" w:rsidRPr="00497AD5">
        <w:fldChar w:fldCharType="begin"/>
      </w:r>
      <w:r w:rsidR="00146ABA" w:rsidRPr="00497AD5">
        <w:instrText xml:space="preserve"> REF para19 \h </w:instrText>
      </w:r>
      <w:r w:rsidR="00146ABA" w:rsidRPr="00497AD5">
        <w:fldChar w:fldCharType="separate"/>
      </w:r>
      <w:r w:rsidR="000E1177">
        <w:rPr>
          <w:noProof/>
        </w:rPr>
        <w:t>19</w:t>
      </w:r>
      <w:r w:rsidR="00146ABA" w:rsidRPr="00497AD5">
        <w:fldChar w:fldCharType="end"/>
      </w:r>
      <w:r>
        <w:t xml:space="preserve"> по-горе).</w:t>
      </w:r>
    </w:p>
    <w:p w:rsidR="00F773BD" w:rsidRPr="00497AD5" w:rsidRDefault="00497AD5" w:rsidP="00497AD5">
      <w:pPr>
        <w:pStyle w:val="JuPara"/>
        <w:keepNext/>
        <w:keepLines/>
      </w:pPr>
      <w:r w:rsidRPr="00497AD5">
        <w:fldChar w:fldCharType="begin"/>
      </w:r>
      <w:r w:rsidR="00146ABA">
        <w:instrText xml:space="preserve"> SEQ level0 \*arabic \* MERGEFORMAT </w:instrText>
      </w:r>
      <w:r w:rsidRPr="00497AD5">
        <w:fldChar w:fldCharType="separate"/>
      </w:r>
      <w:r w:rsidR="000E1177">
        <w:rPr>
          <w:noProof/>
        </w:rPr>
        <w:t>35</w:t>
      </w:r>
      <w:r w:rsidRPr="00497AD5">
        <w:fldChar w:fldCharType="end"/>
      </w:r>
      <w:r>
        <w:t xml:space="preserve">. Следователно четиримата жалбоподатели не са разполагали с процесуална възможност самостоятелно да инициират производство пред Конституционния съд. В тази връзка Съдът отбелязва, че в своя Кодекс на добрите практики в изборната материя Венецианската комисия препоръчва правото на обжалване на изборните резултати да бъде предоставено на всеки кандидат (вж. ал. </w:t>
      </w:r>
      <w:r w:rsidR="00146ABA" w:rsidRPr="00497AD5">
        <w:fldChar w:fldCharType="begin"/>
      </w:r>
      <w:r w:rsidR="00146ABA" w:rsidRPr="00497AD5">
        <w:instrText xml:space="preserve"> REF para20 \h </w:instrText>
      </w:r>
      <w:r w:rsidR="00146ABA" w:rsidRPr="00497AD5">
        <w:fldChar w:fldCharType="separate"/>
      </w:r>
      <w:r w:rsidR="000E1177">
        <w:rPr>
          <w:noProof/>
        </w:rPr>
        <w:t>20</w:t>
      </w:r>
      <w:r w:rsidR="00146ABA" w:rsidRPr="00497AD5">
        <w:fldChar w:fldCharType="end"/>
      </w:r>
      <w:r>
        <w:t xml:space="preserve"> по-горе). Освен това Венецианската комисия и ОССЕ/БДИПЧ изразяват загриженост относно ограничителните разпоредби на българското изборно законодателство и препоръчват на българския законодател да гарантира наличието на ефективен механизъм за оспорване на резултатите, пряко достъпен за всички кандидати (вж. ал. </w:t>
      </w:r>
      <w:r w:rsidR="00146ABA" w:rsidRPr="00497AD5">
        <w:fldChar w:fldCharType="begin"/>
      </w:r>
      <w:r w:rsidR="00146ABA" w:rsidRPr="00497AD5">
        <w:instrText xml:space="preserve"> REF para21 \h </w:instrText>
      </w:r>
      <w:r w:rsidR="00146ABA" w:rsidRPr="00497AD5">
        <w:fldChar w:fldCharType="separate"/>
      </w:r>
      <w:r w:rsidR="000E1177">
        <w:rPr>
          <w:noProof/>
        </w:rPr>
        <w:t>21</w:t>
      </w:r>
      <w:r w:rsidR="00146ABA" w:rsidRPr="00497AD5">
        <w:fldChar w:fldCharType="end"/>
      </w:r>
      <w:r>
        <w:t xml:space="preserve"> по-горе).</w:t>
      </w:r>
    </w:p>
    <w:p w:rsidR="00F773BD" w:rsidRPr="00497AD5" w:rsidRDefault="00497AD5" w:rsidP="00497AD5">
      <w:pPr>
        <w:pStyle w:val="JuPara"/>
      </w:pPr>
      <w:r w:rsidRPr="00497AD5">
        <w:fldChar w:fldCharType="begin"/>
      </w:r>
      <w:r w:rsidR="00146ABA">
        <w:instrText xml:space="preserve"> SEQ level0 \*arabic \* MERGEFORMAT </w:instrText>
      </w:r>
      <w:r w:rsidRPr="00497AD5">
        <w:fldChar w:fldCharType="separate"/>
      </w:r>
      <w:r w:rsidR="000E1177">
        <w:rPr>
          <w:noProof/>
        </w:rPr>
        <w:t>36</w:t>
      </w:r>
      <w:r w:rsidRPr="00497AD5">
        <w:fldChar w:fldCharType="end"/>
      </w:r>
      <w:r>
        <w:t xml:space="preserve">. Съдът счита за необходимо да припомни, че съгласно неговата трайно установена практика едно средство за защита може да се счита за „ефективно“ по смисъла на Конвенцията само ако засегнатото лице може да го упражни пряко (вж. </w:t>
      </w:r>
      <w:r>
        <w:rPr>
          <w:i/>
          <w:iCs/>
        </w:rPr>
        <w:t>Tănase срещу Молдова</w:t>
      </w:r>
      <w:r>
        <w:t xml:space="preserve"> [ГК], № 7/08, § 122, ЕСПЧ 2010). В случая средството за защита, предвидено в чл. 305 от Изборния кодекс, не е било пряко достъпно за жалбоподателите. Поради това то не следва да бъде вземано предвид при изчисляването на началния момент на четиримесечния срок за подаване на жалба до Съда.</w:t>
      </w:r>
    </w:p>
    <w:p w:rsidR="00F773BD" w:rsidRPr="00497AD5" w:rsidRDefault="00497AD5" w:rsidP="00497AD5">
      <w:pPr>
        <w:pStyle w:val="JuPara"/>
      </w:pPr>
      <w:r w:rsidRPr="00497AD5">
        <w:fldChar w:fldCharType="begin"/>
      </w:r>
      <w:r w:rsidR="00146ABA">
        <w:instrText xml:space="preserve"> SEQ level0 \*arabic \* MERGEFORMAT </w:instrText>
      </w:r>
      <w:r w:rsidRPr="00497AD5">
        <w:fldChar w:fldCharType="separate"/>
      </w:r>
      <w:r w:rsidR="000E1177">
        <w:rPr>
          <w:noProof/>
        </w:rPr>
        <w:t>37</w:t>
      </w:r>
      <w:r w:rsidRPr="00497AD5">
        <w:fldChar w:fldCharType="end"/>
      </w:r>
      <w:r>
        <w:t xml:space="preserve">. Вярно е, че изборните резултати впоследствие са коригирани вследствие на искания, подадени от различни групи народни представители и подкрепени от депутати от партия „Величие“, в резултат на което партията получава десет мандата в Народното събрание, а първият и третият жалбоподател са избрани (вж. ал. </w:t>
      </w:r>
      <w:r w:rsidR="00146ABA" w:rsidRPr="00497AD5">
        <w:fldChar w:fldCharType="begin"/>
      </w:r>
      <w:r w:rsidR="00146ABA" w:rsidRPr="00497AD5">
        <w:instrText xml:space="preserve"> REF para10 \h </w:instrText>
      </w:r>
      <w:r w:rsidR="00146ABA" w:rsidRPr="00497AD5">
        <w:fldChar w:fldCharType="separate"/>
      </w:r>
      <w:r w:rsidR="000E1177">
        <w:rPr>
          <w:noProof/>
        </w:rPr>
        <w:t>10</w:t>
      </w:r>
      <w:r w:rsidR="00146ABA" w:rsidRPr="00497AD5">
        <w:fldChar w:fldCharType="end"/>
      </w:r>
      <w:r>
        <w:t>-</w:t>
      </w:r>
      <w:r w:rsidR="00146ABA" w:rsidRPr="00497AD5">
        <w:fldChar w:fldCharType="begin"/>
      </w:r>
      <w:r w:rsidR="00146ABA" w:rsidRPr="00497AD5">
        <w:instrText xml:space="preserve"> REF para14 \h </w:instrText>
      </w:r>
      <w:r w:rsidR="00146ABA" w:rsidRPr="00497AD5">
        <w:fldChar w:fldCharType="separate"/>
      </w:r>
      <w:r w:rsidR="000E1177">
        <w:rPr>
          <w:noProof/>
        </w:rPr>
        <w:t>14</w:t>
      </w:r>
      <w:r w:rsidR="00146ABA" w:rsidRPr="00497AD5">
        <w:fldChar w:fldCharType="end"/>
      </w:r>
      <w:r>
        <w:t xml:space="preserve"> по-горе). Това развитие обаче стана възможно единствено благодарение на факта, че достатъчен брой народни представители от други политически сили взеха решение да сезират Конституционния съд. Следователно това обстоятелство не променя извода на Съда, че предвиденото в чл. 305 от Изборния кодекс средство за защита не е било пряко достъпно за четиримата жалбоподатели (които не са могли да го задействат сами). Самите жалбоподатели поддържат същата теза в оплакването си по чл. 13 от Конвенцията.</w:t>
      </w:r>
    </w:p>
    <w:p w:rsidR="00F773BD" w:rsidRPr="00497AD5" w:rsidRDefault="00497AD5" w:rsidP="00497AD5">
      <w:pPr>
        <w:pStyle w:val="JuPara"/>
      </w:pPr>
      <w:r w:rsidRPr="00497AD5">
        <w:fldChar w:fldCharType="begin"/>
      </w:r>
      <w:r w:rsidR="00146ABA">
        <w:instrText xml:space="preserve"> SEQ level0 \*arabic \* MERGEFORMAT </w:instrText>
      </w:r>
      <w:r w:rsidRPr="00497AD5">
        <w:fldChar w:fldCharType="separate"/>
      </w:r>
      <w:r w:rsidR="000E1177">
        <w:rPr>
          <w:noProof/>
        </w:rPr>
        <w:t>38</w:t>
      </w:r>
      <w:r w:rsidRPr="00497AD5">
        <w:fldChar w:fldCharType="end"/>
      </w:r>
      <w:r>
        <w:t xml:space="preserve">. Следователно, при липса на ефективно и пряко достъпно за жалбоподателите вътрешноправно средство за защита, Съдът приема, че четиримесечният </w:t>
      </w:r>
      <w:r>
        <w:lastRenderedPageBreak/>
        <w:t xml:space="preserve">срок за сезиране на Съда е започнал да тече на 31 октомври 2024 г. – денят, следващ датата на решението на ЦИК от 30 октомври 2024 г. Срокът е изтекъл четири календарни месеца по-късно – на 28 февруари 2025 г. (вж. </w:t>
      </w:r>
      <w:r>
        <w:rPr>
          <w:i/>
          <w:iCs/>
        </w:rPr>
        <w:t>Otto срещу Германия</w:t>
      </w:r>
      <w:r>
        <w:t xml:space="preserve"> (dec.), № 21425/06, 10 ноември 2009 г.). Тъй като четирите жалби са подадени на 15 март 2025 г., те са подадени след изтичането на срока. Поради това те следва да бъдат обявени за недопустими, доколкото се отнасят до оплакванията, подадени от собствено име на жалбоподателите, поради неспазване на четиримесечния срок съгласно чл. 35, §§ 1 и 4 от Конвенцията.</w:t>
      </w:r>
    </w:p>
    <w:p w:rsidR="00F773BD" w:rsidRPr="00497AD5" w:rsidRDefault="00146ABA" w:rsidP="00497AD5">
      <w:pPr>
        <w:pStyle w:val="JuParaLast"/>
      </w:pPr>
      <w:r>
        <w:t>ПО ТЕЗИ СЪОБРАЖЕНИЯ СЪДЪТ ЕДИНОДУШНО:</w:t>
      </w:r>
    </w:p>
    <w:p w:rsidR="00F773BD" w:rsidRPr="00497AD5" w:rsidRDefault="00146ABA" w:rsidP="00497AD5">
      <w:pPr>
        <w:pStyle w:val="JuList"/>
        <w:keepNext/>
        <w:keepLines/>
        <w:numPr>
          <w:ilvl w:val="0"/>
          <w:numId w:val="1"/>
        </w:numPr>
      </w:pPr>
      <w:r>
        <w:t>Решава да обедини жалбите;</w:t>
      </w:r>
    </w:p>
    <w:p w:rsidR="00F773BD" w:rsidRPr="00497AD5" w:rsidRDefault="00146ABA" w:rsidP="00497AD5">
      <w:pPr>
        <w:pStyle w:val="JuList"/>
        <w:keepNext/>
        <w:keepLines/>
        <w:numPr>
          <w:ilvl w:val="0"/>
          <w:numId w:val="1"/>
        </w:numPr>
      </w:pPr>
      <w:r>
        <w:t>Обявява жалбите за недопустими.</w:t>
      </w:r>
    </w:p>
    <w:p w:rsidR="00050A32" w:rsidRPr="00497AD5" w:rsidRDefault="00146ABA" w:rsidP="00497AD5">
      <w:pPr>
        <w:pStyle w:val="JuParaLast"/>
        <w:rPr>
          <w:sz w:val="14"/>
        </w:rPr>
      </w:pPr>
      <w:r>
        <w:t>Изготвено на френски език и оповестено писмено на 6 ноември 2025 г.</w:t>
      </w:r>
    </w:p>
    <w:p w:rsidR="00C64EBF" w:rsidRPr="00497AD5" w:rsidRDefault="00146ABA" w:rsidP="00497AD5">
      <w:pPr>
        <w:pStyle w:val="ECHRPlaceholder"/>
        <w:keepNext/>
        <w:keepLines/>
      </w:pPr>
      <w:r>
        <w:tab/>
      </w:r>
    </w:p>
    <w:p w:rsidR="00497AD5" w:rsidRPr="00497AD5" w:rsidRDefault="00146ABA" w:rsidP="00497AD5">
      <w:pPr>
        <w:pStyle w:val="JuSigned"/>
        <w:keepNext/>
        <w:keepLines/>
      </w:pPr>
      <w:r>
        <w:tab/>
        <w:t>Милан Блашко, Секретар</w:t>
      </w:r>
      <w:r>
        <w:cr/>
      </w:r>
      <w:r>
        <w:br/>
        <w:t>Йоанис Ктистакис, Председател</w:t>
      </w:r>
    </w:p>
    <w:p w:rsidR="00F773BD" w:rsidRPr="00497AD5" w:rsidRDefault="00146ABA" w:rsidP="00497AD5">
      <w:pPr>
        <w:pStyle w:val="JuSigned"/>
        <w:keepNext/>
        <w:keepLines/>
      </w:pPr>
      <w:r>
        <w:br w:type="page"/>
      </w:r>
    </w:p>
    <w:p w:rsidR="00234E8A" w:rsidRPr="00497AD5" w:rsidRDefault="00146ABA" w:rsidP="00497AD5">
      <w:pPr>
        <w:pStyle w:val="DecHTitle"/>
      </w:pPr>
      <w:r>
        <w:lastRenderedPageBreak/>
        <w:t>ПРИЛОЖЕНИЕ</w:t>
      </w:r>
    </w:p>
    <w:p w:rsidR="00F773BD" w:rsidRPr="00497AD5" w:rsidRDefault="00146ABA" w:rsidP="00497AD5">
      <w:pPr>
        <w:pStyle w:val="DecHCase"/>
        <w:keepNext w:val="0"/>
        <w:keepLines w:val="0"/>
        <w:rPr>
          <w:rFonts w:ascii="Times New Roman" w:hAnsi="Times New Roman" w:cs="Times New Roman"/>
        </w:rPr>
      </w:pPr>
      <w:r>
        <w:rPr>
          <w:rFonts w:ascii="Times New Roman" w:hAnsi="Times New Roman"/>
        </w:rPr>
        <w:t>Списък на жалбите</w:t>
      </w:r>
    </w:p>
    <w:tbl>
      <w:tblPr>
        <w:tblStyle w:val="ECHRListTable"/>
        <w:tblW w:w="10060" w:type="dxa"/>
        <w:jc w:val="center"/>
        <w:tblLook w:val="04A0" w:firstRow="1" w:lastRow="0" w:firstColumn="1" w:lastColumn="0" w:noHBand="0" w:noVBand="1"/>
      </w:tblPr>
      <w:tblGrid>
        <w:gridCol w:w="476"/>
        <w:gridCol w:w="1212"/>
        <w:gridCol w:w="2111"/>
        <w:gridCol w:w="1408"/>
        <w:gridCol w:w="3241"/>
        <w:gridCol w:w="1612"/>
      </w:tblGrid>
      <w:tr w:rsidR="00B10B8F" w:rsidTr="00B10B8F">
        <w:trPr>
          <w:cnfStyle w:val="100000000000" w:firstRow="1" w:lastRow="0" w:firstColumn="0" w:lastColumn="0" w:oddVBand="0" w:evenVBand="0" w:oddHBand="0" w:evenHBand="0" w:firstRowFirstColumn="0" w:firstRowLastColumn="0" w:lastRowFirstColumn="0" w:lastRowLastColumn="0"/>
          <w:trHeight w:val="1033"/>
          <w:jc w:val="center"/>
        </w:trPr>
        <w:tc>
          <w:tcPr>
            <w:tcW w:w="477" w:type="dxa"/>
            <w:hideMark/>
          </w:tcPr>
          <w:p w:rsidR="00F773BD" w:rsidRPr="00497AD5" w:rsidRDefault="00146ABA" w:rsidP="00497AD5">
            <w:pPr>
              <w:rPr>
                <w:rFonts w:eastAsia="Times New Roman"/>
                <w:sz w:val="20"/>
                <w:szCs w:val="20"/>
              </w:rPr>
            </w:pPr>
            <w:bookmarkStart w:id="22" w:name="AppTableStart"/>
            <w:bookmarkEnd w:id="22"/>
            <w:r>
              <w:rPr>
                <w:sz w:val="20"/>
              </w:rPr>
              <w:t>№</w:t>
            </w:r>
          </w:p>
        </w:tc>
        <w:tc>
          <w:tcPr>
            <w:tcW w:w="1219" w:type="dxa"/>
            <w:hideMark/>
          </w:tcPr>
          <w:p w:rsidR="00F773BD" w:rsidRPr="00497AD5" w:rsidRDefault="00146ABA" w:rsidP="00497AD5">
            <w:pPr>
              <w:rPr>
                <w:rFonts w:eastAsia="Times New Roman"/>
                <w:sz w:val="20"/>
                <w:szCs w:val="20"/>
              </w:rPr>
            </w:pPr>
            <w:r>
              <w:rPr>
                <w:sz w:val="20"/>
              </w:rPr>
              <w:t>№ на жалбата</w:t>
            </w:r>
          </w:p>
        </w:tc>
        <w:tc>
          <w:tcPr>
            <w:tcW w:w="2127" w:type="dxa"/>
            <w:hideMark/>
          </w:tcPr>
          <w:p w:rsidR="00F773BD" w:rsidRPr="00497AD5" w:rsidRDefault="00146ABA" w:rsidP="00497AD5">
            <w:pPr>
              <w:rPr>
                <w:rFonts w:eastAsia="Times New Roman"/>
                <w:sz w:val="20"/>
                <w:szCs w:val="20"/>
              </w:rPr>
            </w:pPr>
            <w:r>
              <w:rPr>
                <w:sz w:val="20"/>
              </w:rPr>
              <w:t>Наименование на делото</w:t>
            </w:r>
          </w:p>
        </w:tc>
        <w:tc>
          <w:tcPr>
            <w:tcW w:w="1417" w:type="dxa"/>
            <w:hideMark/>
          </w:tcPr>
          <w:p w:rsidR="00F773BD" w:rsidRPr="00497AD5" w:rsidRDefault="00146ABA" w:rsidP="00497AD5">
            <w:pPr>
              <w:rPr>
                <w:rFonts w:eastAsia="Times New Roman"/>
                <w:sz w:val="20"/>
                <w:szCs w:val="20"/>
              </w:rPr>
            </w:pPr>
            <w:r>
              <w:rPr>
                <w:sz w:val="20"/>
              </w:rPr>
              <w:t>Дата на подаване</w:t>
            </w:r>
          </w:p>
        </w:tc>
        <w:tc>
          <w:tcPr>
            <w:tcW w:w="3260" w:type="dxa"/>
            <w:hideMark/>
          </w:tcPr>
          <w:p w:rsidR="00F773BD" w:rsidRPr="00497AD5" w:rsidRDefault="00146ABA" w:rsidP="00497AD5">
            <w:pPr>
              <w:rPr>
                <w:rFonts w:eastAsia="Times New Roman"/>
                <w:sz w:val="20"/>
                <w:szCs w:val="20"/>
              </w:rPr>
            </w:pPr>
            <w:r>
              <w:rPr>
                <w:sz w:val="20"/>
              </w:rPr>
              <w:t>Жалбоподател</w:t>
            </w:r>
            <w:r>
              <w:rPr>
                <w:sz w:val="20"/>
              </w:rPr>
              <w:cr/>
            </w:r>
            <w:r>
              <w:rPr>
                <w:sz w:val="20"/>
              </w:rPr>
              <w:br/>
              <w:t>Година на раждане/учредяване</w:t>
            </w:r>
            <w:r>
              <w:rPr>
                <w:sz w:val="20"/>
              </w:rPr>
              <w:cr/>
            </w:r>
            <w:r>
              <w:rPr>
                <w:sz w:val="20"/>
              </w:rPr>
              <w:br/>
              <w:t>Местоживеене/седалище</w:t>
            </w:r>
            <w:r>
              <w:rPr>
                <w:sz w:val="20"/>
              </w:rPr>
              <w:cr/>
            </w:r>
            <w:r>
              <w:rPr>
                <w:sz w:val="20"/>
              </w:rPr>
              <w:br/>
              <w:t>Гражданство</w:t>
            </w:r>
          </w:p>
        </w:tc>
        <w:tc>
          <w:tcPr>
            <w:tcW w:w="1560" w:type="dxa"/>
            <w:hideMark/>
          </w:tcPr>
          <w:p w:rsidR="00F773BD" w:rsidRPr="00497AD5" w:rsidRDefault="00146ABA" w:rsidP="00497AD5">
            <w:pPr>
              <w:rPr>
                <w:rFonts w:eastAsia="Times New Roman"/>
                <w:sz w:val="20"/>
                <w:szCs w:val="20"/>
              </w:rPr>
            </w:pPr>
            <w:r>
              <w:rPr>
                <w:sz w:val="20"/>
              </w:rPr>
              <w:t>Представляван от</w:t>
            </w:r>
          </w:p>
        </w:tc>
      </w:tr>
      <w:tr w:rsidR="00B10B8F" w:rsidTr="00B10B8F">
        <w:trPr>
          <w:trHeight w:val="1314"/>
          <w:jc w:val="center"/>
        </w:trPr>
        <w:tc>
          <w:tcPr>
            <w:tcW w:w="477" w:type="dxa"/>
            <w:hideMark/>
          </w:tcPr>
          <w:p w:rsidR="00F773BD" w:rsidRPr="00497AD5" w:rsidRDefault="00146ABA" w:rsidP="00497AD5">
            <w:pPr>
              <w:rPr>
                <w:rFonts w:eastAsia="Times New Roman"/>
                <w:sz w:val="20"/>
                <w:szCs w:val="20"/>
              </w:rPr>
            </w:pPr>
            <w:r>
              <w:rPr>
                <w:sz w:val="20"/>
              </w:rPr>
              <w:t>1.</w:t>
            </w:r>
          </w:p>
        </w:tc>
        <w:tc>
          <w:tcPr>
            <w:tcW w:w="1219" w:type="dxa"/>
            <w:hideMark/>
          </w:tcPr>
          <w:p w:rsidR="00F773BD" w:rsidRPr="00497AD5" w:rsidRDefault="00146ABA" w:rsidP="00497AD5">
            <w:pPr>
              <w:rPr>
                <w:rFonts w:eastAsia="Times New Roman"/>
                <w:sz w:val="20"/>
                <w:szCs w:val="20"/>
              </w:rPr>
            </w:pPr>
            <w:r>
              <w:rPr>
                <w:sz w:val="20"/>
              </w:rPr>
              <w:t>9059/25</w:t>
            </w:r>
          </w:p>
        </w:tc>
        <w:tc>
          <w:tcPr>
            <w:tcW w:w="2127" w:type="dxa"/>
            <w:hideMark/>
          </w:tcPr>
          <w:p w:rsidR="00F773BD" w:rsidRPr="00497AD5" w:rsidRDefault="00146ABA" w:rsidP="00497AD5">
            <w:pPr>
              <w:rPr>
                <w:rFonts w:eastAsia="Times New Roman"/>
                <w:sz w:val="20"/>
                <w:szCs w:val="20"/>
              </w:rPr>
            </w:pPr>
            <w:r>
              <w:rPr>
                <w:sz w:val="20"/>
              </w:rPr>
              <w:t>Михайлов срещу България</w:t>
            </w:r>
          </w:p>
        </w:tc>
        <w:tc>
          <w:tcPr>
            <w:tcW w:w="1417" w:type="dxa"/>
            <w:hideMark/>
          </w:tcPr>
          <w:p w:rsidR="00F773BD" w:rsidRPr="00497AD5" w:rsidRDefault="00146ABA" w:rsidP="00497AD5">
            <w:pPr>
              <w:rPr>
                <w:rFonts w:eastAsia="Times New Roman"/>
                <w:sz w:val="20"/>
                <w:szCs w:val="20"/>
              </w:rPr>
            </w:pPr>
            <w:r>
              <w:rPr>
                <w:sz w:val="20"/>
              </w:rPr>
              <w:t>15.03.2025 г.</w:t>
            </w:r>
          </w:p>
        </w:tc>
        <w:tc>
          <w:tcPr>
            <w:tcW w:w="3260" w:type="dxa"/>
            <w:hideMark/>
          </w:tcPr>
          <w:p w:rsidR="00F773BD" w:rsidRPr="00497AD5" w:rsidRDefault="00146ABA" w:rsidP="00497AD5">
            <w:pPr>
              <w:rPr>
                <w:rFonts w:eastAsia="Times New Roman"/>
                <w:sz w:val="20"/>
                <w:szCs w:val="20"/>
              </w:rPr>
            </w:pPr>
            <w:r>
              <w:rPr>
                <w:b/>
                <w:sz w:val="20"/>
              </w:rPr>
              <w:t>Ивелин Людмилов МИХАЙЛОВ</w:t>
            </w:r>
            <w:r>
              <w:rPr>
                <w:sz w:val="20"/>
              </w:rPr>
              <w:br/>
              <w:t>1977 г.</w:t>
            </w:r>
            <w:r>
              <w:rPr>
                <w:sz w:val="20"/>
              </w:rPr>
              <w:br/>
              <w:t>Неофит Рилски</w:t>
            </w:r>
            <w:r>
              <w:rPr>
                <w:sz w:val="20"/>
              </w:rPr>
              <w:cr/>
            </w:r>
            <w:r>
              <w:rPr>
                <w:sz w:val="20"/>
              </w:rPr>
              <w:br/>
              <w:t>българска</w:t>
            </w:r>
          </w:p>
        </w:tc>
        <w:tc>
          <w:tcPr>
            <w:tcW w:w="1560" w:type="dxa"/>
            <w:hideMark/>
          </w:tcPr>
          <w:p w:rsidR="00F773BD" w:rsidRPr="00497AD5" w:rsidRDefault="00146ABA" w:rsidP="00497AD5">
            <w:pPr>
              <w:rPr>
                <w:rFonts w:eastAsia="Times New Roman"/>
                <w:sz w:val="20"/>
                <w:szCs w:val="20"/>
              </w:rPr>
            </w:pPr>
            <w:r>
              <w:rPr>
                <w:sz w:val="20"/>
              </w:rPr>
              <w:t>Анели Гинчева ЧОБАНОВА</w:t>
            </w:r>
          </w:p>
        </w:tc>
      </w:tr>
      <w:tr w:rsidR="00B10B8F" w:rsidTr="00B10B8F">
        <w:trPr>
          <w:trHeight w:val="984"/>
          <w:jc w:val="center"/>
        </w:trPr>
        <w:tc>
          <w:tcPr>
            <w:tcW w:w="477" w:type="dxa"/>
            <w:hideMark/>
          </w:tcPr>
          <w:p w:rsidR="00F773BD" w:rsidRPr="00497AD5" w:rsidRDefault="00146ABA" w:rsidP="00497AD5">
            <w:pPr>
              <w:rPr>
                <w:rFonts w:eastAsia="Times New Roman"/>
                <w:sz w:val="20"/>
                <w:szCs w:val="20"/>
              </w:rPr>
            </w:pPr>
            <w:r>
              <w:rPr>
                <w:sz w:val="20"/>
              </w:rPr>
              <w:t>2.</w:t>
            </w:r>
          </w:p>
        </w:tc>
        <w:tc>
          <w:tcPr>
            <w:tcW w:w="1219" w:type="dxa"/>
            <w:hideMark/>
          </w:tcPr>
          <w:p w:rsidR="00F773BD" w:rsidRPr="00497AD5" w:rsidRDefault="00146ABA" w:rsidP="00497AD5">
            <w:pPr>
              <w:rPr>
                <w:rFonts w:eastAsia="Times New Roman"/>
                <w:sz w:val="20"/>
                <w:szCs w:val="20"/>
              </w:rPr>
            </w:pPr>
            <w:r>
              <w:rPr>
                <w:sz w:val="20"/>
              </w:rPr>
              <w:t>9606/25</w:t>
            </w:r>
          </w:p>
        </w:tc>
        <w:tc>
          <w:tcPr>
            <w:tcW w:w="2127" w:type="dxa"/>
            <w:hideMark/>
          </w:tcPr>
          <w:p w:rsidR="00F773BD" w:rsidRPr="00497AD5" w:rsidRDefault="00146ABA" w:rsidP="00497AD5">
            <w:pPr>
              <w:rPr>
                <w:rFonts w:eastAsia="Times New Roman"/>
                <w:sz w:val="20"/>
                <w:szCs w:val="20"/>
              </w:rPr>
            </w:pPr>
            <w:r>
              <w:rPr>
                <w:sz w:val="20"/>
              </w:rPr>
              <w:t>Политическа партия „Величие“ срещу България</w:t>
            </w:r>
          </w:p>
        </w:tc>
        <w:tc>
          <w:tcPr>
            <w:tcW w:w="1417" w:type="dxa"/>
            <w:hideMark/>
          </w:tcPr>
          <w:p w:rsidR="00F773BD" w:rsidRPr="00497AD5" w:rsidRDefault="00146ABA" w:rsidP="00497AD5">
            <w:pPr>
              <w:rPr>
                <w:rFonts w:eastAsia="Times New Roman"/>
                <w:sz w:val="20"/>
                <w:szCs w:val="20"/>
              </w:rPr>
            </w:pPr>
            <w:r>
              <w:rPr>
                <w:sz w:val="20"/>
              </w:rPr>
              <w:t>15.03.2025 г.</w:t>
            </w:r>
          </w:p>
        </w:tc>
        <w:tc>
          <w:tcPr>
            <w:tcW w:w="3260" w:type="dxa"/>
            <w:hideMark/>
          </w:tcPr>
          <w:p w:rsidR="00F773BD" w:rsidRPr="00497AD5" w:rsidRDefault="00146ABA" w:rsidP="00497AD5">
            <w:pPr>
              <w:rPr>
                <w:rFonts w:eastAsia="Times New Roman"/>
                <w:sz w:val="20"/>
                <w:szCs w:val="20"/>
              </w:rPr>
            </w:pPr>
            <w:r>
              <w:rPr>
                <w:sz w:val="20"/>
              </w:rPr>
              <w:t>ПОЛИТИЧЕСКА ПАРТИЯ „ВЕЛИЧИЕ“</w:t>
            </w:r>
            <w:r>
              <w:rPr>
                <w:sz w:val="20"/>
              </w:rPr>
              <w:cr/>
            </w:r>
            <w:r>
              <w:rPr>
                <w:sz w:val="20"/>
              </w:rPr>
              <w:br/>
              <w:t>2023 г.</w:t>
            </w:r>
            <w:r>
              <w:rPr>
                <w:sz w:val="20"/>
              </w:rPr>
              <w:cr/>
            </w:r>
            <w:r>
              <w:rPr>
                <w:sz w:val="20"/>
              </w:rPr>
              <w:br/>
              <w:t>Ветрино</w:t>
            </w:r>
            <w:r>
              <w:rPr>
                <w:sz w:val="20"/>
              </w:rPr>
              <w:cr/>
            </w:r>
            <w:r>
              <w:rPr>
                <w:sz w:val="20"/>
              </w:rPr>
              <w:br/>
              <w:t>българско</w:t>
            </w:r>
          </w:p>
        </w:tc>
        <w:tc>
          <w:tcPr>
            <w:tcW w:w="1560" w:type="dxa"/>
            <w:hideMark/>
          </w:tcPr>
          <w:p w:rsidR="00F773BD" w:rsidRPr="00497AD5" w:rsidRDefault="00146ABA" w:rsidP="00497AD5">
            <w:pPr>
              <w:rPr>
                <w:rFonts w:eastAsia="Times New Roman"/>
                <w:sz w:val="20"/>
                <w:szCs w:val="20"/>
              </w:rPr>
            </w:pPr>
            <w:r>
              <w:rPr>
                <w:sz w:val="20"/>
              </w:rPr>
              <w:t>Анели Гинчева ЧОБАНОВА</w:t>
            </w:r>
          </w:p>
        </w:tc>
      </w:tr>
      <w:tr w:rsidR="00B10B8F" w:rsidTr="00B10B8F">
        <w:trPr>
          <w:trHeight w:val="928"/>
          <w:jc w:val="center"/>
        </w:trPr>
        <w:tc>
          <w:tcPr>
            <w:tcW w:w="477" w:type="dxa"/>
            <w:hideMark/>
          </w:tcPr>
          <w:p w:rsidR="00F773BD" w:rsidRPr="00497AD5" w:rsidRDefault="00146ABA" w:rsidP="00497AD5">
            <w:pPr>
              <w:rPr>
                <w:rFonts w:eastAsia="Times New Roman"/>
                <w:sz w:val="20"/>
                <w:szCs w:val="20"/>
              </w:rPr>
            </w:pPr>
            <w:r>
              <w:rPr>
                <w:sz w:val="20"/>
              </w:rPr>
              <w:t>3.</w:t>
            </w:r>
          </w:p>
        </w:tc>
        <w:tc>
          <w:tcPr>
            <w:tcW w:w="1219" w:type="dxa"/>
            <w:hideMark/>
          </w:tcPr>
          <w:p w:rsidR="00F773BD" w:rsidRPr="00497AD5" w:rsidRDefault="00146ABA" w:rsidP="00497AD5">
            <w:pPr>
              <w:rPr>
                <w:rFonts w:eastAsia="Times New Roman"/>
                <w:sz w:val="20"/>
                <w:szCs w:val="20"/>
              </w:rPr>
            </w:pPr>
            <w:r>
              <w:rPr>
                <w:sz w:val="20"/>
              </w:rPr>
              <w:t>10492/25</w:t>
            </w:r>
          </w:p>
        </w:tc>
        <w:tc>
          <w:tcPr>
            <w:tcW w:w="2127" w:type="dxa"/>
            <w:hideMark/>
          </w:tcPr>
          <w:p w:rsidR="00F773BD" w:rsidRPr="00497AD5" w:rsidRDefault="00146ABA" w:rsidP="00497AD5">
            <w:pPr>
              <w:rPr>
                <w:rFonts w:eastAsia="Times New Roman"/>
                <w:sz w:val="20"/>
                <w:szCs w:val="20"/>
              </w:rPr>
            </w:pPr>
            <w:r>
              <w:rPr>
                <w:sz w:val="20"/>
              </w:rPr>
              <w:t>Бобчева срещу България</w:t>
            </w:r>
          </w:p>
        </w:tc>
        <w:tc>
          <w:tcPr>
            <w:tcW w:w="1417" w:type="dxa"/>
            <w:hideMark/>
          </w:tcPr>
          <w:p w:rsidR="00F773BD" w:rsidRPr="00497AD5" w:rsidRDefault="00146ABA" w:rsidP="00497AD5">
            <w:pPr>
              <w:rPr>
                <w:rFonts w:eastAsia="Times New Roman"/>
                <w:sz w:val="20"/>
                <w:szCs w:val="20"/>
              </w:rPr>
            </w:pPr>
            <w:r>
              <w:rPr>
                <w:sz w:val="20"/>
              </w:rPr>
              <w:t>15.03.2025 г.</w:t>
            </w:r>
          </w:p>
        </w:tc>
        <w:tc>
          <w:tcPr>
            <w:tcW w:w="3260" w:type="dxa"/>
            <w:hideMark/>
          </w:tcPr>
          <w:p w:rsidR="00F773BD" w:rsidRPr="00497AD5" w:rsidRDefault="00146ABA" w:rsidP="00497AD5">
            <w:pPr>
              <w:rPr>
                <w:rFonts w:eastAsia="Times New Roman"/>
                <w:sz w:val="20"/>
                <w:szCs w:val="20"/>
              </w:rPr>
            </w:pPr>
            <w:r>
              <w:rPr>
                <w:b/>
                <w:sz w:val="20"/>
              </w:rPr>
              <w:t>Стилияна Иванова БОБЧЕВА</w:t>
            </w:r>
            <w:r>
              <w:rPr>
                <w:sz w:val="20"/>
              </w:rPr>
              <w:br/>
              <w:t>1976 г.</w:t>
            </w:r>
            <w:r>
              <w:rPr>
                <w:sz w:val="20"/>
              </w:rPr>
              <w:br/>
              <w:t>София</w:t>
            </w:r>
            <w:r>
              <w:rPr>
                <w:sz w:val="20"/>
              </w:rPr>
              <w:br/>
              <w:t>българско</w:t>
            </w:r>
          </w:p>
        </w:tc>
        <w:tc>
          <w:tcPr>
            <w:tcW w:w="1560" w:type="dxa"/>
            <w:hideMark/>
          </w:tcPr>
          <w:p w:rsidR="00F773BD" w:rsidRPr="00497AD5" w:rsidRDefault="00146ABA" w:rsidP="00497AD5">
            <w:pPr>
              <w:rPr>
                <w:rFonts w:eastAsia="Times New Roman"/>
                <w:sz w:val="20"/>
                <w:szCs w:val="20"/>
              </w:rPr>
            </w:pPr>
            <w:r>
              <w:rPr>
                <w:sz w:val="20"/>
              </w:rPr>
              <w:t>Анели Гинчева ЧОБАНОВА</w:t>
            </w:r>
          </w:p>
        </w:tc>
      </w:tr>
      <w:tr w:rsidR="00B10B8F" w:rsidTr="00B10B8F">
        <w:trPr>
          <w:trHeight w:val="878"/>
          <w:jc w:val="center"/>
        </w:trPr>
        <w:tc>
          <w:tcPr>
            <w:tcW w:w="477" w:type="dxa"/>
            <w:hideMark/>
          </w:tcPr>
          <w:p w:rsidR="00F773BD" w:rsidRPr="00497AD5" w:rsidRDefault="00146ABA" w:rsidP="00497AD5">
            <w:pPr>
              <w:rPr>
                <w:rFonts w:eastAsia="Times New Roman"/>
                <w:sz w:val="20"/>
                <w:szCs w:val="20"/>
              </w:rPr>
            </w:pPr>
            <w:r>
              <w:rPr>
                <w:sz w:val="20"/>
              </w:rPr>
              <w:t>4.</w:t>
            </w:r>
          </w:p>
        </w:tc>
        <w:tc>
          <w:tcPr>
            <w:tcW w:w="1219" w:type="dxa"/>
            <w:hideMark/>
          </w:tcPr>
          <w:p w:rsidR="00F773BD" w:rsidRPr="00497AD5" w:rsidRDefault="00146ABA" w:rsidP="00497AD5">
            <w:pPr>
              <w:rPr>
                <w:rFonts w:eastAsia="Times New Roman"/>
                <w:sz w:val="20"/>
                <w:szCs w:val="20"/>
              </w:rPr>
            </w:pPr>
            <w:r>
              <w:rPr>
                <w:sz w:val="20"/>
              </w:rPr>
              <w:t>10494/25</w:t>
            </w:r>
          </w:p>
        </w:tc>
        <w:tc>
          <w:tcPr>
            <w:tcW w:w="2127" w:type="dxa"/>
            <w:hideMark/>
          </w:tcPr>
          <w:p w:rsidR="00F773BD" w:rsidRPr="00497AD5" w:rsidRDefault="00146ABA" w:rsidP="00497AD5">
            <w:pPr>
              <w:rPr>
                <w:rFonts w:eastAsia="Times New Roman"/>
                <w:sz w:val="20"/>
                <w:szCs w:val="20"/>
              </w:rPr>
            </w:pPr>
            <w:r>
              <w:rPr>
                <w:sz w:val="20"/>
              </w:rPr>
              <w:t>Панков срещу България</w:t>
            </w:r>
          </w:p>
        </w:tc>
        <w:tc>
          <w:tcPr>
            <w:tcW w:w="1417" w:type="dxa"/>
            <w:hideMark/>
          </w:tcPr>
          <w:p w:rsidR="00F773BD" w:rsidRPr="00497AD5" w:rsidRDefault="00146ABA" w:rsidP="00497AD5">
            <w:pPr>
              <w:rPr>
                <w:rFonts w:eastAsia="Times New Roman"/>
                <w:sz w:val="20"/>
                <w:szCs w:val="20"/>
              </w:rPr>
            </w:pPr>
            <w:r>
              <w:rPr>
                <w:sz w:val="20"/>
              </w:rPr>
              <w:t>15.03.2025 г.</w:t>
            </w:r>
          </w:p>
        </w:tc>
        <w:tc>
          <w:tcPr>
            <w:tcW w:w="3260" w:type="dxa"/>
            <w:hideMark/>
          </w:tcPr>
          <w:p w:rsidR="00F773BD" w:rsidRPr="00497AD5" w:rsidRDefault="00146ABA" w:rsidP="00497AD5">
            <w:pPr>
              <w:rPr>
                <w:rFonts w:eastAsia="Times New Roman"/>
                <w:sz w:val="20"/>
                <w:szCs w:val="20"/>
              </w:rPr>
            </w:pPr>
            <w:r>
              <w:rPr>
                <w:b/>
                <w:sz w:val="20"/>
              </w:rPr>
              <w:t>Николай Панков ПАНКОВ</w:t>
            </w:r>
            <w:r>
              <w:rPr>
                <w:sz w:val="20"/>
              </w:rPr>
              <w:br/>
              <w:t>1968 г.</w:t>
            </w:r>
            <w:r>
              <w:rPr>
                <w:sz w:val="20"/>
              </w:rPr>
              <w:br/>
              <w:t>София</w:t>
            </w:r>
            <w:r>
              <w:rPr>
                <w:sz w:val="20"/>
              </w:rPr>
              <w:br/>
              <w:t>българско</w:t>
            </w:r>
          </w:p>
        </w:tc>
        <w:tc>
          <w:tcPr>
            <w:tcW w:w="1560" w:type="dxa"/>
            <w:hideMark/>
          </w:tcPr>
          <w:p w:rsidR="00F773BD" w:rsidRPr="00497AD5" w:rsidRDefault="00146ABA" w:rsidP="00497AD5">
            <w:pPr>
              <w:rPr>
                <w:rFonts w:eastAsia="Times New Roman"/>
                <w:sz w:val="20"/>
                <w:szCs w:val="20"/>
              </w:rPr>
            </w:pPr>
            <w:r>
              <w:rPr>
                <w:sz w:val="20"/>
              </w:rPr>
              <w:t>Анели Гинчева ЧОБАНОВА</w:t>
            </w:r>
          </w:p>
        </w:tc>
      </w:tr>
    </w:tbl>
    <w:p w:rsidR="00A1102F" w:rsidRPr="00497AD5" w:rsidRDefault="00A1102F" w:rsidP="00497AD5">
      <w:pPr>
        <w:pStyle w:val="JuPara"/>
        <w:ind w:firstLine="0"/>
      </w:pPr>
    </w:p>
    <w:sectPr w:rsidR="00A1102F" w:rsidRPr="00497AD5" w:rsidSect="00AF7102">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code="9"/>
      <w:pgMar w:top="2274" w:right="2274" w:bottom="2274" w:left="2274" w:header="170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7D5" w:rsidRDefault="009877D5">
      <w:r>
        <w:separator/>
      </w:r>
    </w:p>
  </w:endnote>
  <w:endnote w:type="continuationSeparator" w:id="0">
    <w:p w:rsidR="009877D5" w:rsidRDefault="0098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02" w:rsidRPr="00F773BD" w:rsidRDefault="00146ABA" w:rsidP="00FB64E0">
    <w:pPr>
      <w:pStyle w:val="JuHeader"/>
    </w:pPr>
    <w:r>
      <w:fldChar w:fldCharType="begin"/>
    </w:r>
    <w:r>
      <w:instrText xml:space="preserve"> PAGE  \* MERGEFORMAT </w:instrText>
    </w:r>
    <w:r>
      <w:fldChar w:fldCharType="separate"/>
    </w:r>
    <w:r w:rsidR="0096241A">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02" w:rsidRPr="00F773BD" w:rsidRDefault="00146ABA" w:rsidP="00FB64E0">
    <w:pPr>
      <w:pStyle w:val="JuHeader"/>
    </w:pPr>
    <w:r>
      <w:fldChar w:fldCharType="begin"/>
    </w:r>
    <w:r>
      <w:instrText xml:space="preserve"> PAGE  \* MERGEFORMAT </w:instrText>
    </w:r>
    <w:r>
      <w:fldChar w:fldCharType="separate"/>
    </w:r>
    <w:r w:rsidR="0096241A">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BD" w:rsidRPr="00150BFA" w:rsidRDefault="00146ABA" w:rsidP="0020718E">
    <w:pPr>
      <w:jc w:val="center"/>
    </w:pPr>
    <w:r>
      <w:rPr>
        <w:noProof/>
        <w:lang w:eastAsia="bg-BG"/>
      </w:rPr>
      <w:drawing>
        <wp:inline distT="0" distB="0" distL="0" distR="0">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F2015C" w:rsidRPr="00F773BD" w:rsidRDefault="00F2015C" w:rsidP="003146E4">
    <w:pPr>
      <w:jc w:val="cen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7D5" w:rsidRDefault="009877D5">
      <w:r>
        <w:separator/>
      </w:r>
    </w:p>
  </w:footnote>
  <w:footnote w:type="continuationSeparator" w:id="0">
    <w:p w:rsidR="009877D5" w:rsidRDefault="00987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5C" w:rsidRPr="00F773BD" w:rsidRDefault="00146ABA" w:rsidP="003312A3">
    <w:pPr>
      <w:pStyle w:val="JuHeader"/>
    </w:pPr>
    <w:r>
      <w:t>ДЕЛО МИХАЙЛОВ срещу БЪЛГАРИЯ И ДРУГИ ЖАЛБИ</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5C" w:rsidRPr="00F773BD" w:rsidRDefault="00146ABA" w:rsidP="006544C4">
    <w:pPr>
      <w:pStyle w:val="JuHeader"/>
    </w:pPr>
    <w:r>
      <w:t>ДЕЛО МИХАЙЛОВ срещу БЪЛГАРИЯ И ДРУГИ ЖАЛБИ</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BD" w:rsidRPr="00A45145" w:rsidRDefault="00146ABA" w:rsidP="00A45145">
    <w:pPr>
      <w:jc w:val="center"/>
    </w:pPr>
    <w:r>
      <w:rPr>
        <w:noProof/>
        <w:lang w:eastAsia="bg-BG"/>
      </w:rPr>
      <w:drawing>
        <wp:inline distT="0" distB="0" distL="0" distR="0">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F2015C" w:rsidRPr="00F773BD" w:rsidRDefault="00F2015C" w:rsidP="003146E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67FD1241"/>
    <w:multiLevelType w:val="hybridMultilevel"/>
    <w:tmpl w:val="F6D86CC2"/>
    <w:lvl w:ilvl="0" w:tplc="D0FE554A">
      <w:start w:val="1"/>
      <w:numFmt w:val="bullet"/>
      <w:pStyle w:val="ListBullet"/>
      <w:lvlText w:val=""/>
      <w:lvlJc w:val="left"/>
      <w:pPr>
        <w:tabs>
          <w:tab w:val="num" w:pos="851"/>
        </w:tabs>
        <w:ind w:left="568" w:firstLine="0"/>
      </w:pPr>
      <w:rPr>
        <w:rFonts w:ascii="Wingdings" w:hAnsi="Wingdings" w:hint="default"/>
        <w:color w:val="808080"/>
        <w:sz w:val="16"/>
      </w:rPr>
    </w:lvl>
    <w:lvl w:ilvl="1" w:tplc="7E760B84" w:tentative="1">
      <w:start w:val="1"/>
      <w:numFmt w:val="bullet"/>
      <w:lvlText w:val="o"/>
      <w:lvlJc w:val="left"/>
      <w:pPr>
        <w:tabs>
          <w:tab w:val="num" w:pos="1724"/>
        </w:tabs>
        <w:ind w:left="1724" w:hanging="360"/>
      </w:pPr>
      <w:rPr>
        <w:rFonts w:ascii="Courier New" w:hAnsi="Courier New" w:cs="Courier New" w:hint="default"/>
      </w:rPr>
    </w:lvl>
    <w:lvl w:ilvl="2" w:tplc="3D5C40C6" w:tentative="1">
      <w:start w:val="1"/>
      <w:numFmt w:val="bullet"/>
      <w:lvlText w:val=""/>
      <w:lvlJc w:val="left"/>
      <w:pPr>
        <w:tabs>
          <w:tab w:val="num" w:pos="2444"/>
        </w:tabs>
        <w:ind w:left="2444" w:hanging="360"/>
      </w:pPr>
      <w:rPr>
        <w:rFonts w:ascii="Wingdings" w:hAnsi="Wingdings" w:hint="default"/>
      </w:rPr>
    </w:lvl>
    <w:lvl w:ilvl="3" w:tplc="70A61B2A" w:tentative="1">
      <w:start w:val="1"/>
      <w:numFmt w:val="bullet"/>
      <w:lvlText w:val=""/>
      <w:lvlJc w:val="left"/>
      <w:pPr>
        <w:tabs>
          <w:tab w:val="num" w:pos="3164"/>
        </w:tabs>
        <w:ind w:left="3164" w:hanging="360"/>
      </w:pPr>
      <w:rPr>
        <w:rFonts w:ascii="Symbol" w:hAnsi="Symbol" w:hint="default"/>
      </w:rPr>
    </w:lvl>
    <w:lvl w:ilvl="4" w:tplc="6E4CE554" w:tentative="1">
      <w:start w:val="1"/>
      <w:numFmt w:val="bullet"/>
      <w:lvlText w:val="o"/>
      <w:lvlJc w:val="left"/>
      <w:pPr>
        <w:tabs>
          <w:tab w:val="num" w:pos="3884"/>
        </w:tabs>
        <w:ind w:left="3884" w:hanging="360"/>
      </w:pPr>
      <w:rPr>
        <w:rFonts w:ascii="Courier New" w:hAnsi="Courier New" w:cs="Courier New" w:hint="default"/>
      </w:rPr>
    </w:lvl>
    <w:lvl w:ilvl="5" w:tplc="8788CED2" w:tentative="1">
      <w:start w:val="1"/>
      <w:numFmt w:val="bullet"/>
      <w:lvlText w:val=""/>
      <w:lvlJc w:val="left"/>
      <w:pPr>
        <w:tabs>
          <w:tab w:val="num" w:pos="4604"/>
        </w:tabs>
        <w:ind w:left="4604" w:hanging="360"/>
      </w:pPr>
      <w:rPr>
        <w:rFonts w:ascii="Wingdings" w:hAnsi="Wingdings" w:hint="default"/>
      </w:rPr>
    </w:lvl>
    <w:lvl w:ilvl="6" w:tplc="F72017BE" w:tentative="1">
      <w:start w:val="1"/>
      <w:numFmt w:val="bullet"/>
      <w:lvlText w:val=""/>
      <w:lvlJc w:val="left"/>
      <w:pPr>
        <w:tabs>
          <w:tab w:val="num" w:pos="5324"/>
        </w:tabs>
        <w:ind w:left="5324" w:hanging="360"/>
      </w:pPr>
      <w:rPr>
        <w:rFonts w:ascii="Symbol" w:hAnsi="Symbol" w:hint="default"/>
      </w:rPr>
    </w:lvl>
    <w:lvl w:ilvl="7" w:tplc="1B40A682" w:tentative="1">
      <w:start w:val="1"/>
      <w:numFmt w:val="bullet"/>
      <w:lvlText w:val="o"/>
      <w:lvlJc w:val="left"/>
      <w:pPr>
        <w:tabs>
          <w:tab w:val="num" w:pos="6044"/>
        </w:tabs>
        <w:ind w:left="6044" w:hanging="360"/>
      </w:pPr>
      <w:rPr>
        <w:rFonts w:ascii="Courier New" w:hAnsi="Courier New" w:cs="Courier New" w:hint="default"/>
      </w:rPr>
    </w:lvl>
    <w:lvl w:ilvl="8" w:tplc="5F6C112A" w:tentative="1">
      <w:start w:val="1"/>
      <w:numFmt w:val="bullet"/>
      <w:lvlText w:val=""/>
      <w:lvlJc w:val="left"/>
      <w:pPr>
        <w:tabs>
          <w:tab w:val="num" w:pos="6764"/>
        </w:tabs>
        <w:ind w:left="6764" w:hanging="360"/>
      </w:pPr>
      <w:rPr>
        <w:rFonts w:ascii="Wingdings" w:hAnsi="Wingdings" w:hint="default"/>
      </w:rPr>
    </w:lvl>
  </w:abstractNum>
  <w:num w:numId="1">
    <w:abstractNumId w:val="12"/>
  </w:num>
  <w:num w:numId="2">
    <w:abstractNumId w:val="13"/>
  </w:num>
  <w:num w:numId="3">
    <w:abstractNumId w:val="11"/>
  </w:num>
  <w:num w:numId="4">
    <w:abstractNumId w:val="10"/>
  </w:num>
  <w:num w:numId="5">
    <w:abstractNumId w:val="16"/>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14"/>
  </w:num>
  <w:num w:numId="17">
    <w:abstractNumId w:val="12"/>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3"/>
    <w:docVar w:name="EMM" w:val="0"/>
    <w:docVar w:name="NBEMMDOC" w:val="0"/>
    <w:docVar w:name="Plural" w:val="3"/>
  </w:docVars>
  <w:rsids>
    <w:rsidRoot w:val="00F773BD"/>
    <w:rsid w:val="000041F8"/>
    <w:rsid w:val="000042A8"/>
    <w:rsid w:val="00004308"/>
    <w:rsid w:val="00005BF0"/>
    <w:rsid w:val="00007154"/>
    <w:rsid w:val="0001025C"/>
    <w:rsid w:val="000103AE"/>
    <w:rsid w:val="00011D69"/>
    <w:rsid w:val="00012AD3"/>
    <w:rsid w:val="00015C2D"/>
    <w:rsid w:val="00015F00"/>
    <w:rsid w:val="00022C1D"/>
    <w:rsid w:val="000279B8"/>
    <w:rsid w:val="00034987"/>
    <w:rsid w:val="00050A32"/>
    <w:rsid w:val="000602DF"/>
    <w:rsid w:val="00061B05"/>
    <w:rsid w:val="000632D5"/>
    <w:rsid w:val="000644EE"/>
    <w:rsid w:val="000925AD"/>
    <w:rsid w:val="000A24EB"/>
    <w:rsid w:val="000B6923"/>
    <w:rsid w:val="000C5F3C"/>
    <w:rsid w:val="000C6DCC"/>
    <w:rsid w:val="000D47AA"/>
    <w:rsid w:val="000D721F"/>
    <w:rsid w:val="000E069B"/>
    <w:rsid w:val="000E0E82"/>
    <w:rsid w:val="000E1177"/>
    <w:rsid w:val="000E1DC5"/>
    <w:rsid w:val="000E223F"/>
    <w:rsid w:val="000E7D45"/>
    <w:rsid w:val="000F47BF"/>
    <w:rsid w:val="000F7851"/>
    <w:rsid w:val="00104E23"/>
    <w:rsid w:val="00111B0C"/>
    <w:rsid w:val="00120D6C"/>
    <w:rsid w:val="001257EC"/>
    <w:rsid w:val="00133D33"/>
    <w:rsid w:val="00134D64"/>
    <w:rsid w:val="00135A30"/>
    <w:rsid w:val="0013612C"/>
    <w:rsid w:val="00137FF6"/>
    <w:rsid w:val="00141650"/>
    <w:rsid w:val="00146ABA"/>
    <w:rsid w:val="00150BFA"/>
    <w:rsid w:val="00162A12"/>
    <w:rsid w:val="001641A2"/>
    <w:rsid w:val="00166234"/>
    <w:rsid w:val="00166530"/>
    <w:rsid w:val="0016678F"/>
    <w:rsid w:val="001832BD"/>
    <w:rsid w:val="001943B5"/>
    <w:rsid w:val="00195134"/>
    <w:rsid w:val="001A145B"/>
    <w:rsid w:val="001A674C"/>
    <w:rsid w:val="001B2A94"/>
    <w:rsid w:val="001B3B24"/>
    <w:rsid w:val="001C0F98"/>
    <w:rsid w:val="001C2A42"/>
    <w:rsid w:val="001D4B94"/>
    <w:rsid w:val="001D63ED"/>
    <w:rsid w:val="001D7348"/>
    <w:rsid w:val="001E035B"/>
    <w:rsid w:val="001E0961"/>
    <w:rsid w:val="001E3EAE"/>
    <w:rsid w:val="001E6F32"/>
    <w:rsid w:val="001F2145"/>
    <w:rsid w:val="001F6262"/>
    <w:rsid w:val="001F67B0"/>
    <w:rsid w:val="001F7B3D"/>
    <w:rsid w:val="00205F9F"/>
    <w:rsid w:val="0020718E"/>
    <w:rsid w:val="00210338"/>
    <w:rsid w:val="002115FC"/>
    <w:rsid w:val="0021423C"/>
    <w:rsid w:val="00230D00"/>
    <w:rsid w:val="00231DF7"/>
    <w:rsid w:val="00231FD1"/>
    <w:rsid w:val="002339E0"/>
    <w:rsid w:val="00233CF8"/>
    <w:rsid w:val="00234E8A"/>
    <w:rsid w:val="0023575D"/>
    <w:rsid w:val="00237148"/>
    <w:rsid w:val="0024222D"/>
    <w:rsid w:val="00244B0E"/>
    <w:rsid w:val="00244F6C"/>
    <w:rsid w:val="002532C5"/>
    <w:rsid w:val="00260C03"/>
    <w:rsid w:val="0026540E"/>
    <w:rsid w:val="00275123"/>
    <w:rsid w:val="00282240"/>
    <w:rsid w:val="002948AD"/>
    <w:rsid w:val="0029729E"/>
    <w:rsid w:val="002A01CC"/>
    <w:rsid w:val="002A61B1"/>
    <w:rsid w:val="002A663C"/>
    <w:rsid w:val="002B444B"/>
    <w:rsid w:val="002B5887"/>
    <w:rsid w:val="002C0E27"/>
    <w:rsid w:val="002C3040"/>
    <w:rsid w:val="002D022D"/>
    <w:rsid w:val="002D24BB"/>
    <w:rsid w:val="002D609F"/>
    <w:rsid w:val="002F0E40"/>
    <w:rsid w:val="002F2AF7"/>
    <w:rsid w:val="002F7E1C"/>
    <w:rsid w:val="00301A75"/>
    <w:rsid w:val="00302F70"/>
    <w:rsid w:val="0030336F"/>
    <w:rsid w:val="0030375E"/>
    <w:rsid w:val="00312A30"/>
    <w:rsid w:val="003146E4"/>
    <w:rsid w:val="00320F72"/>
    <w:rsid w:val="0032463E"/>
    <w:rsid w:val="00326224"/>
    <w:rsid w:val="003312A3"/>
    <w:rsid w:val="00334EC5"/>
    <w:rsid w:val="00337EE4"/>
    <w:rsid w:val="00340FFD"/>
    <w:rsid w:val="003506B1"/>
    <w:rsid w:val="0035621E"/>
    <w:rsid w:val="003567F2"/>
    <w:rsid w:val="00356AC7"/>
    <w:rsid w:val="003609FA"/>
    <w:rsid w:val="003710C8"/>
    <w:rsid w:val="003750BE"/>
    <w:rsid w:val="00375267"/>
    <w:rsid w:val="00381AF0"/>
    <w:rsid w:val="00387B9D"/>
    <w:rsid w:val="0039055E"/>
    <w:rsid w:val="0039364F"/>
    <w:rsid w:val="00396686"/>
    <w:rsid w:val="0039778E"/>
    <w:rsid w:val="003B3D86"/>
    <w:rsid w:val="003B4941"/>
    <w:rsid w:val="003C5714"/>
    <w:rsid w:val="003C6B9F"/>
    <w:rsid w:val="003C6E2A"/>
    <w:rsid w:val="003D0299"/>
    <w:rsid w:val="003D1A95"/>
    <w:rsid w:val="003E6D80"/>
    <w:rsid w:val="003E747B"/>
    <w:rsid w:val="003F05FA"/>
    <w:rsid w:val="003F244A"/>
    <w:rsid w:val="003F30B8"/>
    <w:rsid w:val="003F4C45"/>
    <w:rsid w:val="003F5F7B"/>
    <w:rsid w:val="003F7D64"/>
    <w:rsid w:val="0040093C"/>
    <w:rsid w:val="004047FE"/>
    <w:rsid w:val="00414300"/>
    <w:rsid w:val="00425C67"/>
    <w:rsid w:val="00427E7A"/>
    <w:rsid w:val="004320D3"/>
    <w:rsid w:val="00436C49"/>
    <w:rsid w:val="004402B9"/>
    <w:rsid w:val="00445366"/>
    <w:rsid w:val="00447F5B"/>
    <w:rsid w:val="00450CB7"/>
    <w:rsid w:val="00461DB0"/>
    <w:rsid w:val="00463926"/>
    <w:rsid w:val="00464C9A"/>
    <w:rsid w:val="00474F3D"/>
    <w:rsid w:val="00474FDF"/>
    <w:rsid w:val="00475F0E"/>
    <w:rsid w:val="00477E3A"/>
    <w:rsid w:val="00483E5F"/>
    <w:rsid w:val="00484438"/>
    <w:rsid w:val="00485FF9"/>
    <w:rsid w:val="004907F0"/>
    <w:rsid w:val="0049140B"/>
    <w:rsid w:val="004923A5"/>
    <w:rsid w:val="00496BFB"/>
    <w:rsid w:val="00497AD5"/>
    <w:rsid w:val="004A15C7"/>
    <w:rsid w:val="004B013B"/>
    <w:rsid w:val="004B112B"/>
    <w:rsid w:val="004C01E4"/>
    <w:rsid w:val="004C086C"/>
    <w:rsid w:val="004C1F56"/>
    <w:rsid w:val="004C27BC"/>
    <w:rsid w:val="004C5A80"/>
    <w:rsid w:val="004D15F3"/>
    <w:rsid w:val="004D5311"/>
    <w:rsid w:val="004D5DCC"/>
    <w:rsid w:val="004E75EE"/>
    <w:rsid w:val="004F10AF"/>
    <w:rsid w:val="004F11A4"/>
    <w:rsid w:val="004F2389"/>
    <w:rsid w:val="004F304D"/>
    <w:rsid w:val="004F61BE"/>
    <w:rsid w:val="004F66B1"/>
    <w:rsid w:val="00511C07"/>
    <w:rsid w:val="005173A6"/>
    <w:rsid w:val="00520BAA"/>
    <w:rsid w:val="00524553"/>
    <w:rsid w:val="00525208"/>
    <w:rsid w:val="005257A5"/>
    <w:rsid w:val="005264C0"/>
    <w:rsid w:val="00526A8A"/>
    <w:rsid w:val="00531DF2"/>
    <w:rsid w:val="005442EE"/>
    <w:rsid w:val="00547353"/>
    <w:rsid w:val="005474E7"/>
    <w:rsid w:val="005512A3"/>
    <w:rsid w:val="005578CE"/>
    <w:rsid w:val="00560C6F"/>
    <w:rsid w:val="00562781"/>
    <w:rsid w:val="00571192"/>
    <w:rsid w:val="005713B9"/>
    <w:rsid w:val="0057271C"/>
    <w:rsid w:val="00572845"/>
    <w:rsid w:val="0058193F"/>
    <w:rsid w:val="00592772"/>
    <w:rsid w:val="0059574A"/>
    <w:rsid w:val="005A1B9B"/>
    <w:rsid w:val="005A6751"/>
    <w:rsid w:val="005B092E"/>
    <w:rsid w:val="005B152C"/>
    <w:rsid w:val="005B1EE0"/>
    <w:rsid w:val="005B284C"/>
    <w:rsid w:val="005B2B24"/>
    <w:rsid w:val="005B4425"/>
    <w:rsid w:val="005B4B94"/>
    <w:rsid w:val="005C3EE8"/>
    <w:rsid w:val="005D34F9"/>
    <w:rsid w:val="005D4190"/>
    <w:rsid w:val="005D67A3"/>
    <w:rsid w:val="005E2988"/>
    <w:rsid w:val="005E3085"/>
    <w:rsid w:val="005F51E1"/>
    <w:rsid w:val="005F675D"/>
    <w:rsid w:val="00600C72"/>
    <w:rsid w:val="00611C80"/>
    <w:rsid w:val="00616973"/>
    <w:rsid w:val="00620692"/>
    <w:rsid w:val="006242CA"/>
    <w:rsid w:val="00627507"/>
    <w:rsid w:val="00633717"/>
    <w:rsid w:val="006344E1"/>
    <w:rsid w:val="006544C4"/>
    <w:rsid w:val="006545C4"/>
    <w:rsid w:val="00661971"/>
    <w:rsid w:val="00661CE8"/>
    <w:rsid w:val="006623D9"/>
    <w:rsid w:val="0066550C"/>
    <w:rsid w:val="006716F2"/>
    <w:rsid w:val="00682BF2"/>
    <w:rsid w:val="006859CE"/>
    <w:rsid w:val="00691270"/>
    <w:rsid w:val="00694BA8"/>
    <w:rsid w:val="006A037C"/>
    <w:rsid w:val="006A36F4"/>
    <w:rsid w:val="006A406F"/>
    <w:rsid w:val="006A5D3A"/>
    <w:rsid w:val="006A6462"/>
    <w:rsid w:val="006B7E08"/>
    <w:rsid w:val="006C23D4"/>
    <w:rsid w:val="006C3534"/>
    <w:rsid w:val="006C7BB0"/>
    <w:rsid w:val="006D3237"/>
    <w:rsid w:val="006E2E37"/>
    <w:rsid w:val="006E3CF1"/>
    <w:rsid w:val="006E7E80"/>
    <w:rsid w:val="006F19B0"/>
    <w:rsid w:val="006F48CA"/>
    <w:rsid w:val="006F64DD"/>
    <w:rsid w:val="00715127"/>
    <w:rsid w:val="00715E8E"/>
    <w:rsid w:val="0071796B"/>
    <w:rsid w:val="00723580"/>
    <w:rsid w:val="00723755"/>
    <w:rsid w:val="0073136C"/>
    <w:rsid w:val="00731F0F"/>
    <w:rsid w:val="00733250"/>
    <w:rsid w:val="00741404"/>
    <w:rsid w:val="007449E5"/>
    <w:rsid w:val="00747FF0"/>
    <w:rsid w:val="00764D4E"/>
    <w:rsid w:val="00765A1F"/>
    <w:rsid w:val="00775B6D"/>
    <w:rsid w:val="00776D68"/>
    <w:rsid w:val="007850EE"/>
    <w:rsid w:val="00785B95"/>
    <w:rsid w:val="00790E96"/>
    <w:rsid w:val="00793366"/>
    <w:rsid w:val="007A6280"/>
    <w:rsid w:val="007A716F"/>
    <w:rsid w:val="007B270A"/>
    <w:rsid w:val="007C0695"/>
    <w:rsid w:val="007C419A"/>
    <w:rsid w:val="007C4CC8"/>
    <w:rsid w:val="007C5426"/>
    <w:rsid w:val="007C5798"/>
    <w:rsid w:val="007D4832"/>
    <w:rsid w:val="007D7219"/>
    <w:rsid w:val="007E21B2"/>
    <w:rsid w:val="007E2C4E"/>
    <w:rsid w:val="007E3991"/>
    <w:rsid w:val="007F1905"/>
    <w:rsid w:val="00801300"/>
    <w:rsid w:val="00802C64"/>
    <w:rsid w:val="00805E52"/>
    <w:rsid w:val="008061D0"/>
    <w:rsid w:val="00810B38"/>
    <w:rsid w:val="008127C6"/>
    <w:rsid w:val="008204C7"/>
    <w:rsid w:val="00820992"/>
    <w:rsid w:val="00823602"/>
    <w:rsid w:val="008255F5"/>
    <w:rsid w:val="0083014E"/>
    <w:rsid w:val="0083214A"/>
    <w:rsid w:val="00834220"/>
    <w:rsid w:val="00845723"/>
    <w:rsid w:val="00851EF9"/>
    <w:rsid w:val="008577FD"/>
    <w:rsid w:val="00860B03"/>
    <w:rsid w:val="0086497A"/>
    <w:rsid w:val="008679A3"/>
    <w:rsid w:val="008713A1"/>
    <w:rsid w:val="008754AB"/>
    <w:rsid w:val="0088060C"/>
    <w:rsid w:val="00893576"/>
    <w:rsid w:val="00893E73"/>
    <w:rsid w:val="008B02DC"/>
    <w:rsid w:val="008B0BD9"/>
    <w:rsid w:val="008B57CE"/>
    <w:rsid w:val="008C26DE"/>
    <w:rsid w:val="008C4AA6"/>
    <w:rsid w:val="008D2225"/>
    <w:rsid w:val="008D4752"/>
    <w:rsid w:val="008E271C"/>
    <w:rsid w:val="008E418E"/>
    <w:rsid w:val="008E5BC6"/>
    <w:rsid w:val="008E6A25"/>
    <w:rsid w:val="008F5193"/>
    <w:rsid w:val="009013A7"/>
    <w:rsid w:val="009017FB"/>
    <w:rsid w:val="009017FC"/>
    <w:rsid w:val="0090506B"/>
    <w:rsid w:val="009050C9"/>
    <w:rsid w:val="009066FC"/>
    <w:rsid w:val="009140A3"/>
    <w:rsid w:val="009144A2"/>
    <w:rsid w:val="0091478F"/>
    <w:rsid w:val="0091510C"/>
    <w:rsid w:val="00924E78"/>
    <w:rsid w:val="009259AC"/>
    <w:rsid w:val="00926F38"/>
    <w:rsid w:val="00934301"/>
    <w:rsid w:val="00934A97"/>
    <w:rsid w:val="00936CD1"/>
    <w:rsid w:val="00937382"/>
    <w:rsid w:val="00941747"/>
    <w:rsid w:val="0094178F"/>
    <w:rsid w:val="00941EFB"/>
    <w:rsid w:val="00947AFB"/>
    <w:rsid w:val="00951D7D"/>
    <w:rsid w:val="0096241A"/>
    <w:rsid w:val="009630C7"/>
    <w:rsid w:val="00972B55"/>
    <w:rsid w:val="009743B7"/>
    <w:rsid w:val="00977DA8"/>
    <w:rsid w:val="0098052C"/>
    <w:rsid w:val="0098228B"/>
    <w:rsid w:val="009828DA"/>
    <w:rsid w:val="00985BAB"/>
    <w:rsid w:val="009877D5"/>
    <w:rsid w:val="009B1B5F"/>
    <w:rsid w:val="009B6673"/>
    <w:rsid w:val="009C191B"/>
    <w:rsid w:val="009C2BD6"/>
    <w:rsid w:val="009E1F32"/>
    <w:rsid w:val="009E776C"/>
    <w:rsid w:val="009F1D6B"/>
    <w:rsid w:val="00A1102F"/>
    <w:rsid w:val="00A1726E"/>
    <w:rsid w:val="00A204CF"/>
    <w:rsid w:val="00A20B9E"/>
    <w:rsid w:val="00A23D49"/>
    <w:rsid w:val="00A27004"/>
    <w:rsid w:val="00A30C29"/>
    <w:rsid w:val="00A34DD6"/>
    <w:rsid w:val="00A36819"/>
    <w:rsid w:val="00A36989"/>
    <w:rsid w:val="00A43628"/>
    <w:rsid w:val="00A45145"/>
    <w:rsid w:val="00A54192"/>
    <w:rsid w:val="00A55CE9"/>
    <w:rsid w:val="00A6035E"/>
    <w:rsid w:val="00A6144C"/>
    <w:rsid w:val="00A62EE2"/>
    <w:rsid w:val="00A66617"/>
    <w:rsid w:val="00A671F8"/>
    <w:rsid w:val="00A673A4"/>
    <w:rsid w:val="00A724AE"/>
    <w:rsid w:val="00A73329"/>
    <w:rsid w:val="00A82359"/>
    <w:rsid w:val="00A865D2"/>
    <w:rsid w:val="00A94C20"/>
    <w:rsid w:val="00AA227F"/>
    <w:rsid w:val="00AA3BC7"/>
    <w:rsid w:val="00AA5A0B"/>
    <w:rsid w:val="00AA754A"/>
    <w:rsid w:val="00AB099E"/>
    <w:rsid w:val="00AB4328"/>
    <w:rsid w:val="00AC6FC1"/>
    <w:rsid w:val="00AD4F05"/>
    <w:rsid w:val="00AE0A2E"/>
    <w:rsid w:val="00AE354C"/>
    <w:rsid w:val="00AF4B07"/>
    <w:rsid w:val="00AF6186"/>
    <w:rsid w:val="00AF7102"/>
    <w:rsid w:val="00AF7A3A"/>
    <w:rsid w:val="00B01FB0"/>
    <w:rsid w:val="00B10B8F"/>
    <w:rsid w:val="00B160DB"/>
    <w:rsid w:val="00B20836"/>
    <w:rsid w:val="00B235BB"/>
    <w:rsid w:val="00B27A44"/>
    <w:rsid w:val="00B30BBF"/>
    <w:rsid w:val="00B33C03"/>
    <w:rsid w:val="00B36335"/>
    <w:rsid w:val="00B44E56"/>
    <w:rsid w:val="00B46543"/>
    <w:rsid w:val="00B47D33"/>
    <w:rsid w:val="00B52BE0"/>
    <w:rsid w:val="00B54133"/>
    <w:rsid w:val="00B615B9"/>
    <w:rsid w:val="00B701ED"/>
    <w:rsid w:val="00B8086C"/>
    <w:rsid w:val="00B83A72"/>
    <w:rsid w:val="00B861B4"/>
    <w:rsid w:val="00B86DFE"/>
    <w:rsid w:val="00B87FB1"/>
    <w:rsid w:val="00B90990"/>
    <w:rsid w:val="00B922FF"/>
    <w:rsid w:val="00B9281E"/>
    <w:rsid w:val="00B93925"/>
    <w:rsid w:val="00B95187"/>
    <w:rsid w:val="00BA1CA3"/>
    <w:rsid w:val="00BA2D55"/>
    <w:rsid w:val="00BA71B1"/>
    <w:rsid w:val="00BB0637"/>
    <w:rsid w:val="00BB312C"/>
    <w:rsid w:val="00BB345F"/>
    <w:rsid w:val="00BB68EA"/>
    <w:rsid w:val="00BC1C27"/>
    <w:rsid w:val="00BC2EAF"/>
    <w:rsid w:val="00BC6BBF"/>
    <w:rsid w:val="00BD1572"/>
    <w:rsid w:val="00BE14E3"/>
    <w:rsid w:val="00BE3774"/>
    <w:rsid w:val="00BE41E5"/>
    <w:rsid w:val="00BF4109"/>
    <w:rsid w:val="00BF4CC3"/>
    <w:rsid w:val="00BF63E0"/>
    <w:rsid w:val="00C054C7"/>
    <w:rsid w:val="00C057B5"/>
    <w:rsid w:val="00C22687"/>
    <w:rsid w:val="00C329F3"/>
    <w:rsid w:val="00C32E4D"/>
    <w:rsid w:val="00C333A0"/>
    <w:rsid w:val="00C34A9F"/>
    <w:rsid w:val="00C36408"/>
    <w:rsid w:val="00C36A81"/>
    <w:rsid w:val="00C41974"/>
    <w:rsid w:val="00C53F4A"/>
    <w:rsid w:val="00C54125"/>
    <w:rsid w:val="00C559CB"/>
    <w:rsid w:val="00C55B54"/>
    <w:rsid w:val="00C6098E"/>
    <w:rsid w:val="00C6152C"/>
    <w:rsid w:val="00C64EBF"/>
    <w:rsid w:val="00C74810"/>
    <w:rsid w:val="00C77CFA"/>
    <w:rsid w:val="00C90D68"/>
    <w:rsid w:val="00C939FE"/>
    <w:rsid w:val="00CA4BDA"/>
    <w:rsid w:val="00CB1F66"/>
    <w:rsid w:val="00CB2951"/>
    <w:rsid w:val="00CD282B"/>
    <w:rsid w:val="00CD4C35"/>
    <w:rsid w:val="00CD7369"/>
    <w:rsid w:val="00CE0B0E"/>
    <w:rsid w:val="00CE3831"/>
    <w:rsid w:val="00CE6ED9"/>
    <w:rsid w:val="00D00ABB"/>
    <w:rsid w:val="00D02EEC"/>
    <w:rsid w:val="00D03551"/>
    <w:rsid w:val="00D06A63"/>
    <w:rsid w:val="00D07E0E"/>
    <w:rsid w:val="00D11478"/>
    <w:rsid w:val="00D12573"/>
    <w:rsid w:val="00D15ED0"/>
    <w:rsid w:val="00D21B3E"/>
    <w:rsid w:val="00D21FED"/>
    <w:rsid w:val="00D24251"/>
    <w:rsid w:val="00D343E2"/>
    <w:rsid w:val="00D361A2"/>
    <w:rsid w:val="00D43F5E"/>
    <w:rsid w:val="00D44450"/>
    <w:rsid w:val="00D44C2E"/>
    <w:rsid w:val="00D45414"/>
    <w:rsid w:val="00D566BD"/>
    <w:rsid w:val="00D57A4D"/>
    <w:rsid w:val="00D60AA7"/>
    <w:rsid w:val="00D6435F"/>
    <w:rsid w:val="00D75E28"/>
    <w:rsid w:val="00D772C2"/>
    <w:rsid w:val="00D8008E"/>
    <w:rsid w:val="00D82C45"/>
    <w:rsid w:val="00D908A8"/>
    <w:rsid w:val="00D90EB3"/>
    <w:rsid w:val="00D91EA0"/>
    <w:rsid w:val="00D977B6"/>
    <w:rsid w:val="00DA4A31"/>
    <w:rsid w:val="00DA7B04"/>
    <w:rsid w:val="00DB36C2"/>
    <w:rsid w:val="00DC169B"/>
    <w:rsid w:val="00DC2AB9"/>
    <w:rsid w:val="00DC63F0"/>
    <w:rsid w:val="00DD6EE5"/>
    <w:rsid w:val="00DE386C"/>
    <w:rsid w:val="00DE4D35"/>
    <w:rsid w:val="00DF098B"/>
    <w:rsid w:val="00DF1114"/>
    <w:rsid w:val="00DF11C4"/>
    <w:rsid w:val="00DF210C"/>
    <w:rsid w:val="00DF4B6A"/>
    <w:rsid w:val="00DF691C"/>
    <w:rsid w:val="00E02897"/>
    <w:rsid w:val="00E02C09"/>
    <w:rsid w:val="00E04D59"/>
    <w:rsid w:val="00E07DA1"/>
    <w:rsid w:val="00E123CB"/>
    <w:rsid w:val="00E13174"/>
    <w:rsid w:val="00E17227"/>
    <w:rsid w:val="00E20E13"/>
    <w:rsid w:val="00E21DB2"/>
    <w:rsid w:val="00E21DBC"/>
    <w:rsid w:val="00E275D7"/>
    <w:rsid w:val="00E27DBE"/>
    <w:rsid w:val="00E32AB1"/>
    <w:rsid w:val="00E36C71"/>
    <w:rsid w:val="00E40404"/>
    <w:rsid w:val="00E459C6"/>
    <w:rsid w:val="00E47589"/>
    <w:rsid w:val="00E64915"/>
    <w:rsid w:val="00E661D4"/>
    <w:rsid w:val="00E70091"/>
    <w:rsid w:val="00E720F5"/>
    <w:rsid w:val="00E76D47"/>
    <w:rsid w:val="00E801A6"/>
    <w:rsid w:val="00E849F7"/>
    <w:rsid w:val="00E8668A"/>
    <w:rsid w:val="00E90302"/>
    <w:rsid w:val="00E97396"/>
    <w:rsid w:val="00EA185E"/>
    <w:rsid w:val="00EA592A"/>
    <w:rsid w:val="00EB14E4"/>
    <w:rsid w:val="00EB25A2"/>
    <w:rsid w:val="00EB32A5"/>
    <w:rsid w:val="00EB34ED"/>
    <w:rsid w:val="00EB7BE0"/>
    <w:rsid w:val="00EC2784"/>
    <w:rsid w:val="00EC315E"/>
    <w:rsid w:val="00EC78A3"/>
    <w:rsid w:val="00ED077C"/>
    <w:rsid w:val="00ED1190"/>
    <w:rsid w:val="00ED6544"/>
    <w:rsid w:val="00EE0277"/>
    <w:rsid w:val="00EE3E00"/>
    <w:rsid w:val="00EE45C0"/>
    <w:rsid w:val="00EE5DD2"/>
    <w:rsid w:val="00F00A79"/>
    <w:rsid w:val="00F00E86"/>
    <w:rsid w:val="00F07C1E"/>
    <w:rsid w:val="00F105DB"/>
    <w:rsid w:val="00F132BC"/>
    <w:rsid w:val="00F13D80"/>
    <w:rsid w:val="00F16AAA"/>
    <w:rsid w:val="00F2015C"/>
    <w:rsid w:val="00F21161"/>
    <w:rsid w:val="00F218EF"/>
    <w:rsid w:val="00F21BC7"/>
    <w:rsid w:val="00F266A2"/>
    <w:rsid w:val="00F32269"/>
    <w:rsid w:val="00F36BAF"/>
    <w:rsid w:val="00F40988"/>
    <w:rsid w:val="00F428BC"/>
    <w:rsid w:val="00F56A6F"/>
    <w:rsid w:val="00F5709C"/>
    <w:rsid w:val="00F60472"/>
    <w:rsid w:val="00F64EF1"/>
    <w:rsid w:val="00F773BD"/>
    <w:rsid w:val="00F8765F"/>
    <w:rsid w:val="00F90767"/>
    <w:rsid w:val="00F9130D"/>
    <w:rsid w:val="00FA685B"/>
    <w:rsid w:val="00FB0C01"/>
    <w:rsid w:val="00FB64E0"/>
    <w:rsid w:val="00FC18F2"/>
    <w:rsid w:val="00FC39E5"/>
    <w:rsid w:val="00FC3A78"/>
    <w:rsid w:val="00FD1005"/>
    <w:rsid w:val="00FD6C75"/>
    <w:rsid w:val="00FE2E0F"/>
    <w:rsid w:val="00FE71B3"/>
    <w:rsid w:val="00FF4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98052C"/>
    <w:rPr>
      <w:sz w:val="24"/>
      <w:szCs w:val="24"/>
    </w:rPr>
  </w:style>
  <w:style w:type="paragraph" w:styleId="Heading1">
    <w:name w:val="heading 1"/>
    <w:basedOn w:val="Normal"/>
    <w:next w:val="Normal"/>
    <w:link w:val="Heading1Char"/>
    <w:uiPriority w:val="98"/>
    <w:semiHidden/>
    <w:rsid w:val="0098052C"/>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98052C"/>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98052C"/>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98052C"/>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98052C"/>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98052C"/>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98052C"/>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98052C"/>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98052C"/>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98052C"/>
    <w:rPr>
      <w:rFonts w:ascii="Tahoma" w:hAnsi="Tahoma" w:cs="Tahoma"/>
      <w:sz w:val="16"/>
      <w:szCs w:val="16"/>
    </w:rPr>
  </w:style>
  <w:style w:type="character" w:customStyle="1" w:styleId="BalloonTextChar">
    <w:name w:val="Balloon Text Char"/>
    <w:basedOn w:val="DefaultParagraphFont"/>
    <w:link w:val="BalloonText"/>
    <w:uiPriority w:val="98"/>
    <w:semiHidden/>
    <w:rsid w:val="0098052C"/>
    <w:rPr>
      <w:rFonts w:ascii="Tahoma" w:hAnsi="Tahoma" w:cs="Tahoma"/>
      <w:sz w:val="16"/>
      <w:szCs w:val="16"/>
      <w:lang w:val="bg-BG"/>
    </w:rPr>
  </w:style>
  <w:style w:type="character" w:styleId="BookTitle">
    <w:name w:val="Book Title"/>
    <w:uiPriority w:val="98"/>
    <w:semiHidden/>
    <w:qFormat/>
    <w:rsid w:val="0098052C"/>
    <w:rPr>
      <w:i/>
      <w:iCs/>
      <w:smallCaps/>
      <w:spacing w:val="5"/>
    </w:rPr>
  </w:style>
  <w:style w:type="paragraph" w:customStyle="1" w:styleId="JuHeader">
    <w:name w:val="Ju_Header"/>
    <w:aliases w:val="_Header"/>
    <w:basedOn w:val="Header"/>
    <w:uiPriority w:val="29"/>
    <w:qFormat/>
    <w:rsid w:val="0098052C"/>
    <w:pPr>
      <w:tabs>
        <w:tab w:val="clear" w:pos="4536"/>
        <w:tab w:val="clear" w:pos="9072"/>
      </w:tabs>
      <w:jc w:val="center"/>
    </w:pPr>
    <w:rPr>
      <w:sz w:val="18"/>
    </w:rPr>
  </w:style>
  <w:style w:type="paragraph" w:customStyle="1" w:styleId="NormalJustified">
    <w:name w:val="Normal_Justified"/>
    <w:basedOn w:val="Normal"/>
    <w:semiHidden/>
    <w:rsid w:val="0098052C"/>
    <w:pPr>
      <w:jc w:val="both"/>
    </w:pPr>
  </w:style>
  <w:style w:type="character" w:styleId="Strong">
    <w:name w:val="Strong"/>
    <w:uiPriority w:val="98"/>
    <w:semiHidden/>
    <w:qFormat/>
    <w:rsid w:val="0098052C"/>
    <w:rPr>
      <w:b/>
      <w:bCs/>
    </w:rPr>
  </w:style>
  <w:style w:type="paragraph" w:styleId="NoSpacing">
    <w:name w:val="No Spacing"/>
    <w:basedOn w:val="Normal"/>
    <w:link w:val="NoSpacingChar"/>
    <w:uiPriority w:val="98"/>
    <w:semiHidden/>
    <w:qFormat/>
    <w:rsid w:val="0098052C"/>
  </w:style>
  <w:style w:type="character" w:customStyle="1" w:styleId="NoSpacingChar">
    <w:name w:val="No Spacing Char"/>
    <w:basedOn w:val="DefaultParagraphFont"/>
    <w:link w:val="NoSpacing"/>
    <w:uiPriority w:val="98"/>
    <w:semiHidden/>
    <w:rsid w:val="0098052C"/>
    <w:rPr>
      <w:sz w:val="24"/>
      <w:szCs w:val="24"/>
      <w:lang w:val="bg-BG"/>
    </w:rPr>
  </w:style>
  <w:style w:type="paragraph" w:customStyle="1" w:styleId="ECHRBullet1">
    <w:name w:val="ECHR_Bullet_1"/>
    <w:aliases w:val="_Bul_1"/>
    <w:basedOn w:val="NormalJustified"/>
    <w:uiPriority w:val="23"/>
    <w:semiHidden/>
    <w:qFormat/>
    <w:rsid w:val="0098052C"/>
    <w:pPr>
      <w:numPr>
        <w:numId w:val="16"/>
      </w:numPr>
      <w:spacing w:before="60" w:after="60"/>
    </w:pPr>
  </w:style>
  <w:style w:type="paragraph" w:customStyle="1" w:styleId="JuQuot">
    <w:name w:val="Ju_Quot"/>
    <w:aliases w:val="_Quote"/>
    <w:basedOn w:val="NormalJustified"/>
    <w:uiPriority w:val="20"/>
    <w:qFormat/>
    <w:rsid w:val="0098052C"/>
    <w:pPr>
      <w:spacing w:before="120" w:after="120"/>
      <w:ind w:left="425" w:firstLine="142"/>
    </w:pPr>
    <w:rPr>
      <w:sz w:val="20"/>
    </w:rPr>
  </w:style>
  <w:style w:type="paragraph" w:customStyle="1" w:styleId="JuList">
    <w:name w:val="Ju_List"/>
    <w:aliases w:val="_List_1"/>
    <w:basedOn w:val="NormalJustified"/>
    <w:uiPriority w:val="23"/>
    <w:qFormat/>
    <w:rsid w:val="0098052C"/>
    <w:pPr>
      <w:numPr>
        <w:numId w:val="17"/>
      </w:numPr>
      <w:spacing w:before="280" w:after="60"/>
    </w:pPr>
  </w:style>
  <w:style w:type="paragraph" w:customStyle="1" w:styleId="JuLista">
    <w:name w:val="Ju_List_a"/>
    <w:aliases w:val="_List_2"/>
    <w:basedOn w:val="NormalJustified"/>
    <w:uiPriority w:val="23"/>
    <w:rsid w:val="0098052C"/>
    <w:pPr>
      <w:numPr>
        <w:ilvl w:val="1"/>
        <w:numId w:val="17"/>
      </w:numPr>
    </w:pPr>
  </w:style>
  <w:style w:type="paragraph" w:customStyle="1" w:styleId="JuListi">
    <w:name w:val="Ju_List_i"/>
    <w:aliases w:val="_List_3"/>
    <w:basedOn w:val="NormalJustified"/>
    <w:uiPriority w:val="23"/>
    <w:rsid w:val="0098052C"/>
    <w:pPr>
      <w:numPr>
        <w:ilvl w:val="2"/>
        <w:numId w:val="17"/>
      </w:numPr>
    </w:pPr>
  </w:style>
  <w:style w:type="paragraph" w:customStyle="1" w:styleId="ECHRCoverTitle4">
    <w:name w:val="ECHR_Cover_Title_4"/>
    <w:aliases w:val="_Title_4"/>
    <w:basedOn w:val="JuPara"/>
    <w:next w:val="JuPara"/>
    <w:uiPriority w:val="38"/>
    <w:qFormat/>
    <w:rsid w:val="0098052C"/>
    <w:pPr>
      <w:keepNext/>
      <w:keepLines/>
      <w:tabs>
        <w:tab w:val="right" w:pos="7938"/>
      </w:tabs>
      <w:ind w:firstLine="0"/>
      <w:jc w:val="center"/>
    </w:pPr>
    <w:rPr>
      <w:i/>
    </w:rPr>
  </w:style>
  <w:style w:type="paragraph" w:customStyle="1" w:styleId="JuHArticle">
    <w:name w:val="Ju_H_Article"/>
    <w:aliases w:val="_Title_Quote"/>
    <w:basedOn w:val="Normal"/>
    <w:next w:val="JuQuot"/>
    <w:uiPriority w:val="19"/>
    <w:qFormat/>
    <w:rsid w:val="0098052C"/>
    <w:pPr>
      <w:keepNext/>
      <w:spacing w:before="100" w:beforeAutospacing="1" w:after="120"/>
      <w:contextualSpacing/>
      <w:jc w:val="center"/>
    </w:pPr>
    <w:rPr>
      <w:b/>
      <w:sz w:val="20"/>
    </w:rPr>
  </w:style>
  <w:style w:type="numbering" w:customStyle="1" w:styleId="ECHRA1StyleBulletedSquare">
    <w:name w:val="ECHR_A1_Style_Bulleted_Square"/>
    <w:basedOn w:val="NoList"/>
    <w:rsid w:val="0098052C"/>
    <w:pPr>
      <w:numPr>
        <w:numId w:val="16"/>
      </w:numPr>
    </w:pPr>
  </w:style>
  <w:style w:type="numbering" w:customStyle="1" w:styleId="ECHRA1StyleList">
    <w:name w:val="ECHR_A1_Style_List"/>
    <w:basedOn w:val="NoList"/>
    <w:uiPriority w:val="99"/>
    <w:rsid w:val="0098052C"/>
    <w:pPr>
      <w:numPr>
        <w:numId w:val="1"/>
      </w:numPr>
    </w:pPr>
  </w:style>
  <w:style w:type="paragraph" w:customStyle="1" w:styleId="JuHHead">
    <w:name w:val="Ju_H_Head"/>
    <w:aliases w:val="_Head_1"/>
    <w:basedOn w:val="Heading1"/>
    <w:next w:val="JuPara"/>
    <w:uiPriority w:val="17"/>
    <w:qFormat/>
    <w:rsid w:val="0098052C"/>
    <w:pPr>
      <w:keepNext/>
      <w:keepLines/>
      <w:numPr>
        <w:numId w:val="15"/>
      </w:numPr>
      <w:spacing w:before="100" w:beforeAutospacing="1" w:after="240"/>
      <w:contextualSpacing w:val="0"/>
      <w:jc w:val="both"/>
    </w:pPr>
    <w:rPr>
      <w:b w:val="0"/>
      <w:caps/>
      <w:color w:val="auto"/>
    </w:rPr>
  </w:style>
  <w:style w:type="numbering" w:customStyle="1" w:styleId="ECHRA1StyleNumberedList">
    <w:name w:val="ECHR_A1_Style_Numbered_List"/>
    <w:basedOn w:val="NoList"/>
    <w:rsid w:val="0098052C"/>
    <w:pPr>
      <w:numPr>
        <w:numId w:val="18"/>
      </w:numPr>
    </w:pPr>
  </w:style>
  <w:style w:type="paragraph" w:styleId="Title">
    <w:name w:val="Title"/>
    <w:basedOn w:val="Normal"/>
    <w:next w:val="Normal"/>
    <w:link w:val="TitleChar"/>
    <w:uiPriority w:val="98"/>
    <w:semiHidden/>
    <w:qFormat/>
    <w:rsid w:val="0098052C"/>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98052C"/>
    <w:rPr>
      <w:rFonts w:asciiTheme="majorHAnsi" w:eastAsiaTheme="majorEastAsia" w:hAnsiTheme="majorHAnsi" w:cstheme="majorBidi"/>
      <w:spacing w:val="5"/>
      <w:sz w:val="52"/>
      <w:szCs w:val="52"/>
      <w:lang w:val="bg-BG" w:bidi="en-US"/>
    </w:rPr>
  </w:style>
  <w:style w:type="table" w:customStyle="1" w:styleId="ECHRTable2019">
    <w:name w:val="ECHR_Table_2019"/>
    <w:basedOn w:val="TableNormal"/>
    <w:uiPriority w:val="99"/>
    <w:rsid w:val="0098052C"/>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2D609F"/>
    <w:rPr>
      <w:sz w:val="8"/>
    </w:rPr>
  </w:style>
  <w:style w:type="paragraph" w:customStyle="1" w:styleId="JuCase">
    <w:name w:val="Ju_Case"/>
    <w:aliases w:val="_Case_Name"/>
    <w:basedOn w:val="NormalJustified"/>
    <w:next w:val="JuPara"/>
    <w:uiPriority w:val="32"/>
    <w:rsid w:val="0098052C"/>
    <w:pPr>
      <w:ind w:firstLine="284"/>
    </w:pPr>
    <w:rPr>
      <w:b/>
    </w:rPr>
  </w:style>
  <w:style w:type="paragraph" w:customStyle="1" w:styleId="JuCourt">
    <w:name w:val="Ju_Court"/>
    <w:aliases w:val="_Court_Names"/>
    <w:basedOn w:val="Normal"/>
    <w:next w:val="Normal"/>
    <w:uiPriority w:val="32"/>
    <w:qFormat/>
    <w:rsid w:val="0098052C"/>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98052C"/>
    <w:pPr>
      <w:tabs>
        <w:tab w:val="center" w:pos="6407"/>
      </w:tabs>
      <w:spacing w:before="720"/>
      <w:jc w:val="right"/>
    </w:pPr>
  </w:style>
  <w:style w:type="paragraph" w:customStyle="1" w:styleId="JuHIRoman">
    <w:name w:val="Ju_H_I_Roman"/>
    <w:aliases w:val="_Head_2"/>
    <w:basedOn w:val="Heading2"/>
    <w:next w:val="JuPara"/>
    <w:uiPriority w:val="17"/>
    <w:qFormat/>
    <w:rsid w:val="0098052C"/>
    <w:pPr>
      <w:keepNext/>
      <w:keepLines/>
      <w:numPr>
        <w:ilvl w:val="1"/>
        <w:numId w:val="15"/>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98052C"/>
    <w:pPr>
      <w:keepNext/>
      <w:keepLines/>
      <w:numPr>
        <w:ilvl w:val="2"/>
        <w:numId w:val="15"/>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98052C"/>
    <w:pPr>
      <w:keepNext/>
      <w:keepLines/>
      <w:numPr>
        <w:ilvl w:val="3"/>
        <w:numId w:val="15"/>
      </w:numPr>
      <w:spacing w:before="100" w:beforeAutospacing="1" w:after="120"/>
      <w:jc w:val="both"/>
    </w:pPr>
    <w:rPr>
      <w:b w:val="0"/>
      <w:color w:val="auto"/>
      <w:sz w:val="24"/>
    </w:rPr>
  </w:style>
  <w:style w:type="paragraph" w:styleId="Header">
    <w:name w:val="header"/>
    <w:basedOn w:val="Normal"/>
    <w:link w:val="HeaderChar"/>
    <w:uiPriority w:val="98"/>
    <w:semiHidden/>
    <w:rsid w:val="0098052C"/>
    <w:pPr>
      <w:tabs>
        <w:tab w:val="center" w:pos="4536"/>
        <w:tab w:val="right" w:pos="9072"/>
      </w:tabs>
    </w:pPr>
  </w:style>
  <w:style w:type="character" w:customStyle="1" w:styleId="HeaderChar">
    <w:name w:val="Header Char"/>
    <w:basedOn w:val="DefaultParagraphFont"/>
    <w:link w:val="Header"/>
    <w:uiPriority w:val="98"/>
    <w:semiHidden/>
    <w:rsid w:val="0098052C"/>
    <w:rPr>
      <w:sz w:val="24"/>
      <w:szCs w:val="24"/>
      <w:lang w:val="bg-BG"/>
    </w:rPr>
  </w:style>
  <w:style w:type="character" w:customStyle="1" w:styleId="Heading1Char">
    <w:name w:val="Heading 1 Char"/>
    <w:basedOn w:val="DefaultParagraphFont"/>
    <w:link w:val="Heading1"/>
    <w:uiPriority w:val="98"/>
    <w:semiHidden/>
    <w:rsid w:val="0098052C"/>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98052C"/>
    <w:pPr>
      <w:keepNext/>
      <w:keepLines/>
      <w:numPr>
        <w:ilvl w:val="4"/>
        <w:numId w:val="15"/>
      </w:numPr>
      <w:spacing w:before="100" w:beforeAutospacing="1" w:after="120"/>
      <w:jc w:val="both"/>
    </w:pPr>
    <w:rPr>
      <w:color w:val="auto"/>
      <w:sz w:val="20"/>
    </w:rPr>
  </w:style>
  <w:style w:type="paragraph" w:customStyle="1" w:styleId="JuHi">
    <w:name w:val="Ju_H_i"/>
    <w:aliases w:val="_Head_6"/>
    <w:basedOn w:val="Heading6"/>
    <w:next w:val="JuPara"/>
    <w:uiPriority w:val="17"/>
    <w:rsid w:val="0098052C"/>
    <w:pPr>
      <w:keepNext/>
      <w:keepLines/>
      <w:numPr>
        <w:ilvl w:val="5"/>
        <w:numId w:val="1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98052C"/>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98052C"/>
    <w:pPr>
      <w:keepNext/>
      <w:keepLines/>
      <w:numPr>
        <w:ilvl w:val="6"/>
        <w:numId w:val="15"/>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98052C"/>
    <w:pPr>
      <w:keepNext/>
      <w:keepLines/>
      <w:numPr>
        <w:ilvl w:val="7"/>
        <w:numId w:val="15"/>
      </w:numPr>
      <w:spacing w:before="100" w:beforeAutospacing="1" w:after="120"/>
      <w:jc w:val="both"/>
    </w:pPr>
    <w:rPr>
      <w:i/>
    </w:rPr>
  </w:style>
  <w:style w:type="character" w:customStyle="1" w:styleId="Heading3Char">
    <w:name w:val="Heading 3 Char"/>
    <w:basedOn w:val="DefaultParagraphFont"/>
    <w:link w:val="Heading3"/>
    <w:uiPriority w:val="98"/>
    <w:semiHidden/>
    <w:rsid w:val="0098052C"/>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98052C"/>
    <w:pPr>
      <w:keepNext/>
      <w:keepLines/>
      <w:spacing w:before="240" w:after="240"/>
      <w:ind w:firstLine="284"/>
    </w:pPr>
  </w:style>
  <w:style w:type="character" w:customStyle="1" w:styleId="JuITMark">
    <w:name w:val="Ju_ITMark"/>
    <w:aliases w:val="_ITMark"/>
    <w:basedOn w:val="DefaultParagraphFont"/>
    <w:uiPriority w:val="54"/>
    <w:qFormat/>
    <w:rsid w:val="0098052C"/>
    <w:rPr>
      <w:vanish w:val="0"/>
      <w:color w:val="auto"/>
      <w:sz w:val="14"/>
      <w:bdr w:val="none" w:sz="0" w:space="0" w:color="auto"/>
      <w:shd w:val="clear" w:color="auto" w:fill="FFFFFF" w:themeFill="background1" w:themeFillTint="33"/>
    </w:rPr>
  </w:style>
  <w:style w:type="character" w:customStyle="1" w:styleId="Heading4Char">
    <w:name w:val="Heading 4 Char"/>
    <w:basedOn w:val="DefaultParagraphFont"/>
    <w:link w:val="Heading4"/>
    <w:uiPriority w:val="98"/>
    <w:semiHidden/>
    <w:rsid w:val="0098052C"/>
    <w:rPr>
      <w:rFonts w:asciiTheme="majorHAnsi" w:eastAsiaTheme="majorEastAsia" w:hAnsiTheme="majorHAnsi" w:cstheme="majorBidi"/>
      <w:b/>
      <w:bCs/>
      <w:i/>
      <w:iCs/>
      <w:color w:val="777777"/>
      <w:lang w:val="bg-BG"/>
    </w:rPr>
  </w:style>
  <w:style w:type="paragraph" w:customStyle="1" w:styleId="JuJudges">
    <w:name w:val="Ju_Judges"/>
    <w:aliases w:val="_Judges"/>
    <w:basedOn w:val="Normal"/>
    <w:uiPriority w:val="32"/>
    <w:qFormat/>
    <w:rsid w:val="0098052C"/>
    <w:pPr>
      <w:tabs>
        <w:tab w:val="left" w:pos="567"/>
        <w:tab w:val="left" w:pos="1134"/>
      </w:tabs>
    </w:pPr>
  </w:style>
  <w:style w:type="character" w:customStyle="1" w:styleId="Heading5Char">
    <w:name w:val="Heading 5 Char"/>
    <w:basedOn w:val="DefaultParagraphFont"/>
    <w:link w:val="Heading5"/>
    <w:uiPriority w:val="98"/>
    <w:semiHidden/>
    <w:rsid w:val="0098052C"/>
    <w:rPr>
      <w:rFonts w:asciiTheme="majorHAnsi" w:eastAsiaTheme="majorEastAsia" w:hAnsiTheme="majorHAnsi" w:cstheme="majorBidi"/>
      <w:b/>
      <w:bCs/>
      <w:color w:val="808080"/>
      <w:lang w:val="bg-BG"/>
    </w:rPr>
  </w:style>
  <w:style w:type="character" w:customStyle="1" w:styleId="JUNAMES">
    <w:name w:val="JU_NAMES"/>
    <w:aliases w:val="_Ju_Names"/>
    <w:uiPriority w:val="33"/>
    <w:qFormat/>
    <w:rsid w:val="0098052C"/>
    <w:rPr>
      <w:caps w:val="0"/>
      <w:smallCaps/>
    </w:rPr>
  </w:style>
  <w:style w:type="character" w:styleId="SubtleEmphasis">
    <w:name w:val="Subtle Emphasis"/>
    <w:uiPriority w:val="98"/>
    <w:semiHidden/>
    <w:qFormat/>
    <w:rsid w:val="0098052C"/>
    <w:rPr>
      <w:i/>
      <w:iCs/>
    </w:rPr>
  </w:style>
  <w:style w:type="table" w:customStyle="1" w:styleId="ECHRTable">
    <w:name w:val="ECHR_Table"/>
    <w:basedOn w:val="TableNormal"/>
    <w:rsid w:val="0098052C"/>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98052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paragraph" w:customStyle="1" w:styleId="DecHCase">
    <w:name w:val="Dec_H_Case"/>
    <w:aliases w:val="_Title_3"/>
    <w:basedOn w:val="JuPara"/>
    <w:next w:val="JuPara"/>
    <w:uiPriority w:val="38"/>
    <w:qFormat/>
    <w:rsid w:val="0098052C"/>
    <w:pPr>
      <w:keepNext/>
      <w:keepLines/>
      <w:spacing w:after="280"/>
      <w:ind w:firstLine="0"/>
      <w:jc w:val="center"/>
    </w:pPr>
    <w:rPr>
      <w:rFonts w:asciiTheme="majorHAnsi" w:hAnsiTheme="majorHAnsi"/>
    </w:rPr>
  </w:style>
  <w:style w:type="character" w:styleId="Emphasis">
    <w:name w:val="Emphasis"/>
    <w:uiPriority w:val="98"/>
    <w:semiHidden/>
    <w:qFormat/>
    <w:rsid w:val="0098052C"/>
    <w:rPr>
      <w:b/>
      <w:bCs/>
      <w:i/>
      <w:iCs/>
      <w:spacing w:val="10"/>
      <w:bdr w:val="none" w:sz="0" w:space="0" w:color="auto"/>
      <w:shd w:val="clear" w:color="auto" w:fill="auto"/>
    </w:rPr>
  </w:style>
  <w:style w:type="paragraph" w:styleId="Footer0">
    <w:name w:val="footer"/>
    <w:basedOn w:val="Normal"/>
    <w:link w:val="FooterChar"/>
    <w:uiPriority w:val="98"/>
    <w:semiHidden/>
    <w:rsid w:val="0098052C"/>
    <w:pPr>
      <w:tabs>
        <w:tab w:val="center" w:pos="3686"/>
        <w:tab w:val="right" w:pos="7371"/>
      </w:tabs>
    </w:pPr>
  </w:style>
  <w:style w:type="character" w:customStyle="1" w:styleId="FooterChar">
    <w:name w:val="Footer Char"/>
    <w:basedOn w:val="DefaultParagraphFont"/>
    <w:link w:val="Footer0"/>
    <w:uiPriority w:val="98"/>
    <w:rsid w:val="0098052C"/>
    <w:rPr>
      <w:sz w:val="24"/>
      <w:szCs w:val="24"/>
      <w:lang w:val="bg-BG"/>
    </w:rPr>
  </w:style>
  <w:style w:type="character" w:styleId="FootnoteReference">
    <w:name w:val="footnote reference"/>
    <w:basedOn w:val="DefaultParagraphFont"/>
    <w:uiPriority w:val="98"/>
    <w:semiHidden/>
    <w:rsid w:val="0098052C"/>
    <w:rPr>
      <w:vertAlign w:val="superscript"/>
    </w:rPr>
  </w:style>
  <w:style w:type="paragraph" w:styleId="FootnoteText">
    <w:name w:val="footnote text"/>
    <w:basedOn w:val="NormalJustified"/>
    <w:link w:val="FootnoteTextChar"/>
    <w:uiPriority w:val="98"/>
    <w:semiHidden/>
    <w:rsid w:val="0098052C"/>
    <w:rPr>
      <w:sz w:val="20"/>
      <w:szCs w:val="20"/>
    </w:rPr>
  </w:style>
  <w:style w:type="character" w:customStyle="1" w:styleId="FootnoteTextChar">
    <w:name w:val="Footnote Text Char"/>
    <w:basedOn w:val="DefaultParagraphFont"/>
    <w:link w:val="FootnoteText"/>
    <w:uiPriority w:val="98"/>
    <w:semiHidden/>
    <w:rsid w:val="0098052C"/>
    <w:rPr>
      <w:sz w:val="20"/>
      <w:szCs w:val="20"/>
      <w:lang w:val="bg-BG"/>
    </w:rPr>
  </w:style>
  <w:style w:type="character" w:customStyle="1" w:styleId="Heading6Char">
    <w:name w:val="Heading 6 Char"/>
    <w:basedOn w:val="DefaultParagraphFont"/>
    <w:link w:val="Heading6"/>
    <w:uiPriority w:val="98"/>
    <w:semiHidden/>
    <w:rsid w:val="0098052C"/>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98052C"/>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98052C"/>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98052C"/>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98052C"/>
    <w:rPr>
      <w:color w:val="0072BC" w:themeColor="hyperlink"/>
      <w:u w:val="single"/>
    </w:rPr>
  </w:style>
  <w:style w:type="character" w:styleId="IntenseEmphasis">
    <w:name w:val="Intense Emphasis"/>
    <w:uiPriority w:val="98"/>
    <w:semiHidden/>
    <w:qFormat/>
    <w:rsid w:val="0098052C"/>
    <w:rPr>
      <w:b/>
      <w:bCs/>
    </w:rPr>
  </w:style>
  <w:style w:type="paragraph" w:styleId="IntenseQuote">
    <w:name w:val="Intense Quote"/>
    <w:basedOn w:val="Normal"/>
    <w:next w:val="Normal"/>
    <w:link w:val="IntenseQuoteChar"/>
    <w:uiPriority w:val="98"/>
    <w:semiHidden/>
    <w:qFormat/>
    <w:rsid w:val="0098052C"/>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98052C"/>
    <w:rPr>
      <w:b/>
      <w:bCs/>
      <w:i/>
      <w:iCs/>
      <w:sz w:val="24"/>
      <w:szCs w:val="24"/>
      <w:lang w:val="bg-BG" w:bidi="en-US"/>
    </w:rPr>
  </w:style>
  <w:style w:type="character" w:styleId="IntenseReference">
    <w:name w:val="Intense Reference"/>
    <w:uiPriority w:val="98"/>
    <w:semiHidden/>
    <w:qFormat/>
    <w:rsid w:val="0098052C"/>
    <w:rPr>
      <w:smallCaps/>
      <w:spacing w:val="5"/>
      <w:u w:val="single"/>
    </w:rPr>
  </w:style>
  <w:style w:type="paragraph" w:styleId="ListParagraph">
    <w:name w:val="List Paragraph"/>
    <w:basedOn w:val="Normal"/>
    <w:uiPriority w:val="98"/>
    <w:semiHidden/>
    <w:qFormat/>
    <w:rsid w:val="0098052C"/>
    <w:pPr>
      <w:ind w:left="720"/>
      <w:contextualSpacing/>
    </w:pPr>
  </w:style>
  <w:style w:type="table" w:customStyle="1" w:styleId="LtrTableAddress">
    <w:name w:val="Ltr_Table_Address"/>
    <w:aliases w:val="ECHR_Ltr_Table_Address"/>
    <w:basedOn w:val="TableNormal"/>
    <w:uiPriority w:val="99"/>
    <w:rsid w:val="0098052C"/>
    <w:rPr>
      <w:sz w:val="24"/>
      <w:szCs w:val="24"/>
    </w:rPr>
    <w:tblPr>
      <w:tblInd w:w="5103" w:type="dxa"/>
    </w:tblPr>
  </w:style>
  <w:style w:type="paragraph" w:styleId="Quote">
    <w:name w:val="Quote"/>
    <w:basedOn w:val="Normal"/>
    <w:next w:val="Normal"/>
    <w:link w:val="QuoteChar"/>
    <w:uiPriority w:val="98"/>
    <w:semiHidden/>
    <w:qFormat/>
    <w:rsid w:val="0098052C"/>
    <w:pPr>
      <w:spacing w:before="200"/>
      <w:ind w:left="360" w:right="360"/>
    </w:pPr>
    <w:rPr>
      <w:i/>
      <w:iCs/>
      <w:lang w:bidi="en-US"/>
    </w:rPr>
  </w:style>
  <w:style w:type="character" w:customStyle="1" w:styleId="QuoteChar">
    <w:name w:val="Quote Char"/>
    <w:basedOn w:val="DefaultParagraphFont"/>
    <w:link w:val="Quote"/>
    <w:uiPriority w:val="98"/>
    <w:semiHidden/>
    <w:rsid w:val="0098052C"/>
    <w:rPr>
      <w:i/>
      <w:iCs/>
      <w:sz w:val="24"/>
      <w:szCs w:val="24"/>
      <w:lang w:val="bg-BG" w:bidi="en-US"/>
    </w:rPr>
  </w:style>
  <w:style w:type="character" w:styleId="SubtleReference">
    <w:name w:val="Subtle Reference"/>
    <w:uiPriority w:val="98"/>
    <w:semiHidden/>
    <w:qFormat/>
    <w:rsid w:val="0098052C"/>
    <w:rPr>
      <w:smallCaps/>
    </w:rPr>
  </w:style>
  <w:style w:type="table" w:styleId="TableGrid">
    <w:name w:val="Table Grid"/>
    <w:basedOn w:val="TableNormal"/>
    <w:uiPriority w:val="59"/>
    <w:semiHidden/>
    <w:rsid w:val="0098052C"/>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98052C"/>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98052C"/>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98052C"/>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98052C"/>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98052C"/>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98052C"/>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98052C"/>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98052C"/>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98052C"/>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98052C"/>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98052C"/>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98052C"/>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98052C"/>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98052C"/>
    <w:pPr>
      <w:spacing w:after="600"/>
    </w:pPr>
    <w:rPr>
      <w:rFonts w:asciiTheme="majorHAnsi" w:eastAsiaTheme="majorEastAsia" w:hAnsiTheme="majorHAnsi" w:cstheme="majorBidi"/>
      <w:i/>
      <w:iCs/>
      <w:spacing w:val="13"/>
      <w:lang w:bidi="en-US"/>
    </w:rPr>
  </w:style>
  <w:style w:type="paragraph" w:customStyle="1" w:styleId="JuPara">
    <w:name w:val="Ju_Para"/>
    <w:aliases w:val="_Para"/>
    <w:basedOn w:val="NormalJustified"/>
    <w:link w:val="JuParaChar"/>
    <w:uiPriority w:val="4"/>
    <w:qFormat/>
    <w:rsid w:val="0098052C"/>
    <w:pPr>
      <w:ind w:firstLine="284"/>
    </w:pPr>
  </w:style>
  <w:style w:type="character" w:customStyle="1" w:styleId="SubtitleChar">
    <w:name w:val="Subtitle Char"/>
    <w:basedOn w:val="DefaultParagraphFont"/>
    <w:link w:val="Subtitle"/>
    <w:uiPriority w:val="98"/>
    <w:semiHidden/>
    <w:rsid w:val="0098052C"/>
    <w:rPr>
      <w:rFonts w:asciiTheme="majorHAnsi" w:eastAsiaTheme="majorEastAsia" w:hAnsiTheme="majorHAnsi" w:cstheme="majorBidi"/>
      <w:i/>
      <w:iCs/>
      <w:spacing w:val="13"/>
      <w:sz w:val="24"/>
      <w:szCs w:val="24"/>
      <w:lang w:val="bg-BG" w:bidi="en-US"/>
    </w:rPr>
  </w:style>
  <w:style w:type="table" w:customStyle="1" w:styleId="ECHRTableSimpleBox">
    <w:name w:val="ECHR_Table_Simple_Box"/>
    <w:basedOn w:val="TableNormal"/>
    <w:uiPriority w:val="99"/>
    <w:rsid w:val="0098052C"/>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98052C"/>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111111">
    <w:name w:val="Outline List 2"/>
    <w:basedOn w:val="NoList"/>
    <w:uiPriority w:val="99"/>
    <w:semiHidden/>
    <w:unhideWhenUsed/>
    <w:rsid w:val="0098052C"/>
    <w:pPr>
      <w:numPr>
        <w:numId w:val="2"/>
      </w:numPr>
    </w:pPr>
  </w:style>
  <w:style w:type="table" w:customStyle="1" w:styleId="ECHRTableForInternalUse">
    <w:name w:val="ECHR_Table_For_Internal_Use"/>
    <w:basedOn w:val="TableNormal"/>
    <w:uiPriority w:val="99"/>
    <w:rsid w:val="0098052C"/>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98052C"/>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numbering" w:styleId="1ai">
    <w:name w:val="Outline List 1"/>
    <w:basedOn w:val="NoList"/>
    <w:uiPriority w:val="99"/>
    <w:semiHidden/>
    <w:unhideWhenUsed/>
    <w:rsid w:val="0098052C"/>
    <w:pPr>
      <w:numPr>
        <w:numId w:val="3"/>
      </w:numPr>
    </w:pPr>
  </w:style>
  <w:style w:type="numbering" w:styleId="ArticleSection">
    <w:name w:val="Outline List 3"/>
    <w:basedOn w:val="NoList"/>
    <w:uiPriority w:val="99"/>
    <w:semiHidden/>
    <w:unhideWhenUsed/>
    <w:rsid w:val="0098052C"/>
    <w:pPr>
      <w:numPr>
        <w:numId w:val="4"/>
      </w:numPr>
    </w:pPr>
  </w:style>
  <w:style w:type="table" w:customStyle="1" w:styleId="ECHRHeaderTable">
    <w:name w:val="ECHR_Header_Table"/>
    <w:basedOn w:val="TableNormal"/>
    <w:uiPriority w:val="99"/>
    <w:rsid w:val="0098052C"/>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ibliography">
    <w:name w:val="Bibliography"/>
    <w:basedOn w:val="Normal"/>
    <w:next w:val="Normal"/>
    <w:uiPriority w:val="98"/>
    <w:semiHidden/>
    <w:rsid w:val="0098052C"/>
  </w:style>
  <w:style w:type="paragraph" w:styleId="BlockText">
    <w:name w:val="Block Text"/>
    <w:basedOn w:val="Normal"/>
    <w:uiPriority w:val="98"/>
    <w:semiHidden/>
    <w:rsid w:val="0098052C"/>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TableOddBanded">
    <w:name w:val="ECHR_Table_Odd_Banded"/>
    <w:basedOn w:val="TableNormal"/>
    <w:uiPriority w:val="99"/>
    <w:rsid w:val="0098052C"/>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
    <w:name w:val="Body Text"/>
    <w:basedOn w:val="Normal"/>
    <w:link w:val="BodyTextChar"/>
    <w:uiPriority w:val="98"/>
    <w:semiHidden/>
    <w:rsid w:val="0098052C"/>
    <w:pPr>
      <w:spacing w:after="120"/>
    </w:pPr>
  </w:style>
  <w:style w:type="table" w:customStyle="1" w:styleId="ECHRHeaderTableReduced">
    <w:name w:val="ECHR_Header_Table_Reduced"/>
    <w:basedOn w:val="TableNormal"/>
    <w:uiPriority w:val="99"/>
    <w:rsid w:val="0098052C"/>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character" w:styleId="PageNumber">
    <w:name w:val="page number"/>
    <w:uiPriority w:val="98"/>
    <w:semiHidden/>
    <w:rsid w:val="0098052C"/>
    <w:rPr>
      <w:sz w:val="18"/>
    </w:rPr>
  </w:style>
  <w:style w:type="character" w:styleId="CommentReference">
    <w:name w:val="annotation reference"/>
    <w:basedOn w:val="DefaultParagraphFont"/>
    <w:uiPriority w:val="98"/>
    <w:semiHidden/>
    <w:rsid w:val="0098052C"/>
    <w:rPr>
      <w:sz w:val="16"/>
      <w:szCs w:val="16"/>
    </w:rPr>
  </w:style>
  <w:style w:type="paragraph" w:styleId="CommentText">
    <w:name w:val="annotation text"/>
    <w:basedOn w:val="Normal"/>
    <w:link w:val="CommentTextChar"/>
    <w:uiPriority w:val="98"/>
    <w:semiHidden/>
    <w:rsid w:val="0098052C"/>
    <w:rPr>
      <w:sz w:val="20"/>
      <w:szCs w:val="20"/>
    </w:rPr>
  </w:style>
  <w:style w:type="character" w:customStyle="1" w:styleId="CommentTextChar">
    <w:name w:val="Comment Text Char"/>
    <w:basedOn w:val="DefaultParagraphFont"/>
    <w:link w:val="CommentText"/>
    <w:uiPriority w:val="98"/>
    <w:semiHidden/>
    <w:rsid w:val="0098052C"/>
    <w:rPr>
      <w:sz w:val="20"/>
      <w:szCs w:val="20"/>
      <w:lang w:val="bg-BG"/>
    </w:rPr>
  </w:style>
  <w:style w:type="paragraph" w:customStyle="1" w:styleId="JuSigned">
    <w:name w:val="Ju_Signed"/>
    <w:aliases w:val="_Signature"/>
    <w:basedOn w:val="Normal"/>
    <w:next w:val="JuPara"/>
    <w:uiPriority w:val="31"/>
    <w:qFormat/>
    <w:rsid w:val="0098052C"/>
    <w:pPr>
      <w:tabs>
        <w:tab w:val="center" w:pos="1418"/>
        <w:tab w:val="center" w:pos="5954"/>
      </w:tabs>
      <w:spacing w:before="720"/>
    </w:pPr>
  </w:style>
  <w:style w:type="paragraph" w:customStyle="1" w:styleId="JuTitle">
    <w:name w:val="Ju_Title"/>
    <w:aliases w:val="_Title_2"/>
    <w:basedOn w:val="Normal"/>
    <w:next w:val="JuPara"/>
    <w:uiPriority w:val="38"/>
    <w:qFormat/>
    <w:rsid w:val="0098052C"/>
    <w:pPr>
      <w:keepNext/>
      <w:keepLines/>
      <w:spacing w:before="1320" w:after="280"/>
      <w:contextualSpacing/>
      <w:jc w:val="center"/>
    </w:pPr>
    <w:rPr>
      <w:b/>
    </w:rPr>
  </w:style>
  <w:style w:type="paragraph" w:customStyle="1" w:styleId="DecHTitle">
    <w:name w:val="Dec_H_Title"/>
    <w:aliases w:val="_Title_1"/>
    <w:basedOn w:val="JuPara"/>
    <w:next w:val="JuPara"/>
    <w:uiPriority w:val="38"/>
    <w:qFormat/>
    <w:rsid w:val="0098052C"/>
    <w:pPr>
      <w:keepNext/>
      <w:keepLines/>
      <w:spacing w:after="240"/>
      <w:ind w:firstLine="0"/>
      <w:jc w:val="center"/>
      <w:outlineLvl w:val="0"/>
    </w:pPr>
    <w:rPr>
      <w:rFonts w:asciiTheme="majorHAnsi" w:hAnsiTheme="majorHAnsi"/>
      <w:sz w:val="28"/>
    </w:rPr>
  </w:style>
  <w:style w:type="paragraph" w:styleId="ListBullet2">
    <w:name w:val="List Bullet 2"/>
    <w:basedOn w:val="Normal"/>
    <w:uiPriority w:val="98"/>
    <w:semiHidden/>
    <w:rsid w:val="0098052C"/>
    <w:pPr>
      <w:numPr>
        <w:numId w:val="6"/>
      </w:numPr>
      <w:contextualSpacing/>
    </w:pPr>
  </w:style>
  <w:style w:type="paragraph" w:styleId="ListBullet3">
    <w:name w:val="List Bullet 3"/>
    <w:basedOn w:val="Normal"/>
    <w:uiPriority w:val="98"/>
    <w:semiHidden/>
    <w:rsid w:val="0098052C"/>
    <w:pPr>
      <w:numPr>
        <w:numId w:val="7"/>
      </w:numPr>
      <w:contextualSpacing/>
    </w:pPr>
  </w:style>
  <w:style w:type="character" w:customStyle="1" w:styleId="BodyTextChar">
    <w:name w:val="Body Text Char"/>
    <w:basedOn w:val="DefaultParagraphFont"/>
    <w:link w:val="BodyText"/>
    <w:uiPriority w:val="98"/>
    <w:semiHidden/>
    <w:rsid w:val="0098052C"/>
    <w:rPr>
      <w:sz w:val="24"/>
      <w:szCs w:val="24"/>
      <w:lang w:val="bg-BG"/>
    </w:rPr>
  </w:style>
  <w:style w:type="paragraph" w:styleId="BodyText2">
    <w:name w:val="Body Text 2"/>
    <w:basedOn w:val="Normal"/>
    <w:link w:val="BodyText2Char"/>
    <w:uiPriority w:val="98"/>
    <w:semiHidden/>
    <w:rsid w:val="0098052C"/>
    <w:pPr>
      <w:spacing w:after="120" w:line="480" w:lineRule="auto"/>
    </w:pPr>
  </w:style>
  <w:style w:type="character" w:customStyle="1" w:styleId="BodyText2Char">
    <w:name w:val="Body Text 2 Char"/>
    <w:basedOn w:val="DefaultParagraphFont"/>
    <w:link w:val="BodyText2"/>
    <w:uiPriority w:val="98"/>
    <w:semiHidden/>
    <w:rsid w:val="0098052C"/>
    <w:rPr>
      <w:sz w:val="24"/>
      <w:szCs w:val="24"/>
      <w:lang w:val="bg-BG"/>
    </w:rPr>
  </w:style>
  <w:style w:type="paragraph" w:styleId="BodyText3">
    <w:name w:val="Body Text 3"/>
    <w:basedOn w:val="Normal"/>
    <w:link w:val="BodyText3Char"/>
    <w:uiPriority w:val="98"/>
    <w:semiHidden/>
    <w:rsid w:val="0098052C"/>
    <w:pPr>
      <w:spacing w:after="120"/>
    </w:pPr>
    <w:rPr>
      <w:sz w:val="16"/>
      <w:szCs w:val="16"/>
    </w:rPr>
  </w:style>
  <w:style w:type="character" w:customStyle="1" w:styleId="BodyText3Char">
    <w:name w:val="Body Text 3 Char"/>
    <w:basedOn w:val="DefaultParagraphFont"/>
    <w:link w:val="BodyText3"/>
    <w:uiPriority w:val="98"/>
    <w:semiHidden/>
    <w:rsid w:val="0098052C"/>
    <w:rPr>
      <w:sz w:val="16"/>
      <w:szCs w:val="16"/>
      <w:lang w:val="bg-BG"/>
    </w:rPr>
  </w:style>
  <w:style w:type="paragraph" w:styleId="BodyTextFirstIndent">
    <w:name w:val="Body Text First Indent"/>
    <w:basedOn w:val="BodyText"/>
    <w:link w:val="BodyTextFirstIndentChar"/>
    <w:uiPriority w:val="98"/>
    <w:semiHidden/>
    <w:rsid w:val="0098052C"/>
    <w:pPr>
      <w:spacing w:after="0"/>
      <w:ind w:firstLine="360"/>
    </w:pPr>
  </w:style>
  <w:style w:type="character" w:customStyle="1" w:styleId="BodyTextFirstIndentChar">
    <w:name w:val="Body Text First Indent Char"/>
    <w:basedOn w:val="BodyTextChar"/>
    <w:link w:val="BodyTextFirstIndent"/>
    <w:uiPriority w:val="98"/>
    <w:semiHidden/>
    <w:rsid w:val="0098052C"/>
    <w:rPr>
      <w:sz w:val="24"/>
      <w:szCs w:val="24"/>
      <w:lang w:val="bg-BG"/>
    </w:rPr>
  </w:style>
  <w:style w:type="paragraph" w:styleId="BodyTextIndent">
    <w:name w:val="Body Text Indent"/>
    <w:basedOn w:val="Normal"/>
    <w:link w:val="BodyTextIndentChar"/>
    <w:uiPriority w:val="98"/>
    <w:semiHidden/>
    <w:rsid w:val="0098052C"/>
    <w:pPr>
      <w:spacing w:after="120"/>
      <w:ind w:left="283"/>
    </w:pPr>
  </w:style>
  <w:style w:type="character" w:customStyle="1" w:styleId="BodyTextIndentChar">
    <w:name w:val="Body Text Indent Char"/>
    <w:basedOn w:val="DefaultParagraphFont"/>
    <w:link w:val="BodyTextIndent"/>
    <w:uiPriority w:val="98"/>
    <w:semiHidden/>
    <w:rsid w:val="0098052C"/>
    <w:rPr>
      <w:sz w:val="24"/>
      <w:szCs w:val="24"/>
      <w:lang w:val="bg-BG"/>
    </w:rPr>
  </w:style>
  <w:style w:type="paragraph" w:styleId="BodyTextFirstIndent2">
    <w:name w:val="Body Text First Indent 2"/>
    <w:basedOn w:val="BodyTextIndent"/>
    <w:link w:val="BodyTextFirstIndent2Char"/>
    <w:uiPriority w:val="98"/>
    <w:semiHidden/>
    <w:rsid w:val="0098052C"/>
    <w:pPr>
      <w:spacing w:after="0"/>
      <w:ind w:left="360" w:firstLine="360"/>
    </w:pPr>
  </w:style>
  <w:style w:type="character" w:customStyle="1" w:styleId="BodyTextFirstIndent2Char">
    <w:name w:val="Body Text First Indent 2 Char"/>
    <w:basedOn w:val="BodyTextIndentChar"/>
    <w:link w:val="BodyTextFirstIndent2"/>
    <w:uiPriority w:val="98"/>
    <w:semiHidden/>
    <w:rsid w:val="0098052C"/>
    <w:rPr>
      <w:sz w:val="24"/>
      <w:szCs w:val="24"/>
      <w:lang w:val="bg-BG"/>
    </w:rPr>
  </w:style>
  <w:style w:type="paragraph" w:styleId="BodyTextIndent2">
    <w:name w:val="Body Text Indent 2"/>
    <w:basedOn w:val="Normal"/>
    <w:link w:val="BodyTextIndent2Char"/>
    <w:uiPriority w:val="98"/>
    <w:semiHidden/>
    <w:rsid w:val="0098052C"/>
    <w:pPr>
      <w:spacing w:after="120" w:line="480" w:lineRule="auto"/>
      <w:ind w:left="283"/>
    </w:pPr>
  </w:style>
  <w:style w:type="character" w:customStyle="1" w:styleId="BodyTextIndent2Char">
    <w:name w:val="Body Text Indent 2 Char"/>
    <w:basedOn w:val="DefaultParagraphFont"/>
    <w:link w:val="BodyTextIndent2"/>
    <w:uiPriority w:val="98"/>
    <w:semiHidden/>
    <w:rsid w:val="0098052C"/>
    <w:rPr>
      <w:sz w:val="24"/>
      <w:szCs w:val="24"/>
      <w:lang w:val="bg-BG"/>
    </w:rPr>
  </w:style>
  <w:style w:type="paragraph" w:styleId="BodyTextIndent3">
    <w:name w:val="Body Text Indent 3"/>
    <w:basedOn w:val="Normal"/>
    <w:link w:val="BodyTextIndent3Char"/>
    <w:uiPriority w:val="98"/>
    <w:semiHidden/>
    <w:rsid w:val="0098052C"/>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98052C"/>
    <w:rPr>
      <w:sz w:val="16"/>
      <w:szCs w:val="16"/>
      <w:lang w:val="bg-BG"/>
    </w:rPr>
  </w:style>
  <w:style w:type="paragraph" w:styleId="Caption">
    <w:name w:val="caption"/>
    <w:basedOn w:val="Normal"/>
    <w:next w:val="Normal"/>
    <w:uiPriority w:val="98"/>
    <w:semiHidden/>
    <w:qFormat/>
    <w:rsid w:val="0098052C"/>
    <w:pPr>
      <w:spacing w:after="200"/>
    </w:pPr>
    <w:rPr>
      <w:b/>
      <w:bCs/>
      <w:color w:val="0072BC" w:themeColor="accent1"/>
      <w:sz w:val="18"/>
      <w:szCs w:val="18"/>
    </w:rPr>
  </w:style>
  <w:style w:type="paragraph" w:styleId="Closing">
    <w:name w:val="Closing"/>
    <w:basedOn w:val="Normal"/>
    <w:link w:val="ClosingChar"/>
    <w:uiPriority w:val="98"/>
    <w:semiHidden/>
    <w:rsid w:val="0098052C"/>
    <w:pPr>
      <w:ind w:left="4252"/>
    </w:pPr>
  </w:style>
  <w:style w:type="character" w:customStyle="1" w:styleId="ClosingChar">
    <w:name w:val="Closing Char"/>
    <w:basedOn w:val="DefaultParagraphFont"/>
    <w:link w:val="Closing"/>
    <w:uiPriority w:val="98"/>
    <w:semiHidden/>
    <w:rsid w:val="0098052C"/>
    <w:rPr>
      <w:sz w:val="24"/>
      <w:szCs w:val="24"/>
      <w:lang w:val="bg-BG"/>
    </w:rPr>
  </w:style>
  <w:style w:type="table" w:styleId="ColorfulGrid">
    <w:name w:val="Colorful Grid"/>
    <w:basedOn w:val="TableNormal"/>
    <w:uiPriority w:val="73"/>
    <w:semiHidden/>
    <w:rsid w:val="0098052C"/>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98052C"/>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98052C"/>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98052C"/>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98052C"/>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98052C"/>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98052C"/>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98052C"/>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98052C"/>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98052C"/>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98052C"/>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98052C"/>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98052C"/>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98052C"/>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98052C"/>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98052C"/>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98052C"/>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98052C"/>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98052C"/>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98052C"/>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98052C"/>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8"/>
    <w:semiHidden/>
    <w:rsid w:val="0098052C"/>
    <w:rPr>
      <w:b/>
      <w:bCs/>
    </w:rPr>
  </w:style>
  <w:style w:type="character" w:customStyle="1" w:styleId="CommentSubjectChar">
    <w:name w:val="Comment Subject Char"/>
    <w:basedOn w:val="CommentTextChar"/>
    <w:link w:val="CommentSubject"/>
    <w:uiPriority w:val="98"/>
    <w:semiHidden/>
    <w:rsid w:val="0098052C"/>
    <w:rPr>
      <w:b/>
      <w:bCs/>
      <w:sz w:val="20"/>
      <w:szCs w:val="20"/>
      <w:lang w:val="bg-BG"/>
    </w:rPr>
  </w:style>
  <w:style w:type="table" w:styleId="DarkList">
    <w:name w:val="Dark List"/>
    <w:basedOn w:val="TableNormal"/>
    <w:uiPriority w:val="70"/>
    <w:semiHidden/>
    <w:rsid w:val="0098052C"/>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98052C"/>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98052C"/>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98052C"/>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98052C"/>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98052C"/>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98052C"/>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98052C"/>
  </w:style>
  <w:style w:type="character" w:customStyle="1" w:styleId="DateChar">
    <w:name w:val="Date Char"/>
    <w:basedOn w:val="DefaultParagraphFont"/>
    <w:link w:val="Date"/>
    <w:uiPriority w:val="98"/>
    <w:semiHidden/>
    <w:rsid w:val="0098052C"/>
    <w:rPr>
      <w:sz w:val="24"/>
      <w:szCs w:val="24"/>
      <w:lang w:val="bg-BG"/>
    </w:rPr>
  </w:style>
  <w:style w:type="paragraph" w:styleId="DocumentMap">
    <w:name w:val="Document Map"/>
    <w:basedOn w:val="Normal"/>
    <w:link w:val="DocumentMapChar"/>
    <w:uiPriority w:val="98"/>
    <w:semiHidden/>
    <w:rsid w:val="0098052C"/>
    <w:rPr>
      <w:rFonts w:ascii="Tahoma" w:hAnsi="Tahoma" w:cs="Tahoma"/>
      <w:sz w:val="16"/>
      <w:szCs w:val="16"/>
    </w:rPr>
  </w:style>
  <w:style w:type="character" w:customStyle="1" w:styleId="DocumentMapChar">
    <w:name w:val="Document Map Char"/>
    <w:basedOn w:val="DefaultParagraphFont"/>
    <w:link w:val="DocumentMap"/>
    <w:uiPriority w:val="98"/>
    <w:semiHidden/>
    <w:rsid w:val="0098052C"/>
    <w:rPr>
      <w:rFonts w:ascii="Tahoma" w:hAnsi="Tahoma" w:cs="Tahoma"/>
      <w:sz w:val="16"/>
      <w:szCs w:val="16"/>
      <w:lang w:val="bg-BG"/>
    </w:rPr>
  </w:style>
  <w:style w:type="paragraph" w:styleId="E-mailSignature">
    <w:name w:val="E-mail Signature"/>
    <w:basedOn w:val="Normal"/>
    <w:link w:val="E-mailSignatureChar"/>
    <w:uiPriority w:val="98"/>
    <w:semiHidden/>
    <w:rsid w:val="0098052C"/>
  </w:style>
  <w:style w:type="character" w:customStyle="1" w:styleId="E-mailSignatureChar">
    <w:name w:val="E-mail Signature Char"/>
    <w:basedOn w:val="DefaultParagraphFont"/>
    <w:link w:val="E-mailSignature"/>
    <w:uiPriority w:val="98"/>
    <w:semiHidden/>
    <w:rsid w:val="0098052C"/>
    <w:rPr>
      <w:sz w:val="24"/>
      <w:szCs w:val="24"/>
      <w:lang w:val="bg-BG"/>
    </w:rPr>
  </w:style>
  <w:style w:type="character" w:styleId="EndnoteReference">
    <w:name w:val="endnote reference"/>
    <w:basedOn w:val="DefaultParagraphFont"/>
    <w:uiPriority w:val="98"/>
    <w:semiHidden/>
    <w:rsid w:val="0098052C"/>
    <w:rPr>
      <w:vertAlign w:val="superscript"/>
    </w:rPr>
  </w:style>
  <w:style w:type="paragraph" w:styleId="EndnoteText">
    <w:name w:val="endnote text"/>
    <w:basedOn w:val="Normal"/>
    <w:link w:val="EndnoteTextChar"/>
    <w:uiPriority w:val="98"/>
    <w:semiHidden/>
    <w:rsid w:val="0098052C"/>
    <w:rPr>
      <w:sz w:val="20"/>
      <w:szCs w:val="20"/>
    </w:rPr>
  </w:style>
  <w:style w:type="character" w:customStyle="1" w:styleId="EndnoteTextChar">
    <w:name w:val="Endnote Text Char"/>
    <w:basedOn w:val="DefaultParagraphFont"/>
    <w:link w:val="EndnoteText"/>
    <w:uiPriority w:val="98"/>
    <w:semiHidden/>
    <w:rsid w:val="0098052C"/>
    <w:rPr>
      <w:sz w:val="20"/>
      <w:szCs w:val="20"/>
      <w:lang w:val="bg-BG"/>
    </w:rPr>
  </w:style>
  <w:style w:type="paragraph" w:styleId="EnvelopeAddress">
    <w:name w:val="envelope address"/>
    <w:basedOn w:val="Normal"/>
    <w:uiPriority w:val="98"/>
    <w:semiHidden/>
    <w:rsid w:val="0098052C"/>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98052C"/>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98052C"/>
    <w:rPr>
      <w:color w:val="7030A0" w:themeColor="followedHyperlink"/>
      <w:u w:val="single"/>
    </w:rPr>
  </w:style>
  <w:style w:type="character" w:styleId="HTMLAcronym">
    <w:name w:val="HTML Acronym"/>
    <w:basedOn w:val="DefaultParagraphFont"/>
    <w:uiPriority w:val="98"/>
    <w:semiHidden/>
    <w:rsid w:val="0098052C"/>
  </w:style>
  <w:style w:type="paragraph" w:styleId="HTMLAddress">
    <w:name w:val="HTML Address"/>
    <w:basedOn w:val="Normal"/>
    <w:link w:val="HTMLAddressChar"/>
    <w:uiPriority w:val="98"/>
    <w:semiHidden/>
    <w:rsid w:val="0098052C"/>
    <w:rPr>
      <w:i/>
      <w:iCs/>
    </w:rPr>
  </w:style>
  <w:style w:type="character" w:customStyle="1" w:styleId="HTMLAddressChar">
    <w:name w:val="HTML Address Char"/>
    <w:basedOn w:val="DefaultParagraphFont"/>
    <w:link w:val="HTMLAddress"/>
    <w:uiPriority w:val="98"/>
    <w:semiHidden/>
    <w:rsid w:val="0098052C"/>
    <w:rPr>
      <w:i/>
      <w:iCs/>
      <w:sz w:val="24"/>
      <w:szCs w:val="24"/>
      <w:lang w:val="bg-BG"/>
    </w:rPr>
  </w:style>
  <w:style w:type="character" w:styleId="HTMLCite">
    <w:name w:val="HTML Cite"/>
    <w:basedOn w:val="DefaultParagraphFont"/>
    <w:uiPriority w:val="98"/>
    <w:semiHidden/>
    <w:rsid w:val="0098052C"/>
    <w:rPr>
      <w:i/>
      <w:iCs/>
    </w:rPr>
  </w:style>
  <w:style w:type="character" w:styleId="HTMLCode">
    <w:name w:val="HTML Code"/>
    <w:basedOn w:val="DefaultParagraphFont"/>
    <w:uiPriority w:val="98"/>
    <w:semiHidden/>
    <w:rsid w:val="0098052C"/>
    <w:rPr>
      <w:rFonts w:ascii="Consolas" w:hAnsi="Consolas" w:cs="Consolas"/>
      <w:sz w:val="20"/>
      <w:szCs w:val="20"/>
    </w:rPr>
  </w:style>
  <w:style w:type="character" w:styleId="HTMLDefinition">
    <w:name w:val="HTML Definition"/>
    <w:basedOn w:val="DefaultParagraphFont"/>
    <w:uiPriority w:val="98"/>
    <w:semiHidden/>
    <w:rsid w:val="0098052C"/>
    <w:rPr>
      <w:i/>
      <w:iCs/>
    </w:rPr>
  </w:style>
  <w:style w:type="character" w:styleId="HTMLKeyboard">
    <w:name w:val="HTML Keyboard"/>
    <w:basedOn w:val="DefaultParagraphFont"/>
    <w:uiPriority w:val="98"/>
    <w:semiHidden/>
    <w:rsid w:val="0098052C"/>
    <w:rPr>
      <w:rFonts w:ascii="Consolas" w:hAnsi="Consolas" w:cs="Consolas"/>
      <w:sz w:val="20"/>
      <w:szCs w:val="20"/>
    </w:rPr>
  </w:style>
  <w:style w:type="paragraph" w:styleId="HTMLPreformatted">
    <w:name w:val="HTML Preformatted"/>
    <w:basedOn w:val="Normal"/>
    <w:link w:val="HTMLPreformattedChar"/>
    <w:uiPriority w:val="98"/>
    <w:semiHidden/>
    <w:rsid w:val="0098052C"/>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98052C"/>
    <w:rPr>
      <w:rFonts w:ascii="Consolas" w:hAnsi="Consolas" w:cs="Consolas"/>
      <w:sz w:val="20"/>
      <w:szCs w:val="20"/>
      <w:lang w:val="bg-BG"/>
    </w:rPr>
  </w:style>
  <w:style w:type="character" w:styleId="HTMLSample">
    <w:name w:val="HTML Sample"/>
    <w:basedOn w:val="DefaultParagraphFont"/>
    <w:uiPriority w:val="98"/>
    <w:semiHidden/>
    <w:rsid w:val="0098052C"/>
    <w:rPr>
      <w:rFonts w:ascii="Consolas" w:hAnsi="Consolas" w:cs="Consolas"/>
      <w:sz w:val="24"/>
      <w:szCs w:val="24"/>
    </w:rPr>
  </w:style>
  <w:style w:type="character" w:styleId="HTMLTypewriter">
    <w:name w:val="HTML Typewriter"/>
    <w:basedOn w:val="DefaultParagraphFont"/>
    <w:uiPriority w:val="98"/>
    <w:semiHidden/>
    <w:rsid w:val="0098052C"/>
    <w:rPr>
      <w:rFonts w:ascii="Consolas" w:hAnsi="Consolas" w:cs="Consolas"/>
      <w:sz w:val="20"/>
      <w:szCs w:val="20"/>
    </w:rPr>
  </w:style>
  <w:style w:type="character" w:styleId="HTMLVariable">
    <w:name w:val="HTML Variable"/>
    <w:basedOn w:val="DefaultParagraphFont"/>
    <w:uiPriority w:val="98"/>
    <w:semiHidden/>
    <w:rsid w:val="0098052C"/>
    <w:rPr>
      <w:i/>
      <w:iCs/>
    </w:rPr>
  </w:style>
  <w:style w:type="paragraph" w:styleId="Index1">
    <w:name w:val="index 1"/>
    <w:basedOn w:val="Normal"/>
    <w:next w:val="Normal"/>
    <w:autoRedefine/>
    <w:uiPriority w:val="98"/>
    <w:semiHidden/>
    <w:rsid w:val="0098052C"/>
    <w:pPr>
      <w:ind w:left="240" w:hanging="240"/>
    </w:pPr>
  </w:style>
  <w:style w:type="paragraph" w:styleId="Index2">
    <w:name w:val="index 2"/>
    <w:basedOn w:val="Normal"/>
    <w:next w:val="Normal"/>
    <w:autoRedefine/>
    <w:uiPriority w:val="98"/>
    <w:semiHidden/>
    <w:rsid w:val="0098052C"/>
    <w:pPr>
      <w:ind w:left="480" w:hanging="240"/>
    </w:pPr>
  </w:style>
  <w:style w:type="paragraph" w:styleId="Index3">
    <w:name w:val="index 3"/>
    <w:basedOn w:val="Normal"/>
    <w:next w:val="Normal"/>
    <w:autoRedefine/>
    <w:uiPriority w:val="98"/>
    <w:semiHidden/>
    <w:rsid w:val="0098052C"/>
    <w:pPr>
      <w:ind w:left="720" w:hanging="240"/>
    </w:pPr>
  </w:style>
  <w:style w:type="paragraph" w:styleId="Index4">
    <w:name w:val="index 4"/>
    <w:basedOn w:val="Normal"/>
    <w:next w:val="Normal"/>
    <w:autoRedefine/>
    <w:uiPriority w:val="98"/>
    <w:semiHidden/>
    <w:rsid w:val="0098052C"/>
    <w:pPr>
      <w:ind w:left="960" w:hanging="240"/>
    </w:pPr>
  </w:style>
  <w:style w:type="paragraph" w:styleId="Index5">
    <w:name w:val="index 5"/>
    <w:basedOn w:val="Normal"/>
    <w:next w:val="Normal"/>
    <w:autoRedefine/>
    <w:uiPriority w:val="98"/>
    <w:semiHidden/>
    <w:rsid w:val="0098052C"/>
    <w:pPr>
      <w:ind w:left="1200" w:hanging="240"/>
    </w:pPr>
  </w:style>
  <w:style w:type="paragraph" w:styleId="Index6">
    <w:name w:val="index 6"/>
    <w:basedOn w:val="Normal"/>
    <w:next w:val="Normal"/>
    <w:autoRedefine/>
    <w:uiPriority w:val="98"/>
    <w:semiHidden/>
    <w:rsid w:val="0098052C"/>
    <w:pPr>
      <w:ind w:left="1440" w:hanging="240"/>
    </w:pPr>
  </w:style>
  <w:style w:type="paragraph" w:styleId="Index7">
    <w:name w:val="index 7"/>
    <w:basedOn w:val="Normal"/>
    <w:next w:val="Normal"/>
    <w:autoRedefine/>
    <w:uiPriority w:val="98"/>
    <w:semiHidden/>
    <w:rsid w:val="0098052C"/>
    <w:pPr>
      <w:ind w:left="1680" w:hanging="240"/>
    </w:pPr>
  </w:style>
  <w:style w:type="paragraph" w:styleId="Index8">
    <w:name w:val="index 8"/>
    <w:basedOn w:val="Normal"/>
    <w:next w:val="Normal"/>
    <w:autoRedefine/>
    <w:uiPriority w:val="98"/>
    <w:semiHidden/>
    <w:rsid w:val="0098052C"/>
    <w:pPr>
      <w:ind w:left="1920" w:hanging="240"/>
    </w:pPr>
  </w:style>
  <w:style w:type="paragraph" w:styleId="Index9">
    <w:name w:val="index 9"/>
    <w:basedOn w:val="Normal"/>
    <w:next w:val="Normal"/>
    <w:autoRedefine/>
    <w:uiPriority w:val="98"/>
    <w:semiHidden/>
    <w:rsid w:val="0098052C"/>
    <w:pPr>
      <w:ind w:left="2160" w:hanging="240"/>
    </w:pPr>
  </w:style>
  <w:style w:type="paragraph" w:styleId="IndexHeading">
    <w:name w:val="index heading"/>
    <w:basedOn w:val="Normal"/>
    <w:next w:val="Index1"/>
    <w:uiPriority w:val="98"/>
    <w:semiHidden/>
    <w:rsid w:val="0098052C"/>
    <w:rPr>
      <w:rFonts w:asciiTheme="majorHAnsi" w:eastAsiaTheme="majorEastAsia" w:hAnsiTheme="majorHAnsi" w:cstheme="majorBidi"/>
      <w:b/>
      <w:bCs/>
    </w:rPr>
  </w:style>
  <w:style w:type="table" w:styleId="LightGrid">
    <w:name w:val="Light Grid"/>
    <w:basedOn w:val="TableNormal"/>
    <w:uiPriority w:val="62"/>
    <w:semiHidden/>
    <w:rsid w:val="0098052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98052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98052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98052C"/>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98052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98052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98052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98052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98052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98052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98052C"/>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98052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98052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98052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98052C"/>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98052C"/>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98052C"/>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98052C"/>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98052C"/>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98052C"/>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98052C"/>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98052C"/>
  </w:style>
  <w:style w:type="paragraph" w:styleId="List">
    <w:name w:val="List"/>
    <w:basedOn w:val="Normal"/>
    <w:uiPriority w:val="98"/>
    <w:semiHidden/>
    <w:rsid w:val="0098052C"/>
    <w:pPr>
      <w:ind w:left="283" w:hanging="283"/>
      <w:contextualSpacing/>
    </w:pPr>
  </w:style>
  <w:style w:type="paragraph" w:styleId="List2">
    <w:name w:val="List 2"/>
    <w:basedOn w:val="Normal"/>
    <w:uiPriority w:val="98"/>
    <w:semiHidden/>
    <w:rsid w:val="0098052C"/>
    <w:pPr>
      <w:ind w:left="566" w:hanging="283"/>
      <w:contextualSpacing/>
    </w:pPr>
  </w:style>
  <w:style w:type="paragraph" w:styleId="List3">
    <w:name w:val="List 3"/>
    <w:basedOn w:val="Normal"/>
    <w:uiPriority w:val="98"/>
    <w:semiHidden/>
    <w:rsid w:val="0098052C"/>
    <w:pPr>
      <w:ind w:left="849" w:hanging="283"/>
      <w:contextualSpacing/>
    </w:pPr>
  </w:style>
  <w:style w:type="paragraph" w:styleId="List4">
    <w:name w:val="List 4"/>
    <w:basedOn w:val="Normal"/>
    <w:uiPriority w:val="98"/>
    <w:semiHidden/>
    <w:rsid w:val="0098052C"/>
    <w:pPr>
      <w:ind w:left="1132" w:hanging="283"/>
      <w:contextualSpacing/>
    </w:pPr>
  </w:style>
  <w:style w:type="paragraph" w:styleId="List5">
    <w:name w:val="List 5"/>
    <w:basedOn w:val="Normal"/>
    <w:uiPriority w:val="98"/>
    <w:semiHidden/>
    <w:rsid w:val="0098052C"/>
    <w:pPr>
      <w:ind w:left="1415" w:hanging="283"/>
      <w:contextualSpacing/>
    </w:pPr>
  </w:style>
  <w:style w:type="paragraph" w:styleId="ListBullet">
    <w:name w:val="List Bullet"/>
    <w:basedOn w:val="Normal"/>
    <w:uiPriority w:val="98"/>
    <w:semiHidden/>
    <w:rsid w:val="0098052C"/>
    <w:pPr>
      <w:numPr>
        <w:numId w:val="5"/>
      </w:numPr>
    </w:pPr>
  </w:style>
  <w:style w:type="paragraph" w:styleId="ListBullet4">
    <w:name w:val="List Bullet 4"/>
    <w:basedOn w:val="Normal"/>
    <w:uiPriority w:val="98"/>
    <w:semiHidden/>
    <w:rsid w:val="0098052C"/>
    <w:pPr>
      <w:numPr>
        <w:numId w:val="8"/>
      </w:numPr>
      <w:contextualSpacing/>
    </w:pPr>
  </w:style>
  <w:style w:type="paragraph" w:styleId="ListBullet5">
    <w:name w:val="List Bullet 5"/>
    <w:basedOn w:val="Normal"/>
    <w:uiPriority w:val="98"/>
    <w:semiHidden/>
    <w:rsid w:val="0098052C"/>
    <w:pPr>
      <w:numPr>
        <w:numId w:val="9"/>
      </w:numPr>
      <w:contextualSpacing/>
    </w:pPr>
  </w:style>
  <w:style w:type="paragraph" w:styleId="ListContinue">
    <w:name w:val="List Continue"/>
    <w:basedOn w:val="Normal"/>
    <w:uiPriority w:val="98"/>
    <w:semiHidden/>
    <w:rsid w:val="0098052C"/>
    <w:pPr>
      <w:spacing w:after="120"/>
      <w:ind w:left="283"/>
      <w:contextualSpacing/>
    </w:pPr>
  </w:style>
  <w:style w:type="paragraph" w:styleId="ListContinue2">
    <w:name w:val="List Continue 2"/>
    <w:basedOn w:val="Normal"/>
    <w:uiPriority w:val="98"/>
    <w:semiHidden/>
    <w:rsid w:val="0098052C"/>
    <w:pPr>
      <w:spacing w:after="120"/>
      <w:ind w:left="566"/>
      <w:contextualSpacing/>
    </w:pPr>
  </w:style>
  <w:style w:type="paragraph" w:styleId="ListContinue3">
    <w:name w:val="List Continue 3"/>
    <w:basedOn w:val="Normal"/>
    <w:uiPriority w:val="98"/>
    <w:semiHidden/>
    <w:rsid w:val="0098052C"/>
    <w:pPr>
      <w:spacing w:after="120"/>
      <w:ind w:left="849"/>
      <w:contextualSpacing/>
    </w:pPr>
  </w:style>
  <w:style w:type="paragraph" w:styleId="ListContinue4">
    <w:name w:val="List Continue 4"/>
    <w:basedOn w:val="Normal"/>
    <w:uiPriority w:val="98"/>
    <w:semiHidden/>
    <w:rsid w:val="0098052C"/>
    <w:pPr>
      <w:spacing w:after="120"/>
      <w:ind w:left="1132"/>
      <w:contextualSpacing/>
    </w:pPr>
  </w:style>
  <w:style w:type="paragraph" w:styleId="ListContinue5">
    <w:name w:val="List Continue 5"/>
    <w:basedOn w:val="Normal"/>
    <w:uiPriority w:val="98"/>
    <w:semiHidden/>
    <w:rsid w:val="0098052C"/>
    <w:pPr>
      <w:spacing w:after="120"/>
      <w:ind w:left="1415"/>
      <w:contextualSpacing/>
    </w:pPr>
  </w:style>
  <w:style w:type="paragraph" w:styleId="ListNumber">
    <w:name w:val="List Number"/>
    <w:basedOn w:val="Normal"/>
    <w:uiPriority w:val="98"/>
    <w:semiHidden/>
    <w:rsid w:val="0098052C"/>
    <w:pPr>
      <w:numPr>
        <w:numId w:val="10"/>
      </w:numPr>
      <w:contextualSpacing/>
    </w:pPr>
  </w:style>
  <w:style w:type="paragraph" w:styleId="ListNumber2">
    <w:name w:val="List Number 2"/>
    <w:basedOn w:val="Normal"/>
    <w:uiPriority w:val="98"/>
    <w:semiHidden/>
    <w:rsid w:val="0098052C"/>
    <w:pPr>
      <w:numPr>
        <w:numId w:val="11"/>
      </w:numPr>
      <w:contextualSpacing/>
    </w:pPr>
  </w:style>
  <w:style w:type="paragraph" w:styleId="ListNumber3">
    <w:name w:val="List Number 3"/>
    <w:basedOn w:val="Normal"/>
    <w:uiPriority w:val="98"/>
    <w:semiHidden/>
    <w:rsid w:val="0098052C"/>
    <w:pPr>
      <w:numPr>
        <w:numId w:val="12"/>
      </w:numPr>
      <w:contextualSpacing/>
    </w:pPr>
  </w:style>
  <w:style w:type="paragraph" w:styleId="ListNumber4">
    <w:name w:val="List Number 4"/>
    <w:basedOn w:val="Normal"/>
    <w:uiPriority w:val="98"/>
    <w:semiHidden/>
    <w:rsid w:val="0098052C"/>
    <w:pPr>
      <w:numPr>
        <w:numId w:val="13"/>
      </w:numPr>
      <w:contextualSpacing/>
    </w:pPr>
  </w:style>
  <w:style w:type="paragraph" w:styleId="ListNumber5">
    <w:name w:val="List Number 5"/>
    <w:basedOn w:val="Normal"/>
    <w:uiPriority w:val="98"/>
    <w:semiHidden/>
    <w:rsid w:val="0098052C"/>
    <w:pPr>
      <w:numPr>
        <w:numId w:val="14"/>
      </w:numPr>
      <w:contextualSpacing/>
    </w:pPr>
  </w:style>
  <w:style w:type="paragraph" w:styleId="MacroText">
    <w:name w:val="macro"/>
    <w:link w:val="MacroTextChar"/>
    <w:uiPriority w:val="98"/>
    <w:semiHidden/>
    <w:rsid w:val="0098052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98052C"/>
    <w:rPr>
      <w:rFonts w:ascii="Consolas" w:eastAsiaTheme="minorEastAsia" w:hAnsi="Consolas" w:cs="Consolas"/>
      <w:sz w:val="20"/>
      <w:szCs w:val="20"/>
    </w:rPr>
  </w:style>
  <w:style w:type="table" w:styleId="MediumGrid1">
    <w:name w:val="Medium Grid 1"/>
    <w:basedOn w:val="TableNormal"/>
    <w:uiPriority w:val="67"/>
    <w:semiHidden/>
    <w:rsid w:val="0098052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98052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98052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98052C"/>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98052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98052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98052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98052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98052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98052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98052C"/>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98052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98052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98052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98052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98052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98052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98052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98052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98052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98052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98052C"/>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98052C"/>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98052C"/>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98052C"/>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98052C"/>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98052C"/>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98052C"/>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98052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98052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98052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98052C"/>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98052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98052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98052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98052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98052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98052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98052C"/>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98052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98052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98052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98052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98052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98052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98052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98052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98052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98052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98052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98052C"/>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98052C"/>
    <w:rPr>
      <w:rFonts w:ascii="Times New Roman" w:hAnsi="Times New Roman" w:cs="Times New Roman"/>
    </w:rPr>
  </w:style>
  <w:style w:type="paragraph" w:styleId="NormalIndent">
    <w:name w:val="Normal Indent"/>
    <w:basedOn w:val="Normal"/>
    <w:uiPriority w:val="98"/>
    <w:semiHidden/>
    <w:rsid w:val="0098052C"/>
    <w:pPr>
      <w:ind w:left="720"/>
    </w:pPr>
  </w:style>
  <w:style w:type="paragraph" w:styleId="NoteHeading">
    <w:name w:val="Note Heading"/>
    <w:basedOn w:val="Normal"/>
    <w:next w:val="Normal"/>
    <w:link w:val="NoteHeadingChar"/>
    <w:uiPriority w:val="98"/>
    <w:semiHidden/>
    <w:rsid w:val="0098052C"/>
  </w:style>
  <w:style w:type="character" w:customStyle="1" w:styleId="NoteHeadingChar">
    <w:name w:val="Note Heading Char"/>
    <w:basedOn w:val="DefaultParagraphFont"/>
    <w:link w:val="NoteHeading"/>
    <w:uiPriority w:val="98"/>
    <w:semiHidden/>
    <w:rsid w:val="0098052C"/>
    <w:rPr>
      <w:sz w:val="24"/>
      <w:szCs w:val="24"/>
      <w:lang w:val="bg-BG"/>
    </w:rPr>
  </w:style>
  <w:style w:type="character" w:styleId="PlaceholderText">
    <w:name w:val="Placeholder Text"/>
    <w:basedOn w:val="DefaultParagraphFont"/>
    <w:uiPriority w:val="98"/>
    <w:semiHidden/>
    <w:rsid w:val="0098052C"/>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98052C"/>
    <w:rPr>
      <w:rFonts w:ascii="Consolas" w:hAnsi="Consolas" w:cs="Consolas"/>
      <w:sz w:val="21"/>
      <w:szCs w:val="21"/>
    </w:rPr>
  </w:style>
  <w:style w:type="character" w:customStyle="1" w:styleId="PlainTextChar">
    <w:name w:val="Plain Text Char"/>
    <w:basedOn w:val="DefaultParagraphFont"/>
    <w:link w:val="PlainText"/>
    <w:uiPriority w:val="98"/>
    <w:semiHidden/>
    <w:rsid w:val="0098052C"/>
    <w:rPr>
      <w:rFonts w:ascii="Consolas" w:hAnsi="Consolas" w:cs="Consolas"/>
      <w:sz w:val="21"/>
      <w:szCs w:val="21"/>
      <w:lang w:val="bg-BG"/>
    </w:rPr>
  </w:style>
  <w:style w:type="paragraph" w:styleId="Salutation">
    <w:name w:val="Salutation"/>
    <w:basedOn w:val="Normal"/>
    <w:next w:val="Normal"/>
    <w:link w:val="SalutationChar"/>
    <w:uiPriority w:val="98"/>
    <w:semiHidden/>
    <w:rsid w:val="0098052C"/>
  </w:style>
  <w:style w:type="character" w:customStyle="1" w:styleId="SalutationChar">
    <w:name w:val="Salutation Char"/>
    <w:basedOn w:val="DefaultParagraphFont"/>
    <w:link w:val="Salutation"/>
    <w:uiPriority w:val="98"/>
    <w:semiHidden/>
    <w:rsid w:val="0098052C"/>
    <w:rPr>
      <w:sz w:val="24"/>
      <w:szCs w:val="24"/>
      <w:lang w:val="bg-BG"/>
    </w:rPr>
  </w:style>
  <w:style w:type="paragraph" w:styleId="Signature">
    <w:name w:val="Signature"/>
    <w:basedOn w:val="Normal"/>
    <w:link w:val="SignatureChar"/>
    <w:uiPriority w:val="98"/>
    <w:semiHidden/>
    <w:rsid w:val="0098052C"/>
    <w:pPr>
      <w:ind w:left="4252"/>
    </w:pPr>
  </w:style>
  <w:style w:type="character" w:customStyle="1" w:styleId="SignatureChar">
    <w:name w:val="Signature Char"/>
    <w:basedOn w:val="DefaultParagraphFont"/>
    <w:link w:val="Signature"/>
    <w:uiPriority w:val="98"/>
    <w:semiHidden/>
    <w:rsid w:val="0098052C"/>
    <w:rPr>
      <w:sz w:val="24"/>
      <w:szCs w:val="24"/>
      <w:lang w:val="bg-BG"/>
    </w:rPr>
  </w:style>
  <w:style w:type="table" w:styleId="Table3Deffects1">
    <w:name w:val="Table 3D effects 1"/>
    <w:basedOn w:val="TableNormal"/>
    <w:uiPriority w:val="99"/>
    <w:semiHidden/>
    <w:unhideWhenUsed/>
    <w:rsid w:val="0098052C"/>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8052C"/>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8052C"/>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8052C"/>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8052C"/>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8052C"/>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8052C"/>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8052C"/>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8052C"/>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8052C"/>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8052C"/>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8052C"/>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8052C"/>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8052C"/>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8052C"/>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8052C"/>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8052C"/>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8052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8052C"/>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8052C"/>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8052C"/>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8052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8052C"/>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8052C"/>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8052C"/>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8052C"/>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8052C"/>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8052C"/>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8052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8052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8052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8052C"/>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8052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98052C"/>
    <w:pPr>
      <w:ind w:left="240" w:hanging="240"/>
    </w:pPr>
  </w:style>
  <w:style w:type="paragraph" w:styleId="TableofFigures">
    <w:name w:val="table of figures"/>
    <w:basedOn w:val="Normal"/>
    <w:next w:val="Normal"/>
    <w:uiPriority w:val="98"/>
    <w:semiHidden/>
    <w:rsid w:val="0098052C"/>
  </w:style>
  <w:style w:type="table" w:styleId="TableProfessional">
    <w:name w:val="Table Professional"/>
    <w:basedOn w:val="TableNormal"/>
    <w:uiPriority w:val="99"/>
    <w:semiHidden/>
    <w:unhideWhenUsed/>
    <w:rsid w:val="0098052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8052C"/>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8052C"/>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8052C"/>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8052C"/>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8052C"/>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8052C"/>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8052C"/>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8052C"/>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8052C"/>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98052C"/>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98052C"/>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98052C"/>
    <w:pPr>
      <w:spacing w:after="100"/>
      <w:ind w:left="1680"/>
    </w:pPr>
  </w:style>
  <w:style w:type="paragraph" w:styleId="TOC9">
    <w:name w:val="toc 9"/>
    <w:basedOn w:val="Normal"/>
    <w:next w:val="Normal"/>
    <w:autoRedefine/>
    <w:uiPriority w:val="98"/>
    <w:semiHidden/>
    <w:rsid w:val="0098052C"/>
    <w:pPr>
      <w:spacing w:after="100"/>
      <w:ind w:left="1920"/>
    </w:pPr>
  </w:style>
  <w:style w:type="paragraph" w:customStyle="1" w:styleId="ECHRFooter">
    <w:name w:val="ECHR_Footer"/>
    <w:aliases w:val="Footer_ECHR"/>
    <w:basedOn w:val="Footer0"/>
    <w:uiPriority w:val="57"/>
    <w:semiHidden/>
    <w:rsid w:val="00F9130D"/>
    <w:rPr>
      <w:sz w:val="8"/>
    </w:rPr>
  </w:style>
  <w:style w:type="paragraph" w:customStyle="1" w:styleId="ECHRFooterLine">
    <w:name w:val="ECHR_Footer_Line"/>
    <w:aliases w:val="_Footer_Line"/>
    <w:basedOn w:val="Normal"/>
    <w:next w:val="Normal"/>
    <w:uiPriority w:val="29"/>
    <w:semiHidden/>
    <w:rsid w:val="0098052C"/>
    <w:pPr>
      <w:pBdr>
        <w:top w:val="single" w:sz="6" w:space="1" w:color="5F5F5F"/>
      </w:pBdr>
      <w:tabs>
        <w:tab w:val="center" w:pos="3686"/>
        <w:tab w:val="right" w:pos="7371"/>
      </w:tabs>
      <w:ind w:left="-1474" w:right="-1474"/>
    </w:pPr>
    <w:rPr>
      <w:color w:val="5F5F5F"/>
    </w:rPr>
  </w:style>
  <w:style w:type="paragraph" w:customStyle="1" w:styleId="ECHRBullet2">
    <w:name w:val="ECHR_Bullet_2"/>
    <w:aliases w:val="_Bul_2"/>
    <w:basedOn w:val="ECHRBullet1"/>
    <w:uiPriority w:val="23"/>
    <w:semiHidden/>
    <w:rsid w:val="0098052C"/>
    <w:pPr>
      <w:numPr>
        <w:ilvl w:val="1"/>
      </w:numPr>
    </w:pPr>
  </w:style>
  <w:style w:type="paragraph" w:customStyle="1" w:styleId="ECHRBullet3">
    <w:name w:val="ECHR_Bullet_3"/>
    <w:aliases w:val="_Bul_3"/>
    <w:basedOn w:val="ECHRBullet2"/>
    <w:uiPriority w:val="23"/>
    <w:semiHidden/>
    <w:rsid w:val="0098052C"/>
    <w:pPr>
      <w:numPr>
        <w:ilvl w:val="2"/>
      </w:numPr>
    </w:pPr>
  </w:style>
  <w:style w:type="paragraph" w:customStyle="1" w:styleId="ECHRBullet4">
    <w:name w:val="ECHR_Bullet_4"/>
    <w:aliases w:val="_Bul_4"/>
    <w:basedOn w:val="ECHRBullet3"/>
    <w:uiPriority w:val="23"/>
    <w:semiHidden/>
    <w:rsid w:val="0098052C"/>
    <w:pPr>
      <w:numPr>
        <w:ilvl w:val="3"/>
      </w:numPr>
    </w:pPr>
  </w:style>
  <w:style w:type="paragraph" w:customStyle="1" w:styleId="ECHRConfidential">
    <w:name w:val="ECHR_Confidential"/>
    <w:aliases w:val="_Confidential"/>
    <w:basedOn w:val="Normal"/>
    <w:next w:val="Normal"/>
    <w:uiPriority w:val="42"/>
    <w:semiHidden/>
    <w:qFormat/>
    <w:rsid w:val="0098052C"/>
    <w:pPr>
      <w:jc w:val="right"/>
    </w:pPr>
    <w:rPr>
      <w:color w:val="C00000"/>
      <w:sz w:val="20"/>
    </w:rPr>
  </w:style>
  <w:style w:type="paragraph" w:customStyle="1" w:styleId="ECHRDecisionBody">
    <w:name w:val="ECHR_Decision_Body"/>
    <w:aliases w:val="_Decision_Body"/>
    <w:basedOn w:val="NormalJustified"/>
    <w:uiPriority w:val="54"/>
    <w:semiHidden/>
    <w:rsid w:val="0098052C"/>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98052C"/>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98052C"/>
    <w:rPr>
      <w:rFonts w:ascii="Arial" w:hAnsi="Arial"/>
      <w:i/>
      <w:color w:val="002856"/>
      <w:sz w:val="32"/>
      <w:szCs w:val="24"/>
      <w:lang w:val="bg-BG"/>
    </w:rPr>
  </w:style>
  <w:style w:type="paragraph" w:customStyle="1" w:styleId="DummyStyle">
    <w:name w:val="Dummy_Style"/>
    <w:aliases w:val="_Dummy"/>
    <w:basedOn w:val="Normal"/>
    <w:semiHidden/>
    <w:qFormat/>
    <w:rsid w:val="0098052C"/>
    <w:rPr>
      <w:color w:val="00B050"/>
      <w:sz w:val="22"/>
    </w:rPr>
  </w:style>
  <w:style w:type="paragraph" w:customStyle="1" w:styleId="ECHRFooterLineLandscape">
    <w:name w:val="ECHR_Footer_Line_Landscape"/>
    <w:aliases w:val="_Footer_Line_Landscape"/>
    <w:basedOn w:val="Normal"/>
    <w:uiPriority w:val="29"/>
    <w:semiHidden/>
    <w:rsid w:val="0098052C"/>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ParaHanging">
    <w:name w:val="ECHR_Para_Hanging"/>
    <w:aliases w:val="_Hanging"/>
    <w:basedOn w:val="NormalJustified"/>
    <w:uiPriority w:val="8"/>
    <w:semiHidden/>
    <w:qFormat/>
    <w:rsid w:val="0098052C"/>
    <w:pPr>
      <w:ind w:left="567" w:hanging="567"/>
    </w:pPr>
  </w:style>
  <w:style w:type="paragraph" w:customStyle="1" w:styleId="ECHRHeading9">
    <w:name w:val="ECHR_Heading_9"/>
    <w:aliases w:val="_Head_9"/>
    <w:basedOn w:val="Heading9"/>
    <w:uiPriority w:val="17"/>
    <w:semiHidden/>
    <w:rsid w:val="0098052C"/>
    <w:pPr>
      <w:keepNext/>
      <w:keepLines/>
      <w:numPr>
        <w:ilvl w:val="8"/>
        <w:numId w:val="15"/>
      </w:numPr>
      <w:spacing w:before="100" w:beforeAutospacing="1"/>
      <w:contextualSpacing/>
      <w:jc w:val="both"/>
    </w:pPr>
    <w:rPr>
      <w:i w:val="0"/>
      <w:sz w:val="18"/>
    </w:rPr>
  </w:style>
  <w:style w:type="paragraph" w:customStyle="1" w:styleId="ECHRHeaderLandscape">
    <w:name w:val="ECHR_Header_Landscape"/>
    <w:aliases w:val="_Header_Landscape"/>
    <w:basedOn w:val="JuHeader"/>
    <w:uiPriority w:val="29"/>
    <w:semiHidden/>
    <w:rsid w:val="0098052C"/>
    <w:pPr>
      <w:tabs>
        <w:tab w:val="center" w:pos="6146"/>
        <w:tab w:val="right" w:pos="13778"/>
      </w:tabs>
      <w:ind w:left="-1474" w:right="-1474"/>
    </w:pPr>
  </w:style>
  <w:style w:type="paragraph" w:customStyle="1" w:styleId="ECHRParaIndent">
    <w:name w:val="ECHR_Para_Indent"/>
    <w:aliases w:val="_Indent"/>
    <w:basedOn w:val="NormalJustified"/>
    <w:uiPriority w:val="7"/>
    <w:semiHidden/>
    <w:qFormat/>
    <w:rsid w:val="0098052C"/>
    <w:pPr>
      <w:spacing w:before="120" w:after="120"/>
      <w:ind w:left="567"/>
    </w:pPr>
  </w:style>
  <w:style w:type="paragraph" w:customStyle="1" w:styleId="ECHRLine">
    <w:name w:val="ECHR_Line"/>
    <w:aliases w:val="_Line"/>
    <w:basedOn w:val="NormalJustified"/>
    <w:next w:val="Normal"/>
    <w:uiPriority w:val="46"/>
    <w:semiHidden/>
    <w:rsid w:val="0098052C"/>
    <w:pPr>
      <w:pBdr>
        <w:bottom w:val="single" w:sz="12" w:space="1" w:color="838383" w:themeColor="text2" w:themeShade="BF"/>
      </w:pBdr>
      <w:spacing w:after="120"/>
    </w:pPr>
    <w:rPr>
      <w:sz w:val="12"/>
    </w:rPr>
  </w:style>
  <w:style w:type="paragraph" w:customStyle="1" w:styleId="DecList">
    <w:name w:val="Dec_List"/>
    <w:aliases w:val="_List"/>
    <w:basedOn w:val="JuList"/>
    <w:uiPriority w:val="22"/>
    <w:rsid w:val="0098052C"/>
    <w:pPr>
      <w:numPr>
        <w:numId w:val="0"/>
      </w:numPr>
      <w:ind w:left="284"/>
    </w:pPr>
  </w:style>
  <w:style w:type="paragraph" w:customStyle="1" w:styleId="ECHRNumberedList1">
    <w:name w:val="ECHR_Numbered_List_1"/>
    <w:aliases w:val="_Num_1"/>
    <w:basedOn w:val="NormalJustified"/>
    <w:uiPriority w:val="23"/>
    <w:semiHidden/>
    <w:qFormat/>
    <w:rsid w:val="0098052C"/>
    <w:pPr>
      <w:numPr>
        <w:numId w:val="18"/>
      </w:numPr>
      <w:spacing w:before="60" w:after="60"/>
    </w:pPr>
  </w:style>
  <w:style w:type="paragraph" w:customStyle="1" w:styleId="ECHRNumberedList2">
    <w:name w:val="ECHR_Numbered_List_2"/>
    <w:aliases w:val="_Num_2"/>
    <w:basedOn w:val="ECHRNumberedList1"/>
    <w:uiPriority w:val="23"/>
    <w:semiHidden/>
    <w:rsid w:val="0098052C"/>
    <w:pPr>
      <w:numPr>
        <w:ilvl w:val="1"/>
      </w:numPr>
    </w:pPr>
  </w:style>
  <w:style w:type="paragraph" w:customStyle="1" w:styleId="ECHRNumberedList3">
    <w:name w:val="ECHR_Numbered_List_3"/>
    <w:aliases w:val="_Num_3"/>
    <w:basedOn w:val="ECHRNumberedList2"/>
    <w:uiPriority w:val="23"/>
    <w:semiHidden/>
    <w:rsid w:val="0098052C"/>
    <w:pPr>
      <w:numPr>
        <w:ilvl w:val="2"/>
      </w:numPr>
    </w:pPr>
  </w:style>
  <w:style w:type="paragraph" w:customStyle="1" w:styleId="ECHRPlaceholder">
    <w:name w:val="ECHR_Placeholder"/>
    <w:aliases w:val="_Placeholder"/>
    <w:basedOn w:val="JuSigned"/>
    <w:uiPriority w:val="31"/>
    <w:rsid w:val="0098052C"/>
    <w:rPr>
      <w:color w:val="FFFFFF"/>
    </w:rPr>
  </w:style>
  <w:style w:type="character" w:customStyle="1" w:styleId="ECHRRed">
    <w:name w:val="ECHR_Red"/>
    <w:aliases w:val="_Red"/>
    <w:basedOn w:val="DefaultParagraphFont"/>
    <w:uiPriority w:val="15"/>
    <w:semiHidden/>
    <w:qFormat/>
    <w:rsid w:val="0098052C"/>
    <w:rPr>
      <w:color w:val="C00000" w:themeColor="accent2"/>
    </w:rPr>
  </w:style>
  <w:style w:type="paragraph" w:customStyle="1" w:styleId="ECHRHeaderDate">
    <w:name w:val="ECHR_Header_Date"/>
    <w:aliases w:val="_Ref_Date"/>
    <w:basedOn w:val="Normal"/>
    <w:uiPriority w:val="44"/>
    <w:semiHidden/>
    <w:qFormat/>
    <w:rsid w:val="0098052C"/>
    <w:pPr>
      <w:jc w:val="right"/>
    </w:pPr>
    <w:rPr>
      <w:sz w:val="20"/>
    </w:rPr>
  </w:style>
  <w:style w:type="paragraph" w:customStyle="1" w:styleId="ECHRHeaderRefIt">
    <w:name w:val="ECHR_Header_Ref_It"/>
    <w:aliases w:val="_Ref_Ital"/>
    <w:basedOn w:val="Normal"/>
    <w:next w:val="ECHRHeaderDate"/>
    <w:uiPriority w:val="43"/>
    <w:semiHidden/>
    <w:qFormat/>
    <w:rsid w:val="0098052C"/>
    <w:pPr>
      <w:jc w:val="right"/>
    </w:pPr>
    <w:rPr>
      <w:i/>
      <w:sz w:val="20"/>
    </w:rPr>
  </w:style>
  <w:style w:type="paragraph" w:customStyle="1" w:styleId="ECHRSpacer">
    <w:name w:val="ECHR_Spacer"/>
    <w:aliases w:val="_Spacer"/>
    <w:basedOn w:val="Normal"/>
    <w:uiPriority w:val="45"/>
    <w:semiHidden/>
    <w:rsid w:val="0098052C"/>
    <w:rPr>
      <w:sz w:val="4"/>
    </w:rPr>
  </w:style>
  <w:style w:type="paragraph" w:customStyle="1" w:styleId="ECHRTitleCentre1">
    <w:name w:val="ECHR_Title_Centre_1"/>
    <w:aliases w:val="_Title_C_1"/>
    <w:basedOn w:val="Normal"/>
    <w:next w:val="Normal"/>
    <w:uiPriority w:val="26"/>
    <w:semiHidden/>
    <w:qFormat/>
    <w:rsid w:val="0098052C"/>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98052C"/>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98052C"/>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98052C"/>
    <w:pPr>
      <w:outlineLvl w:val="0"/>
    </w:pPr>
  </w:style>
  <w:style w:type="paragraph" w:customStyle="1" w:styleId="ECHRTitle1">
    <w:name w:val="ECHR_Title_1"/>
    <w:aliases w:val="_Title_L_1"/>
    <w:basedOn w:val="Normal"/>
    <w:next w:val="Normal"/>
    <w:uiPriority w:val="28"/>
    <w:semiHidden/>
    <w:qFormat/>
    <w:rsid w:val="0098052C"/>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98052C"/>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98052C"/>
    <w:pPr>
      <w:keepNext/>
      <w:keepLines/>
      <w:spacing w:before="240"/>
      <w:contextualSpacing/>
    </w:pPr>
    <w:rPr>
      <w:rFonts w:asciiTheme="majorHAnsi" w:hAnsiTheme="majorHAnsi"/>
      <w:b/>
      <w:color w:val="424242" w:themeColor="accent3" w:themeShade="BF"/>
    </w:rPr>
  </w:style>
  <w:style w:type="paragraph" w:customStyle="1" w:styleId="ECHRTitleTOC1">
    <w:name w:val="ECHR_Title_TOC_1"/>
    <w:aliases w:val="_Title_L_TOC"/>
    <w:basedOn w:val="ECHRTitle1"/>
    <w:next w:val="Normal"/>
    <w:uiPriority w:val="27"/>
    <w:semiHidden/>
    <w:qFormat/>
    <w:rsid w:val="0098052C"/>
    <w:pPr>
      <w:outlineLvl w:val="0"/>
    </w:pPr>
  </w:style>
  <w:style w:type="table" w:customStyle="1" w:styleId="ECHRTable2">
    <w:name w:val="ECHR_Table_2"/>
    <w:basedOn w:val="TableNormal"/>
    <w:uiPriority w:val="99"/>
    <w:rsid w:val="0098052C"/>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98052C"/>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table" w:customStyle="1" w:styleId="ECHRTableGrey">
    <w:name w:val="ECHR_Table_Grey"/>
    <w:basedOn w:val="TableNormal"/>
    <w:uiPriority w:val="99"/>
    <w:rsid w:val="0098052C"/>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
    <w:name w:val="Unresolved Mention"/>
    <w:basedOn w:val="DefaultParagraphFont"/>
    <w:uiPriority w:val="99"/>
    <w:semiHidden/>
    <w:unhideWhenUsed/>
    <w:rsid w:val="00F773BD"/>
    <w:rPr>
      <w:color w:val="605E5C"/>
      <w:shd w:val="clear" w:color="auto" w:fill="E1DFDD"/>
    </w:rPr>
  </w:style>
  <w:style w:type="table" w:styleId="GridTable1Light">
    <w:name w:val="Grid Table 1 Light"/>
    <w:basedOn w:val="TableNormal"/>
    <w:uiPriority w:val="46"/>
    <w:semiHidden/>
    <w:rsid w:val="00F773BD"/>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773BD"/>
    <w:rPr>
      <w:sz w:val="24"/>
      <w:szCs w:val="24"/>
    </w:rPr>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773BD"/>
    <w:rPr>
      <w:sz w:val="24"/>
      <w:szCs w:val="24"/>
    </w:rPr>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773BD"/>
    <w:rPr>
      <w:sz w:val="24"/>
      <w:szCs w:val="24"/>
    </w:rPr>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773BD"/>
    <w:rPr>
      <w:sz w:val="24"/>
      <w:szCs w:val="24"/>
    </w:rPr>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773BD"/>
    <w:rPr>
      <w:sz w:val="24"/>
      <w:szCs w:val="24"/>
    </w:r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773BD"/>
    <w:rPr>
      <w:sz w:val="24"/>
      <w:szCs w:val="24"/>
    </w:r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773BD"/>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773BD"/>
    <w:rPr>
      <w:sz w:val="24"/>
      <w:szCs w:val="24"/>
    </w:rPr>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F773BD"/>
    <w:rPr>
      <w:sz w:val="24"/>
      <w:szCs w:val="24"/>
    </w:rPr>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F773BD"/>
    <w:rPr>
      <w:sz w:val="24"/>
      <w:szCs w:val="24"/>
    </w:rPr>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2-Accent4">
    <w:name w:val="Grid Table 2 Accent 4"/>
    <w:basedOn w:val="TableNormal"/>
    <w:uiPriority w:val="47"/>
    <w:semiHidden/>
    <w:rsid w:val="00F773BD"/>
    <w:rPr>
      <w:sz w:val="24"/>
      <w:szCs w:val="24"/>
    </w:rPr>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F773BD"/>
    <w:rPr>
      <w:sz w:val="24"/>
      <w:szCs w:val="24"/>
    </w:r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F773BD"/>
    <w:rPr>
      <w:sz w:val="24"/>
      <w:szCs w:val="24"/>
    </w:r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F773BD"/>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773BD"/>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F773BD"/>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F773BD"/>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3-Accent4">
    <w:name w:val="Grid Table 3 Accent 4"/>
    <w:basedOn w:val="TableNormal"/>
    <w:uiPriority w:val="48"/>
    <w:semiHidden/>
    <w:rsid w:val="00F773BD"/>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F773BD"/>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F773BD"/>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F773BD"/>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773BD"/>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F773BD"/>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F773BD"/>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4-Accent4">
    <w:name w:val="Grid Table 4 Accent 4"/>
    <w:basedOn w:val="TableNormal"/>
    <w:uiPriority w:val="49"/>
    <w:semiHidden/>
    <w:rsid w:val="00F773BD"/>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F773BD"/>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F773BD"/>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F773BD"/>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773BD"/>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F773BD"/>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F773BD"/>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GridTable5Dark-Accent4">
    <w:name w:val="Grid Table 5 Dark Accent 4"/>
    <w:basedOn w:val="TableNormal"/>
    <w:uiPriority w:val="50"/>
    <w:semiHidden/>
    <w:rsid w:val="00F773BD"/>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F773BD"/>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F773BD"/>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F773BD"/>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F773BD"/>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F773BD"/>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F773BD"/>
    <w:rPr>
      <w:color w:val="424242" w:themeColor="accent3" w:themeShade="BF"/>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6Colorful-Accent4">
    <w:name w:val="Grid Table 6 Colorful Accent 4"/>
    <w:basedOn w:val="TableNormal"/>
    <w:uiPriority w:val="51"/>
    <w:semiHidden/>
    <w:rsid w:val="00F773BD"/>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F773BD"/>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F773BD"/>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F773BD"/>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F773BD"/>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F773BD"/>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F773BD"/>
    <w:rPr>
      <w:color w:val="424242" w:themeColor="accent3" w:themeShade="BF"/>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7Colorful-Accent4">
    <w:name w:val="Grid Table 7 Colorful Accent 4"/>
    <w:basedOn w:val="TableNormal"/>
    <w:uiPriority w:val="52"/>
    <w:semiHidden/>
    <w:rsid w:val="00F773BD"/>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F773BD"/>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F773BD"/>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F773BD"/>
    <w:rPr>
      <w:color w:val="2B579A"/>
      <w:shd w:val="clear" w:color="auto" w:fill="E1DFDD"/>
    </w:rPr>
  </w:style>
  <w:style w:type="table" w:styleId="ListTable1Light">
    <w:name w:val="List Table 1 Light"/>
    <w:basedOn w:val="TableNormal"/>
    <w:uiPriority w:val="46"/>
    <w:semiHidden/>
    <w:rsid w:val="00F773BD"/>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773BD"/>
    <w:rPr>
      <w:sz w:val="24"/>
      <w:szCs w:val="24"/>
    </w:rPr>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F773BD"/>
    <w:rPr>
      <w:sz w:val="24"/>
      <w:szCs w:val="24"/>
    </w:rPr>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F773BD"/>
    <w:rPr>
      <w:sz w:val="24"/>
      <w:szCs w:val="24"/>
    </w:rPr>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1Light-Accent4">
    <w:name w:val="List Table 1 Light Accent 4"/>
    <w:basedOn w:val="TableNormal"/>
    <w:uiPriority w:val="46"/>
    <w:semiHidden/>
    <w:rsid w:val="00F773BD"/>
    <w:rPr>
      <w:sz w:val="24"/>
      <w:szCs w:val="24"/>
    </w:rPr>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F773BD"/>
    <w:rPr>
      <w:sz w:val="24"/>
      <w:szCs w:val="24"/>
    </w:r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F773BD"/>
    <w:rPr>
      <w:sz w:val="24"/>
      <w:szCs w:val="24"/>
    </w:r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F773BD"/>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773BD"/>
    <w:rPr>
      <w:sz w:val="24"/>
      <w:szCs w:val="24"/>
    </w:rPr>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F773BD"/>
    <w:rPr>
      <w:sz w:val="24"/>
      <w:szCs w:val="24"/>
    </w:rPr>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F773BD"/>
    <w:rPr>
      <w:sz w:val="24"/>
      <w:szCs w:val="24"/>
    </w:rPr>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2-Accent4">
    <w:name w:val="List Table 2 Accent 4"/>
    <w:basedOn w:val="TableNormal"/>
    <w:uiPriority w:val="47"/>
    <w:semiHidden/>
    <w:rsid w:val="00F773BD"/>
    <w:rPr>
      <w:sz w:val="24"/>
      <w:szCs w:val="24"/>
    </w:rPr>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F773BD"/>
    <w:rPr>
      <w:sz w:val="24"/>
      <w:szCs w:val="24"/>
    </w:r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F773BD"/>
    <w:rPr>
      <w:sz w:val="24"/>
      <w:szCs w:val="24"/>
    </w:r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F773BD"/>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773BD"/>
    <w:rPr>
      <w:sz w:val="24"/>
      <w:szCs w:val="24"/>
    </w:rPr>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F773BD"/>
    <w:rPr>
      <w:sz w:val="24"/>
      <w:szCs w:val="24"/>
    </w:rPr>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F773BD"/>
    <w:rPr>
      <w:sz w:val="24"/>
      <w:szCs w:val="24"/>
    </w:rPr>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Table3-Accent4">
    <w:name w:val="List Table 3 Accent 4"/>
    <w:basedOn w:val="TableNormal"/>
    <w:uiPriority w:val="48"/>
    <w:semiHidden/>
    <w:rsid w:val="00F773BD"/>
    <w:rPr>
      <w:sz w:val="24"/>
      <w:szCs w:val="24"/>
    </w:rPr>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F773BD"/>
    <w:rPr>
      <w:sz w:val="24"/>
      <w:szCs w:val="24"/>
    </w:r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F773BD"/>
    <w:rPr>
      <w:sz w:val="24"/>
      <w:szCs w:val="24"/>
    </w:r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F773BD"/>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773BD"/>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F773BD"/>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F773BD"/>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4-Accent4">
    <w:name w:val="List Table 4 Accent 4"/>
    <w:basedOn w:val="TableNormal"/>
    <w:uiPriority w:val="49"/>
    <w:semiHidden/>
    <w:rsid w:val="00F773BD"/>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F773BD"/>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F773BD"/>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F773BD"/>
    <w:rPr>
      <w:color w:val="FFFFFF" w:themeColor="background1"/>
      <w:sz w:val="24"/>
      <w:szCs w:val="24"/>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773BD"/>
    <w:rPr>
      <w:color w:val="FFFFFF" w:themeColor="background1"/>
      <w:sz w:val="24"/>
      <w:szCs w:val="24"/>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773BD"/>
    <w:rPr>
      <w:color w:val="FFFFFF" w:themeColor="background1"/>
      <w:sz w:val="24"/>
      <w:szCs w:val="24"/>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773BD"/>
    <w:rPr>
      <w:color w:val="FFFFFF" w:themeColor="background1"/>
      <w:sz w:val="24"/>
      <w:szCs w:val="24"/>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773BD"/>
    <w:rPr>
      <w:color w:val="FFFFFF" w:themeColor="background1"/>
      <w:sz w:val="24"/>
      <w:szCs w:val="24"/>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773BD"/>
    <w:rPr>
      <w:color w:val="FFFFFF" w:themeColor="background1"/>
      <w:sz w:val="24"/>
      <w:szCs w:val="24"/>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773BD"/>
    <w:rPr>
      <w:color w:val="FFFFFF" w:themeColor="background1"/>
      <w:sz w:val="24"/>
      <w:szCs w:val="24"/>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F773BD"/>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F773BD"/>
    <w:rPr>
      <w:color w:val="00548C" w:themeColor="accent1" w:themeShade="BF"/>
      <w:sz w:val="24"/>
      <w:szCs w:val="24"/>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F773BD"/>
    <w:rPr>
      <w:color w:val="8F0000" w:themeColor="accent2" w:themeShade="BF"/>
      <w:sz w:val="24"/>
      <w:szCs w:val="24"/>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F773BD"/>
    <w:rPr>
      <w:color w:val="424242" w:themeColor="accent3" w:themeShade="BF"/>
      <w:sz w:val="24"/>
      <w:szCs w:val="24"/>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6Colorful-Accent4">
    <w:name w:val="List Table 6 Colorful Accent 4"/>
    <w:basedOn w:val="TableNormal"/>
    <w:uiPriority w:val="51"/>
    <w:semiHidden/>
    <w:rsid w:val="00F773BD"/>
    <w:rPr>
      <w:color w:val="707070" w:themeColor="accent4" w:themeShade="BF"/>
      <w:sz w:val="24"/>
      <w:szCs w:val="24"/>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F773BD"/>
    <w:rPr>
      <w:color w:val="474747" w:themeColor="accent5" w:themeShade="BF"/>
      <w:sz w:val="24"/>
      <w:szCs w:val="24"/>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F773BD"/>
    <w:rPr>
      <w:color w:val="393939" w:themeColor="accent6" w:themeShade="BF"/>
      <w:sz w:val="24"/>
      <w:szCs w:val="24"/>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F773BD"/>
    <w:rPr>
      <w:color w:val="000000" w:themeColor="text1"/>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F773BD"/>
    <w:rPr>
      <w:color w:val="00548C" w:themeColor="accent1"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F773BD"/>
    <w:rPr>
      <w:color w:val="8F0000"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F773BD"/>
    <w:rPr>
      <w:color w:val="424242" w:themeColor="accent3"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F773BD"/>
    <w:rPr>
      <w:color w:val="707070" w:themeColor="accent4"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F773BD"/>
    <w:rPr>
      <w:color w:val="474747" w:themeColor="accent5"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F773BD"/>
    <w:rPr>
      <w:color w:val="393939" w:themeColor="accent6"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F773BD"/>
    <w:rPr>
      <w:color w:val="2B579A"/>
      <w:shd w:val="clear" w:color="auto" w:fill="E1DFDD"/>
    </w:rPr>
  </w:style>
  <w:style w:type="table" w:styleId="PlainTable1">
    <w:name w:val="Plain Table 1"/>
    <w:basedOn w:val="TableNormal"/>
    <w:uiPriority w:val="41"/>
    <w:semiHidden/>
    <w:rsid w:val="00F773BD"/>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F773BD"/>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773BD"/>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773BD"/>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F773BD"/>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F773BD"/>
    <w:rPr>
      <w:u w:val="dotted"/>
    </w:rPr>
  </w:style>
  <w:style w:type="character" w:customStyle="1" w:styleId="SmartLink">
    <w:name w:val="Smart Link"/>
    <w:basedOn w:val="DefaultParagraphFont"/>
    <w:uiPriority w:val="99"/>
    <w:semiHidden/>
    <w:unhideWhenUsed/>
    <w:rsid w:val="00F773BD"/>
    <w:rPr>
      <w:color w:val="0000FF"/>
      <w:u w:val="single"/>
      <w:shd w:val="clear" w:color="auto" w:fill="F3F2F1"/>
    </w:rPr>
  </w:style>
  <w:style w:type="table" w:styleId="TableGridLight">
    <w:name w:val="Grid Table Light"/>
    <w:basedOn w:val="TableNormal"/>
    <w:uiPriority w:val="40"/>
    <w:semiHidden/>
    <w:rsid w:val="00F773BD"/>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773BD"/>
    <w:rPr>
      <w:sz w:val="24"/>
      <w:szCs w:val="24"/>
    </w:rPr>
  </w:style>
  <w:style w:type="character" w:customStyle="1" w:styleId="JuParaChar">
    <w:name w:val="Ju_Para Char"/>
    <w:aliases w:val="_Para Char"/>
    <w:link w:val="JuPara"/>
    <w:uiPriority w:val="4"/>
    <w:rsid w:val="00F773BD"/>
    <w:rPr>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97EB0-67E0-4A2D-8CDC-682D9240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3759</Words>
  <Characters>21429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25138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DCF</dc:subject>
  <dc:creator/>
  <cp:lastModifiedBy/>
  <cp:revision>1</cp:revision>
  <dcterms:created xsi:type="dcterms:W3CDTF">2025-12-09T06:09:00Z</dcterms:created>
  <dcterms:modified xsi:type="dcterms:W3CDTF">2025-12-09T06:09:00Z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2079354</vt:lpwstr>
  </property>
  <property fmtid="{D5CDD505-2E9C-101B-9397-08002B2CF9AE}" pid="3" name="cstLanguage">
    <vt:i4>1036</vt:i4>
  </property>
  <property fmtid="{D5CDD505-2E9C-101B-9397-08002B2CF9AE}" pid="4" name="RegisteredNo">
    <vt:lpwstr>9059/25</vt:lpwstr>
  </property>
  <property fmtid="{D5CDD505-2E9C-101B-9397-08002B2CF9AE}" pid="5" name="_MarkAsFinal">
    <vt:bool>true</vt:bool>
  </property>
</Properties>
</file>