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CEB82" w14:textId="599CC466" w:rsidR="00EA6ED3" w:rsidRPr="006E6FFB" w:rsidRDefault="00873AF1" w:rsidP="006E6F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FFB">
        <w:rPr>
          <w:rFonts w:ascii="Times New Roman" w:hAnsi="Times New Roman" w:cs="Times New Roman"/>
          <w:i/>
          <w:sz w:val="24"/>
          <w:szCs w:val="24"/>
        </w:rPr>
        <w:t>Превод от</w:t>
      </w:r>
      <w:r w:rsidR="006E5670" w:rsidRPr="006E6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4FD4" w:rsidRPr="006E6FFB">
        <w:rPr>
          <w:rFonts w:ascii="Times New Roman" w:hAnsi="Times New Roman" w:cs="Times New Roman"/>
          <w:i/>
          <w:sz w:val="24"/>
          <w:szCs w:val="24"/>
          <w:lang w:val="bg-BG"/>
        </w:rPr>
        <w:t>френски</w:t>
      </w:r>
      <w:r w:rsidRPr="006E6FFB">
        <w:rPr>
          <w:rFonts w:ascii="Times New Roman" w:hAnsi="Times New Roman" w:cs="Times New Roman"/>
          <w:i/>
          <w:sz w:val="24"/>
          <w:szCs w:val="24"/>
        </w:rPr>
        <w:t xml:space="preserve"> език</w:t>
      </w:r>
    </w:p>
    <w:p w14:paraId="1F58C0A9" w14:textId="2BE0C1AB" w:rsidR="006E6FFB" w:rsidRPr="006E6FFB" w:rsidRDefault="006E6FFB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0FCC86C" w14:textId="52C601B5" w:rsidR="0021693E" w:rsidRDefault="0021693E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21693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3229CAE1" wp14:editId="1B7551D2">
            <wp:extent cx="3371850" cy="138478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32" cy="13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3B77" w14:textId="77777777" w:rsidR="0021693E" w:rsidRDefault="0021693E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774E03E3" w14:textId="2D3A822C" w:rsidR="00DF12DD" w:rsidRPr="006E6FFB" w:rsidRDefault="00FE2A62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ТРЕТА СЕКЦИЯ</w:t>
      </w:r>
      <w:bookmarkStart w:id="0" w:name="_GoBack"/>
      <w:bookmarkEnd w:id="0"/>
    </w:p>
    <w:p w14:paraId="78E8249C" w14:textId="77777777" w:rsidR="006E6FFB" w:rsidRPr="006E6FFB" w:rsidRDefault="006E6FFB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06F816E0" w14:textId="02DD252F" w:rsidR="00DF12DD" w:rsidRPr="006E6FFB" w:rsidRDefault="00DF12DD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РЕШЕНИЕ</w:t>
      </w:r>
    </w:p>
    <w:p w14:paraId="09B9E1EA" w14:textId="77777777" w:rsidR="006E6FFB" w:rsidRPr="006E6FFB" w:rsidRDefault="006E6FFB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76924924" w14:textId="38A0A348" w:rsidR="00DF12DD" w:rsidRPr="006E6FFB" w:rsidRDefault="00976E28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bg-BG"/>
        </w:rPr>
        <w:t>Жалба</w:t>
      </w:r>
      <w:r w:rsidR="00DF12DD" w:rsidRPr="006E6FFB">
        <w:rPr>
          <w:rFonts w:ascii="Times New Roman" w:eastAsia="MS Mincho" w:hAnsi="Times New Roman" w:cs="Times New Roman"/>
          <w:sz w:val="24"/>
          <w:szCs w:val="24"/>
        </w:rPr>
        <w:t xml:space="preserve"> № 32501/22</w:t>
      </w:r>
    </w:p>
    <w:p w14:paraId="650CEC00" w14:textId="02E8161F" w:rsidR="00DF12DD" w:rsidRPr="006E6FFB" w:rsidRDefault="00DF12DD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V</w:t>
      </w:r>
      <w:r w:rsidR="00876FD1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6E6FFB">
        <w:rPr>
          <w:rFonts w:ascii="Times New Roman" w:eastAsia="MS Mincho" w:hAnsi="Times New Roman" w:cs="Times New Roman"/>
          <w:sz w:val="24"/>
          <w:szCs w:val="24"/>
        </w:rPr>
        <w:t>S</w:t>
      </w:r>
      <w:r w:rsidR="00876FD1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14:paraId="3BC6BB01" w14:textId="77777777" w:rsidR="00DF12DD" w:rsidRPr="006E6FFB" w:rsidRDefault="00DF12DD" w:rsidP="009F5E69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срещу България</w:t>
      </w:r>
    </w:p>
    <w:p w14:paraId="5200EAA2" w14:textId="35CEBC8F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Европейският</w:t>
      </w:r>
      <w:r w:rsidR="00FE2A62">
        <w:rPr>
          <w:rFonts w:ascii="Times New Roman" w:eastAsia="MS Mincho" w:hAnsi="Times New Roman" w:cs="Times New Roman"/>
          <w:sz w:val="24"/>
          <w:szCs w:val="24"/>
        </w:rPr>
        <w:t xml:space="preserve"> съд по правата на човека (Трета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E2A62">
        <w:rPr>
          <w:rFonts w:ascii="Times New Roman" w:eastAsia="MS Mincho" w:hAnsi="Times New Roman" w:cs="Times New Roman"/>
          <w:sz w:val="24"/>
          <w:szCs w:val="24"/>
          <w:lang w:val="bg-BG"/>
        </w:rPr>
        <w:t>секция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), заседаващ на 13 ноември 2025 г. </w:t>
      </w:r>
      <w:r w:rsidR="00976E28">
        <w:rPr>
          <w:rFonts w:ascii="Times New Roman" w:eastAsia="MS Mincho" w:hAnsi="Times New Roman" w:cs="Times New Roman"/>
          <w:sz w:val="24"/>
          <w:szCs w:val="24"/>
          <w:lang w:val="bg-BG"/>
        </w:rPr>
        <w:t>в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комитет в състав:</w:t>
      </w:r>
    </w:p>
    <w:p w14:paraId="08361774" w14:textId="454C8401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ab/>
        <w:t xml:space="preserve">Peeter Roosma, председател, </w:t>
      </w:r>
    </w:p>
    <w:p w14:paraId="1E2E8560" w14:textId="77777777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ab/>
        <w:t xml:space="preserve">Диана Ковачева, </w:t>
      </w:r>
    </w:p>
    <w:p w14:paraId="79BF6B3E" w14:textId="265204C0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ab/>
        <w:t xml:space="preserve">Canòlic Mingorance Cairat, съдии, </w:t>
      </w:r>
    </w:p>
    <w:p w14:paraId="3F8232A4" w14:textId="05A4DE12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и </w:t>
      </w:r>
      <w:bookmarkStart w:id="1" w:name="_Hlk219111476"/>
      <w:r w:rsidRPr="006E6FFB">
        <w:rPr>
          <w:rFonts w:ascii="Times New Roman" w:eastAsia="MS Mincho" w:hAnsi="Times New Roman" w:cs="Times New Roman"/>
          <w:sz w:val="24"/>
          <w:szCs w:val="24"/>
        </w:rPr>
        <w:t>Олга Чернишова</w:t>
      </w:r>
      <w:bookmarkEnd w:id="1"/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заместник-секретар 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Секцията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00DDA702" w14:textId="20E81502" w:rsidR="00DF12DD" w:rsidRPr="006E6FFB" w:rsidRDefault="00976E28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bg-BG"/>
        </w:rPr>
        <w:t>Като взе предвид</w:t>
      </w:r>
      <w:r w:rsidR="00DF12DD" w:rsidRPr="006E6FFB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25C9AA4" w14:textId="5F1BD9C7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Жалба № 32501/22 срещу Република България, подадена в Съда на 24 юни 2022 г. </w:t>
      </w:r>
      <w:r w:rsidR="00876FD1">
        <w:rPr>
          <w:rFonts w:ascii="Times New Roman" w:eastAsia="MS Mincho" w:hAnsi="Times New Roman" w:cs="Times New Roman"/>
          <w:sz w:val="24"/>
          <w:szCs w:val="24"/>
        </w:rPr>
        <w:t>съгласно чл</w:t>
      </w:r>
      <w:r w:rsidR="00876FD1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="00876FD1" w:rsidRPr="006E6FFB">
        <w:rPr>
          <w:rFonts w:ascii="Times New Roman" w:eastAsia="MS Mincho" w:hAnsi="Times New Roman" w:cs="Times New Roman"/>
          <w:sz w:val="24"/>
          <w:szCs w:val="24"/>
        </w:rPr>
        <w:t xml:space="preserve"> 34 от Конвенцията за защита на правата на човека и ос</w:t>
      </w:r>
      <w:r w:rsidR="00876FD1">
        <w:rPr>
          <w:rFonts w:ascii="Times New Roman" w:eastAsia="MS Mincho" w:hAnsi="Times New Roman" w:cs="Times New Roman"/>
          <w:sz w:val="24"/>
          <w:szCs w:val="24"/>
        </w:rPr>
        <w:t xml:space="preserve">новните свободи („Конвенцията“)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от български и германски гражданин, 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г-н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В.С. („жалбоподателят“), роден през 2016 г. и живеещ в София, предста</w:t>
      </w:r>
      <w:r w:rsidR="00976E28">
        <w:rPr>
          <w:rFonts w:ascii="Times New Roman" w:eastAsia="MS Mincho" w:hAnsi="Times New Roman" w:cs="Times New Roman"/>
          <w:sz w:val="24"/>
          <w:szCs w:val="24"/>
        </w:rPr>
        <w:t>вляван от г-н М. Екимджиев и г-жа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К. Бончева, адв</w:t>
      </w:r>
      <w:r w:rsidR="00976E28">
        <w:rPr>
          <w:rFonts w:ascii="Times New Roman" w:eastAsia="MS Mincho" w:hAnsi="Times New Roman" w:cs="Times New Roman"/>
          <w:sz w:val="24"/>
          <w:szCs w:val="24"/>
        </w:rPr>
        <w:t>окати в гр.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976E28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Пловдив</w:t>
      </w:r>
      <w:r w:rsidR="00876FD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. </w:t>
      </w:r>
    </w:p>
    <w:p w14:paraId="45A57825" w14:textId="728BA2C1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решението да се </w:t>
      </w:r>
      <w:r w:rsidR="00976E28">
        <w:rPr>
          <w:rFonts w:ascii="Times New Roman" w:eastAsia="MS Mincho" w:hAnsi="Times New Roman" w:cs="Times New Roman"/>
          <w:sz w:val="24"/>
          <w:szCs w:val="24"/>
          <w:lang w:val="bg-BG"/>
        </w:rPr>
        <w:t>свед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е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до </w:t>
      </w:r>
      <w:r w:rsidR="00976E28">
        <w:rPr>
          <w:rFonts w:ascii="Times New Roman" w:eastAsia="MS Mincho" w:hAnsi="Times New Roman" w:cs="Times New Roman"/>
          <w:sz w:val="24"/>
          <w:szCs w:val="24"/>
          <w:lang w:val="bg-BG"/>
        </w:rPr>
        <w:t>знанието</w:t>
      </w:r>
      <w:r w:rsidR="00976E28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българското правителство („п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равителството“), представлявано от </w:t>
      </w:r>
      <w:r w:rsidR="002E606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неговия агент, г-жа Р. Николова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от Министерството на правосъдието, оплакванията относно предполагаемите нарушения на позитивните и процесуални задължения на властите към жалбоподателя и да се обяви жалбата за недопустима в останалата ѝ част,</w:t>
      </w:r>
    </w:p>
    <w:p w14:paraId="77FEFE54" w14:textId="1364A81C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lastRenderedPageBreak/>
        <w:t>решението да не се разкрива самоличността на</w:t>
      </w:r>
      <w:r w:rsidR="00876FD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жалбоподателя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,</w:t>
      </w:r>
    </w:p>
    <w:p w14:paraId="0C6FC305" w14:textId="5428CD0B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решението на германското правителство</w:t>
      </w:r>
      <w:r w:rsidR="00976E28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да не упражни правото си да </w:t>
      </w:r>
      <w:r w:rsidR="00876FD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встъпи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в производството (чл</w:t>
      </w:r>
      <w:r w:rsidR="00976E28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36 § 1 от Конвенцията),</w:t>
      </w:r>
    </w:p>
    <w:p w14:paraId="36995CE0" w14:textId="77777777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становищата на страните,</w:t>
      </w:r>
    </w:p>
    <w:p w14:paraId="348CD0D9" w14:textId="40BD8C99" w:rsidR="00DF12DD" w:rsidRPr="009F5E69" w:rsidRDefault="00876FD1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След 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като проведе </w:t>
      </w:r>
      <w:r>
        <w:rPr>
          <w:rFonts w:ascii="Times New Roman" w:eastAsia="MS Mincho" w:hAnsi="Times New Roman" w:cs="Times New Roman"/>
          <w:sz w:val="24"/>
          <w:szCs w:val="24"/>
          <w:lang w:val="bg-BG"/>
        </w:rPr>
        <w:t>разисквания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постановява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следното решение</w:t>
      </w:r>
      <w:r w:rsidR="00B04DDD">
        <w:rPr>
          <w:rFonts w:ascii="Times New Roman" w:eastAsia="MS Mincho" w:hAnsi="Times New Roman" w:cs="Times New Roman"/>
          <w:sz w:val="24"/>
          <w:szCs w:val="24"/>
          <w:lang w:val="bg-BG"/>
        </w:rPr>
        <w:t>: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</w:p>
    <w:p w14:paraId="3148B98F" w14:textId="77777777" w:rsidR="0021693E" w:rsidRDefault="0021693E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14:paraId="1934D5A6" w14:textId="51547CE8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ПРЕДМЕТ НА ДЕЛОТО</w:t>
      </w:r>
    </w:p>
    <w:p w14:paraId="1AF4F95B" w14:textId="02186347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1. </w:t>
      </w:r>
      <w:r w:rsidR="002E6061">
        <w:rPr>
          <w:rFonts w:ascii="Times New Roman" w:eastAsia="MS Mincho" w:hAnsi="Times New Roman" w:cs="Times New Roman"/>
          <w:sz w:val="24"/>
          <w:szCs w:val="24"/>
          <w:lang w:val="bg-BG"/>
        </w:rPr>
        <w:t>Жалбата</w:t>
      </w:r>
      <w:r w:rsidR="002E606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се отнася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до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отговор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българските власти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съгласно чл. 3, чл. 8 и чл. 13 от Конвенцията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на твърденията на майката на жалбоподателя, че последният е бил жертва на сексуалн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и злоупотреби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от страна на баща си.</w:t>
      </w:r>
    </w:p>
    <w:p w14:paraId="430EC670" w14:textId="6B302064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2. Родителите на жалбоподателя се развеждат скоро след раждането му и имат конфликтни отношения. Бащата, германски гражданин,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изцяло спазва режима на лични отошения,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дори след като майката и детето се преместват в България през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м.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януари 2019 г.</w:t>
      </w:r>
    </w:p>
    <w:p w14:paraId="28DFA13D" w14:textId="4C587430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3. След като забелязва нараняване в аналната област на детето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,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след посещение при баща му на 14 януари 2020 г., майката на жалбоподателя го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води 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преглед от съдебен лекар, който </w:t>
      </w:r>
      <w:r w:rsidR="00B8338F">
        <w:rPr>
          <w:rFonts w:ascii="Times New Roman" w:eastAsia="MS Mincho" w:hAnsi="Times New Roman" w:cs="Times New Roman"/>
          <w:sz w:val="24"/>
          <w:szCs w:val="24"/>
          <w:lang w:val="bg-BG"/>
        </w:rPr>
        <w:t>установява</w:t>
      </w:r>
      <w:r w:rsidR="00B8338F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малка рана, която зараства</w:t>
      </w:r>
      <w:r w:rsidR="00B8338F">
        <w:rPr>
          <w:rFonts w:ascii="Times New Roman" w:eastAsia="MS Mincho" w:hAnsi="Times New Roman" w:cs="Times New Roman"/>
          <w:sz w:val="24"/>
          <w:szCs w:val="24"/>
          <w:lang w:val="bg-BG"/>
        </w:rPr>
        <w:t>ла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. На 17 януари тя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сезира </w:t>
      </w:r>
      <w:r w:rsidR="00201B4D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гражданските съдилища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по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реда на З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акона 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защита от</w:t>
      </w:r>
      <w:r w:rsidR="00201B4D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домашно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то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насилие и подава жалба до прокура</w:t>
      </w:r>
      <w:r w:rsidR="00201B4D">
        <w:rPr>
          <w:rFonts w:ascii="Times New Roman" w:eastAsia="MS Mincho" w:hAnsi="Times New Roman" w:cs="Times New Roman"/>
          <w:sz w:val="24"/>
          <w:szCs w:val="24"/>
          <w:lang w:val="bg-BG"/>
        </w:rPr>
        <w:t>турата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14:paraId="26395FE1" w14:textId="3F037756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4. В </w:t>
      </w:r>
      <w:r w:rsidR="003814C2">
        <w:rPr>
          <w:rFonts w:ascii="Times New Roman" w:eastAsia="MS Mincho" w:hAnsi="Times New Roman" w:cs="Times New Roman"/>
          <w:sz w:val="24"/>
          <w:szCs w:val="24"/>
          <w:lang w:val="bg-BG"/>
        </w:rPr>
        <w:t>рамките</w:t>
      </w:r>
      <w:r w:rsidR="003814C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производството за защита от домашно насилие, на 22 януари 2020 г. </w:t>
      </w:r>
      <w:r w:rsidR="003814C2">
        <w:rPr>
          <w:rFonts w:ascii="Times New Roman" w:eastAsia="MS Mincho" w:hAnsi="Times New Roman" w:cs="Times New Roman"/>
          <w:sz w:val="24"/>
          <w:szCs w:val="24"/>
          <w:lang w:val="bg-BG"/>
        </w:rPr>
        <w:t>районният</w:t>
      </w:r>
      <w:r w:rsidR="003814C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съд </w:t>
      </w:r>
      <w:r w:rsidR="003814C2">
        <w:rPr>
          <w:rFonts w:ascii="Times New Roman" w:eastAsia="MS Mincho" w:hAnsi="Times New Roman" w:cs="Times New Roman"/>
          <w:sz w:val="24"/>
          <w:szCs w:val="24"/>
          <w:lang w:val="bg-BG"/>
        </w:rPr>
        <w:t>налага</w:t>
      </w:r>
      <w:r w:rsidR="00B97BF4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приложението на мярка за временна закрила, докато трае производст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вот</w:t>
      </w:r>
      <w:r w:rsidR="00B97BF4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о, като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забран</w:t>
      </w:r>
      <w:r w:rsidR="00B97BF4">
        <w:rPr>
          <w:rFonts w:ascii="Times New Roman" w:eastAsia="MS Mincho" w:hAnsi="Times New Roman" w:cs="Times New Roman"/>
          <w:sz w:val="24"/>
          <w:szCs w:val="24"/>
          <w:lang w:val="bg-BG"/>
        </w:rPr>
        <w:t>ява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бащата да се доближава до детето.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Назначени</w:t>
      </w:r>
      <w:r w:rsidR="00BB07D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B97BF4">
        <w:rPr>
          <w:rFonts w:ascii="Times New Roman" w:eastAsia="MS Mincho" w:hAnsi="Times New Roman" w:cs="Times New Roman"/>
          <w:sz w:val="24"/>
          <w:szCs w:val="24"/>
          <w:lang w:val="bg-BG"/>
        </w:rPr>
        <w:t>са</w:t>
      </w:r>
      <w:r w:rsidR="00B97BF4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няколко експерт</w:t>
      </w:r>
      <w:r w:rsidR="00B97BF4">
        <w:rPr>
          <w:rFonts w:ascii="Times New Roman" w:eastAsia="MS Mincho" w:hAnsi="Times New Roman" w:cs="Times New Roman"/>
          <w:sz w:val="24"/>
          <w:szCs w:val="24"/>
          <w:lang w:val="bg-BG"/>
        </w:rPr>
        <w:t>изи на детето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</w:t>
      </w:r>
      <w:r w:rsidR="00B97BF4">
        <w:rPr>
          <w:rFonts w:ascii="Times New Roman" w:eastAsia="MS Mincho" w:hAnsi="Times New Roman" w:cs="Times New Roman"/>
          <w:sz w:val="24"/>
          <w:szCs w:val="24"/>
          <w:lang w:val="bg-BG"/>
        </w:rPr>
        <w:t>по-конкретно</w:t>
      </w:r>
      <w:r w:rsidR="00B97BF4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медицински и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психиатрични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експертизи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. Страните, свидетелите и вещите лица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са</w:t>
      </w:r>
      <w:r w:rsidR="00CC5A1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изслушани от съда. С решение от 18 юни 2021 г., потвърдено след обжалване на 18 ноември 2021 г., молбата за мерки за защита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е</w:t>
      </w:r>
      <w:r w:rsidR="00CC5A1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отхвърлена. Съдилищата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приемат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събраните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в хода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производството доказателства не установяват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със сигурност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е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твърдените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сексуалн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и злоупотреби са били извършвани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, въпреки че так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ива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не мо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гат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да бъд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ат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изключен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. По-специално,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съдилищата</w:t>
      </w:r>
      <w:r w:rsidR="00CC5A1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считат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нараняванията, открити по тялото на детето, могат да </w:t>
      </w:r>
      <w:r w:rsidR="00CC5A12">
        <w:rPr>
          <w:rFonts w:ascii="Times New Roman" w:eastAsia="MS Mincho" w:hAnsi="Times New Roman" w:cs="Times New Roman"/>
          <w:sz w:val="24"/>
          <w:szCs w:val="24"/>
          <w:lang w:val="bg-BG"/>
        </w:rPr>
        <w:t>се дължат на</w:t>
      </w:r>
      <w:r w:rsidR="00CC5A1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други правдоподобни причини и че психологическото му състояние може да се обясни и с конфликта между родителите и промяната на местоживеенето и средата. </w:t>
      </w:r>
      <w:r w:rsidR="00FA77E6">
        <w:rPr>
          <w:rFonts w:ascii="Times New Roman" w:eastAsia="MS Mincho" w:hAnsi="Times New Roman" w:cs="Times New Roman"/>
          <w:sz w:val="24"/>
          <w:szCs w:val="24"/>
          <w:lang w:val="bg-BG"/>
        </w:rPr>
        <w:t>С оглед на това 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е препоръч</w:t>
      </w:r>
      <w:r w:rsidR="00FA77E6">
        <w:rPr>
          <w:rFonts w:ascii="Times New Roman" w:eastAsia="MS Mincho" w:hAnsi="Times New Roman" w:cs="Times New Roman"/>
          <w:sz w:val="24"/>
          <w:szCs w:val="24"/>
          <w:lang w:val="bg-BG"/>
        </w:rPr>
        <w:t>ват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тези елементи да бъдат взети предвид при определяне на подходящ</w:t>
      </w:r>
      <w:r w:rsidR="00FA77E6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режим на лични отношения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14:paraId="021FEF7E" w14:textId="6E63BAD5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lastRenderedPageBreak/>
        <w:t xml:space="preserve">5. Във връзка с подадената жалба, Софийската районна прокуратура незабавно образува наказателно производство, а детето е било прегледано от съдебни лекари на 17 и 20 януари 2020 г. Вещите лица са констатирали ожулване по гърба на детето, две синини по седалището, както и малка </w:t>
      </w:r>
      <w:r w:rsidR="00593B46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цепнатина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 малък белег в аналната област. Според доклада,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последните</w:t>
      </w:r>
      <w:r w:rsidR="00BB07D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биха могли да бъдат причинени от предмет или пръст. На 20 януари 2020 г. бащата на жалбоподателя е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привлечен като обвиняем за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сексуално посегателство (чл. 149, ал. 1 от Наказателния кодекс), арестуван е и е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за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държан в предварителен арест в продължение на няколко дни.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В хода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разследването са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назначени</w:t>
      </w:r>
      <w:r w:rsidR="00BB07D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няколко експерт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изи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–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психологически и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сексологични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експертизи</w:t>
      </w:r>
      <w:r w:rsidR="00BB07D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бащата, както и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психиатрични и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психологически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експертизи</w:t>
      </w:r>
      <w:r w:rsidR="00BB07D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на детето. Разпитани са множество свидетели, близки до детето (баба и дядо, персонал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от детската градина, посещавана от жалбоподателя, и персонал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от хотела, в който бащата е отс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дал в София); телефонът, таблетът и компютърът на бащата са иззети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, като са назначени съотвтетните експертизи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. Втор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съдебно-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медицинск</w:t>
      </w:r>
      <w:r w:rsidR="00BB07D1">
        <w:rPr>
          <w:rFonts w:ascii="Times New Roman" w:eastAsia="MS Mincho" w:hAnsi="Times New Roman" w:cs="Times New Roman"/>
          <w:sz w:val="24"/>
          <w:szCs w:val="24"/>
          <w:lang w:val="bg-BG"/>
        </w:rPr>
        <w:t>а експертиза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>извършена</w:t>
      </w:r>
      <w:r w:rsidR="00F80D63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през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м.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януари 2021 г.,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установява липсата 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лезии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>към конкретния момент, като се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израз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>ява становищто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</w:t>
      </w:r>
      <w:r w:rsidR="00661064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цепнатината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>установена при първата експертиза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е могла да изчезне,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но оспорва констатцията на белег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, предполага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>щ наличието на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по-дълбока рана, </w:t>
      </w:r>
      <w:r w:rsidR="00F80D63">
        <w:rPr>
          <w:rFonts w:ascii="Times New Roman" w:eastAsia="MS Mincho" w:hAnsi="Times New Roman" w:cs="Times New Roman"/>
          <w:sz w:val="24"/>
          <w:szCs w:val="24"/>
          <w:lang w:val="bg-BG"/>
        </w:rPr>
        <w:t>поради което не може да се заличи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14:paraId="1E336375" w14:textId="379A7003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6. На 13 септември 2021 г. прокуратурата прекрат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ява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делото,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постновявайки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събраните доказателства не позволяват да се направи заключение, че детето е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обект на сексуални злоупотреби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от баща си.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Според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експертните заключения установяват, че не е имало проникване, че лезиите около ануса на детето може да са причинени от докосване, но могат да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се дължат</w:t>
      </w:r>
      <w:r w:rsidR="0056312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и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други причини, като например случайно нараняване или запек, и че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при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извършените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съдебни експертизи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бащата и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неговите електронни устройства не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се установяват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сексуални отклонения или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търсене</w:t>
      </w:r>
      <w:r w:rsidR="00563121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порнографски уебсайтове. Прокурорът обоснова отказа да се назначи нова експертиза, поискана от майката,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считайки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същата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не е необходим</w:t>
      </w:r>
      <w:r w:rsidR="003B5848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с оглед на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установява</w:t>
      </w:r>
      <w:r w:rsidR="00563121">
        <w:rPr>
          <w:rFonts w:ascii="Times New Roman" w:eastAsia="MS Mincho" w:hAnsi="Times New Roman" w:cs="Times New Roman"/>
          <w:sz w:val="24"/>
          <w:szCs w:val="24"/>
          <w:lang w:val="bg-BG"/>
        </w:rPr>
        <w:t>не на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фактите, че </w:t>
      </w:r>
      <w:r w:rsidR="003B5848">
        <w:rPr>
          <w:rFonts w:ascii="Times New Roman" w:eastAsia="MS Mincho" w:hAnsi="Times New Roman" w:cs="Times New Roman"/>
          <w:sz w:val="24"/>
          <w:szCs w:val="24"/>
          <w:lang w:val="bg-BG"/>
        </w:rPr>
        <w:t>следва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да се защити детето</w:t>
      </w:r>
      <w:r w:rsidR="003054FB">
        <w:rPr>
          <w:rFonts w:ascii="Times New Roman" w:eastAsia="MS Mincho" w:hAnsi="Times New Roman" w:cs="Times New Roman"/>
          <w:sz w:val="24"/>
          <w:szCs w:val="24"/>
          <w:lang w:val="bg-BG"/>
        </w:rPr>
        <w:t>, както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 че производството не трябва да се удължава не</w:t>
      </w:r>
      <w:r w:rsidR="004D10CA">
        <w:rPr>
          <w:rFonts w:ascii="Times New Roman" w:eastAsia="MS Mincho" w:hAnsi="Times New Roman" w:cs="Times New Roman"/>
          <w:sz w:val="24"/>
          <w:szCs w:val="24"/>
          <w:lang w:val="bg-BG"/>
        </w:rPr>
        <w:t>обосновано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14:paraId="347B3934" w14:textId="59CA8333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7. Майката на жалбоподател</w:t>
      </w:r>
      <w:r w:rsidR="00DE4466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обжалва 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>постановлението</w:t>
      </w:r>
      <w:r w:rsidR="002D5B27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за прекратяване на делото. С 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>постановление</w:t>
      </w:r>
      <w:r w:rsidR="002D5B27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от 24 ноември 2021 г. 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>районният</w:t>
      </w:r>
      <w:r w:rsidR="002D5B27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съд разглежда подробно и отхвърля нейните аргументи относно липсата на квалификация и 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>на без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пристрастност на 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вещите лица при изготвяне 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психиатричните и медицинските експерти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>зи, както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 </w:t>
      </w:r>
      <w:r w:rsidR="002D5B27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прокурора.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Съдът</w:t>
      </w:r>
      <w:r w:rsidR="00F00326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обаче счита, че прокурорът изглежда не е взел предвид всички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lastRenderedPageBreak/>
        <w:t xml:space="preserve">относими доказателства, по-специално психологическите доклади, изготвени от сдружение за закрила на детето, и че не е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изяснил</w:t>
      </w:r>
      <w:r w:rsidR="00F00326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противоречията в медицинските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експертизи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. По жалба на прокуратурата, на 24 февруари 2022 г. Софийски градски съд отменя това решение.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Приемайки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че разследването е било </w:t>
      </w:r>
      <w:r w:rsidR="00AB36D0">
        <w:rPr>
          <w:rFonts w:ascii="Times New Roman" w:eastAsia="MS Mincho" w:hAnsi="Times New Roman" w:cs="Times New Roman"/>
          <w:sz w:val="24"/>
          <w:szCs w:val="24"/>
          <w:lang w:val="bg-BG"/>
        </w:rPr>
        <w:t>всестранно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, но не е установило нито наличието на сексуалн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злоупотреби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нито участието на бащата,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съдът</w:t>
      </w:r>
      <w:r w:rsidR="00F00326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потвърждава </w:t>
      </w:r>
      <w:r w:rsidR="00F00326">
        <w:rPr>
          <w:rFonts w:ascii="Times New Roman" w:eastAsia="MS Mincho" w:hAnsi="Times New Roman" w:cs="Times New Roman"/>
          <w:sz w:val="24"/>
          <w:szCs w:val="24"/>
          <w:lang w:val="bg-BG"/>
        </w:rPr>
        <w:t>постановлението</w:t>
      </w:r>
      <w:r w:rsidR="00F00326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за прекратяване на делото.</w:t>
      </w:r>
    </w:p>
    <w:p w14:paraId="764E451F" w14:textId="77777777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8. По време на това производство жалбоподателят и майка му са получили помощ и от социални служби и сдружения, специализирани в закрилата на детето, включително психологическа подкрепа.</w:t>
      </w:r>
    </w:p>
    <w:p w14:paraId="33BEB02C" w14:textId="13B8F07C" w:rsidR="00DF12DD" w:rsidRPr="009F5E69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9. Родителите на жалбоподател</w:t>
      </w:r>
      <w:r w:rsidR="00DE4466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са участвали в няколко други съдебни производства между 2019 и 2025 г. Майката на жалбоподател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е подала още четири молби за защита по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реда на З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акона за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защита от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домашното насилие, твърдейки, че бащата е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правил скандали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, обиждал я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,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преследвал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я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, или е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сезирал</w:t>
      </w:r>
      <w:r w:rsidR="009870B2"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съдебен изпълнител. Съдилищата са признали съществуването на конфликт между родителите, но са постановили, че действията на бащата не представляват домашно насилие по смисъла на закона.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През 2024 г. производство по ж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>алба за незаконно проникване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в жилището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е бил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о</w:t>
      </w:r>
      <w:r w:rsidRPr="009F5E69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прекратена .</w:t>
      </w:r>
    </w:p>
    <w:p w14:paraId="35794FD7" w14:textId="29341BA1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10. През 2022 г. майката на жалбоподателя е подала молба за промяна на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режима на лични отношения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определен</w:t>
      </w:r>
      <w:r w:rsidR="009870B2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в решението за развод. На няколко пъти Софийският районен съд е разпоредил временни условия за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осъществяване на режима на лични отношения</w:t>
      </w:r>
      <w:r w:rsidR="009870B2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и е било възможно да се проведат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няколко</w:t>
      </w:r>
      <w:r w:rsidR="009870B2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срещи между детето и баща му в специализирани центрове и в присъствието на трет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и лица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. С решение от 14 април 2025 г. </w:t>
      </w:r>
      <w:r w:rsidR="00004C27">
        <w:rPr>
          <w:rFonts w:ascii="Times New Roman" w:eastAsia="MS Mincho" w:hAnsi="Times New Roman" w:cs="Times New Roman"/>
          <w:sz w:val="24"/>
          <w:szCs w:val="24"/>
          <w:lang w:val="bg-BG"/>
        </w:rPr>
        <w:t>р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айонният съд е установил поетапен график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на режима на лични отношения  с</w:t>
      </w:r>
      <w:r w:rsidR="00004C27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бащата, определен както следва: през първите два месеца - в присъствието на майката и социален работник; през следващите два месеца - само в присъствието на социален работник; през следващите два месеца - първоначално в присъствието на социален работник, след това самостоятелно; през следващите два месеца - самостоятелно през деня. След период от осем месеца е трябвало да се прилага обичайният </w:t>
      </w:r>
      <w:r w:rsidR="009870B2">
        <w:rPr>
          <w:rFonts w:ascii="Times New Roman" w:eastAsia="MS Mincho" w:hAnsi="Times New Roman" w:cs="Times New Roman"/>
          <w:sz w:val="24"/>
          <w:szCs w:val="24"/>
          <w:lang w:val="bg-BG"/>
        </w:rPr>
        <w:t>режим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а именно през уикенд и половината от лятната ваканция.</w:t>
      </w:r>
    </w:p>
    <w:p w14:paraId="09F8CC5E" w14:textId="4F14A9C8" w:rsidR="00DF12DD" w:rsidRPr="006E6FFB" w:rsidRDefault="002E0B6A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bg-BG"/>
        </w:rPr>
        <w:t>ПРЕ</w:t>
      </w:r>
      <w:r w:rsidR="00DF12DD" w:rsidRPr="006E6FFB">
        <w:rPr>
          <w:rFonts w:ascii="Times New Roman" w:eastAsia="MS Mincho" w:hAnsi="Times New Roman" w:cs="Times New Roman"/>
          <w:sz w:val="24"/>
          <w:szCs w:val="24"/>
        </w:rPr>
        <w:t>ЦЕНКА НА СЪДА</w:t>
      </w:r>
    </w:p>
    <w:p w14:paraId="28C4DCC9" w14:textId="4D6A595E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11. Съдът счита за уместно да разгледа оплакванията на жалбоподателя по чл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3 и 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чл.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8 от Конвенцията (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Y </w:t>
      </w:r>
      <w:r w:rsidR="001C005A" w:rsidRPr="009F5E69">
        <w:rPr>
          <w:rFonts w:ascii="Times New Roman" w:eastAsia="MS Mincho" w:hAnsi="Times New Roman" w:cs="Times New Roman"/>
          <w:i/>
          <w:sz w:val="24"/>
          <w:szCs w:val="24"/>
        </w:rPr>
        <w:t>c. Bulgaria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, № 41990/18 , § 65, 20 февруари 2020 г.). 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>Съдът</w:t>
      </w:r>
      <w:r w:rsidR="008E42D3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се позовава на общите принципи на съдебна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>та си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практика относно позитивните и процесуалните задължения, произтичащи от тези разпоредби, както са посочени в решенията по 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X 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 xml:space="preserve">et 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lastRenderedPageBreak/>
        <w:t>autres c</w:t>
      </w:r>
      <w:r w:rsidR="00B30E8D" w:rsidRPr="00995195">
        <w:rPr>
          <w:rFonts w:ascii="Times New Roman" w:eastAsia="MS Mincho" w:hAnsi="Times New Roman" w:cs="Times New Roman"/>
          <w:i/>
          <w:sz w:val="24"/>
          <w:szCs w:val="24"/>
        </w:rPr>
        <w:t>. Bulgari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e</w:t>
      </w:r>
      <w:r w:rsidR="00B30E8D" w:rsidRPr="00B30E8D" w:rsidDel="00B30E8D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([GC], № 22457/16, §§ 181-190, 2 февруари 2021 г.) и 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Y 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c. Bulgarie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(цитирано по-горе, §§  80-83).</w:t>
      </w:r>
    </w:p>
    <w:p w14:paraId="2356CC0F" w14:textId="1B4FEB83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12. В този случай не се оспорва, че майката на жалбоподателката е 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сезирала </w:t>
      </w:r>
      <w:r w:rsidR="008E42D3" w:rsidRPr="006E6FFB">
        <w:rPr>
          <w:rFonts w:ascii="Times New Roman" w:eastAsia="MS Mincho" w:hAnsi="Times New Roman" w:cs="Times New Roman"/>
          <w:sz w:val="24"/>
          <w:szCs w:val="24"/>
        </w:rPr>
        <w:t>компетентните органи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със </w:t>
      </w:r>
      <w:r w:rsidR="008E42D3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„защитими“ твърдения за сексуалн</w:t>
      </w:r>
      <w:r w:rsidR="008E42D3">
        <w:rPr>
          <w:rFonts w:ascii="Times New Roman" w:eastAsia="MS Mincho" w:hAnsi="Times New Roman" w:cs="Times New Roman"/>
          <w:sz w:val="24"/>
          <w:szCs w:val="24"/>
          <w:lang w:val="bg-BG"/>
        </w:rPr>
        <w:t>и злоупотреби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по отношение на които последните, съгласно гореспоменатите разпоредби, са имали задължението да проведат ефективно разследване.</w:t>
      </w:r>
    </w:p>
    <w:p w14:paraId="53DF2866" w14:textId="474447FA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13. Съдът отбелязва, че властите са действали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своевременно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тъй като наказателното производство е било образувано много бързо след подадената жалба, жалбоподател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ят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е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бил подложен на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медицински преглед и е била взета мярка за защита от домашно насилие.</w:t>
      </w:r>
    </w:p>
    <w:p w14:paraId="331DBFCD" w14:textId="789FDA52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14.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В хода на гражданското и на наказателното дело са били предприети множество действия по разследването</w:t>
      </w:r>
      <w:r w:rsidRPr="006E6FFB">
        <w:rPr>
          <w:rFonts w:ascii="Times New Roman" w:eastAsia="MS Mincho" w:hAnsi="Times New Roman" w:cs="Times New Roman"/>
          <w:sz w:val="24"/>
          <w:szCs w:val="24"/>
        </w:rPr>
        <w:t>. Събраните доказателства обаче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,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не са позволили на компетентните органи да заключат с достатъчна сигурност, че твърд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ените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от майката на жалбоподателя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злоупотреби са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били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извършен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и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. В тази връзка Съдът отново заявява, че процесуалното задължение за провеждане на ефективно разследване е задължение за средства, а не за резултат, </w:t>
      </w:r>
      <w:r w:rsidR="00717333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като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факт</w:t>
      </w:r>
      <w:r w:rsidR="00717333">
        <w:rPr>
          <w:rFonts w:ascii="Times New Roman" w:eastAsia="MS Mincho" w:hAnsi="Times New Roman" w:cs="Times New Roman"/>
          <w:sz w:val="24"/>
          <w:szCs w:val="24"/>
          <w:lang w:val="bg-BG"/>
        </w:rPr>
        <w:t>ът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че разследванията не са довели до </w:t>
      </w:r>
      <w:r w:rsidR="00717333">
        <w:rPr>
          <w:rFonts w:ascii="Times New Roman" w:eastAsia="MS Mincho" w:hAnsi="Times New Roman" w:cs="Times New Roman"/>
          <w:sz w:val="24"/>
          <w:szCs w:val="24"/>
          <w:lang w:val="bg-BG"/>
        </w:rPr>
        <w:t>подвеждане под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наказателна отговорност на конкретни лица, не може да постави под въпрос тяхната ефективност.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Освен това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Съдът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няма основание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да поставя под въпрос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версиите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из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следвани от разследващите, или фактическите констатации, до които са </w:t>
      </w:r>
      <w:r w:rsidR="00B30E8D">
        <w:rPr>
          <w:rFonts w:ascii="Times New Roman" w:eastAsia="MS Mincho" w:hAnsi="Times New Roman" w:cs="Times New Roman"/>
          <w:sz w:val="24"/>
          <w:szCs w:val="24"/>
          <w:lang w:val="bg-BG"/>
        </w:rPr>
        <w:t>до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стигнали, освен </w:t>
      </w:r>
      <w:r w:rsidR="00C46611">
        <w:rPr>
          <w:rFonts w:ascii="Times New Roman" w:eastAsia="MS Mincho" w:hAnsi="Times New Roman" w:cs="Times New Roman"/>
          <w:sz w:val="24"/>
          <w:szCs w:val="24"/>
          <w:lang w:val="bg-BG"/>
        </w:rPr>
        <w:t>ако</w:t>
      </w:r>
      <w:r w:rsidR="00C46611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те са произволни или очевидно не се основават на относими доказателства (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X 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et autres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. Bulgari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e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цитирано по-горе, §§ 186 и 210, и 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S</w:t>
      </w:r>
      <w:r w:rsidR="00B30E8D" w:rsidRPr="009F5E69">
        <w:rPr>
          <w:rFonts w:ascii="Times New Roman" w:eastAsia="MS Mincho" w:hAnsi="Times New Roman" w:cs="Times New Roman"/>
          <w:i/>
          <w:sz w:val="24"/>
          <w:szCs w:val="24"/>
          <w:lang w:val="bg-BG"/>
        </w:rPr>
        <w:t>.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Z</w:t>
      </w:r>
      <w:r w:rsidR="00B30E8D" w:rsidRPr="009F5E69">
        <w:rPr>
          <w:rFonts w:ascii="Times New Roman" w:eastAsia="MS Mincho" w:hAnsi="Times New Roman" w:cs="Times New Roman"/>
          <w:i/>
          <w:sz w:val="24"/>
          <w:szCs w:val="24"/>
          <w:lang w:val="bg-BG"/>
        </w:rPr>
        <w:t>.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. Bulgari</w:t>
      </w:r>
      <w:r w:rsidR="00B30E8D">
        <w:rPr>
          <w:rFonts w:ascii="Times New Roman" w:eastAsia="MS Mincho" w:hAnsi="Times New Roman" w:cs="Times New Roman"/>
          <w:i/>
          <w:sz w:val="24"/>
          <w:szCs w:val="24"/>
        </w:rPr>
        <w:t>e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№ 29263/12, §§ 46 и 50, 3 март 2015 г.), което изглежда не е така в този случай.</w:t>
      </w:r>
    </w:p>
    <w:p w14:paraId="1753E0C9" w14:textId="38201825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15. В настоящия случай разследването несъмнено е създало трудности поради </w:t>
      </w:r>
      <w:r w:rsidR="00BF1BC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малката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възраст на предполагаемата жертва и засиления конфликт между родителите. Освен това събраните доказателства (свидетелски показания, медицински </w:t>
      </w:r>
      <w:r w:rsidR="00CA7325">
        <w:rPr>
          <w:rFonts w:ascii="Times New Roman" w:eastAsia="MS Mincho" w:hAnsi="Times New Roman" w:cs="Times New Roman"/>
          <w:sz w:val="24"/>
          <w:szCs w:val="24"/>
          <w:lang w:val="bg-BG"/>
        </w:rPr>
        <w:t>експертизи</w:t>
      </w:r>
      <w:r w:rsidR="00CA7325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и психологически доклади) са били неубедителни и понякога противоречиви (вж. параграфи 5-7 по-горе). Съдът не намира </w:t>
      </w:r>
      <w:r w:rsidR="00CA7325">
        <w:rPr>
          <w:rFonts w:ascii="Times New Roman" w:eastAsia="MS Mincho" w:hAnsi="Times New Roman" w:cs="Times New Roman"/>
          <w:sz w:val="24"/>
          <w:szCs w:val="24"/>
          <w:lang w:val="bg-BG"/>
        </w:rPr>
        <w:t>укорими</w:t>
      </w:r>
      <w:r w:rsidR="00CA7325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пропуски в усилията, положени от властите за установяване на фактите или за подвеждане под отговорност на извършителите на престъпления (сравни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 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M</w:t>
      </w:r>
      <w:r w:rsidR="00CA7325" w:rsidRPr="009F5E69">
        <w:rPr>
          <w:rFonts w:ascii="Times New Roman" w:eastAsia="MS Mincho" w:hAnsi="Times New Roman" w:cs="Times New Roman"/>
          <w:i/>
          <w:sz w:val="24"/>
          <w:szCs w:val="24"/>
          <w:lang w:val="bg-BG"/>
        </w:rPr>
        <w:t>.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P</w:t>
      </w:r>
      <w:r w:rsidR="00CA7325" w:rsidRPr="009F5E69">
        <w:rPr>
          <w:rFonts w:ascii="Times New Roman" w:eastAsia="MS Mincho" w:hAnsi="Times New Roman" w:cs="Times New Roman"/>
          <w:i/>
          <w:sz w:val="24"/>
          <w:szCs w:val="24"/>
          <w:lang w:val="bg-BG"/>
        </w:rPr>
        <w:t>.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CA7325" w:rsidRPr="009F5E69">
        <w:rPr>
          <w:rFonts w:ascii="Times New Roman" w:eastAsia="MS Mincho" w:hAnsi="Times New Roman" w:cs="Times New Roman"/>
          <w:i/>
          <w:sz w:val="24"/>
          <w:szCs w:val="24"/>
        </w:rPr>
        <w:t>et autres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CA7325" w:rsidRPr="009F5E69"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. Bulgari</w:t>
      </w:r>
      <w:r w:rsidR="00CA7325" w:rsidRPr="009F5E69">
        <w:rPr>
          <w:rFonts w:ascii="Times New Roman" w:eastAsia="MS Mincho" w:hAnsi="Times New Roman" w:cs="Times New Roman"/>
          <w:i/>
          <w:sz w:val="24"/>
          <w:szCs w:val="24"/>
        </w:rPr>
        <w:t>e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№ 22457/08 , §§ 112-113, 15 ноември 2011 г.). По отношение по-специално на твърд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енията за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липса на квалификация и независимост на вещите лица в наказателното производство,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районният</w:t>
      </w:r>
      <w:r w:rsidR="005D3201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съд е установил, че аргументите на жалбоподателя в това отношение са неоснователни и това заключение не изглежда произволно или явно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необосновано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. По-специално, фактът, че едно от вещите лица, извършили втората медицинска оценка на жалбоподателя, вече </w:t>
      </w:r>
      <w:r w:rsidRPr="006E6FFB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е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имало качеството на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вещо лице в гражданското производство (параграфи 4-5 по-горе), не поставя под въпрос неговата независимост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на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вещо лице, ко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то не е на същото ниво като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тази, която се изисква по отношение на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съдиите ( 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Letinčić </w:t>
      </w:r>
      <w:r w:rsidR="005D3201" w:rsidRPr="009F5E69">
        <w:rPr>
          <w:rFonts w:ascii="Times New Roman" w:eastAsia="MS Mincho" w:hAnsi="Times New Roman" w:cs="Times New Roman"/>
          <w:i/>
          <w:sz w:val="24"/>
          <w:szCs w:val="24"/>
        </w:rPr>
        <w:t>c. Croatie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, № 7183/11, § 51, 3 май 2016 г.). Съдът отбелязва в тази връзка, че представителите на жалбоподателя са имали възможност да оспорят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екпертните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заключения, да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задават въпроси на</w:t>
      </w:r>
      <w:r w:rsidR="005D3201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вещите лица в гражданското производство и да обжалват решенията, взети от прокуратурата и окръжния съд.</w:t>
      </w:r>
    </w:p>
    <w:p w14:paraId="07E3332C" w14:textId="1E55D307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16. С оглед на гореизложените съображения, проведените по този случай разследвания не изглежда да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са извършени в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противореч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ие с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изискванията на чл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3 и </w:t>
      </w:r>
      <w:r w:rsidR="005D3201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чл.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8 от Конвенцията.</w:t>
      </w:r>
    </w:p>
    <w:p w14:paraId="322EE2A5" w14:textId="40BF282D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17. </w:t>
      </w:r>
      <w:r w:rsidR="005E40EB">
        <w:rPr>
          <w:rFonts w:ascii="Times New Roman" w:eastAsia="MS Mincho" w:hAnsi="Times New Roman" w:cs="Times New Roman"/>
          <w:sz w:val="24"/>
          <w:szCs w:val="24"/>
          <w:lang w:val="bg-BG"/>
        </w:rPr>
        <w:t>Разпоредбата на чл.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3 от Конвенцията може </w:t>
      </w:r>
      <w:r w:rsidR="005E40EB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впрочем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при определени обстоятелства, да </w:t>
      </w:r>
      <w:r w:rsidR="005E40EB">
        <w:rPr>
          <w:rFonts w:ascii="Times New Roman" w:eastAsia="MS Mincho" w:hAnsi="Times New Roman" w:cs="Times New Roman"/>
          <w:sz w:val="24"/>
          <w:szCs w:val="24"/>
          <w:lang w:val="bg-BG"/>
        </w:rPr>
        <w:t>налага на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държавата да предприеме конкретни мерки за защита на действителни или потенциални жертви на малтретиране, за което властите са </w:t>
      </w:r>
      <w:r w:rsidR="005E40EB">
        <w:rPr>
          <w:rFonts w:ascii="Times New Roman" w:eastAsia="MS Mincho" w:hAnsi="Times New Roman" w:cs="Times New Roman"/>
          <w:sz w:val="24"/>
          <w:szCs w:val="24"/>
        </w:rPr>
        <w:t>знаели</w:t>
      </w:r>
      <w:r w:rsidR="005E40EB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или е трябвало да знаят (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X </w:t>
      </w:r>
      <w:r w:rsidR="005E40EB">
        <w:rPr>
          <w:rFonts w:ascii="Times New Roman" w:eastAsia="MS Mincho" w:hAnsi="Times New Roman" w:cs="Times New Roman"/>
          <w:i/>
          <w:sz w:val="24"/>
          <w:szCs w:val="24"/>
        </w:rPr>
        <w:t>et autres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5E40EB"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. Bulgari</w:t>
      </w:r>
      <w:r w:rsidR="005E40EB">
        <w:rPr>
          <w:rFonts w:ascii="Times New Roman" w:eastAsia="MS Mincho" w:hAnsi="Times New Roman" w:cs="Times New Roman"/>
          <w:i/>
          <w:sz w:val="24"/>
          <w:szCs w:val="24"/>
        </w:rPr>
        <w:t>e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, цитирано по-горе, §§ 181-182, и 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 xml:space="preserve">O'Keeffe </w:t>
      </w:r>
      <w:r w:rsidR="005E40EB"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9F5E69">
        <w:rPr>
          <w:rFonts w:ascii="Times New Roman" w:eastAsia="MS Mincho" w:hAnsi="Times New Roman" w:cs="Times New Roman"/>
          <w:i/>
          <w:sz w:val="24"/>
          <w:szCs w:val="24"/>
        </w:rPr>
        <w:t>. Ireland</w:t>
      </w:r>
      <w:r w:rsidR="005E40EB" w:rsidRPr="009F5E69">
        <w:rPr>
          <w:rFonts w:ascii="Times New Roman" w:eastAsia="MS Mincho" w:hAnsi="Times New Roman" w:cs="Times New Roman"/>
          <w:i/>
          <w:sz w:val="24"/>
          <w:szCs w:val="24"/>
        </w:rPr>
        <w:t>e</w:t>
      </w:r>
      <w:r w:rsidRPr="006E6FFB">
        <w:rPr>
          <w:rFonts w:ascii="Times New Roman" w:eastAsia="MS Mincho" w:hAnsi="Times New Roman" w:cs="Times New Roman"/>
          <w:sz w:val="24"/>
          <w:szCs w:val="24"/>
        </w:rPr>
        <w:t>[GC], № 35810/09 , § 144, ECHR 2014 (откъси) ).</w:t>
      </w:r>
    </w:p>
    <w:p w14:paraId="4BB9AE9B" w14:textId="1C88C487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18. В настоящия случай Съдът отбелязва, че гражданските съдилища, сезирани от майката на жалбоподател</w:t>
      </w:r>
      <w:r w:rsidR="001C005A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, незабавно са наложили временна заповед за защита, забраняваща на бащата да се доближава до детето (вж. параграф 4 по-горе). Тази 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>мярка</w:t>
      </w:r>
      <w:r w:rsidR="0046597C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е отменена едва когато съдилищата са установили, въз основа на извършените 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действия по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разследва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>нето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и в 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рамките на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състезателно производство, че не е възможно да се установи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дали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жалбоподателят е 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жертва на сексуални злоупотреби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от баща си. </w:t>
      </w:r>
      <w:r w:rsidR="0046597C">
        <w:rPr>
          <w:rFonts w:ascii="Times New Roman" w:eastAsia="MS Mincho" w:hAnsi="Times New Roman" w:cs="Times New Roman"/>
          <w:sz w:val="24"/>
          <w:szCs w:val="24"/>
          <w:lang w:val="bg-BG"/>
        </w:rPr>
        <w:t>Съдилищата, от друга страна,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са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определили режим на лични отношения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така че бащата да може да се среща с жалбоподател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>я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в присъствието на трет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и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лица с оглед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поддържа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не на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отношенията родител-дете, като същевременно се избягва всякакъв риск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предвид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твърденията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</w:t>
      </w:r>
      <w:r w:rsidR="001C005A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майката (вж. параграф 10 по-горе). Жалбоподател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ят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е получил и подкрепа от социалните служби (вж. параграф 8 и по-горе). Според Съда, тези мерки,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разгледани</w:t>
      </w:r>
      <w:r w:rsidR="00DE429D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като цяло, изглежда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са от естество да се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изб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егне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твърдения</w:t>
      </w:r>
      <w:r w:rsidR="00DE429D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риск от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злоупотреби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така че държавата ответник не е нарушила своите позитивни задължения по чл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3 от Конвенцията (сравни с M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6E6FFB">
        <w:rPr>
          <w:rFonts w:ascii="Times New Roman" w:eastAsia="MS Mincho" w:hAnsi="Times New Roman" w:cs="Times New Roman"/>
          <w:sz w:val="24"/>
          <w:szCs w:val="24"/>
        </w:rPr>
        <w:t>P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. </w:t>
      </w:r>
      <w:r w:rsidR="00DE429D">
        <w:rPr>
          <w:rFonts w:ascii="Times New Roman" w:eastAsia="MS Mincho" w:hAnsi="Times New Roman" w:cs="Times New Roman"/>
          <w:sz w:val="24"/>
          <w:szCs w:val="24"/>
        </w:rPr>
        <w:t xml:space="preserve"> autres c.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Bulgari</w:t>
      </w:r>
      <w:r w:rsidR="00DE429D">
        <w:rPr>
          <w:rFonts w:ascii="Times New Roman" w:eastAsia="MS Mincho" w:hAnsi="Times New Roman" w:cs="Times New Roman"/>
          <w:sz w:val="24"/>
          <w:szCs w:val="24"/>
        </w:rPr>
        <w:t>e</w:t>
      </w:r>
      <w:r w:rsidRPr="006E6FFB">
        <w:rPr>
          <w:rFonts w:ascii="Times New Roman" w:eastAsia="MS Mincho" w:hAnsi="Times New Roman" w:cs="Times New Roman"/>
          <w:sz w:val="24"/>
          <w:szCs w:val="24"/>
        </w:rPr>
        <w:t>, цитирано по-горе, §§ 114-118).</w:t>
      </w:r>
    </w:p>
    <w:p w14:paraId="2D6C41E8" w14:textId="7974EC76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19. В светлината на гореизложеното, 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жалбата</w:t>
      </w:r>
      <w:r w:rsidR="00DE429D" w:rsidRPr="006E6F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трябва да бъде отхвърлена като явно необоснована съгласно чл</w:t>
      </w:r>
      <w:r w:rsidR="00DE429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35 § 4 от Конвенцията.</w:t>
      </w:r>
    </w:p>
    <w:p w14:paraId="2D2933B4" w14:textId="64D36758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Поради тези причини, Съдът, единодушно,</w:t>
      </w:r>
    </w:p>
    <w:p w14:paraId="20B152BD" w14:textId="473B17A5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Обявява 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жалбата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 за недопустим</w:t>
      </w:r>
      <w:r w:rsidR="0021693E">
        <w:rPr>
          <w:rFonts w:ascii="Times New Roman" w:eastAsia="MS Mincho" w:hAnsi="Times New Roman" w:cs="Times New Roman"/>
          <w:sz w:val="24"/>
          <w:szCs w:val="24"/>
          <w:lang w:val="bg-BG"/>
        </w:rPr>
        <w:t>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DBFE80A" w14:textId="77777777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>Съставено на френски език и след това съобщено писмено на 11 декември 2025 г.</w:t>
      </w:r>
    </w:p>
    <w:p w14:paraId="56359721" w14:textId="77777777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lastRenderedPageBreak/>
        <w:tab/>
      </w:r>
    </w:p>
    <w:p w14:paraId="60F3C279" w14:textId="01BFBAC6" w:rsidR="00DF12DD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ab/>
      </w:r>
      <w:r w:rsidR="006E6FFB" w:rsidRPr="006E6FFB">
        <w:rPr>
          <w:rFonts w:ascii="Times New Roman" w:eastAsia="MS Mincho" w:hAnsi="Times New Roman" w:cs="Times New Roman"/>
          <w:sz w:val="24"/>
          <w:szCs w:val="24"/>
        </w:rPr>
        <w:t>Олга Чернишова</w:t>
      </w:r>
      <w:r w:rsidRPr="006E6FFB">
        <w:rPr>
          <w:rFonts w:ascii="Times New Roman" w:eastAsia="MS Mincho" w:hAnsi="Times New Roman" w:cs="Times New Roman"/>
          <w:sz w:val="24"/>
          <w:szCs w:val="24"/>
        </w:rPr>
        <w:tab/>
      </w:r>
      <w:r w:rsidRPr="006E6FFB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                                                             </w:t>
      </w:r>
      <w:r w:rsidRPr="006E6FFB">
        <w:rPr>
          <w:rFonts w:ascii="Times New Roman" w:eastAsia="MS Mincho" w:hAnsi="Times New Roman" w:cs="Times New Roman"/>
          <w:sz w:val="24"/>
          <w:szCs w:val="24"/>
        </w:rPr>
        <w:t xml:space="preserve">Peeter Roosma </w:t>
      </w:r>
    </w:p>
    <w:p w14:paraId="3B4381AF" w14:textId="49AD1299" w:rsidR="006E5670" w:rsidRPr="006E6FFB" w:rsidRDefault="00DF12DD" w:rsidP="006E6FF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6FFB">
        <w:rPr>
          <w:rFonts w:ascii="Times New Roman" w:eastAsia="MS Mincho" w:hAnsi="Times New Roman" w:cs="Times New Roman"/>
          <w:sz w:val="24"/>
          <w:szCs w:val="24"/>
        </w:rPr>
        <w:tab/>
        <w:t xml:space="preserve">Заместник-секретар </w:t>
      </w:r>
      <w:r w:rsidRPr="006E6FFB">
        <w:rPr>
          <w:rFonts w:ascii="Times New Roman" w:eastAsia="MS Mincho" w:hAnsi="Times New Roman" w:cs="Times New Roman"/>
          <w:sz w:val="24"/>
          <w:szCs w:val="24"/>
        </w:rPr>
        <w:tab/>
      </w:r>
      <w:r w:rsidRPr="006E6FFB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                                                             </w:t>
      </w:r>
      <w:r w:rsidRPr="006E6FFB">
        <w:rPr>
          <w:rFonts w:ascii="Times New Roman" w:eastAsia="MS Mincho" w:hAnsi="Times New Roman" w:cs="Times New Roman"/>
          <w:sz w:val="24"/>
          <w:szCs w:val="24"/>
        </w:rPr>
        <w:t>Председател</w:t>
      </w:r>
    </w:p>
    <w:p w14:paraId="0751CA4C" w14:textId="77777777" w:rsidR="007F05D8" w:rsidRPr="006E6FFB" w:rsidRDefault="007F05D8" w:rsidP="006E6FF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929682" w14:textId="2587EDD0" w:rsidR="006E6FFB" w:rsidRPr="009F5E69" w:rsidRDefault="0021693E" w:rsidP="006E6FF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</w:p>
    <w:p w14:paraId="3F14A857" w14:textId="168AE993" w:rsidR="00C205E3" w:rsidRPr="006E6FFB" w:rsidRDefault="00C205E3" w:rsidP="006E6FF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8EB54C" w14:textId="5471B447" w:rsidR="002A7BCB" w:rsidRPr="006E6FFB" w:rsidRDefault="002A7BCB" w:rsidP="006E6FF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A7BCB" w:rsidRPr="006E6FFB" w:rsidSect="00A470B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48B3" w14:textId="77777777" w:rsidR="00C0746D" w:rsidRDefault="00C0746D" w:rsidP="00A470BF">
      <w:pPr>
        <w:spacing w:after="0" w:line="240" w:lineRule="auto"/>
      </w:pPr>
      <w:r>
        <w:separator/>
      </w:r>
    </w:p>
  </w:endnote>
  <w:endnote w:type="continuationSeparator" w:id="0">
    <w:p w14:paraId="052E3988" w14:textId="77777777" w:rsidR="00C0746D" w:rsidRDefault="00C0746D" w:rsidP="00A4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053F" w14:textId="073895FC" w:rsidR="00EB6CCB" w:rsidRPr="00A470BF" w:rsidRDefault="00EB6CCB" w:rsidP="00A470BF">
    <w:pPr>
      <w:widowControl w:val="0"/>
      <w:tabs>
        <w:tab w:val="center" w:pos="4536"/>
        <w:tab w:val="right" w:pos="9072"/>
      </w:tabs>
      <w:spacing w:after="0" w:line="260" w:lineRule="atLeast"/>
      <w:jc w:val="right"/>
      <w:rPr>
        <w:rFonts w:ascii="Times New Roman" w:eastAsia="Times New Roman" w:hAnsi="Times New Roman" w:cs="Times New Roman"/>
        <w:szCs w:val="20"/>
      </w:rPr>
    </w:pPr>
    <w:r w:rsidRPr="00FD5118">
      <w:rPr>
        <w:rFonts w:ascii="Times New Roman" w:eastAsia="Times New Roman" w:hAnsi="Times New Roman" w:cs="Times New Roman"/>
      </w:rPr>
      <w:fldChar w:fldCharType="begin"/>
    </w:r>
    <w:r w:rsidRPr="00FD5118">
      <w:rPr>
        <w:rFonts w:ascii="Times New Roman" w:eastAsia="Times New Roman" w:hAnsi="Times New Roman" w:cs="Times New Roman"/>
      </w:rPr>
      <w:instrText xml:space="preserve"> PAGE  \* MERGEFORMAT </w:instrText>
    </w:r>
    <w:r w:rsidRPr="009F5E69">
      <w:rPr>
        <w:rFonts w:ascii="Times New Roman" w:eastAsia="Times New Roman" w:hAnsi="Times New Roman" w:cs="Times New Roman"/>
      </w:rPr>
      <w:fldChar w:fldCharType="separate"/>
    </w:r>
    <w:r w:rsidR="009F5E69" w:rsidRPr="009F5E69">
      <w:rPr>
        <w:rFonts w:ascii="Times New Roman" w:hAnsi="Times New Roman" w:cs="Times New Roman"/>
        <w:noProof/>
      </w:rPr>
      <w:t>3</w:t>
    </w:r>
    <w:r w:rsidRPr="009F5E69">
      <w:rPr>
        <w:rFonts w:ascii="Times New Roman" w:eastAsia="Times New Roman" w:hAnsi="Times New Roman" w:cs="Times New Roman"/>
        <w:b/>
      </w:rPr>
      <w:fldChar w:fldCharType="end"/>
    </w:r>
  </w:p>
  <w:p w14:paraId="1A8BF941" w14:textId="77777777" w:rsidR="00EB6CCB" w:rsidRDefault="00EB6C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53DEB" w14:textId="6EB96508" w:rsidR="00EB6CCB" w:rsidRPr="00A470BF" w:rsidRDefault="00EB6CCB" w:rsidP="00A470BF">
    <w:pPr>
      <w:widowControl w:val="0"/>
      <w:tabs>
        <w:tab w:val="center" w:pos="4536"/>
        <w:tab w:val="right" w:pos="9072"/>
      </w:tabs>
      <w:spacing w:after="0" w:line="260" w:lineRule="atLeast"/>
      <w:jc w:val="right"/>
      <w:rPr>
        <w:rFonts w:ascii="Times New Roman" w:eastAsia="Times New Roman" w:hAnsi="Times New Roman" w:cs="Times New Roman"/>
        <w:szCs w:val="20"/>
      </w:rPr>
    </w:pPr>
    <w:r w:rsidRPr="00A470BF">
      <w:rPr>
        <w:rFonts w:ascii="Times New Roman" w:eastAsia="Times New Roman" w:hAnsi="Times New Roman" w:cs="Times New Roman"/>
      </w:rPr>
      <w:fldChar w:fldCharType="begin"/>
    </w:r>
    <w:r w:rsidRPr="00A470BF">
      <w:rPr>
        <w:rFonts w:ascii="Times New Roman" w:eastAsia="Times New Roman" w:hAnsi="Times New Roman" w:cs="Times New Roman"/>
      </w:rPr>
      <w:instrText xml:space="preserve"> PAGE  \* MERGEFORMAT </w:instrText>
    </w:r>
    <w:r w:rsidRPr="00A470BF">
      <w:rPr>
        <w:rFonts w:ascii="Times New Roman" w:eastAsia="Times New Roman" w:hAnsi="Times New Roman" w:cs="Times New Roman"/>
      </w:rPr>
      <w:fldChar w:fldCharType="separate"/>
    </w:r>
    <w:r w:rsidR="009F5E69">
      <w:rPr>
        <w:rFonts w:ascii="Times New Roman" w:eastAsia="Times New Roman" w:hAnsi="Times New Roman" w:cs="Times New Roman"/>
        <w:noProof/>
      </w:rPr>
      <w:t>1</w:t>
    </w:r>
    <w:r w:rsidRPr="00A470BF">
      <w:rPr>
        <w:rFonts w:asciiTheme="majorHAnsi" w:eastAsia="Times New Roman" w:hAnsiTheme="majorHAnsi" w:cs="Times New Roman"/>
        <w:b/>
      </w:rPr>
      <w:fldChar w:fldCharType="end"/>
    </w:r>
  </w:p>
  <w:p w14:paraId="57E28477" w14:textId="77777777" w:rsidR="00EB6CCB" w:rsidRDefault="00EB6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2AE6" w14:textId="77777777" w:rsidR="00C0746D" w:rsidRDefault="00C0746D" w:rsidP="00A470BF">
      <w:pPr>
        <w:spacing w:after="0" w:line="240" w:lineRule="auto"/>
      </w:pPr>
      <w:r>
        <w:separator/>
      </w:r>
    </w:p>
  </w:footnote>
  <w:footnote w:type="continuationSeparator" w:id="0">
    <w:p w14:paraId="7ADED8C6" w14:textId="77777777" w:rsidR="00C0746D" w:rsidRDefault="00C0746D" w:rsidP="00A4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2AFE0" w14:textId="053226FC" w:rsidR="00EB6CCB" w:rsidRPr="00A470BF" w:rsidRDefault="0021693E" w:rsidP="00A470BF">
    <w:pPr>
      <w:widowControl w:val="0"/>
      <w:tabs>
        <w:tab w:val="center" w:pos="4536"/>
        <w:tab w:val="right" w:pos="9072"/>
      </w:tabs>
      <w:spacing w:after="0" w:line="260" w:lineRule="atLeast"/>
      <w:rPr>
        <w:rFonts w:ascii="Arial" w:eastAsia="Times New Roman" w:hAnsi="Arial" w:cs="Arial"/>
        <w:b/>
        <w:i/>
        <w:color w:val="333333"/>
        <w:sz w:val="18"/>
        <w:szCs w:val="18"/>
        <w:lang w:val="ru-RU"/>
      </w:rPr>
    </w:pPr>
    <w:r>
      <w:rPr>
        <w:rFonts w:ascii="Times New Roman" w:hAnsi="Times New Roman"/>
        <w:noProof/>
        <w:lang w:val="bg-BG" w:eastAsia="bg-BG"/>
      </w:rPr>
      <w:t xml:space="preserve"> </w:t>
    </w:r>
  </w:p>
  <w:p w14:paraId="1062026A" w14:textId="77777777" w:rsidR="00EB6CCB" w:rsidRPr="00A470BF" w:rsidRDefault="00EB6CCB" w:rsidP="00A470BF">
    <w:pPr>
      <w:widowControl w:val="0"/>
      <w:tabs>
        <w:tab w:val="center" w:pos="4536"/>
        <w:tab w:val="right" w:pos="9072"/>
      </w:tabs>
      <w:spacing w:after="0" w:line="260" w:lineRule="atLeast"/>
      <w:rPr>
        <w:rFonts w:ascii="Arial" w:eastAsia="Times New Roman" w:hAnsi="Arial" w:cs="Arial"/>
        <w:b/>
        <w:i/>
        <w:color w:val="333333"/>
        <w:sz w:val="18"/>
        <w:szCs w:val="18"/>
      </w:rPr>
    </w:pPr>
  </w:p>
  <w:p w14:paraId="22E8089F" w14:textId="77777777" w:rsidR="00EB6CCB" w:rsidRDefault="00EB6C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51DE"/>
    <w:multiLevelType w:val="hybridMultilevel"/>
    <w:tmpl w:val="E6D2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09AA"/>
    <w:multiLevelType w:val="hybridMultilevel"/>
    <w:tmpl w:val="F8B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7B"/>
    <w:rsid w:val="000024EF"/>
    <w:rsid w:val="00004C27"/>
    <w:rsid w:val="00036690"/>
    <w:rsid w:val="000417BC"/>
    <w:rsid w:val="000564DC"/>
    <w:rsid w:val="00062938"/>
    <w:rsid w:val="00095B12"/>
    <w:rsid w:val="000A213B"/>
    <w:rsid w:val="000B72D6"/>
    <w:rsid w:val="000C3808"/>
    <w:rsid w:val="000D308B"/>
    <w:rsid w:val="000D37F4"/>
    <w:rsid w:val="000D5241"/>
    <w:rsid w:val="000E0976"/>
    <w:rsid w:val="000E5CFC"/>
    <w:rsid w:val="000F5449"/>
    <w:rsid w:val="000F669A"/>
    <w:rsid w:val="0010699C"/>
    <w:rsid w:val="0010773B"/>
    <w:rsid w:val="0011481C"/>
    <w:rsid w:val="0012787A"/>
    <w:rsid w:val="00131F39"/>
    <w:rsid w:val="00132755"/>
    <w:rsid w:val="001416FA"/>
    <w:rsid w:val="0014636A"/>
    <w:rsid w:val="00152F67"/>
    <w:rsid w:val="001619E9"/>
    <w:rsid w:val="00161E9D"/>
    <w:rsid w:val="00190D47"/>
    <w:rsid w:val="00197DE9"/>
    <w:rsid w:val="001C005A"/>
    <w:rsid w:val="001D6E9D"/>
    <w:rsid w:val="001E239F"/>
    <w:rsid w:val="001F0171"/>
    <w:rsid w:val="002012F4"/>
    <w:rsid w:val="00201B4D"/>
    <w:rsid w:val="002048B4"/>
    <w:rsid w:val="0021693E"/>
    <w:rsid w:val="002363F7"/>
    <w:rsid w:val="00240242"/>
    <w:rsid w:val="00244ADA"/>
    <w:rsid w:val="00253B32"/>
    <w:rsid w:val="00260B09"/>
    <w:rsid w:val="00262FFE"/>
    <w:rsid w:val="002A7BCB"/>
    <w:rsid w:val="002B1BA1"/>
    <w:rsid w:val="002C0162"/>
    <w:rsid w:val="002D021A"/>
    <w:rsid w:val="002D5B27"/>
    <w:rsid w:val="002E0B6A"/>
    <w:rsid w:val="002E5A79"/>
    <w:rsid w:val="002E6061"/>
    <w:rsid w:val="002F2F87"/>
    <w:rsid w:val="003054FB"/>
    <w:rsid w:val="00305A7A"/>
    <w:rsid w:val="003124AB"/>
    <w:rsid w:val="003405CD"/>
    <w:rsid w:val="00341BB5"/>
    <w:rsid w:val="00362D06"/>
    <w:rsid w:val="003670F7"/>
    <w:rsid w:val="00380FBC"/>
    <w:rsid w:val="003814C2"/>
    <w:rsid w:val="00391DFC"/>
    <w:rsid w:val="003B5848"/>
    <w:rsid w:val="003B7104"/>
    <w:rsid w:val="003B767E"/>
    <w:rsid w:val="003B7FCA"/>
    <w:rsid w:val="003C3E70"/>
    <w:rsid w:val="003F09F8"/>
    <w:rsid w:val="004223A2"/>
    <w:rsid w:val="004315A5"/>
    <w:rsid w:val="0046188B"/>
    <w:rsid w:val="0046597C"/>
    <w:rsid w:val="004713CE"/>
    <w:rsid w:val="00471F63"/>
    <w:rsid w:val="004829CB"/>
    <w:rsid w:val="0049634A"/>
    <w:rsid w:val="004B43FF"/>
    <w:rsid w:val="004B6954"/>
    <w:rsid w:val="004B7C8C"/>
    <w:rsid w:val="004C535A"/>
    <w:rsid w:val="004D10CA"/>
    <w:rsid w:val="004F1E54"/>
    <w:rsid w:val="004F2138"/>
    <w:rsid w:val="004F2DE1"/>
    <w:rsid w:val="00536FB9"/>
    <w:rsid w:val="00543FBD"/>
    <w:rsid w:val="00563121"/>
    <w:rsid w:val="0057222D"/>
    <w:rsid w:val="00593B46"/>
    <w:rsid w:val="005B1E05"/>
    <w:rsid w:val="005B208A"/>
    <w:rsid w:val="005D27E3"/>
    <w:rsid w:val="005D3201"/>
    <w:rsid w:val="005E40EB"/>
    <w:rsid w:val="005E58D0"/>
    <w:rsid w:val="005E5EB3"/>
    <w:rsid w:val="005F165F"/>
    <w:rsid w:val="005F39AC"/>
    <w:rsid w:val="005F5C9C"/>
    <w:rsid w:val="00611BD1"/>
    <w:rsid w:val="00614100"/>
    <w:rsid w:val="00624C7D"/>
    <w:rsid w:val="006327D9"/>
    <w:rsid w:val="00643A94"/>
    <w:rsid w:val="00645333"/>
    <w:rsid w:val="00660CE2"/>
    <w:rsid w:val="00661064"/>
    <w:rsid w:val="0066225A"/>
    <w:rsid w:val="0066768B"/>
    <w:rsid w:val="006907F8"/>
    <w:rsid w:val="006B4030"/>
    <w:rsid w:val="006C20EA"/>
    <w:rsid w:val="006E0CD9"/>
    <w:rsid w:val="006E2B3E"/>
    <w:rsid w:val="006E5670"/>
    <w:rsid w:val="006E6FFB"/>
    <w:rsid w:val="006F18C6"/>
    <w:rsid w:val="006F4C3F"/>
    <w:rsid w:val="00717333"/>
    <w:rsid w:val="0072435E"/>
    <w:rsid w:val="007244B5"/>
    <w:rsid w:val="00726989"/>
    <w:rsid w:val="00727DA9"/>
    <w:rsid w:val="00727DDB"/>
    <w:rsid w:val="00743A88"/>
    <w:rsid w:val="00746CE0"/>
    <w:rsid w:val="00756E1C"/>
    <w:rsid w:val="00783E1B"/>
    <w:rsid w:val="007935A1"/>
    <w:rsid w:val="00795D41"/>
    <w:rsid w:val="007D3FA1"/>
    <w:rsid w:val="007D75E2"/>
    <w:rsid w:val="007E5912"/>
    <w:rsid w:val="007F05D8"/>
    <w:rsid w:val="007F094F"/>
    <w:rsid w:val="007F1FD9"/>
    <w:rsid w:val="00800151"/>
    <w:rsid w:val="00827BA1"/>
    <w:rsid w:val="00835C99"/>
    <w:rsid w:val="008643B2"/>
    <w:rsid w:val="00873AF1"/>
    <w:rsid w:val="00875856"/>
    <w:rsid w:val="00876FD1"/>
    <w:rsid w:val="0089310D"/>
    <w:rsid w:val="00895B04"/>
    <w:rsid w:val="008A5DF0"/>
    <w:rsid w:val="008D74C9"/>
    <w:rsid w:val="008E42D3"/>
    <w:rsid w:val="008F5107"/>
    <w:rsid w:val="0090125B"/>
    <w:rsid w:val="0091541B"/>
    <w:rsid w:val="00923A54"/>
    <w:rsid w:val="00927F95"/>
    <w:rsid w:val="00974695"/>
    <w:rsid w:val="00976E28"/>
    <w:rsid w:val="0098191B"/>
    <w:rsid w:val="009870B2"/>
    <w:rsid w:val="009A4FD4"/>
    <w:rsid w:val="009B0809"/>
    <w:rsid w:val="009B5024"/>
    <w:rsid w:val="009C063B"/>
    <w:rsid w:val="009C2227"/>
    <w:rsid w:val="009D2AFE"/>
    <w:rsid w:val="009F5E69"/>
    <w:rsid w:val="00A00797"/>
    <w:rsid w:val="00A01816"/>
    <w:rsid w:val="00A0575E"/>
    <w:rsid w:val="00A0671E"/>
    <w:rsid w:val="00A14078"/>
    <w:rsid w:val="00A16753"/>
    <w:rsid w:val="00A23B8C"/>
    <w:rsid w:val="00A440FF"/>
    <w:rsid w:val="00A470BF"/>
    <w:rsid w:val="00A47D7B"/>
    <w:rsid w:val="00A7016D"/>
    <w:rsid w:val="00A925BF"/>
    <w:rsid w:val="00A944D1"/>
    <w:rsid w:val="00AA24D5"/>
    <w:rsid w:val="00AA3323"/>
    <w:rsid w:val="00AA53EE"/>
    <w:rsid w:val="00AB0A54"/>
    <w:rsid w:val="00AB36D0"/>
    <w:rsid w:val="00B0348D"/>
    <w:rsid w:val="00B04960"/>
    <w:rsid w:val="00B04DDD"/>
    <w:rsid w:val="00B0597A"/>
    <w:rsid w:val="00B21B74"/>
    <w:rsid w:val="00B22816"/>
    <w:rsid w:val="00B26D9B"/>
    <w:rsid w:val="00B30E8D"/>
    <w:rsid w:val="00B3797C"/>
    <w:rsid w:val="00B415FD"/>
    <w:rsid w:val="00B43675"/>
    <w:rsid w:val="00B44403"/>
    <w:rsid w:val="00B4660C"/>
    <w:rsid w:val="00B60B4E"/>
    <w:rsid w:val="00B75C70"/>
    <w:rsid w:val="00B802D2"/>
    <w:rsid w:val="00B8058F"/>
    <w:rsid w:val="00B8338F"/>
    <w:rsid w:val="00B90740"/>
    <w:rsid w:val="00B97BF4"/>
    <w:rsid w:val="00BB07D1"/>
    <w:rsid w:val="00BB6BBA"/>
    <w:rsid w:val="00BC4910"/>
    <w:rsid w:val="00BC73C9"/>
    <w:rsid w:val="00BE5EAB"/>
    <w:rsid w:val="00BF1BCE"/>
    <w:rsid w:val="00BF39ED"/>
    <w:rsid w:val="00C0746D"/>
    <w:rsid w:val="00C136B5"/>
    <w:rsid w:val="00C205E3"/>
    <w:rsid w:val="00C4161F"/>
    <w:rsid w:val="00C46611"/>
    <w:rsid w:val="00C93471"/>
    <w:rsid w:val="00CA7325"/>
    <w:rsid w:val="00CB0724"/>
    <w:rsid w:val="00CB7484"/>
    <w:rsid w:val="00CC0747"/>
    <w:rsid w:val="00CC158F"/>
    <w:rsid w:val="00CC2366"/>
    <w:rsid w:val="00CC5A12"/>
    <w:rsid w:val="00CD1BAC"/>
    <w:rsid w:val="00CD1E79"/>
    <w:rsid w:val="00CE2B22"/>
    <w:rsid w:val="00CF4672"/>
    <w:rsid w:val="00D02FE8"/>
    <w:rsid w:val="00D16779"/>
    <w:rsid w:val="00D51E68"/>
    <w:rsid w:val="00D6375E"/>
    <w:rsid w:val="00D7206B"/>
    <w:rsid w:val="00D7337E"/>
    <w:rsid w:val="00D748E7"/>
    <w:rsid w:val="00D75F6F"/>
    <w:rsid w:val="00D9134A"/>
    <w:rsid w:val="00D914AD"/>
    <w:rsid w:val="00DA1385"/>
    <w:rsid w:val="00DA1D24"/>
    <w:rsid w:val="00DB746F"/>
    <w:rsid w:val="00DB7EC1"/>
    <w:rsid w:val="00DC2C59"/>
    <w:rsid w:val="00DE2403"/>
    <w:rsid w:val="00DE429D"/>
    <w:rsid w:val="00DE4466"/>
    <w:rsid w:val="00DF12DD"/>
    <w:rsid w:val="00E04975"/>
    <w:rsid w:val="00E05E56"/>
    <w:rsid w:val="00E06372"/>
    <w:rsid w:val="00E500EB"/>
    <w:rsid w:val="00E509E4"/>
    <w:rsid w:val="00E92BD2"/>
    <w:rsid w:val="00EA0EC5"/>
    <w:rsid w:val="00EA6ED3"/>
    <w:rsid w:val="00EB6CCB"/>
    <w:rsid w:val="00EC0410"/>
    <w:rsid w:val="00ED6DB8"/>
    <w:rsid w:val="00F00326"/>
    <w:rsid w:val="00F47B13"/>
    <w:rsid w:val="00F51649"/>
    <w:rsid w:val="00F60770"/>
    <w:rsid w:val="00F61062"/>
    <w:rsid w:val="00F80D63"/>
    <w:rsid w:val="00F86832"/>
    <w:rsid w:val="00FA77E6"/>
    <w:rsid w:val="00FB3D6B"/>
    <w:rsid w:val="00FD5118"/>
    <w:rsid w:val="00FE0A73"/>
    <w:rsid w:val="00FE1DB8"/>
    <w:rsid w:val="00FE2A62"/>
    <w:rsid w:val="00FE689A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1BCF3"/>
  <w15:docId w15:val="{CB018BEE-CC63-45D8-B3BF-EF45E431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D7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7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0417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7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BF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6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C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F051-F0AD-4826-97E8-8E3B19B2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Reneta Kostova</cp:lastModifiedBy>
  <cp:revision>7</cp:revision>
  <dcterms:created xsi:type="dcterms:W3CDTF">2026-01-14T13:18:00Z</dcterms:created>
  <dcterms:modified xsi:type="dcterms:W3CDTF">2026-01-15T08:00:00Z</dcterms:modified>
</cp:coreProperties>
</file>