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019E" w:rsidRPr="00D313F1" w:rsidRDefault="00745DEA" w:rsidP="00BC019E">
      <w:pPr>
        <w:jc w:val="center"/>
        <w:rPr>
          <w:lang w:val="en-GB"/>
        </w:rPr>
      </w:pPr>
      <w:bookmarkStart w:id="0" w:name="_GoBack"/>
      <w:bookmarkEnd w:id="0"/>
      <w:r>
        <w:rPr>
          <w:lang w:val="en-GB"/>
        </w:rPr>
        <w:t xml:space="preserve"> </w:t>
      </w:r>
    </w:p>
    <w:p w:rsidR="00BC019E" w:rsidRPr="00EB346B" w:rsidRDefault="00BC019E" w:rsidP="00BC019E">
      <w:pPr>
        <w:jc w:val="center"/>
      </w:pPr>
    </w:p>
    <w:p w:rsidR="00BC019E" w:rsidRPr="00EB346B" w:rsidRDefault="00BC019E" w:rsidP="00BC019E">
      <w:pPr>
        <w:jc w:val="center"/>
      </w:pPr>
    </w:p>
    <w:p w:rsidR="00BC019E" w:rsidRPr="00EB346B" w:rsidRDefault="00BC019E" w:rsidP="00BC019E">
      <w:pPr>
        <w:jc w:val="center"/>
      </w:pPr>
      <w:r>
        <w:t>ПЕТО ОТДЕЛЕНИЕ</w:t>
      </w:r>
    </w:p>
    <w:p w:rsidR="00BC019E" w:rsidRPr="00EB346B" w:rsidRDefault="00BC019E" w:rsidP="00BC019E">
      <w:pPr>
        <w:jc w:val="center"/>
      </w:pPr>
    </w:p>
    <w:p w:rsidR="00BC019E" w:rsidRPr="00EB346B" w:rsidRDefault="00BC019E" w:rsidP="00BC019E">
      <w:pPr>
        <w:jc w:val="center"/>
      </w:pPr>
    </w:p>
    <w:p w:rsidR="00BC019E" w:rsidRPr="00EB346B" w:rsidRDefault="00BC019E" w:rsidP="00BC019E">
      <w:pPr>
        <w:jc w:val="center"/>
      </w:pPr>
    </w:p>
    <w:p w:rsidR="00BC019E" w:rsidRPr="00EB346B" w:rsidRDefault="00BC019E" w:rsidP="00BC019E">
      <w:pPr>
        <w:jc w:val="center"/>
      </w:pPr>
    </w:p>
    <w:p w:rsidR="00BC019E" w:rsidRPr="00EB346B" w:rsidRDefault="00BC019E" w:rsidP="00BC019E">
      <w:pPr>
        <w:jc w:val="center"/>
      </w:pPr>
    </w:p>
    <w:p w:rsidR="00BC019E" w:rsidRPr="00EB346B" w:rsidRDefault="00BC019E" w:rsidP="00BC019E">
      <w:pPr>
        <w:jc w:val="center"/>
      </w:pPr>
    </w:p>
    <w:p w:rsidR="00BC019E" w:rsidRPr="00EB346B" w:rsidRDefault="00BC019E" w:rsidP="00BC019E">
      <w:pPr>
        <w:jc w:val="center"/>
        <w:rPr>
          <w:b/>
        </w:rPr>
      </w:pPr>
      <w:bookmarkStart w:id="1" w:name="To"/>
      <w:r>
        <w:rPr>
          <w:b/>
        </w:rPr>
        <w:t xml:space="preserve">ДЕЛО </w:t>
      </w:r>
      <w:bookmarkEnd w:id="1"/>
      <w:r>
        <w:rPr>
          <w:b/>
        </w:rPr>
        <w:t>МИТЕВ СРЕЩУ БЪЛГАРИЯ</w:t>
      </w:r>
    </w:p>
    <w:p w:rsidR="00BC019E" w:rsidRPr="00EB346B" w:rsidRDefault="00BC019E" w:rsidP="00BC019E">
      <w:pPr>
        <w:jc w:val="center"/>
      </w:pPr>
    </w:p>
    <w:p w:rsidR="00BC019E" w:rsidRPr="008004F5" w:rsidRDefault="00BC019E" w:rsidP="00BC019E">
      <w:pPr>
        <w:jc w:val="center"/>
        <w:rPr>
          <w:i/>
          <w:szCs w:val="24"/>
        </w:rPr>
      </w:pPr>
      <w:r w:rsidRPr="008004F5">
        <w:rPr>
          <w:i/>
          <w:szCs w:val="24"/>
        </w:rPr>
        <w:t xml:space="preserve">(Жалба </w:t>
      </w:r>
      <w:r w:rsidRPr="008004F5">
        <w:rPr>
          <w:i/>
          <w:szCs w:val="24"/>
          <w:cs/>
        </w:rPr>
        <w:t xml:space="preserve">№ </w:t>
      </w:r>
      <w:r w:rsidRPr="008004F5">
        <w:rPr>
          <w:i/>
          <w:szCs w:val="24"/>
        </w:rPr>
        <w:t>34197/15)</w:t>
      </w:r>
    </w:p>
    <w:p w:rsidR="00BC019E" w:rsidRPr="00EB346B" w:rsidRDefault="00BC019E" w:rsidP="00BC019E">
      <w:pPr>
        <w:jc w:val="center"/>
      </w:pPr>
    </w:p>
    <w:p w:rsidR="00BC019E" w:rsidRPr="00EB346B" w:rsidRDefault="00BC019E" w:rsidP="00BC019E">
      <w:pPr>
        <w:jc w:val="center"/>
      </w:pPr>
    </w:p>
    <w:p w:rsidR="00BC019E" w:rsidRPr="00EB346B" w:rsidRDefault="00BC019E" w:rsidP="00BC019E">
      <w:pPr>
        <w:jc w:val="center"/>
      </w:pPr>
    </w:p>
    <w:p w:rsidR="00BC019E" w:rsidRPr="00EB346B" w:rsidRDefault="00BC019E" w:rsidP="00BC019E">
      <w:pPr>
        <w:jc w:val="center"/>
      </w:pPr>
    </w:p>
    <w:p w:rsidR="00BC019E" w:rsidRPr="00EB346B" w:rsidRDefault="00BC019E" w:rsidP="00BC019E">
      <w:pPr>
        <w:jc w:val="center"/>
      </w:pPr>
    </w:p>
    <w:p w:rsidR="00BC019E" w:rsidRPr="00EB346B" w:rsidRDefault="00BC019E" w:rsidP="00BC019E">
      <w:pPr>
        <w:jc w:val="center"/>
      </w:pPr>
    </w:p>
    <w:p w:rsidR="00BC019E" w:rsidRPr="00EB346B" w:rsidRDefault="00BC019E" w:rsidP="00BC019E">
      <w:pPr>
        <w:jc w:val="center"/>
      </w:pPr>
    </w:p>
    <w:p w:rsidR="00BC019E" w:rsidRPr="00EB346B" w:rsidRDefault="00BC019E" w:rsidP="00BC019E">
      <w:pPr>
        <w:jc w:val="center"/>
      </w:pPr>
    </w:p>
    <w:p w:rsidR="00BC019E" w:rsidRPr="00EB346B" w:rsidRDefault="00BC019E" w:rsidP="00BC019E">
      <w:pPr>
        <w:jc w:val="center"/>
      </w:pPr>
    </w:p>
    <w:p w:rsidR="00BC019E" w:rsidRPr="00EB346B" w:rsidRDefault="00BC019E" w:rsidP="00BC019E">
      <w:pPr>
        <w:jc w:val="center"/>
      </w:pPr>
    </w:p>
    <w:p w:rsidR="00BC019E" w:rsidRPr="00EB346B" w:rsidRDefault="00BC019E" w:rsidP="00BC019E">
      <w:pPr>
        <w:jc w:val="center"/>
      </w:pPr>
    </w:p>
    <w:p w:rsidR="00BC019E" w:rsidRPr="00EB346B" w:rsidRDefault="00BC019E" w:rsidP="00BC019E">
      <w:pPr>
        <w:jc w:val="center"/>
      </w:pPr>
    </w:p>
    <w:p w:rsidR="00BC019E" w:rsidRPr="00EB346B" w:rsidRDefault="00BC019E" w:rsidP="00BC019E">
      <w:pPr>
        <w:jc w:val="center"/>
        <w:rPr>
          <w:szCs w:val="24"/>
        </w:rPr>
      </w:pPr>
      <w:r>
        <w:t>РЕШЕНИЕ</w:t>
      </w:r>
    </w:p>
    <w:p w:rsidR="00BC019E" w:rsidRPr="00EB346B" w:rsidRDefault="00BC019E" w:rsidP="00BC019E">
      <w:pPr>
        <w:jc w:val="center"/>
        <w:rPr>
          <w:szCs w:val="24"/>
        </w:rPr>
      </w:pPr>
    </w:p>
    <w:p w:rsidR="00BC019E" w:rsidRPr="00EB346B" w:rsidRDefault="00BC019E" w:rsidP="00BC019E">
      <w:pPr>
        <w:jc w:val="center"/>
        <w:rPr>
          <w:szCs w:val="24"/>
        </w:rPr>
      </w:pPr>
    </w:p>
    <w:p w:rsidR="00BC019E" w:rsidRPr="00EB346B" w:rsidRDefault="00BC019E" w:rsidP="00BC019E">
      <w:pPr>
        <w:jc w:val="center"/>
        <w:rPr>
          <w:szCs w:val="24"/>
        </w:rPr>
      </w:pPr>
    </w:p>
    <w:p w:rsidR="00BC019E" w:rsidRPr="00EB346B" w:rsidRDefault="00BC019E" w:rsidP="00BC019E">
      <w:pPr>
        <w:jc w:val="center"/>
        <w:rPr>
          <w:szCs w:val="24"/>
        </w:rPr>
      </w:pPr>
      <w:r>
        <w:t>СТРАСБУРГ</w:t>
      </w:r>
    </w:p>
    <w:p w:rsidR="00BC019E" w:rsidRPr="00EB346B" w:rsidRDefault="00BC019E" w:rsidP="00BC019E">
      <w:pPr>
        <w:jc w:val="center"/>
        <w:rPr>
          <w:szCs w:val="24"/>
        </w:rPr>
      </w:pPr>
    </w:p>
    <w:p w:rsidR="00BC019E" w:rsidRPr="00EB346B" w:rsidRDefault="00BC019E" w:rsidP="00BC019E">
      <w:pPr>
        <w:jc w:val="center"/>
        <w:rPr>
          <w:szCs w:val="24"/>
        </w:rPr>
      </w:pPr>
    </w:p>
    <w:p w:rsidR="00BC019E" w:rsidRPr="00EB346B" w:rsidRDefault="00BC019E" w:rsidP="00BC019E">
      <w:pPr>
        <w:jc w:val="center"/>
        <w:rPr>
          <w:szCs w:val="24"/>
        </w:rPr>
      </w:pPr>
    </w:p>
    <w:p w:rsidR="00BC019E" w:rsidRPr="00EB346B" w:rsidRDefault="00BC019E" w:rsidP="00BC019E">
      <w:pPr>
        <w:jc w:val="center"/>
        <w:rPr>
          <w:szCs w:val="24"/>
        </w:rPr>
      </w:pPr>
      <w:r>
        <w:t>5 октомври 2017 г.</w:t>
      </w:r>
    </w:p>
    <w:p w:rsidR="00BC019E" w:rsidRPr="00EB346B" w:rsidRDefault="00BC019E" w:rsidP="00BC019E">
      <w:pPr>
        <w:jc w:val="center"/>
        <w:rPr>
          <w:szCs w:val="24"/>
        </w:rPr>
      </w:pPr>
    </w:p>
    <w:p w:rsidR="00BC019E" w:rsidRPr="00EB346B" w:rsidRDefault="00BC019E" w:rsidP="00BC019E">
      <w:pPr>
        <w:jc w:val="center"/>
        <w:rPr>
          <w:szCs w:val="24"/>
        </w:rPr>
      </w:pPr>
    </w:p>
    <w:p w:rsidR="00BC019E" w:rsidRPr="00EB346B" w:rsidRDefault="00BC019E" w:rsidP="00BC019E">
      <w:pPr>
        <w:rPr>
          <w:szCs w:val="24"/>
        </w:rPr>
      </w:pPr>
      <w:r>
        <w:rPr>
          <w:i/>
          <w:sz w:val="22"/>
        </w:rPr>
        <w:t>Настоящото решение е окончателно, но може да бъде предмет на редакционни промени.</w:t>
      </w:r>
    </w:p>
    <w:p w:rsidR="00BC019E" w:rsidRDefault="00BC019E" w:rsidP="00BC019E">
      <w:pPr>
        <w:pStyle w:val="JuCase"/>
        <w:sectPr w:rsidR="00BC019E" w:rsidSect="00BC019E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footnotePr>
            <w:numRestart w:val="eachSect"/>
          </w:footnotePr>
          <w:pgSz w:w="11906" w:h="16838" w:code="9"/>
          <w:pgMar w:top="2274" w:right="2274" w:bottom="2274" w:left="2274" w:header="1701" w:footer="720" w:gutter="0"/>
          <w:pgNumType w:start="1"/>
          <w:cols w:space="720"/>
          <w:titlePg/>
          <w:docGrid w:linePitch="326"/>
        </w:sectPr>
      </w:pPr>
    </w:p>
    <w:p w:rsidR="00BC019E" w:rsidRPr="00EB346B" w:rsidRDefault="00BC019E" w:rsidP="00BC019E">
      <w:pPr>
        <w:pStyle w:val="JuCase"/>
        <w:rPr>
          <w:bCs/>
        </w:rPr>
      </w:pPr>
      <w:r>
        <w:lastRenderedPageBreak/>
        <w:t>По делото Митев срещу България,</w:t>
      </w:r>
    </w:p>
    <w:p w:rsidR="00BC019E" w:rsidRPr="00EB346B" w:rsidRDefault="00BC019E" w:rsidP="00BC019E">
      <w:pPr>
        <w:pStyle w:val="ECHRPara"/>
      </w:pPr>
      <w:r>
        <w:t>Европейският съд по правата на човека (Пето отделение), заседаващ като комитет</w:t>
      </w:r>
      <w:r w:rsidR="00745DEA">
        <w:t xml:space="preserve"> в състав</w:t>
      </w:r>
      <w:r>
        <w:t>:</w:t>
      </w:r>
    </w:p>
    <w:p w:rsidR="00BC019E" w:rsidRPr="00EB346B" w:rsidRDefault="00BC019E" w:rsidP="00BC019E">
      <w:pPr>
        <w:pStyle w:val="ECHRDecisionBody"/>
      </w:pPr>
      <w:r>
        <w:tab/>
        <w:t>Ери</w:t>
      </w:r>
      <w:r w:rsidR="00745DEA">
        <w:t>к</w:t>
      </w:r>
      <w:r>
        <w:t xml:space="preserve"> </w:t>
      </w:r>
      <w:proofErr w:type="spellStart"/>
      <w:r>
        <w:t>Мьозе</w:t>
      </w:r>
      <w:proofErr w:type="spellEnd"/>
      <w:r>
        <w:t xml:space="preserve"> (</w:t>
      </w:r>
      <w:proofErr w:type="spellStart"/>
      <w:r>
        <w:t>Erik</w:t>
      </w:r>
      <w:proofErr w:type="spellEnd"/>
      <w:r>
        <w:t xml:space="preserve"> </w:t>
      </w:r>
      <w:proofErr w:type="spellStart"/>
      <w:r>
        <w:t>Møse</w:t>
      </w:r>
      <w:proofErr w:type="spellEnd"/>
      <w:r>
        <w:t>),</w:t>
      </w:r>
      <w:r>
        <w:rPr>
          <w:i/>
        </w:rPr>
        <w:t xml:space="preserve"> председател</w:t>
      </w:r>
      <w:r>
        <w:t>,</w:t>
      </w:r>
      <w:r>
        <w:br/>
      </w:r>
      <w:r>
        <w:tab/>
        <w:t>Йонко Грозев (</w:t>
      </w:r>
      <w:proofErr w:type="spellStart"/>
      <w:r>
        <w:t>Yonko</w:t>
      </w:r>
      <w:proofErr w:type="spellEnd"/>
      <w:r>
        <w:t xml:space="preserve"> </w:t>
      </w:r>
      <w:proofErr w:type="spellStart"/>
      <w:r>
        <w:t>Grozev</w:t>
      </w:r>
      <w:proofErr w:type="spellEnd"/>
      <w:r>
        <w:t>),</w:t>
      </w:r>
      <w:r>
        <w:br/>
      </w:r>
      <w:r>
        <w:tab/>
        <w:t xml:space="preserve">Габриеле </w:t>
      </w:r>
      <w:proofErr w:type="spellStart"/>
      <w:r>
        <w:t>Куцко-Щадлмайер</w:t>
      </w:r>
      <w:proofErr w:type="spellEnd"/>
      <w:r>
        <w:t xml:space="preserve"> (</w:t>
      </w:r>
      <w:proofErr w:type="spellStart"/>
      <w:r>
        <w:t>Gabriele</w:t>
      </w:r>
      <w:proofErr w:type="spellEnd"/>
      <w:r>
        <w:t xml:space="preserve"> </w:t>
      </w:r>
      <w:proofErr w:type="spellStart"/>
      <w:r>
        <w:t>Kucsko-Stadlmayer</w:t>
      </w:r>
      <w:proofErr w:type="spellEnd"/>
      <w:r>
        <w:t xml:space="preserve">), </w:t>
      </w:r>
      <w:r>
        <w:rPr>
          <w:i/>
        </w:rPr>
        <w:t>съдии</w:t>
      </w:r>
      <w:r>
        <w:t>,</w:t>
      </w:r>
      <w:r>
        <w:br/>
        <w:t xml:space="preserve">и Ан-Мари </w:t>
      </w:r>
      <w:proofErr w:type="spellStart"/>
      <w:r>
        <w:t>Дуген</w:t>
      </w:r>
      <w:proofErr w:type="spellEnd"/>
      <w:r>
        <w:t xml:space="preserve"> (</w:t>
      </w:r>
      <w:proofErr w:type="spellStart"/>
      <w:r>
        <w:t>Anne-Marie</w:t>
      </w:r>
      <w:proofErr w:type="spellEnd"/>
      <w:r>
        <w:t xml:space="preserve"> </w:t>
      </w:r>
      <w:proofErr w:type="spellStart"/>
      <w:r>
        <w:t>Dougin</w:t>
      </w:r>
      <w:proofErr w:type="spellEnd"/>
      <w:r>
        <w:t xml:space="preserve">), </w:t>
      </w:r>
      <w:proofErr w:type="spellStart"/>
      <w:r>
        <w:rPr>
          <w:i/>
        </w:rPr>
        <w:t>и.д</w:t>
      </w:r>
      <w:proofErr w:type="spellEnd"/>
      <w:r>
        <w:rPr>
          <w:i/>
        </w:rPr>
        <w:t>. заместник-секретар на отделението</w:t>
      </w:r>
      <w:r>
        <w:t>,</w:t>
      </w:r>
    </w:p>
    <w:p w:rsidR="00BC019E" w:rsidRPr="00EB346B" w:rsidRDefault="00BC019E" w:rsidP="00BC019E">
      <w:pPr>
        <w:pStyle w:val="ECHRPara"/>
      </w:pPr>
      <w:r>
        <w:t>След закрито заседание, проведено на 12 септември 2017 г.,</w:t>
      </w:r>
    </w:p>
    <w:p w:rsidR="00BC019E" w:rsidRPr="00EB346B" w:rsidRDefault="00BC019E" w:rsidP="00BC019E">
      <w:pPr>
        <w:pStyle w:val="ECHRPara"/>
      </w:pPr>
      <w:r>
        <w:t xml:space="preserve">Постановява следното решение, прието на </w:t>
      </w:r>
      <w:r w:rsidR="00745DEA">
        <w:t xml:space="preserve">същата </w:t>
      </w:r>
      <w:r>
        <w:t>дата:</w:t>
      </w:r>
    </w:p>
    <w:p w:rsidR="00BC019E" w:rsidRPr="00EB346B" w:rsidRDefault="00BC019E" w:rsidP="00BC019E">
      <w:pPr>
        <w:pStyle w:val="ECHRTitle1"/>
      </w:pPr>
      <w:r>
        <w:t>ПРОЦЕДУРА</w:t>
      </w:r>
    </w:p>
    <w:p w:rsidR="00BC019E" w:rsidRPr="00EB346B" w:rsidRDefault="00BC019E" w:rsidP="00BC019E">
      <w:pPr>
        <w:pStyle w:val="ECHRPara"/>
      </w:pPr>
      <w:r>
        <w:fldChar w:fldCharType="begin"/>
      </w:r>
      <w:r>
        <w:instrText xml:space="preserve"> SEQ level0 \*arabic </w:instrText>
      </w:r>
      <w:r>
        <w:fldChar w:fldCharType="separate"/>
      </w:r>
      <w:r>
        <w:t>1</w:t>
      </w:r>
      <w:r>
        <w:fldChar w:fldCharType="end"/>
      </w:r>
      <w:r>
        <w:t>.  Делото е образувано по жалба (</w:t>
      </w:r>
      <w:r>
        <w:rPr>
          <w:cs/>
        </w:rPr>
        <w:t xml:space="preserve">№ </w:t>
      </w:r>
      <w:r>
        <w:t>34197/15) срещу Република България, подадена в Съда на основание чл. 34 от Конвенцията за защита на правата на човека и основните свободи (</w:t>
      </w:r>
      <w:r>
        <w:rPr>
          <w:cs/>
        </w:rPr>
        <w:t>”</w:t>
      </w:r>
      <w:r>
        <w:t>Конвенцията</w:t>
      </w:r>
      <w:r>
        <w:rPr>
          <w:cs/>
        </w:rPr>
        <w:t>”</w:t>
      </w:r>
      <w:r>
        <w:t>) от български гражданин, г-н Стамен Георгиев Митев (</w:t>
      </w:r>
      <w:r>
        <w:rPr>
          <w:cs/>
        </w:rPr>
        <w:t>”</w:t>
      </w:r>
      <w:r>
        <w:t>жалбоподателя</w:t>
      </w:r>
      <w:r>
        <w:rPr>
          <w:cs/>
        </w:rPr>
        <w:t>”</w:t>
      </w:r>
      <w:r>
        <w:t>), на 8 юли 2015 г.</w:t>
      </w:r>
    </w:p>
    <w:p w:rsidR="00BC019E" w:rsidRPr="00EB346B" w:rsidRDefault="00BC019E" w:rsidP="00BC019E">
      <w:pPr>
        <w:pStyle w:val="ECHRPara"/>
      </w:pPr>
      <w:r>
        <w:fldChar w:fldCharType="begin"/>
      </w:r>
      <w:r>
        <w:instrText xml:space="preserve"> SEQ level0 \*arabic </w:instrText>
      </w:r>
      <w:r>
        <w:fldChar w:fldCharType="separate"/>
      </w:r>
      <w:r>
        <w:t>2</w:t>
      </w:r>
      <w:r>
        <w:fldChar w:fldCharType="end"/>
      </w:r>
      <w:r>
        <w:t>.  Жалбоподателят се представлява от г-жа Д.</w:t>
      </w:r>
      <w:r w:rsidR="00745DEA">
        <w:t xml:space="preserve"> </w:t>
      </w:r>
      <w:r>
        <w:t xml:space="preserve">Т. </w:t>
      </w:r>
      <w:proofErr w:type="spellStart"/>
      <w:r>
        <w:t>Пчелинска</w:t>
      </w:r>
      <w:proofErr w:type="spellEnd"/>
      <w:r>
        <w:t>-Бойчева, адвокат, практикуващ във Варна. Българското правителство (</w:t>
      </w:r>
      <w:r>
        <w:rPr>
          <w:cs/>
        </w:rPr>
        <w:t>„</w:t>
      </w:r>
      <w:r>
        <w:t>Правителството</w:t>
      </w:r>
      <w:r>
        <w:rPr>
          <w:cs/>
        </w:rPr>
        <w:t>”</w:t>
      </w:r>
      <w:r>
        <w:t>) се представлява от правителствения агент г-жа К. Радкова от Министерство на правосъдието.</w:t>
      </w:r>
    </w:p>
    <w:p w:rsidR="00BC019E" w:rsidRPr="00EB346B" w:rsidRDefault="00BC019E" w:rsidP="00BC019E">
      <w:pPr>
        <w:pStyle w:val="ECHRPara"/>
      </w:pPr>
      <w:r>
        <w:fldChar w:fldCharType="begin"/>
      </w:r>
      <w:r>
        <w:instrText xml:space="preserve"> SEQ level0 \*arabic </w:instrText>
      </w:r>
      <w:r>
        <w:fldChar w:fldCharType="separate"/>
      </w:r>
      <w:r>
        <w:t>3</w:t>
      </w:r>
      <w:r>
        <w:fldChar w:fldCharType="end"/>
      </w:r>
      <w:r>
        <w:t xml:space="preserve">.  Жалбоподателят твърди, че е бил малтретиран от полицията по време на </w:t>
      </w:r>
      <w:r w:rsidR="00B667B7">
        <w:t xml:space="preserve">задържането </w:t>
      </w:r>
      <w:r>
        <w:t>си и че властите не са провели ефективно разследване на оплакванията му по въпроса.</w:t>
      </w:r>
    </w:p>
    <w:p w:rsidR="00BC019E" w:rsidRPr="00EB346B" w:rsidRDefault="00BC019E" w:rsidP="00BC019E">
      <w:pPr>
        <w:pStyle w:val="ECHRPara"/>
      </w:pPr>
      <w:r>
        <w:fldChar w:fldCharType="begin"/>
      </w:r>
      <w:r>
        <w:instrText xml:space="preserve"> SEQ level0 \*arabic </w:instrText>
      </w:r>
      <w:r>
        <w:fldChar w:fldCharType="separate"/>
      </w:r>
      <w:r>
        <w:t>4</w:t>
      </w:r>
      <w:r>
        <w:fldChar w:fldCharType="end"/>
      </w:r>
      <w:r>
        <w:t>.  На 15 януари 2016 г. Правителството</w:t>
      </w:r>
      <w:r w:rsidR="00745DEA">
        <w:t xml:space="preserve"> е уведомено за жалбата</w:t>
      </w:r>
      <w:r>
        <w:t>.</w:t>
      </w:r>
    </w:p>
    <w:p w:rsidR="00BC019E" w:rsidRPr="00EB346B" w:rsidRDefault="00BC019E" w:rsidP="00BC019E">
      <w:pPr>
        <w:pStyle w:val="ECHRTitle1"/>
      </w:pPr>
      <w:r>
        <w:t>ФАКТИТЕ</w:t>
      </w:r>
    </w:p>
    <w:p w:rsidR="00BC019E" w:rsidRPr="00EB346B" w:rsidRDefault="00BC019E" w:rsidP="00BC019E">
      <w:pPr>
        <w:pStyle w:val="ECHRHeading1"/>
      </w:pPr>
      <w:r>
        <w:t>I.  ОБСТОЯТЕЛСТВА</w:t>
      </w:r>
      <w:r w:rsidR="004C6030">
        <w:t>ТА</w:t>
      </w:r>
      <w:r>
        <w:t xml:space="preserve"> ПО ДЕЛОТО</w:t>
      </w:r>
    </w:p>
    <w:p w:rsidR="00BC019E" w:rsidRPr="00EB346B" w:rsidRDefault="00BC019E" w:rsidP="00BC019E">
      <w:pPr>
        <w:pStyle w:val="ECHRPara"/>
      </w:pPr>
      <w:r>
        <w:fldChar w:fldCharType="begin"/>
      </w:r>
      <w:r>
        <w:instrText xml:space="preserve"> SEQ level0 \*arabic </w:instrText>
      </w:r>
      <w:r>
        <w:fldChar w:fldCharType="separate"/>
      </w:r>
      <w:r>
        <w:t>5</w:t>
      </w:r>
      <w:r>
        <w:fldChar w:fldCharType="end"/>
      </w:r>
      <w:r>
        <w:t>.  Жалбоподателят е роден през 1967 г. и живее в Старо Оряхово.</w:t>
      </w:r>
    </w:p>
    <w:p w:rsidR="00BC019E" w:rsidRPr="00EB346B" w:rsidRDefault="00BC019E" w:rsidP="00BC019E">
      <w:pPr>
        <w:pStyle w:val="ECHRHeading2"/>
      </w:pPr>
      <w:r>
        <w:t>А. Инцидентът</w:t>
      </w:r>
    </w:p>
    <w:p w:rsidR="00BC019E" w:rsidRPr="00EB346B" w:rsidRDefault="00BC019E" w:rsidP="00BC019E">
      <w:pPr>
        <w:pStyle w:val="ECHRPara"/>
      </w:pPr>
      <w:r>
        <w:fldChar w:fldCharType="begin"/>
      </w:r>
      <w:r>
        <w:instrText xml:space="preserve"> SEQ level0 \*arabic </w:instrText>
      </w:r>
      <w:r>
        <w:fldChar w:fldCharType="separate"/>
      </w:r>
      <w:r>
        <w:t>6</w:t>
      </w:r>
      <w:r>
        <w:fldChar w:fldCharType="end"/>
      </w:r>
      <w:r>
        <w:t>.  </w:t>
      </w:r>
      <w:r w:rsidR="00B20898">
        <w:t>Вечерта на 10 март 2014 г. ж</w:t>
      </w:r>
      <w:r>
        <w:t xml:space="preserve">албоподателят </w:t>
      </w:r>
      <w:r w:rsidR="00B20898">
        <w:t>управлява автомобила</w:t>
      </w:r>
      <w:r>
        <w:t xml:space="preserve"> си по път в района на Варна. Както е установено впоследствие от прокуратурата и от националните съдилища в наказателното производство, заведено за инцидента, който се е случил </w:t>
      </w:r>
      <w:r w:rsidR="00B20898">
        <w:t>същата</w:t>
      </w:r>
      <w:r>
        <w:t xml:space="preserve"> вечер, негов</w:t>
      </w:r>
      <w:r w:rsidR="00F403B3">
        <w:t>ият автомобил</w:t>
      </w:r>
      <w:r>
        <w:t xml:space="preserve"> се движи по нестабилен начин и е забелязан от </w:t>
      </w:r>
      <w:r>
        <w:lastRenderedPageBreak/>
        <w:t>патру</w:t>
      </w:r>
      <w:r w:rsidR="00F403B3">
        <w:t>лиращи</w:t>
      </w:r>
      <w:r>
        <w:t xml:space="preserve"> полицаи, паркирали отстрани на пътя. Те му сигнализират да отбие встрани, но вместо да се съобрази, той се отдалечава. Съгласно показанията на жалбоподателя, дадени в рамките на това производство, той се страхувал, че полицията ще му повдигне обвинение или ще му отнеме свидетелството за управление на МПС, тъй като е бил консумирал алкохол по-рано същата вечер. Прокуратурата и съдилищата установяват, че полиц</w:t>
      </w:r>
      <w:r w:rsidR="00376D96">
        <w:t>ейските служители</w:t>
      </w:r>
      <w:r>
        <w:t xml:space="preserve"> го последват с </w:t>
      </w:r>
      <w:r w:rsidR="00376D96">
        <w:t xml:space="preserve">автомобила </w:t>
      </w:r>
      <w:r>
        <w:t>си, използвайки мигащи полицейски светлини и сирен. Той спира, когато колата му стига до поле и не може да продължи. Полицейск</w:t>
      </w:r>
      <w:r w:rsidR="00376D96">
        <w:t xml:space="preserve">ият автомобил </w:t>
      </w:r>
      <w:r>
        <w:t>също спира.</w:t>
      </w:r>
    </w:p>
    <w:p w:rsidR="00BC019E" w:rsidRPr="00EB346B" w:rsidRDefault="00BC019E" w:rsidP="00BC019E">
      <w:pPr>
        <w:pStyle w:val="ECHRPara"/>
      </w:pPr>
      <w:r>
        <w:fldChar w:fldCharType="begin"/>
      </w:r>
      <w:r>
        <w:instrText xml:space="preserve"> SEQ level0 \*arabic </w:instrText>
      </w:r>
      <w:r>
        <w:fldChar w:fldCharType="separate"/>
      </w:r>
      <w:r>
        <w:t>7</w:t>
      </w:r>
      <w:r>
        <w:fldChar w:fldCharType="end"/>
      </w:r>
      <w:r>
        <w:t xml:space="preserve">.  Страните са представили различни сведения за обстоятелствата, при които жалбоподателят е </w:t>
      </w:r>
      <w:r w:rsidR="001413AC">
        <w:t>задържан</w:t>
      </w:r>
      <w:r>
        <w:t>.</w:t>
      </w:r>
    </w:p>
    <w:p w:rsidR="00BC019E" w:rsidRPr="00EB346B" w:rsidRDefault="00BC019E" w:rsidP="00BC019E">
      <w:pPr>
        <w:pStyle w:val="ECHRPara"/>
      </w:pPr>
      <w:r>
        <w:fldChar w:fldCharType="begin"/>
      </w:r>
      <w:r>
        <w:instrText xml:space="preserve"> SEQ level0 \*arabic </w:instrText>
      </w:r>
      <w:r>
        <w:fldChar w:fldCharType="separate"/>
      </w:r>
      <w:r>
        <w:t>8</w:t>
      </w:r>
      <w:r>
        <w:fldChar w:fldCharType="end"/>
      </w:r>
      <w:r>
        <w:t xml:space="preserve">.  Според жалбоподателя един от </w:t>
      </w:r>
      <w:r w:rsidR="00021FA6">
        <w:t>полицейските служители</w:t>
      </w:r>
      <w:r w:rsidR="00226EF9">
        <w:t xml:space="preserve"> </w:t>
      </w:r>
      <w:r>
        <w:t xml:space="preserve">го рита в левия крак и след това го бутва </w:t>
      </w:r>
      <w:r w:rsidR="00226EF9">
        <w:t xml:space="preserve">насила </w:t>
      </w:r>
      <w:r>
        <w:t xml:space="preserve">на земята, докато се опитва да излезе от превозното средство. Жалбоподателят пада по гръб и трима </w:t>
      </w:r>
      <w:r w:rsidR="00021FA6">
        <w:t xml:space="preserve">полицейски служители </w:t>
      </w:r>
      <w:r>
        <w:t xml:space="preserve">продължават да го ритат. Нападението продължава няколко минути, след което </w:t>
      </w:r>
      <w:r w:rsidR="007215CA">
        <w:t xml:space="preserve">са </w:t>
      </w:r>
      <w:r>
        <w:t>му постав</w:t>
      </w:r>
      <w:r w:rsidR="007215CA">
        <w:t>ени</w:t>
      </w:r>
      <w:r>
        <w:t xml:space="preserve"> белезници. Един от полиц</w:t>
      </w:r>
      <w:r w:rsidR="007215CA">
        <w:t>ейските служители</w:t>
      </w:r>
      <w:r>
        <w:t xml:space="preserve"> го удря по главата с гумена палка, преди да го закарат до полицейското управление.</w:t>
      </w:r>
    </w:p>
    <w:p w:rsidR="00BC019E" w:rsidRPr="00EB346B" w:rsidRDefault="00BC019E" w:rsidP="00BC019E">
      <w:pPr>
        <w:pStyle w:val="ECHRPara"/>
      </w:pPr>
      <w:r>
        <w:fldChar w:fldCharType="begin"/>
      </w:r>
      <w:r>
        <w:instrText xml:space="preserve"> SEQ level0 \*arabic </w:instrText>
      </w:r>
      <w:r>
        <w:fldChar w:fldCharType="separate"/>
      </w:r>
      <w:r>
        <w:t>9</w:t>
      </w:r>
      <w:r>
        <w:fldChar w:fldCharType="end"/>
      </w:r>
      <w:r>
        <w:t>.  Според полиц</w:t>
      </w:r>
      <w:r w:rsidR="00697B7D">
        <w:t>ейските служители</w:t>
      </w:r>
      <w:r>
        <w:t xml:space="preserve"> жалбоподателят изскача от </w:t>
      </w:r>
      <w:r w:rsidR="00697B7D">
        <w:t xml:space="preserve">автомобила </w:t>
      </w:r>
      <w:r>
        <w:t>си, след като е спрял, и започва да тича през полето в опит да избяга. Полиц</w:t>
      </w:r>
      <w:r w:rsidR="00697B7D">
        <w:t>ейските служители</w:t>
      </w:r>
      <w:r>
        <w:t xml:space="preserve"> тръгват след него, жалбоподателят се </w:t>
      </w:r>
      <w:r w:rsidR="00697B7D">
        <w:t xml:space="preserve">спъва </w:t>
      </w:r>
      <w:r>
        <w:t>и пада</w:t>
      </w:r>
      <w:r w:rsidR="00697B7D">
        <w:t>, след което</w:t>
      </w:r>
      <w:r>
        <w:t xml:space="preserve">  полиц</w:t>
      </w:r>
      <w:r w:rsidR="00697B7D">
        <w:t>ейските служители</w:t>
      </w:r>
      <w:r>
        <w:t xml:space="preserve"> го настигат. Тъй като оказва съпротива срещу задържането</w:t>
      </w:r>
      <w:r w:rsidR="00697B7D">
        <w:t xml:space="preserve"> си</w:t>
      </w:r>
      <w:r>
        <w:t xml:space="preserve">, </w:t>
      </w:r>
      <w:r w:rsidR="00697B7D">
        <w:t>опитвайки се</w:t>
      </w:r>
      <w:r>
        <w:t xml:space="preserve"> да се измъкне и се бори, те използват сила, </w:t>
      </w:r>
      <w:r w:rsidR="00697B7D">
        <w:t>състояща се</w:t>
      </w:r>
      <w:r>
        <w:t xml:space="preserve"> в това да </w:t>
      </w:r>
      <w:r w:rsidR="00697B7D">
        <w:t xml:space="preserve">завъртят </w:t>
      </w:r>
      <w:r>
        <w:t>ръцете му, за да му поставят белезници. След като успяват да му поставят белезници, полиц</w:t>
      </w:r>
      <w:r w:rsidR="00D13340">
        <w:t>ейските</w:t>
      </w:r>
      <w:r>
        <w:t xml:space="preserve"> го закарват в полицейското управление.</w:t>
      </w:r>
    </w:p>
    <w:p w:rsidR="00BC019E" w:rsidRPr="00EB346B" w:rsidRDefault="00BC019E" w:rsidP="00BC019E">
      <w:pPr>
        <w:pStyle w:val="ECHRPara"/>
      </w:pPr>
      <w:r>
        <w:fldChar w:fldCharType="begin"/>
      </w:r>
      <w:r>
        <w:instrText xml:space="preserve"> SEQ level0 \*arabic </w:instrText>
      </w:r>
      <w:r>
        <w:fldChar w:fldCharType="separate"/>
      </w:r>
      <w:r>
        <w:t>10</w:t>
      </w:r>
      <w:r>
        <w:fldChar w:fldCharType="end"/>
      </w:r>
      <w:r>
        <w:t>.  Според писмените показания, дадени по време на наказателното производство от няколко полиц</w:t>
      </w:r>
      <w:r w:rsidR="00CB5FF6">
        <w:t>ейски служители</w:t>
      </w:r>
      <w:r>
        <w:t xml:space="preserve">, присъстващи в полицейското управление, когато жалбоподателят е заведен там, той казва на всички присъстващи по това време, че дрехите му са кални, защото се е спънал и паднал, и поради същата причина куца. Както заявяват служителите и самият жалбоподател в хода на това производство, в този момент той не подава оплаквания. Според полицейските сведения за вечерта, когато жалбоподателят е </w:t>
      </w:r>
      <w:r w:rsidR="00CB5FF6">
        <w:t>задържан</w:t>
      </w:r>
      <w:r>
        <w:t xml:space="preserve">, той отказва да </w:t>
      </w:r>
      <w:r w:rsidR="00CB5FF6">
        <w:t>даде проба</w:t>
      </w:r>
      <w:r>
        <w:t xml:space="preserve"> за алкохол или да подпише доклада за арест и му е наложена глоба за отказ да му бъде направена проверка за алкохол. Както става ясно от показанията на полиц</w:t>
      </w:r>
      <w:r w:rsidR="00A83A73">
        <w:t>ейските служители</w:t>
      </w:r>
      <w:r>
        <w:t xml:space="preserve">, те откриват, че той няма в себе си документи за самоличност и се обажда на брат си, който ги носи в полицейското управление, придружен от приятел. </w:t>
      </w:r>
      <w:r w:rsidR="00A83A73">
        <w:t>Доклада показва</w:t>
      </w:r>
      <w:r>
        <w:t>, че полиц</w:t>
      </w:r>
      <w:r w:rsidR="00A83A73">
        <w:t>ейските служители</w:t>
      </w:r>
      <w:r>
        <w:t xml:space="preserve"> са освободили жалбоподателя веднага след като са проверили документите му.</w:t>
      </w:r>
    </w:p>
    <w:p w:rsidR="00BC019E" w:rsidRPr="00EB346B" w:rsidRDefault="00BC019E" w:rsidP="00BC019E">
      <w:pPr>
        <w:pStyle w:val="ECHRPara"/>
      </w:pPr>
      <w:r>
        <w:lastRenderedPageBreak/>
        <w:fldChar w:fldCharType="begin"/>
      </w:r>
      <w:r>
        <w:instrText xml:space="preserve"> SEQ level0 \*arabic </w:instrText>
      </w:r>
      <w:r>
        <w:fldChar w:fldCharType="separate"/>
      </w:r>
      <w:r>
        <w:t>11</w:t>
      </w:r>
      <w:r>
        <w:fldChar w:fldCharType="end"/>
      </w:r>
      <w:r>
        <w:t xml:space="preserve">.  Според писмени показания, дадени на 11 март 2014 г. от брата на жалбоподателя пред полицията в контекста на официално проследяване на събитията, при напускането на управлението, той го е попитал какво се е случило, но жалбоподателят заявил, че не иска да говори за това и предпочита да остане сам в дома си. Вместо това брат му го закарва в местния медицински център, тъй като забелязва, че жалбоподателят изпитва затруднения </w:t>
      </w:r>
      <w:r w:rsidR="00AD2442">
        <w:t xml:space="preserve">при </w:t>
      </w:r>
      <w:r>
        <w:t>диша</w:t>
      </w:r>
      <w:r w:rsidR="00AD2442">
        <w:t>не</w:t>
      </w:r>
      <w:r>
        <w:t>. При прегледа лекарят отбеляза предполагаем счупен лев глезен и казва на жалбоподателя да отиде в болница. Не е предоставена линейка и братът на жалбоподателя го закарва там. От медицинските документи става ясно, че лекарите го оперирали незабавно, тъй като са установили, че има счупено ребро, което е пробило белия му дроб.</w:t>
      </w:r>
    </w:p>
    <w:p w:rsidR="00BC019E" w:rsidRPr="00EB346B" w:rsidRDefault="00BC019E" w:rsidP="00BC019E">
      <w:pPr>
        <w:pStyle w:val="ECHRPara"/>
      </w:pPr>
      <w:r>
        <w:fldChar w:fldCharType="begin"/>
      </w:r>
      <w:r>
        <w:instrText xml:space="preserve"> SEQ level0 \*arabic </w:instrText>
      </w:r>
      <w:r>
        <w:fldChar w:fldCharType="separate"/>
      </w:r>
      <w:r>
        <w:t>12</w:t>
      </w:r>
      <w:r>
        <w:fldChar w:fldCharType="end"/>
      </w:r>
      <w:r>
        <w:t xml:space="preserve">.  Болничната документация на жалбоподателя, подписана от лекаря, който го е лекувал, и от началника на отделението, гласи, че жалбоподателят е бил в болницата между 11 и 14 март 2014 г. и че е имал счупено ребро и счупен глезен. При изписването му на 14 март 2014 г. друг лекар преглежда жалбоподателя и му издава медицинско свидетелство, в което се посочва, че има счупено ребро, </w:t>
      </w:r>
      <w:proofErr w:type="spellStart"/>
      <w:r>
        <w:t>кръвонасядане</w:t>
      </w:r>
      <w:proofErr w:type="spellEnd"/>
      <w:r>
        <w:t xml:space="preserve"> от около 8 мм на дясната вежда и фрактура на </w:t>
      </w:r>
      <w:proofErr w:type="spellStart"/>
      <w:r>
        <w:t>фибулата</w:t>
      </w:r>
      <w:proofErr w:type="spellEnd"/>
      <w:r>
        <w:t xml:space="preserve"> близо до глезена, която е гипсирана. То съдържа и фраза, че не е изключено нараняванията да са били претърпени по начина, предположен от жалбоподателя, а именно в резултат на това, че е бил удрян или ритан. Свидетелството посочва, че няма други травматични наранявания.</w:t>
      </w:r>
    </w:p>
    <w:p w:rsidR="00BC019E" w:rsidRPr="00EB346B" w:rsidRDefault="00BC019E" w:rsidP="00BC019E">
      <w:pPr>
        <w:pStyle w:val="ECHRHeading2"/>
      </w:pPr>
      <w:r>
        <w:t>Б. Официални последващи действия след инцидента</w:t>
      </w:r>
    </w:p>
    <w:p w:rsidR="00BC019E" w:rsidRPr="00EB346B" w:rsidRDefault="00BC019E" w:rsidP="00BC019E">
      <w:pPr>
        <w:pStyle w:val="ECHRPara"/>
      </w:pPr>
      <w:r>
        <w:fldChar w:fldCharType="begin"/>
      </w:r>
      <w:r>
        <w:instrText xml:space="preserve"> SEQ level0 \*arabic </w:instrText>
      </w:r>
      <w:r>
        <w:fldChar w:fldCharType="separate"/>
      </w:r>
      <w:r>
        <w:t>13</w:t>
      </w:r>
      <w:r>
        <w:fldChar w:fldCharType="end"/>
      </w:r>
      <w:r>
        <w:t>.  На 11 март 2014 г. полицейският служител, отговарящ за радиосъобщенията между патрулните полицаи и който е бил дежурен в нощта на инцидента, изготвя писмен доклад, за да предостави информация на своя началник и за да получи необходимите разпореждания. Освен че повтаря разказа на двамата арестуващи полицаи, той заявява, че лично е видял жалбоподателя в управлението и че жалбоподателят му е казал, че е паднал, докато бяга</w:t>
      </w:r>
      <w:r w:rsidR="00384A8E">
        <w:t>л</w:t>
      </w:r>
      <w:r>
        <w:t xml:space="preserve">, и че гърбът го боли. Полицаят е предложил да повика медицински персонал от </w:t>
      </w:r>
      <w:r w:rsidR="00384A8E">
        <w:t xml:space="preserve">близкия </w:t>
      </w:r>
      <w:r>
        <w:t>медицински център, за да прегледа жалбоподателя на място, но той е отказал, казвайки, че не се нуждае от лекар и иска вместо това да бъде освободен.</w:t>
      </w:r>
    </w:p>
    <w:p w:rsidR="00BC019E" w:rsidRPr="00EB346B" w:rsidRDefault="00BC019E" w:rsidP="00BC019E">
      <w:pPr>
        <w:pStyle w:val="ECHRPara"/>
      </w:pPr>
      <w:r>
        <w:fldChar w:fldCharType="begin"/>
      </w:r>
      <w:r>
        <w:instrText xml:space="preserve"> SEQ level0 \*arabic </w:instrText>
      </w:r>
      <w:r>
        <w:fldChar w:fldCharType="separate"/>
      </w:r>
      <w:r>
        <w:t>14</w:t>
      </w:r>
      <w:r>
        <w:fldChar w:fldCharType="end"/>
      </w:r>
      <w:r>
        <w:t>.  Друг полиц</w:t>
      </w:r>
      <w:r w:rsidR="003D5828">
        <w:t>ейски служител</w:t>
      </w:r>
      <w:r>
        <w:t xml:space="preserve"> е изпратен в </w:t>
      </w:r>
      <w:r w:rsidR="003D5828">
        <w:t xml:space="preserve">близкия </w:t>
      </w:r>
      <w:r>
        <w:t xml:space="preserve">медицински център. В писмен доклад, изготвен на 11 март 2014 г. по време на посещението </w:t>
      </w:r>
      <w:r w:rsidR="003D5828">
        <w:t>си</w:t>
      </w:r>
      <w:r>
        <w:t>, той потвърждава съществуването на документ, че жалбоподателят го е посетил предишната вечер и е прегледан от лекар, който го е насочил към болницата за лечение на предполагаема фрактура на глезена. Друг полиц</w:t>
      </w:r>
      <w:r w:rsidR="003D5828">
        <w:t>ейски служител</w:t>
      </w:r>
      <w:r>
        <w:t xml:space="preserve"> посещава болницата същия ден. В писмен доклад той изброява констатациите си, а именно </w:t>
      </w:r>
      <w:r>
        <w:lastRenderedPageBreak/>
        <w:t>че жалбоподателят е бил приет и лекуван за счупено ребро и счупен крак предишната вечер. В доклада се посочва, че в разговор с жалбоподателя, проведен по време на това посещение, последният е казал на полиц</w:t>
      </w:r>
      <w:r w:rsidR="002249CE">
        <w:t>ейския служител</w:t>
      </w:r>
      <w:r>
        <w:t>, че не може да си спомни събитията подробно, но че е сигурен, че след автомобилното преследване двама полиц</w:t>
      </w:r>
      <w:r w:rsidR="002249CE">
        <w:t>ейски служители</w:t>
      </w:r>
      <w:r>
        <w:t xml:space="preserve"> са го били и след това са му сложили белезници, преди да го отведат до полицейското управление. Жалбоподателят също дава собственоръчно написани показания на полиц</w:t>
      </w:r>
      <w:r w:rsidR="002249CE">
        <w:t>ейския служител</w:t>
      </w:r>
      <w:r>
        <w:t xml:space="preserve"> в същия ден. В тях той споменава за автомобилното преследване, заявява, че е искал да избяга, тъй като се е чувствал пиян, че когато е излязъл от </w:t>
      </w:r>
      <w:r w:rsidR="002249CE">
        <w:t xml:space="preserve">автомобила </w:t>
      </w:r>
      <w:r>
        <w:t>си полиц</w:t>
      </w:r>
      <w:r w:rsidR="002249CE">
        <w:t>ейските служители</w:t>
      </w:r>
      <w:r>
        <w:t xml:space="preserve"> са го хванали, че един от тях го е издърпал на земята и че другият му е поставил белезници. Той казва в заключение, че нараняванията най-вероятно са причинени по време на ареста му, тъй като непосредствено преди това той </w:t>
      </w:r>
      <w:r w:rsidR="002249CE">
        <w:t>единствено е шофирал автомобила</w:t>
      </w:r>
      <w:r>
        <w:t xml:space="preserve"> си и не си спомня да е счупил крака и реброто си, когато е спрял </w:t>
      </w:r>
      <w:r w:rsidR="002249CE">
        <w:t>автомобила</w:t>
      </w:r>
      <w:r>
        <w:t>.</w:t>
      </w:r>
    </w:p>
    <w:p w:rsidR="00BC019E" w:rsidRPr="00EB346B" w:rsidRDefault="00BC019E" w:rsidP="00BC019E">
      <w:pPr>
        <w:pStyle w:val="ECHRPara"/>
      </w:pPr>
      <w:r>
        <w:fldChar w:fldCharType="begin"/>
      </w:r>
      <w:r>
        <w:instrText xml:space="preserve"> SEQ level0 \*arabic </w:instrText>
      </w:r>
      <w:r>
        <w:fldChar w:fldCharType="separate"/>
      </w:r>
      <w:r>
        <w:t>15</w:t>
      </w:r>
      <w:r>
        <w:fldChar w:fldCharType="end"/>
      </w:r>
      <w:r>
        <w:t>.  В същия ден братът на жалбоподателя също дава писмени показания пред полицията (вж. параграф 11 по-горе).</w:t>
      </w:r>
    </w:p>
    <w:p w:rsidR="00BC019E" w:rsidRPr="00EB346B" w:rsidRDefault="00BC019E" w:rsidP="00BC019E">
      <w:pPr>
        <w:pStyle w:val="ECHRPara"/>
      </w:pPr>
      <w:r>
        <w:fldChar w:fldCharType="begin"/>
      </w:r>
      <w:r>
        <w:instrText xml:space="preserve"> SEQ level0 \*arabic </w:instrText>
      </w:r>
      <w:r>
        <w:fldChar w:fldCharType="separate"/>
      </w:r>
      <w:r>
        <w:t>16</w:t>
      </w:r>
      <w:r>
        <w:fldChar w:fldCharType="end"/>
      </w:r>
      <w:r>
        <w:t>.  Двамата полиц</w:t>
      </w:r>
      <w:r w:rsidR="005D764E">
        <w:t>ейски служители</w:t>
      </w:r>
      <w:r>
        <w:t>, участвали в автомобилното преследване и ареста, също дават писмени показания на 11 март 2014 г. В допълнение към описанието по-горе (вж. параграф 9) полиц</w:t>
      </w:r>
      <w:r w:rsidR="005D764E">
        <w:t>ейските служители</w:t>
      </w:r>
      <w:r>
        <w:t xml:space="preserve"> заявяват, че след като на жалбоподател са сложени белезници и е вкаран в полицейск</w:t>
      </w:r>
      <w:r w:rsidR="005D764E">
        <w:t>ият автомобил</w:t>
      </w:r>
      <w:r>
        <w:t xml:space="preserve">, той се е подпрял на един от тях и е простенал. На въпроса дали има проблем и дали иска да бъде заведен в медицински център, той отказал и казал: </w:t>
      </w:r>
      <w:r>
        <w:rPr>
          <w:cs/>
        </w:rPr>
        <w:t>“</w:t>
      </w:r>
      <w:r>
        <w:t>Няма нищо</w:t>
      </w:r>
      <w:r>
        <w:rPr>
          <w:cs/>
        </w:rPr>
        <w:t>”</w:t>
      </w:r>
      <w:r>
        <w:t>. В полицейското управление жалбоподателят отказва да бъде проверен за алкохол или да подпише доклада за ареста.</w:t>
      </w:r>
    </w:p>
    <w:p w:rsidR="00BC019E" w:rsidRPr="00EB346B" w:rsidRDefault="00BC019E" w:rsidP="00BC019E">
      <w:pPr>
        <w:pStyle w:val="ECHRHeading2"/>
      </w:pPr>
      <w:r>
        <w:t>В. Наказателно производство във връзка с инцидента</w:t>
      </w:r>
    </w:p>
    <w:p w:rsidR="00BC019E" w:rsidRPr="00EB346B" w:rsidRDefault="00BC019E" w:rsidP="00BC019E">
      <w:pPr>
        <w:pStyle w:val="ECHRPara"/>
      </w:pPr>
      <w:r>
        <w:fldChar w:fldCharType="begin"/>
      </w:r>
      <w:r>
        <w:instrText xml:space="preserve"> SEQ level0 \*arabic </w:instrText>
      </w:r>
      <w:r>
        <w:fldChar w:fldCharType="separate"/>
      </w:r>
      <w:r>
        <w:t>17</w:t>
      </w:r>
      <w:r>
        <w:fldChar w:fldCharType="end"/>
      </w:r>
      <w:r>
        <w:t xml:space="preserve">.  На 13 март 2014 г. </w:t>
      </w:r>
      <w:r w:rsidR="00FF1065">
        <w:t>В</w:t>
      </w:r>
      <w:r>
        <w:t xml:space="preserve">арненският районен прокурор по собствена инициатива </w:t>
      </w:r>
      <w:r w:rsidR="00FF1065">
        <w:t xml:space="preserve">образува </w:t>
      </w:r>
      <w:r>
        <w:t>наказателно производство във връзка с поведението на двамата полиц</w:t>
      </w:r>
      <w:r w:rsidR="00FF1065">
        <w:t>ейски служители</w:t>
      </w:r>
      <w:r>
        <w:t xml:space="preserve">, арестували жалбоподателя. В заповедта за образуване на това производство се посочва, че то е </w:t>
      </w:r>
      <w:r>
        <w:rPr>
          <w:cs/>
        </w:rPr>
        <w:t>“</w:t>
      </w:r>
      <w:r>
        <w:t xml:space="preserve">срещу виновния служител на Министерството на вътрешните работи, който в контекста на своите професионални </w:t>
      </w:r>
      <w:r w:rsidR="00FF1065">
        <w:t xml:space="preserve">задължения </w:t>
      </w:r>
      <w:r>
        <w:t>е причинил телесна повреда на жалбоподателя на 10 март 2014 г. във Варна</w:t>
      </w:r>
      <w:r>
        <w:rPr>
          <w:cs/>
        </w:rPr>
        <w:t>”</w:t>
      </w:r>
      <w:r>
        <w:t>. Извършени се редица следствени стъпки. Следствените органи разпитват няколко полиц</w:t>
      </w:r>
      <w:r w:rsidR="00FF1065">
        <w:t>ейски служители</w:t>
      </w:r>
      <w:r>
        <w:t xml:space="preserve"> като свидетели, включително двамата, участвали в ареста на жалбоподателя, и тези, които са били в полицейското управление в нощта на инцидента. Всички последни заявяват, че са видели жалбоподателя в полицейското управление във въпросната нощ. Той е бил спокоен, миришел е на алкохол и е бил във видимо нетрезво състояние, дрехите му били кални </w:t>
      </w:r>
      <w:r>
        <w:lastRenderedPageBreak/>
        <w:t>и е куцал. Жалбоподателят, брат му и приятелят на брат</w:t>
      </w:r>
      <w:r w:rsidR="00A25B00">
        <w:t>а</w:t>
      </w:r>
      <w:r>
        <w:t xml:space="preserve">, който го е придружил да вземе жалбоподателя от полицейското управление, също са разпитани. Брат му и неговият приятел заявяват, че жалбоподателят не им е казал нищо за обстоятелствата на </w:t>
      </w:r>
      <w:r w:rsidR="00A25B00">
        <w:t xml:space="preserve">задържането </w:t>
      </w:r>
      <w:r>
        <w:t>си и че братът е научил, че жалбоподателят е бил бит от полицията от лекарите в болницата.</w:t>
      </w:r>
    </w:p>
    <w:p w:rsidR="00BC019E" w:rsidRPr="00EB346B" w:rsidRDefault="00BC019E" w:rsidP="00BC019E">
      <w:pPr>
        <w:pStyle w:val="ECHRPara"/>
      </w:pPr>
      <w:r>
        <w:fldChar w:fldCharType="begin"/>
      </w:r>
      <w:r>
        <w:instrText xml:space="preserve"> SEQ level0 \*arabic </w:instrText>
      </w:r>
      <w:r>
        <w:fldChar w:fldCharType="separate"/>
      </w:r>
      <w:r>
        <w:t>18</w:t>
      </w:r>
      <w:r>
        <w:fldChar w:fldCharType="end"/>
      </w:r>
      <w:r>
        <w:t>.  На 30 май 2014 г. е назначен</w:t>
      </w:r>
      <w:r w:rsidR="00F007E0">
        <w:t>а</w:t>
      </w:r>
      <w:r>
        <w:t xml:space="preserve"> съдебномедицинск</w:t>
      </w:r>
      <w:r w:rsidR="00F007E0">
        <w:t>а експертиза</w:t>
      </w:r>
      <w:r>
        <w:t>, ко</w:t>
      </w:r>
      <w:r w:rsidR="00F007E0">
        <w:t>я</w:t>
      </w:r>
      <w:r>
        <w:t>то да установи естеството на претърпените от жалбоподателя наранявания и вида на използвания инструмент. Експертът получава списък с конкретни въпроси, на които трябва да се отговори. В съдебномедицинския доклад, съдържащ цялостна и независима оценка, се заключава, че трите наранявания, записани в медицинските свидетелства, изготвени непосредствено след събитията (вж. параграф 12 по-горе), са несъвместими с твърденията на жалбоподателя, че полиц</w:t>
      </w:r>
      <w:r w:rsidR="00484816">
        <w:t>ейските служители</w:t>
      </w:r>
      <w:r>
        <w:t xml:space="preserve"> са го удряли по цялото тяло в продължение на няколко минути. По-конкретно, ако е бил ритан от някого, който носи кубинки, или ако е бил удрян в продължение на няколко минути, това е щяло да остави върху жалбоподателя много повече следи по различни части на тялото му, а не само трите строго локализирани наранявания, споменати по-горе. В доклада се посочва още, че нараняванията биха могли да бъдат получени в резултат на падане по време на бързо движение, например при бягане и падане.</w:t>
      </w:r>
    </w:p>
    <w:p w:rsidR="00BC019E" w:rsidRPr="00EB346B" w:rsidRDefault="00BC019E" w:rsidP="00BC019E">
      <w:pPr>
        <w:pStyle w:val="ECHRPara"/>
      </w:pPr>
      <w:r>
        <w:fldChar w:fldCharType="begin"/>
      </w:r>
      <w:r>
        <w:instrText xml:space="preserve"> SEQ level0 \*arabic </w:instrText>
      </w:r>
      <w:r>
        <w:fldChar w:fldCharType="separate"/>
      </w:r>
      <w:r>
        <w:t>19</w:t>
      </w:r>
      <w:r>
        <w:fldChar w:fldCharType="end"/>
      </w:r>
      <w:r>
        <w:t>.  </w:t>
      </w:r>
      <w:r w:rsidR="00ED7F83">
        <w:t>С</w:t>
      </w:r>
      <w:r>
        <w:t xml:space="preserve"> постановление от 31 октомври 2014 г. за прекратяване на наказателното производство прокуратурата установява, че версията на събитията, дадена от жалбоподателя на различни етапи от неговото разпитване, е </w:t>
      </w:r>
      <w:r w:rsidR="00ED7F83">
        <w:t>противоречива</w:t>
      </w:r>
      <w:r>
        <w:t xml:space="preserve">. По-конкретно първоначално е заявил, че е изкълчил глезена си след спъването и падането, но по-късно е променил историята си и е казал, че нараняването е </w:t>
      </w:r>
      <w:r w:rsidR="00ED7F83">
        <w:t xml:space="preserve">в </w:t>
      </w:r>
      <w:r>
        <w:t>резултат от умишлен и продължителен побой от страна на полиц</w:t>
      </w:r>
      <w:r w:rsidR="00ED7F83">
        <w:t>ейските служители</w:t>
      </w:r>
      <w:r>
        <w:t>. Освен това, когато е разпитан на 27 март 2014 г., жалбоподателят е заявил, че полиц</w:t>
      </w:r>
      <w:r w:rsidR="00ED7F83">
        <w:t>ейските служители</w:t>
      </w:r>
      <w:r>
        <w:t xml:space="preserve"> са започнали да го удрят и ритат, след като е напуснал </w:t>
      </w:r>
      <w:r w:rsidR="00ED7F83">
        <w:t xml:space="preserve">автомобила </w:t>
      </w:r>
      <w:r>
        <w:t xml:space="preserve">си доброволно. Когато е разпитан </w:t>
      </w:r>
      <w:r w:rsidR="008F4819">
        <w:t xml:space="preserve">повторно </w:t>
      </w:r>
      <w:r>
        <w:t>на 28 май 2014 г. е твърдял, че полиц</w:t>
      </w:r>
      <w:r w:rsidR="008F4819">
        <w:t>ейските служители</w:t>
      </w:r>
      <w:r>
        <w:t xml:space="preserve"> грубо са го издърпали от </w:t>
      </w:r>
      <w:r w:rsidR="008F4819">
        <w:t xml:space="preserve">автомобила </w:t>
      </w:r>
      <w:r>
        <w:t xml:space="preserve">и след това са го ритали, а не удряли. Той се е опитал да използва ръцете си, за да </w:t>
      </w:r>
      <w:r w:rsidR="008F4819">
        <w:t xml:space="preserve">предпази </w:t>
      </w:r>
      <w:r>
        <w:t xml:space="preserve">главата си от ритниците. Заявил е, че не може да си спомни или да познае полицаите, които са го били, нито при очна ставка, нито от снимки. </w:t>
      </w:r>
      <w:r w:rsidR="008F4819">
        <w:t>С</w:t>
      </w:r>
      <w:r>
        <w:t>ъщо така се е оплакал, че са го били трима полиц</w:t>
      </w:r>
      <w:r w:rsidR="008F4819">
        <w:t>ейски служители</w:t>
      </w:r>
      <w:r>
        <w:t>, докато е установено недвусмислено, че е имало само двама патрулни полицаи. Освен това, когато на 6 октомври 2014 г. следователят е предал следствената преписка на жалбоподателя, той е подписал съответното потвърждение, посочвайки, че не желае да се запознае с доказателствата, да прочете документите в преписката, която е обемна, и че няма искания, коментари или възражения срещу разследването.</w:t>
      </w:r>
    </w:p>
    <w:p w:rsidR="00BC019E" w:rsidRPr="00EB346B" w:rsidRDefault="00BC019E" w:rsidP="00BC019E">
      <w:pPr>
        <w:pStyle w:val="ECHRPara"/>
      </w:pPr>
      <w:r>
        <w:lastRenderedPageBreak/>
        <w:fldChar w:fldCharType="begin"/>
      </w:r>
      <w:r>
        <w:instrText xml:space="preserve"> SEQ level0 \*arabic </w:instrText>
      </w:r>
      <w:r>
        <w:fldChar w:fldCharType="separate"/>
      </w:r>
      <w:r>
        <w:t>20</w:t>
      </w:r>
      <w:r>
        <w:fldChar w:fldCharType="end"/>
      </w:r>
      <w:r>
        <w:t>.  Прокурорът заключва в постановлението за прекратяване на производството, че оплакванията на жалбоподателя не са подкрепени от доказателствата. Силата, използвана от полиц</w:t>
      </w:r>
      <w:r w:rsidR="00F939D6">
        <w:t>ейските служители</w:t>
      </w:r>
      <w:r>
        <w:t xml:space="preserve">, е била необходима за </w:t>
      </w:r>
      <w:r w:rsidR="00F939D6">
        <w:t xml:space="preserve">неутрализирането </w:t>
      </w:r>
      <w:r>
        <w:t xml:space="preserve">и задържането му при обстоятелствата, като се има предвид, че той действително е бягал от полицията и активно не се е подчинявал на заповедите им да спре. </w:t>
      </w:r>
      <w:r w:rsidR="00F939D6">
        <w:t>Използваната сила се състой от</w:t>
      </w:r>
      <w:r>
        <w:t xml:space="preserve"> един полиц</w:t>
      </w:r>
      <w:r w:rsidR="00F939D6">
        <w:t>ейски служител</w:t>
      </w:r>
      <w:r>
        <w:t>, който държи жалбоподателя на земята, използвайки едно коляно, за да притисне тялото му, докато вторият полиц</w:t>
      </w:r>
      <w:r w:rsidR="00F939D6">
        <w:t>ейски служител</w:t>
      </w:r>
      <w:r>
        <w:t xml:space="preserve"> му слага белезници. Няма доказателства, които да сочат, че полиц</w:t>
      </w:r>
      <w:r w:rsidR="00F939D6">
        <w:t>ейските служители</w:t>
      </w:r>
      <w:r>
        <w:t xml:space="preserve"> са използвали насилие или неоправдана сила, когато са задържали жалбоподателя. Жалбоподателят оспорва решението на прокурора в съда.</w:t>
      </w:r>
    </w:p>
    <w:p w:rsidR="00BC019E" w:rsidRPr="00EB346B" w:rsidRDefault="00BC019E" w:rsidP="00BC019E">
      <w:pPr>
        <w:pStyle w:val="ECHRPara"/>
      </w:pPr>
      <w:r>
        <w:fldChar w:fldCharType="begin"/>
      </w:r>
      <w:r>
        <w:instrText xml:space="preserve"> SEQ level0 \*arabic </w:instrText>
      </w:r>
      <w:r>
        <w:fldChar w:fldCharType="separate"/>
      </w:r>
      <w:r>
        <w:t>21</w:t>
      </w:r>
      <w:r>
        <w:fldChar w:fldCharType="end"/>
      </w:r>
      <w:r>
        <w:t xml:space="preserve">.  Решението на прокурора да прекрати производството е потвърдено на две </w:t>
      </w:r>
      <w:r w:rsidR="00F939D6">
        <w:t xml:space="preserve">инстанции </w:t>
      </w:r>
      <w:r>
        <w:t>на компетентност. По-конкретно първоинстанционният съд, Районен съд - Варна, отбелязва в своето решение от 24 ноември 2014 г., че двама полиц</w:t>
      </w:r>
      <w:r w:rsidR="00F939D6">
        <w:t>ейски служители</w:t>
      </w:r>
      <w:r>
        <w:t xml:space="preserve"> са </w:t>
      </w:r>
      <w:r w:rsidR="009B527D">
        <w:t xml:space="preserve">задържали </w:t>
      </w:r>
      <w:r>
        <w:t xml:space="preserve">жалбоподателя след дълго преследване с автомобили, </w:t>
      </w:r>
      <w:r w:rsidR="009B527D">
        <w:t>опитвайки се</w:t>
      </w:r>
      <w:r>
        <w:t xml:space="preserve"> да избяга въпреки ясните нареждания за противното. Полиц</w:t>
      </w:r>
      <w:r w:rsidR="009B527D">
        <w:t>ейските служители</w:t>
      </w:r>
      <w:r>
        <w:t xml:space="preserve"> са носили полицейски униформи, които са били ясно видими и разпознаваеми, и са управлявали полицейск</w:t>
      </w:r>
      <w:r w:rsidR="009B527D">
        <w:t xml:space="preserve">и автомобил </w:t>
      </w:r>
      <w:r>
        <w:t xml:space="preserve">с мигащи полицейски светлини и сирена, докато са преследвали жалбоподателя. Той не само е отказал да спре, но активно е избягвал да бъде заловен. Що се отнася до различните версии на събитията след това, съдът констатира, че твърденията на жалбоподателя са </w:t>
      </w:r>
      <w:r w:rsidR="009B527D">
        <w:t xml:space="preserve">противоречащи </w:t>
      </w:r>
      <w:r>
        <w:t>и не са подкрепени от доказателствата. Вследствие на това съдът не придава значение на неговите показания, като констатира, че са несъвместими с останалите доказателства.</w:t>
      </w:r>
    </w:p>
    <w:p w:rsidR="00BC019E" w:rsidRPr="00EB346B" w:rsidRDefault="00BC019E" w:rsidP="00BC019E">
      <w:pPr>
        <w:pStyle w:val="ECHRPara"/>
      </w:pPr>
      <w:r>
        <w:fldChar w:fldCharType="begin"/>
      </w:r>
      <w:r>
        <w:instrText xml:space="preserve"> SEQ level0 \*arabic </w:instrText>
      </w:r>
      <w:r>
        <w:fldChar w:fldCharType="separate"/>
      </w:r>
      <w:r>
        <w:t>22</w:t>
      </w:r>
      <w:r>
        <w:fldChar w:fldCharType="end"/>
      </w:r>
      <w:r>
        <w:t>.  Второинстанционният съд, Окръжен съд - Варна, потвърждава тези констатации в окончателно решение на 9 януари 2015 г.</w:t>
      </w:r>
    </w:p>
    <w:p w:rsidR="00BC019E" w:rsidRPr="00EB346B" w:rsidRDefault="00BC019E" w:rsidP="00BC019E">
      <w:pPr>
        <w:pStyle w:val="ECHRHeading1"/>
      </w:pPr>
      <w:r>
        <w:t>II.  ПРИЛОЖИМО ВЪТРЕШНО ПРАВО</w:t>
      </w:r>
    </w:p>
    <w:p w:rsidR="00BC019E" w:rsidRPr="00EB346B" w:rsidRDefault="00BC019E" w:rsidP="00BC019E">
      <w:pPr>
        <w:pStyle w:val="ECHRHeading2"/>
      </w:pPr>
      <w:r>
        <w:t>А. Използване на сила за задържане от страна на полицейски служители</w:t>
      </w:r>
    </w:p>
    <w:p w:rsidR="00BC019E" w:rsidRPr="00EB346B" w:rsidRDefault="00BC019E" w:rsidP="00D313F1">
      <w:r>
        <w:fldChar w:fldCharType="begin"/>
      </w:r>
      <w:r>
        <w:instrText xml:space="preserve"> SEQ level0 \*arabic </w:instrText>
      </w:r>
      <w:r>
        <w:fldChar w:fldCharType="separate"/>
      </w:r>
      <w:r>
        <w:t>23</w:t>
      </w:r>
      <w:r>
        <w:fldChar w:fldCharType="end"/>
      </w:r>
      <w:r>
        <w:t>.  Чл. 72 от Закона за Министерството на вътрешните работи от 2006 г. (</w:t>
      </w:r>
      <w:r>
        <w:rPr>
          <w:cs/>
        </w:rPr>
        <w:t>”</w:t>
      </w:r>
      <w:r>
        <w:t>ЗМВР от 2006 г.</w:t>
      </w:r>
      <w:r>
        <w:rPr>
          <w:cs/>
        </w:rPr>
        <w:t>”</w:t>
      </w:r>
      <w:r>
        <w:t xml:space="preserve">), в сила по време на събитията, гласи, че при изпълнение на </w:t>
      </w:r>
      <w:r w:rsidR="00D764DC">
        <w:t xml:space="preserve">служебните си </w:t>
      </w:r>
      <w:r>
        <w:t>задълженията полиц</w:t>
      </w:r>
      <w:r w:rsidR="00D764DC">
        <w:t>ейските органи</w:t>
      </w:r>
      <w:r>
        <w:t xml:space="preserve"> </w:t>
      </w:r>
      <w:r w:rsidR="00D764DC">
        <w:t xml:space="preserve">могат </w:t>
      </w:r>
      <w:r>
        <w:t>да използва</w:t>
      </w:r>
      <w:r w:rsidR="00D764DC">
        <w:t>т</w:t>
      </w:r>
      <w:r>
        <w:t xml:space="preserve"> </w:t>
      </w:r>
      <w:r w:rsidR="00D764DC">
        <w:t xml:space="preserve">физическа </w:t>
      </w:r>
      <w:r>
        <w:t xml:space="preserve">сила и специални помощни средства за задържане </w:t>
      </w:r>
      <w:r>
        <w:rPr>
          <w:cs/>
        </w:rPr>
        <w:t>“</w:t>
      </w:r>
      <w:r>
        <w:t>когато това е абсолютно необходимо</w:t>
      </w:r>
      <w:r>
        <w:rPr>
          <w:cs/>
        </w:rPr>
        <w:t>”</w:t>
      </w:r>
      <w:r>
        <w:t xml:space="preserve">. Такива случаи включват наред с другото противодействие или отказ да се изпълни законно разпореждане, задържане на правонарушител, който не се </w:t>
      </w:r>
      <w:r>
        <w:lastRenderedPageBreak/>
        <w:t>подчинява или оказва съпротива на полицейски орган, и нападения срещу граждани и полицейски органи.</w:t>
      </w:r>
      <w:bookmarkStart w:id="2" w:name="p6691782"/>
      <w:bookmarkEnd w:id="2"/>
      <w:r>
        <w:t xml:space="preserve"> </w:t>
      </w:r>
      <w:bookmarkStart w:id="3" w:name="p6691783"/>
      <w:bookmarkEnd w:id="3"/>
      <w:r>
        <w:t xml:space="preserve">Съгласно чл. 73, ал. 5 от ЗМВР от 2006 г. използването на </w:t>
      </w:r>
      <w:r w:rsidR="00D764DC">
        <w:t xml:space="preserve">физическа </w:t>
      </w:r>
      <w:r>
        <w:t xml:space="preserve">сила </w:t>
      </w:r>
      <w:r w:rsidR="00D764DC">
        <w:rPr>
          <w:sz w:val="22"/>
        </w:rPr>
        <w:t xml:space="preserve">се преустановява незабавно след постигане </w:t>
      </w:r>
      <w:r w:rsidR="00F8593B">
        <w:rPr>
          <w:sz w:val="22"/>
        </w:rPr>
        <w:t xml:space="preserve">на </w:t>
      </w:r>
      <w:r w:rsidR="00D764DC">
        <w:rPr>
          <w:sz w:val="22"/>
        </w:rPr>
        <w:t>целта</w:t>
      </w:r>
      <w:r>
        <w:t>.</w:t>
      </w:r>
    </w:p>
    <w:p w:rsidR="00BC019E" w:rsidRPr="00EB346B" w:rsidRDefault="00BC019E" w:rsidP="00BC019E">
      <w:pPr>
        <w:pStyle w:val="ECHRPara"/>
      </w:pPr>
      <w:r>
        <w:fldChar w:fldCharType="begin"/>
      </w:r>
      <w:r>
        <w:instrText xml:space="preserve"> SEQ level0 \*arabic </w:instrText>
      </w:r>
      <w:r>
        <w:fldChar w:fldCharType="separate"/>
      </w:r>
      <w:r>
        <w:t>24</w:t>
      </w:r>
      <w:r>
        <w:fldChar w:fldCharType="end"/>
      </w:r>
      <w:r>
        <w:t xml:space="preserve">.  Член 12а от Наказателния кодекс гласи, че </w:t>
      </w:r>
      <w:r w:rsidR="00F8593B">
        <w:t xml:space="preserve">не е наказуемо </w:t>
      </w:r>
      <w:r>
        <w:t>причиняването на вреда на лице</w:t>
      </w:r>
      <w:r w:rsidR="00F8593B">
        <w:t>, извършило престъпление</w:t>
      </w:r>
      <w:r>
        <w:t xml:space="preserve"> при </w:t>
      </w:r>
      <w:r w:rsidR="00F8593B">
        <w:t xml:space="preserve">неговото </w:t>
      </w:r>
      <w:r>
        <w:t xml:space="preserve">задържането, когато не съществува друг </w:t>
      </w:r>
      <w:r w:rsidR="000E0EF7">
        <w:t xml:space="preserve">начин </w:t>
      </w:r>
      <w:r>
        <w:t xml:space="preserve">за неговото задържане и използваната </w:t>
      </w:r>
      <w:r w:rsidR="000E0EF7">
        <w:t xml:space="preserve">физическа </w:t>
      </w:r>
      <w:r>
        <w:t xml:space="preserve">сила е необходима и </w:t>
      </w:r>
      <w:r w:rsidR="004F5E9F">
        <w:t>законосъобразна</w:t>
      </w:r>
      <w:r>
        <w:t xml:space="preserve">. Използваната сила няма да се </w:t>
      </w:r>
      <w:r w:rsidR="00F04379">
        <w:t xml:space="preserve">счита </w:t>
      </w:r>
      <w:r>
        <w:t>за необходима, когато има явно несъответствие между характера на престъплението, извършено от лицето, което трябва да бъде задържано, или тя сама по себе си е прекомерна и ненужна.</w:t>
      </w:r>
    </w:p>
    <w:p w:rsidR="00BC019E" w:rsidRPr="00EB346B" w:rsidRDefault="00BC019E" w:rsidP="00BC019E">
      <w:pPr>
        <w:pStyle w:val="ECHRHeading2"/>
      </w:pPr>
      <w:r>
        <w:t>Б. Образуване на досъдебно производство</w:t>
      </w:r>
    </w:p>
    <w:p w:rsidR="00BC019E" w:rsidRPr="00EB346B" w:rsidRDefault="00BC019E" w:rsidP="00BC019E">
      <w:pPr>
        <w:pStyle w:val="ECHRPara"/>
      </w:pPr>
      <w:r>
        <w:fldChar w:fldCharType="begin"/>
      </w:r>
      <w:r>
        <w:instrText xml:space="preserve"> SEQ level0 \*arabic </w:instrText>
      </w:r>
      <w:r>
        <w:fldChar w:fldCharType="separate"/>
      </w:r>
      <w:r>
        <w:t>25</w:t>
      </w:r>
      <w:r>
        <w:fldChar w:fldCharType="end"/>
      </w:r>
      <w:r>
        <w:t>.  Съгласно чл. 207 от Наказателно-процесуалния кодекс за 2006 г. (</w:t>
      </w:r>
      <w:r>
        <w:rPr>
          <w:cs/>
        </w:rPr>
        <w:t>”</w:t>
      </w:r>
      <w:r>
        <w:t>НПК от 2006 г.</w:t>
      </w:r>
      <w:r>
        <w:rPr>
          <w:cs/>
        </w:rPr>
        <w:t>”</w:t>
      </w:r>
      <w:r>
        <w:t xml:space="preserve">) се досъдебно производство се образува, </w:t>
      </w:r>
      <w:r w:rsidR="00F13484">
        <w:t>когато е налице законен повод</w:t>
      </w:r>
      <w:r>
        <w:t xml:space="preserve"> и достатъчно </w:t>
      </w:r>
      <w:r w:rsidR="00F13484">
        <w:t>данни за</w:t>
      </w:r>
      <w:r>
        <w:t xml:space="preserve"> извършено престъпление. Досъдебно производство за престъпления, подлежащи на публично наказателно преследване, може да бъде образувано само с </w:t>
      </w:r>
      <w:r w:rsidR="00F13484">
        <w:t xml:space="preserve">постановление </w:t>
      </w:r>
      <w:r>
        <w:t>на прокурор (чл. 212 от НПК от 2006 г.). Писмени</w:t>
      </w:r>
      <w:r w:rsidR="00D47345">
        <w:t>те разпореждания на по-</w:t>
      </w:r>
      <w:proofErr w:type="spellStart"/>
      <w:r w:rsidR="00D47345">
        <w:t>горестоящия</w:t>
      </w:r>
      <w:proofErr w:type="spellEnd"/>
      <w:r w:rsidR="00D47345">
        <w:t xml:space="preserve"> </w:t>
      </w:r>
      <w:r>
        <w:t xml:space="preserve">прокурор са задължителни за </w:t>
      </w:r>
      <w:r w:rsidR="00D47345">
        <w:t xml:space="preserve">подчинените му </w:t>
      </w:r>
      <w:r>
        <w:t>прокурорите (чл. 143, ал. 3 от Закона за съдебната власт от 2007 г.).</w:t>
      </w:r>
    </w:p>
    <w:p w:rsidR="00BC019E" w:rsidRPr="00EB346B" w:rsidRDefault="00BC019E" w:rsidP="00BC019E">
      <w:pPr>
        <w:pStyle w:val="ECHRHeading2"/>
      </w:pPr>
      <w:r>
        <w:t xml:space="preserve">В. Наказателно преследване за </w:t>
      </w:r>
      <w:r w:rsidR="00B42307">
        <w:t>нечовешко отношение</w:t>
      </w:r>
    </w:p>
    <w:p w:rsidR="00BC019E" w:rsidRPr="00EB346B" w:rsidRDefault="00BC019E" w:rsidP="00BC019E">
      <w:pPr>
        <w:pStyle w:val="ECHRPara"/>
      </w:pPr>
      <w:r>
        <w:fldChar w:fldCharType="begin"/>
      </w:r>
      <w:r>
        <w:instrText xml:space="preserve"> SEQ level0 \*arabic </w:instrText>
      </w:r>
      <w:r>
        <w:fldChar w:fldCharType="separate"/>
      </w:r>
      <w:r>
        <w:t>26</w:t>
      </w:r>
      <w:r>
        <w:fldChar w:fldCharType="end"/>
      </w:r>
      <w:r>
        <w:t xml:space="preserve">.  Съгласно чл. 128, чл. 129 и чл. 130 от Наказателния кодекс, причиняването на лека, средна или тежка телесна повреда на друго лице е престъпление. Чл. 131, ал. 1, т. 2 гласи, че ако увреждането е причинено от полицейски орган </w:t>
      </w:r>
      <w:r w:rsidR="00F77C05">
        <w:t>при</w:t>
      </w:r>
      <w:r>
        <w:t xml:space="preserve"> или </w:t>
      </w:r>
      <w:r w:rsidR="00F77C05">
        <w:t>по повод</w:t>
      </w:r>
      <w:r>
        <w:t xml:space="preserve"> с изпълнението на неговите задължения, престъплението се смята за квалифицирано. Такова престъпление подлежи на публично наказателно преследване.</w:t>
      </w:r>
    </w:p>
    <w:p w:rsidR="00BC019E" w:rsidRPr="00EB346B" w:rsidRDefault="00F77C05" w:rsidP="00BC019E">
      <w:pPr>
        <w:pStyle w:val="ECHRTitle1"/>
      </w:pPr>
      <w:r>
        <w:t>ПРАВОТО</w:t>
      </w:r>
    </w:p>
    <w:p w:rsidR="00BC019E" w:rsidRPr="00EB346B" w:rsidRDefault="00BC019E" w:rsidP="00BC019E">
      <w:pPr>
        <w:pStyle w:val="ECHRHeading1"/>
        <w:tabs>
          <w:tab w:val="clear" w:pos="357"/>
          <w:tab w:val="left" w:pos="0"/>
        </w:tabs>
        <w:ind w:left="0" w:firstLine="0"/>
      </w:pPr>
      <w:r>
        <w:t>ТВЪРДЯНО НАРУШЕНИЕ НА ЧЛ. 3 И ЧЛ. 13 ОТ КОНВЕНЦИЯТА</w:t>
      </w:r>
    </w:p>
    <w:p w:rsidR="00BC019E" w:rsidRPr="00EB346B" w:rsidRDefault="00BC019E" w:rsidP="00BC019E">
      <w:pPr>
        <w:pStyle w:val="ECHRPara"/>
      </w:pPr>
      <w:r>
        <w:fldChar w:fldCharType="begin"/>
      </w:r>
      <w:r>
        <w:instrText xml:space="preserve"> SEQ level0 \*arabic </w:instrText>
      </w:r>
      <w:r>
        <w:fldChar w:fldCharType="separate"/>
      </w:r>
      <w:r>
        <w:t>27</w:t>
      </w:r>
      <w:r>
        <w:fldChar w:fldCharType="end"/>
      </w:r>
      <w:r>
        <w:t xml:space="preserve">.  Жалбоподателят се оплаква, че е бил малтретиран от полицията по време на </w:t>
      </w:r>
      <w:r w:rsidR="00FD2660">
        <w:t>задържането</w:t>
      </w:r>
      <w:r>
        <w:t xml:space="preserve">, че властите не са провели ефективно разследване на инцидента и че не е имал ефективно правно средство за защита в това отношение. </w:t>
      </w:r>
      <w:r w:rsidR="00FD2660">
        <w:t>П</w:t>
      </w:r>
      <w:r>
        <w:t xml:space="preserve">озовава </w:t>
      </w:r>
      <w:r w:rsidR="00FD2660">
        <w:t xml:space="preserve">се </w:t>
      </w:r>
      <w:r>
        <w:t>на чл. 3 и чл. 13, които гласят:</w:t>
      </w:r>
    </w:p>
    <w:p w:rsidR="00BC019E" w:rsidRPr="00EB346B" w:rsidRDefault="00BC019E" w:rsidP="00BC019E">
      <w:pPr>
        <w:pStyle w:val="ECHRTitleCentre3"/>
      </w:pPr>
      <w:r>
        <w:lastRenderedPageBreak/>
        <w:t>Член 3</w:t>
      </w:r>
    </w:p>
    <w:p w:rsidR="00BC019E" w:rsidRPr="00EB346B" w:rsidRDefault="00BC019E" w:rsidP="00BC019E">
      <w:pPr>
        <w:pStyle w:val="ECHRParaQuote"/>
      </w:pPr>
      <w:r>
        <w:rPr>
          <w:cs/>
        </w:rPr>
        <w:t>“</w:t>
      </w:r>
      <w:r>
        <w:t>Никой не може да бъде подложен на изтезания или нечовешко или унизително отнасяне или наказание.</w:t>
      </w:r>
      <w:r>
        <w:rPr>
          <w:cs/>
        </w:rPr>
        <w:t>”</w:t>
      </w:r>
    </w:p>
    <w:p w:rsidR="00BC019E" w:rsidRPr="00EB346B" w:rsidRDefault="00BC019E" w:rsidP="00BC019E">
      <w:pPr>
        <w:pStyle w:val="ECHRTitleCentre3"/>
      </w:pPr>
      <w:r>
        <w:t>Член 13</w:t>
      </w:r>
    </w:p>
    <w:p w:rsidR="00BC019E" w:rsidRPr="00EB346B" w:rsidRDefault="00BC019E" w:rsidP="00BC019E">
      <w:pPr>
        <w:pStyle w:val="ECHRParaQuote"/>
      </w:pPr>
      <w:r>
        <w:t>"</w:t>
      </w:r>
      <w:proofErr w:type="spellStart"/>
      <w:r>
        <w:t>Βсеки</w:t>
      </w:r>
      <w:proofErr w:type="spellEnd"/>
      <w:r>
        <w:t>, чиито права и свободи, провъзгласени в тази Конвенция, са нарушени, има право на ефикасни правни средства за тяхната защита пред съответните национални власти, дори и нарушението да е извършено от лица, действащи при упражняване на служебни функции."</w:t>
      </w:r>
    </w:p>
    <w:p w:rsidR="00BC019E" w:rsidRPr="00EB346B" w:rsidRDefault="00BC019E" w:rsidP="00BC019E">
      <w:pPr>
        <w:pStyle w:val="ECHRPara"/>
      </w:pPr>
      <w:r>
        <w:fldChar w:fldCharType="begin"/>
      </w:r>
      <w:r>
        <w:instrText xml:space="preserve"> SEQ level0 \*arabic </w:instrText>
      </w:r>
      <w:r>
        <w:fldChar w:fldCharType="separate"/>
      </w:r>
      <w:r>
        <w:t>28</w:t>
      </w:r>
      <w:r>
        <w:fldChar w:fldCharType="end"/>
      </w:r>
      <w:r>
        <w:t xml:space="preserve">.  Правителството оспорва тези </w:t>
      </w:r>
      <w:r w:rsidR="00BE551C">
        <w:t>доводи</w:t>
      </w:r>
      <w:r>
        <w:t>.</w:t>
      </w:r>
    </w:p>
    <w:p w:rsidR="00BC019E" w:rsidRPr="00EB346B" w:rsidRDefault="00BC019E" w:rsidP="00BC019E">
      <w:pPr>
        <w:pStyle w:val="ECHRHeading2"/>
      </w:pPr>
      <w:r>
        <w:t>A.  Допустимост</w:t>
      </w:r>
    </w:p>
    <w:p w:rsidR="00BC019E" w:rsidRPr="00EB346B" w:rsidRDefault="00BC019E" w:rsidP="00BC019E">
      <w:pPr>
        <w:pStyle w:val="ECHRPara"/>
      </w:pPr>
      <w:r>
        <w:fldChar w:fldCharType="begin"/>
      </w:r>
      <w:r>
        <w:instrText xml:space="preserve"> SEQ level0 \*arabic </w:instrText>
      </w:r>
      <w:r>
        <w:fldChar w:fldCharType="separate"/>
      </w:r>
      <w:r>
        <w:t>29</w:t>
      </w:r>
      <w:r>
        <w:fldChar w:fldCharType="end"/>
      </w:r>
      <w:r>
        <w:t xml:space="preserve">.  Съдът отбелязва, че жалбата не е явно необоснована по смисъла на чл. 35 § 3 (а) от Конвенцията. </w:t>
      </w:r>
      <w:r w:rsidR="00284FA9">
        <w:t>О</w:t>
      </w:r>
      <w:r>
        <w:t xml:space="preserve">тбелязва още, че тя не е недопустима на други основания. Следователно тя </w:t>
      </w:r>
      <w:r w:rsidR="0032085A">
        <w:t>е</w:t>
      </w:r>
      <w:r>
        <w:t xml:space="preserve"> допустима.</w:t>
      </w:r>
    </w:p>
    <w:p w:rsidR="00BC019E" w:rsidRPr="00EB346B" w:rsidRDefault="00BC019E" w:rsidP="00BC019E">
      <w:pPr>
        <w:pStyle w:val="ECHRHeading2"/>
      </w:pPr>
      <w:r>
        <w:t>Б. Основателност</w:t>
      </w:r>
    </w:p>
    <w:p w:rsidR="00BC019E" w:rsidRPr="00EB346B" w:rsidRDefault="00BC019E" w:rsidP="00BC019E">
      <w:pPr>
        <w:pStyle w:val="ECHRHeading3"/>
      </w:pPr>
      <w:r>
        <w:t>1.  Тези на страните</w:t>
      </w:r>
    </w:p>
    <w:p w:rsidR="00BC019E" w:rsidRPr="00EB346B" w:rsidRDefault="00BC019E" w:rsidP="00BC019E">
      <w:pPr>
        <w:pStyle w:val="ECHRPara"/>
      </w:pPr>
      <w:r>
        <w:fldChar w:fldCharType="begin"/>
      </w:r>
      <w:r>
        <w:instrText xml:space="preserve"> SEQ level0 \*arabic </w:instrText>
      </w:r>
      <w:r>
        <w:fldChar w:fldCharType="separate"/>
      </w:r>
      <w:r>
        <w:t>30</w:t>
      </w:r>
      <w:r>
        <w:fldChar w:fldCharType="end"/>
      </w:r>
      <w:r>
        <w:t>.  Жалбоподателят заявява, че поли</w:t>
      </w:r>
      <w:r w:rsidR="00284FA9">
        <w:t>цейските служители</w:t>
      </w:r>
      <w:r>
        <w:t xml:space="preserve"> са го били, докато са го задържали. Те са използвали прекомерна физическа сила срещу него, която не е била ефективно разследвана, в нарушение на горепосочената разпоредба на Конвенцията.</w:t>
      </w:r>
    </w:p>
    <w:p w:rsidR="00BC019E" w:rsidRPr="00EB346B" w:rsidRDefault="00BC019E" w:rsidP="00BC019E">
      <w:pPr>
        <w:pStyle w:val="ECHRPara"/>
      </w:pPr>
      <w:r>
        <w:fldChar w:fldCharType="begin"/>
      </w:r>
      <w:r>
        <w:instrText xml:space="preserve"> SEQ level0 \*arabic </w:instrText>
      </w:r>
      <w:r>
        <w:fldChar w:fldCharType="separate"/>
      </w:r>
      <w:r>
        <w:t>31</w:t>
      </w:r>
      <w:r>
        <w:fldChar w:fldCharType="end"/>
      </w:r>
      <w:r>
        <w:t xml:space="preserve">.  Правителството заявява, че полицейските органи са приложили ограничена, разумна и пропорционална сила за кратък период от време, която е била необходима за извършване на </w:t>
      </w:r>
      <w:r w:rsidR="00284FA9">
        <w:t xml:space="preserve">задържане </w:t>
      </w:r>
      <w:r>
        <w:t xml:space="preserve">на жалбоподателя. Не е използвана прекомерна сила срещу него и не е имало побой. Навременно и задълбочено официално разследване е проведено непосредствено след събитията и заключенията на прокуратурата са потвърдени на две </w:t>
      </w:r>
      <w:r w:rsidR="00977D5F">
        <w:t>инстанции</w:t>
      </w:r>
      <w:r w:rsidR="00284FA9">
        <w:t xml:space="preserve"> </w:t>
      </w:r>
      <w:r>
        <w:t>на компетентност.</w:t>
      </w:r>
    </w:p>
    <w:p w:rsidR="00BC019E" w:rsidRPr="00EB346B" w:rsidRDefault="00BC019E" w:rsidP="00BC019E">
      <w:pPr>
        <w:pStyle w:val="ECHRHeading3"/>
      </w:pPr>
      <w:r>
        <w:t>2.  Преценка на Съда</w:t>
      </w:r>
    </w:p>
    <w:p w:rsidR="00BC019E" w:rsidRPr="00EB346B" w:rsidRDefault="00BC019E" w:rsidP="00BC019E">
      <w:pPr>
        <w:pStyle w:val="ECHRPara"/>
      </w:pPr>
      <w:r>
        <w:fldChar w:fldCharType="begin"/>
      </w:r>
      <w:r>
        <w:instrText xml:space="preserve"> SEQ level0 \*arabic </w:instrText>
      </w:r>
      <w:r>
        <w:fldChar w:fldCharType="separate"/>
      </w:r>
      <w:r>
        <w:t>32</w:t>
      </w:r>
      <w:r>
        <w:fldChar w:fldCharType="end"/>
      </w:r>
      <w:r>
        <w:t xml:space="preserve">.  Съдът постоянно посочва в своята съдебна практика, че по отношение на лице, което е има сблъсък с полицейски служители, всяко прибягване до физическа сила, което не е строго необходимо в резултат на поведението на самото лицето, накърнява човешкото достойнство и е нарушение на правото, посочено в чл. 3 (вж. </w:t>
      </w:r>
      <w:proofErr w:type="spellStart"/>
      <w:r>
        <w:rPr>
          <w:i/>
        </w:rPr>
        <w:t>Bouyid</w:t>
      </w:r>
      <w:proofErr w:type="spellEnd"/>
      <w:r>
        <w:rPr>
          <w:i/>
        </w:rPr>
        <w:t xml:space="preserve"> v. </w:t>
      </w:r>
      <w:proofErr w:type="spellStart"/>
      <w:r>
        <w:rPr>
          <w:i/>
        </w:rPr>
        <w:t>Belgium</w:t>
      </w:r>
      <w:proofErr w:type="spellEnd"/>
      <w:r>
        <w:t xml:space="preserve"> [GC], </w:t>
      </w:r>
      <w:r>
        <w:rPr>
          <w:cs/>
        </w:rPr>
        <w:t xml:space="preserve">№ </w:t>
      </w:r>
      <w:r>
        <w:t xml:space="preserve">23380/09, § 101, 28 септември 2015 г.). Въпреки това използването на сила в контекста на арест, дори и да причинява вреда, не води непременно до нарушение на чл. 3, особено при обстоятелства, произтичащи от поведението на самия жалбоподател (вж. </w:t>
      </w:r>
      <w:proofErr w:type="spellStart"/>
      <w:r>
        <w:rPr>
          <w:i/>
        </w:rPr>
        <w:t>Berliński</w:t>
      </w:r>
      <w:proofErr w:type="spellEnd"/>
      <w:r>
        <w:rPr>
          <w:i/>
        </w:rPr>
        <w:t xml:space="preserve"> v. </w:t>
      </w:r>
      <w:proofErr w:type="spellStart"/>
      <w:r>
        <w:rPr>
          <w:i/>
        </w:rPr>
        <w:t>Poland</w:t>
      </w:r>
      <w:proofErr w:type="spellEnd"/>
      <w:r>
        <w:t xml:space="preserve">, </w:t>
      </w:r>
      <w:r>
        <w:rPr>
          <w:cs/>
        </w:rPr>
        <w:t xml:space="preserve">№ </w:t>
      </w:r>
      <w:r>
        <w:t>27715/95 и 30209/96, §§ 64-65, 20 юни 2002 г.).</w:t>
      </w:r>
    </w:p>
    <w:p w:rsidR="00BC019E" w:rsidRPr="00EB346B" w:rsidRDefault="00BC019E" w:rsidP="00BC019E">
      <w:pPr>
        <w:pStyle w:val="ECHRPara"/>
      </w:pPr>
      <w:r>
        <w:lastRenderedPageBreak/>
        <w:fldChar w:fldCharType="begin"/>
      </w:r>
      <w:r>
        <w:instrText xml:space="preserve"> SEQ level0 \*arabic </w:instrText>
      </w:r>
      <w:r>
        <w:fldChar w:fldCharType="separate"/>
      </w:r>
      <w:r>
        <w:t>33</w:t>
      </w:r>
      <w:r>
        <w:fldChar w:fldCharType="end"/>
      </w:r>
      <w:r>
        <w:t xml:space="preserve">.  Общите принципи по отношение на субсидиарния характер на ролята на Съда, включително в контекста на оплаквания по чл. 3 и по отношение на оценката на доказателствата, са изложени в делото </w:t>
      </w:r>
      <w:r>
        <w:rPr>
          <w:i/>
        </w:rPr>
        <w:t>Gäfgen v. Germany</w:t>
      </w:r>
      <w:r>
        <w:t xml:space="preserve"> ([GC], </w:t>
      </w:r>
      <w:r>
        <w:rPr>
          <w:cs/>
        </w:rPr>
        <w:t xml:space="preserve">№ </w:t>
      </w:r>
      <w:r>
        <w:t>22978/05, §§ 92</w:t>
      </w:r>
      <w:r>
        <w:rPr>
          <w:cs/>
        </w:rPr>
        <w:t>–</w:t>
      </w:r>
      <w:r>
        <w:t>93, ЕСПЧ 2010 г.).</w:t>
      </w:r>
    </w:p>
    <w:p w:rsidR="00BC019E" w:rsidRPr="00EB346B" w:rsidRDefault="00BC019E" w:rsidP="00BC019E">
      <w:pPr>
        <w:pStyle w:val="ECHRPara"/>
      </w:pPr>
      <w:r>
        <w:fldChar w:fldCharType="begin"/>
      </w:r>
      <w:r>
        <w:instrText xml:space="preserve"> SEQ level0 \*arabic </w:instrText>
      </w:r>
      <w:r>
        <w:fldChar w:fldCharType="separate"/>
      </w:r>
      <w:r>
        <w:t>34</w:t>
      </w:r>
      <w:r>
        <w:fldChar w:fldCharType="end"/>
      </w:r>
      <w:r>
        <w:t xml:space="preserve">.  Що се отнася до общите принципи по отношение на ефективни разследвания, Съдът ги е посочил, наред с много други, в делата </w:t>
      </w:r>
      <w:bookmarkStart w:id="4" w:name="HIT2"/>
      <w:bookmarkEnd w:id="4"/>
      <w:r>
        <w:rPr>
          <w:i/>
        </w:rPr>
        <w:t>Асенов и други срещу България</w:t>
      </w:r>
      <w:r>
        <w:t xml:space="preserve"> (</w:t>
      </w:r>
      <w:r>
        <w:rPr>
          <w:cs/>
        </w:rPr>
        <w:t xml:space="preserve">№ </w:t>
      </w:r>
      <w:r>
        <w:fldChar w:fldCharType="begin"/>
      </w:r>
      <w:r>
        <w:instrText xml:space="preserve"> HYPERLINK "http://hudoc.echr.coe.int/eng" \l "{\"appno\":[\"24760/94\"]}" \t "_blank" </w:instrText>
      </w:r>
      <w:r>
        <w:fldChar w:fldCharType="separate"/>
      </w:r>
      <w:r>
        <w:t>24760/94</w:t>
      </w:r>
      <w:r>
        <w:fldChar w:fldCharType="end"/>
      </w:r>
      <w:r>
        <w:t xml:space="preserve">, § 102, ЕСПЧ 1998-VIII) и </w:t>
      </w:r>
      <w:proofErr w:type="spellStart"/>
      <w:r>
        <w:rPr>
          <w:i/>
        </w:rPr>
        <w:t>Labita</w:t>
      </w:r>
      <w:proofErr w:type="spellEnd"/>
      <w:r>
        <w:rPr>
          <w:i/>
        </w:rPr>
        <w:t xml:space="preserve"> v. </w:t>
      </w:r>
      <w:proofErr w:type="spellStart"/>
      <w:r>
        <w:rPr>
          <w:i/>
        </w:rPr>
        <w:t>Italy</w:t>
      </w:r>
      <w:proofErr w:type="spellEnd"/>
      <w:r>
        <w:t xml:space="preserve"> ([GC], </w:t>
      </w:r>
      <w:r>
        <w:rPr>
          <w:cs/>
        </w:rPr>
        <w:t xml:space="preserve">№ </w:t>
      </w:r>
      <w:r>
        <w:t>26772/95, § 131, ЕСПЧ 2000IV).</w:t>
      </w:r>
    </w:p>
    <w:p w:rsidR="00BC019E" w:rsidRPr="00EB346B" w:rsidRDefault="00BC019E" w:rsidP="00BC019E">
      <w:pPr>
        <w:pStyle w:val="ECHRPara"/>
      </w:pPr>
      <w:r>
        <w:fldChar w:fldCharType="begin"/>
      </w:r>
      <w:r>
        <w:instrText xml:space="preserve"> SEQ level0 \*arabic </w:instrText>
      </w:r>
      <w:r>
        <w:fldChar w:fldCharType="separate"/>
      </w:r>
      <w:r>
        <w:t>35</w:t>
      </w:r>
      <w:r>
        <w:fldChar w:fldCharType="end"/>
      </w:r>
      <w:r>
        <w:t xml:space="preserve">.  В настоящия случай твърдяното </w:t>
      </w:r>
      <w:r w:rsidR="00B42307">
        <w:t xml:space="preserve">нечовешко отношение </w:t>
      </w:r>
      <w:r>
        <w:t xml:space="preserve">се състои в това, че жалбоподателят е бит в продължение на няколко минути от полицейски органи по време на </w:t>
      </w:r>
      <w:r w:rsidR="00B0757E">
        <w:t xml:space="preserve">задържането </w:t>
      </w:r>
      <w:r>
        <w:t xml:space="preserve">му на 10 март 2014 г., което води до няколко наранявания (вж. параграф 8 по-горе). Страните не оспорват факта, че е извършено задържане или че нараняванията са претърпени в този контекст. Съдът смята, че въпросните наранявания са достатъчно тежки, за да достигнат прага, изискван съгласно чл. 3 (вж., </w:t>
      </w:r>
      <w:proofErr w:type="spellStart"/>
      <w:r>
        <w:rPr>
          <w:i/>
        </w:rPr>
        <w:t>mutatis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mutandis</w:t>
      </w:r>
      <w:proofErr w:type="spellEnd"/>
      <w:r>
        <w:rPr>
          <w:i/>
        </w:rPr>
        <w:t>,</w:t>
      </w:r>
      <w:r>
        <w:t xml:space="preserve"> </w:t>
      </w:r>
      <w:r>
        <w:rPr>
          <w:i/>
        </w:rPr>
        <w:t>Асенов и други</w:t>
      </w:r>
      <w:r>
        <w:t xml:space="preserve">, цитирано по-горе, § 95). Остава да се </w:t>
      </w:r>
      <w:r w:rsidR="00B0757E">
        <w:t xml:space="preserve">прецени </w:t>
      </w:r>
      <w:r>
        <w:t xml:space="preserve">дали държавата </w:t>
      </w:r>
      <w:r w:rsidR="00B0757E">
        <w:t>носи</w:t>
      </w:r>
      <w:r>
        <w:t xml:space="preserve"> </w:t>
      </w:r>
      <w:r w:rsidR="00B0757E">
        <w:t>отговорност по отношение на тези наранявания</w:t>
      </w:r>
      <w:r>
        <w:t xml:space="preserve"> </w:t>
      </w:r>
      <w:r w:rsidR="00B0757E">
        <w:t>съгласно</w:t>
      </w:r>
      <w:r>
        <w:t xml:space="preserve"> Конвенция</w:t>
      </w:r>
      <w:r w:rsidR="00B0757E">
        <w:t>та</w:t>
      </w:r>
      <w:r>
        <w:t>.</w:t>
      </w:r>
    </w:p>
    <w:p w:rsidR="00BC019E" w:rsidRPr="00EB346B" w:rsidRDefault="00BC019E" w:rsidP="00BC019E">
      <w:pPr>
        <w:pStyle w:val="ECHRPara"/>
      </w:pPr>
      <w:r>
        <w:fldChar w:fldCharType="begin"/>
      </w:r>
      <w:r>
        <w:instrText xml:space="preserve"> SEQ level0 \*arabic </w:instrText>
      </w:r>
      <w:r>
        <w:fldChar w:fldCharType="separate"/>
      </w:r>
      <w:r>
        <w:t>36</w:t>
      </w:r>
      <w:r>
        <w:fldChar w:fldCharType="end"/>
      </w:r>
      <w:r>
        <w:t>. </w:t>
      </w:r>
      <w:r w:rsidR="00B8211F">
        <w:t>На следващо място</w:t>
      </w:r>
      <w:r>
        <w:t xml:space="preserve"> Съдът отбелязва, че жалбоподателят е бил </w:t>
      </w:r>
      <w:r w:rsidR="00B8211F">
        <w:t xml:space="preserve">задържан </w:t>
      </w:r>
      <w:r>
        <w:t>след преследване с автомобили, което неочаквано въвлича двама полиц</w:t>
      </w:r>
      <w:r w:rsidR="00B8211F">
        <w:t>ейски служители</w:t>
      </w:r>
      <w:r>
        <w:t xml:space="preserve">, които патрулират на пътя, в резултат на това, че той отказва да спре </w:t>
      </w:r>
      <w:r w:rsidR="00B8211F">
        <w:t xml:space="preserve">автомобила </w:t>
      </w:r>
      <w:r>
        <w:t>и вместо това ускорява. Въпреки че двамата полиц</w:t>
      </w:r>
      <w:r w:rsidR="00B8211F">
        <w:t>ейски служители</w:t>
      </w:r>
      <w:r>
        <w:t xml:space="preserve"> превъзхождат числено жалбоподателя, трябва да се има предвид, че той активно се е опитал да избяга от тях в продължителен период от време и че при тези обстоятелства полиц</w:t>
      </w:r>
      <w:r w:rsidR="00B8211F">
        <w:t>ейските служители</w:t>
      </w:r>
      <w:r>
        <w:t xml:space="preserve"> не са знаели и не </w:t>
      </w:r>
      <w:r w:rsidR="00B8211F">
        <w:t>могат</w:t>
      </w:r>
      <w:r>
        <w:t xml:space="preserve"> да знаят защо той бяга или дали е въоръжен или опасен (вж., </w:t>
      </w:r>
      <w:proofErr w:type="spellStart"/>
      <w:r>
        <w:rPr>
          <w:i/>
        </w:rPr>
        <w:t>mutatis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mutandis</w:t>
      </w:r>
      <w:proofErr w:type="spellEnd"/>
      <w:r>
        <w:t xml:space="preserve">, </w:t>
      </w:r>
      <w:proofErr w:type="spellStart"/>
      <w:r>
        <w:rPr>
          <w:i/>
        </w:rPr>
        <w:t>Berliński</w:t>
      </w:r>
      <w:proofErr w:type="spellEnd"/>
      <w:r>
        <w:t xml:space="preserve">, цитирано по-горе, § 62, и за разлика от него </w:t>
      </w:r>
      <w:proofErr w:type="spellStart"/>
      <w:r>
        <w:rPr>
          <w:i/>
        </w:rPr>
        <w:t>Rehbock</w:t>
      </w:r>
      <w:proofErr w:type="spellEnd"/>
      <w:r>
        <w:rPr>
          <w:i/>
        </w:rPr>
        <w:t xml:space="preserve"> v. </w:t>
      </w:r>
      <w:proofErr w:type="spellStart"/>
      <w:r>
        <w:rPr>
          <w:i/>
        </w:rPr>
        <w:t>Slovenia</w:t>
      </w:r>
      <w:proofErr w:type="spellEnd"/>
      <w:r>
        <w:t xml:space="preserve">, </w:t>
      </w:r>
      <w:r>
        <w:rPr>
          <w:cs/>
        </w:rPr>
        <w:t xml:space="preserve">№ </w:t>
      </w:r>
      <w:r>
        <w:fldChar w:fldCharType="begin"/>
      </w:r>
      <w:r>
        <w:instrText xml:space="preserve"> HYPERLINK "http://hudoc.echr.coe.int/eng" \l "{\"appno\":[\"29462/95\"]}" \t "_blank" </w:instrText>
      </w:r>
      <w:r>
        <w:fldChar w:fldCharType="separate"/>
      </w:r>
      <w:r>
        <w:t>29462/95</w:t>
      </w:r>
      <w:r>
        <w:fldChar w:fldCharType="end"/>
      </w:r>
      <w:r>
        <w:t>, § 72, 28 ноември 2000 г., ЕСПЧ 2000XII). Полиц</w:t>
      </w:r>
      <w:r w:rsidR="001A1194">
        <w:t>ейските служители</w:t>
      </w:r>
      <w:r>
        <w:t xml:space="preserve"> успяват да настигнат жалбоподателя и да му поставят белезници единствено защото той пада на земята, а не защото доброволно се подчинява на </w:t>
      </w:r>
      <w:r w:rsidR="001A1194">
        <w:t>тяхната заповед</w:t>
      </w:r>
      <w:r>
        <w:t xml:space="preserve"> да спре.</w:t>
      </w:r>
    </w:p>
    <w:p w:rsidR="00BC019E" w:rsidRPr="00EB346B" w:rsidRDefault="00BC019E" w:rsidP="00BC019E">
      <w:pPr>
        <w:pStyle w:val="ECHRPara"/>
      </w:pPr>
      <w:r>
        <w:fldChar w:fldCharType="begin"/>
      </w:r>
      <w:r>
        <w:instrText xml:space="preserve"> SEQ level0 \*arabic </w:instrText>
      </w:r>
      <w:r>
        <w:fldChar w:fldCharType="separate"/>
      </w:r>
      <w:r>
        <w:t>37</w:t>
      </w:r>
      <w:r>
        <w:fldChar w:fldCharType="end"/>
      </w:r>
      <w:r>
        <w:t xml:space="preserve">.  Що се отнася до оспорваните наранявания, Съдът </w:t>
      </w:r>
      <w:r w:rsidR="00D32D32">
        <w:t>посо</w:t>
      </w:r>
      <w:r w:rsidR="00140DFF">
        <w:t>чва</w:t>
      </w:r>
      <w:r>
        <w:t>, че няма спор относно факта, че полицейските органи са използвали сила, за да задържат жалбоподателя. Страните обаче оспорват начина, по който са претърпени нараняванията.</w:t>
      </w:r>
    </w:p>
    <w:p w:rsidR="00BC019E" w:rsidRPr="00EB346B" w:rsidRDefault="00BC019E" w:rsidP="00BC019E">
      <w:pPr>
        <w:pStyle w:val="ECHRPara"/>
      </w:pPr>
      <w:r>
        <w:fldChar w:fldCharType="begin"/>
      </w:r>
      <w:r>
        <w:instrText xml:space="preserve"> SEQ level0 \*arabic </w:instrText>
      </w:r>
      <w:r>
        <w:fldChar w:fldCharType="separate"/>
      </w:r>
      <w:r>
        <w:t>38</w:t>
      </w:r>
      <w:r>
        <w:fldChar w:fldCharType="end"/>
      </w:r>
      <w:r>
        <w:t xml:space="preserve">.  Съдът отбелязва, че твърдението на жалбоподателя, че е бил бит, не е потвърдено от вътрешното разследване от страна на прокуратурата или от последвалия съдебен контрол, който се е </w:t>
      </w:r>
      <w:r w:rsidR="006807F6">
        <w:t xml:space="preserve">състоял </w:t>
      </w:r>
      <w:r>
        <w:t xml:space="preserve">на две </w:t>
      </w:r>
      <w:r w:rsidR="006807F6">
        <w:t xml:space="preserve">инстанции </w:t>
      </w:r>
      <w:r>
        <w:t>на компетентност (вж. §§ 17-22 по-горе). Според Съда от особена важност е това, че съдебномедицинск</w:t>
      </w:r>
      <w:r w:rsidR="006807F6">
        <w:t xml:space="preserve">ата експертиза </w:t>
      </w:r>
      <w:r>
        <w:t xml:space="preserve">изключва възможността жалбоподателят да е претърпял нараняванията си по описания от него начин. Те са строго локализирани и малко на брой, което е несъвместимо с това да е бил удрян или ритан по безразборен </w:t>
      </w:r>
      <w:r>
        <w:lastRenderedPageBreak/>
        <w:t xml:space="preserve">начин в продължение на няколко минути, както той твърди (вж. параграф 18 по-горе). Същевременно в </w:t>
      </w:r>
      <w:r w:rsidR="006807F6">
        <w:t xml:space="preserve">експертизата </w:t>
      </w:r>
      <w:r>
        <w:t>се стига до заключението, че е възможно нараняванията да са претърпени</w:t>
      </w:r>
      <w:r w:rsidR="006807F6">
        <w:t xml:space="preserve"> в</w:t>
      </w:r>
      <w:r>
        <w:t xml:space="preserve"> резултат на падане по време на бързо движение, което съответства на твърденията на полиц</w:t>
      </w:r>
      <w:r w:rsidR="006807F6">
        <w:t>ейските служители</w:t>
      </w:r>
      <w:r>
        <w:t xml:space="preserve"> по време на разследването. Тъй като не са предоставени убедителни доказателства, които да накарат Съда да се отклони от констатациите на </w:t>
      </w:r>
      <w:r w:rsidR="006807F6">
        <w:t xml:space="preserve">националните </w:t>
      </w:r>
      <w:r>
        <w:t xml:space="preserve">власти, Съдът приема версията на събитията, както е установена от разследващите органи и потвърдена от националните съдилища. В светлината на гореизложеното </w:t>
      </w:r>
      <w:r w:rsidR="006807F6">
        <w:t>счита</w:t>
      </w:r>
      <w:r>
        <w:t>, че прибягването до известна физическа сила е било необходимо поради поведението на жалбоподател</w:t>
      </w:r>
      <w:r w:rsidR="006807F6">
        <w:t>я</w:t>
      </w:r>
      <w:r>
        <w:t xml:space="preserve"> и че действителната сила, използвана от полиц</w:t>
      </w:r>
      <w:r w:rsidR="006807F6">
        <w:t>ейските служители</w:t>
      </w:r>
      <w:r>
        <w:t xml:space="preserve">, не може да се </w:t>
      </w:r>
      <w:r w:rsidR="006807F6">
        <w:t xml:space="preserve">счита </w:t>
      </w:r>
      <w:r>
        <w:t xml:space="preserve">за непропорционална на това поведение. Макар че жалбоподателят несъмнено е пострадал в резултат на задържането си, нараняванията и свързаното с тях страдание не са резултат от използването на прекомерна </w:t>
      </w:r>
      <w:r w:rsidR="006807F6">
        <w:t xml:space="preserve">физическа </w:t>
      </w:r>
      <w:r>
        <w:t xml:space="preserve">сила срещу него. Следователно не е налице нарушение на чл. 3 от Конвенцията по отношение на твърдяното </w:t>
      </w:r>
      <w:r w:rsidR="00B42307">
        <w:t xml:space="preserve">нечовешко отношение </w:t>
      </w:r>
      <w:r>
        <w:t>от страна на полиц</w:t>
      </w:r>
      <w:r w:rsidR="006807F6">
        <w:t>ейските служители</w:t>
      </w:r>
      <w:r>
        <w:t xml:space="preserve"> на 10 март 2014 г.</w:t>
      </w:r>
    </w:p>
    <w:p w:rsidR="00BC019E" w:rsidRPr="00EB346B" w:rsidRDefault="00BC019E" w:rsidP="00BC019E">
      <w:pPr>
        <w:pStyle w:val="ECHRPara"/>
      </w:pPr>
      <w:r>
        <w:fldChar w:fldCharType="begin"/>
      </w:r>
      <w:r>
        <w:instrText xml:space="preserve"> SEQ level0 \*arabic </w:instrText>
      </w:r>
      <w:r>
        <w:fldChar w:fldCharType="separate"/>
      </w:r>
      <w:r>
        <w:t>39</w:t>
      </w:r>
      <w:r>
        <w:fldChar w:fldCharType="end"/>
      </w:r>
      <w:r>
        <w:t xml:space="preserve">.  Що се отнася до твърдяното неспазване от страна на </w:t>
      </w:r>
      <w:r w:rsidR="0092638B">
        <w:t xml:space="preserve">органите </w:t>
      </w:r>
      <w:r>
        <w:t xml:space="preserve">на техните </w:t>
      </w:r>
      <w:r w:rsidR="0092638B">
        <w:t xml:space="preserve">процесуални </w:t>
      </w:r>
      <w:r>
        <w:t xml:space="preserve">задължения за ефективно разследване, Съдът отбелязва, че в </w:t>
      </w:r>
      <w:r w:rsidR="0092638B">
        <w:t xml:space="preserve">настоящия </w:t>
      </w:r>
      <w:r>
        <w:t xml:space="preserve">случай са извършени официални последващи действия </w:t>
      </w:r>
      <w:r w:rsidR="00A64B83">
        <w:t xml:space="preserve">непосредствено </w:t>
      </w:r>
      <w:r>
        <w:t>след събитията и три дни по-късно е започнато независимо разследване на инцидента (вж. параграфи 13-17 по-горе). Разпитани са редица свидетели, включително двамата поли</w:t>
      </w:r>
      <w:r w:rsidR="00A64B83">
        <w:t>цейски служители</w:t>
      </w:r>
      <w:r>
        <w:t>, за които се твърди, че са били жалбоподателя, както и самият жалбоподател, неговият брат и приятелят на брат му. Съдебномедицински експерт разглежда медицинските документи и показанията, събрани от всички разпитвани лица, и достига до заключение, което изключва възможността жалбоподателят да е претърпял нараняванията по твърд</w:t>
      </w:r>
      <w:r w:rsidR="00311DB5">
        <w:t>е</w:t>
      </w:r>
      <w:r>
        <w:t xml:space="preserve">ния начин. Този факт, съчетан с </w:t>
      </w:r>
      <w:r w:rsidR="00311DB5">
        <w:t>противоречията</w:t>
      </w:r>
      <w:r>
        <w:t>, които се съдържат в показанията на жалбоподателя, водят до това прокуратурата да прекрати разследването.</w:t>
      </w:r>
    </w:p>
    <w:p w:rsidR="00BC019E" w:rsidRPr="00EB346B" w:rsidRDefault="00BC019E" w:rsidP="00BC019E">
      <w:pPr>
        <w:pStyle w:val="ECHRPara"/>
      </w:pPr>
      <w:r>
        <w:fldChar w:fldCharType="begin"/>
      </w:r>
      <w:r>
        <w:instrText xml:space="preserve"> SEQ level0 \*arabic </w:instrText>
      </w:r>
      <w:r>
        <w:fldChar w:fldCharType="separate"/>
      </w:r>
      <w:r>
        <w:t>40</w:t>
      </w:r>
      <w:r>
        <w:fldChar w:fldCharType="end"/>
      </w:r>
      <w:r>
        <w:t xml:space="preserve">.  Освен това жалбоподателят е имал възможност да оспори констатациите на прокурора пред съдилищата на две </w:t>
      </w:r>
      <w:r w:rsidR="00FE724A">
        <w:t xml:space="preserve">инстанции </w:t>
      </w:r>
      <w:r>
        <w:t xml:space="preserve">на компетентност. </w:t>
      </w:r>
      <w:r w:rsidR="00FE724A">
        <w:t>Обстоятелството</w:t>
      </w:r>
      <w:r>
        <w:t xml:space="preserve">, че не е постигнал успех, не може да се смята за относим (вж. по подобен начин </w:t>
      </w:r>
      <w:proofErr w:type="spellStart"/>
      <w:r>
        <w:rPr>
          <w:i/>
        </w:rPr>
        <w:t>Józef</w:t>
      </w:r>
      <w:proofErr w:type="spellEnd"/>
      <w:r>
        <w:rPr>
          <w:i/>
        </w:rPr>
        <w:t> </w:t>
      </w:r>
      <w:proofErr w:type="spellStart"/>
      <w:r>
        <w:rPr>
          <w:i/>
        </w:rPr>
        <w:t>Woś</w:t>
      </w:r>
      <w:proofErr w:type="spellEnd"/>
      <w:r>
        <w:t xml:space="preserve"> </w:t>
      </w:r>
      <w:r>
        <w:rPr>
          <w:i/>
        </w:rPr>
        <w:t xml:space="preserve">v. </w:t>
      </w:r>
      <w:proofErr w:type="spellStart"/>
      <w:r>
        <w:rPr>
          <w:i/>
        </w:rPr>
        <w:t>Poland</w:t>
      </w:r>
      <w:proofErr w:type="spellEnd"/>
      <w:r>
        <w:t xml:space="preserve">, </w:t>
      </w:r>
      <w:r>
        <w:rPr>
          <w:cs/>
        </w:rPr>
        <w:t xml:space="preserve">№ </w:t>
      </w:r>
      <w:r>
        <w:t xml:space="preserve">6058/10, § 54, 28 юни 2016 г.). Трябва да се отбележи, че на властите не може да се </w:t>
      </w:r>
      <w:r w:rsidR="00FE724A">
        <w:t xml:space="preserve">признае </w:t>
      </w:r>
      <w:r>
        <w:t xml:space="preserve">очевиден пропуск при събирането на съответните доказателства, за разлика от редица случаи, в които Съдът констатира нарушение на чл. 3 въз основа на това, че властите са направили поредица от важни пропуски по време на разследванията на оплаквания на жалбоподатели за </w:t>
      </w:r>
      <w:r w:rsidR="00B42307">
        <w:t xml:space="preserve">нечовешко отношение </w:t>
      </w:r>
      <w:r>
        <w:t>от страна на полиц</w:t>
      </w:r>
      <w:r w:rsidR="00B5096F">
        <w:t>ейски служители</w:t>
      </w:r>
      <w:r>
        <w:t xml:space="preserve"> (вж. наред с много други </w:t>
      </w:r>
      <w:r>
        <w:rPr>
          <w:i/>
        </w:rPr>
        <w:t>Ангелова срещу България</w:t>
      </w:r>
      <w:r>
        <w:t xml:space="preserve">, </w:t>
      </w:r>
      <w:r>
        <w:rPr>
          <w:cs/>
        </w:rPr>
        <w:t xml:space="preserve">№ </w:t>
      </w:r>
      <w:r>
        <w:lastRenderedPageBreak/>
        <w:t>38361/97, § 142, ЕСПЧ 2002IV</w:t>
      </w:r>
      <w:r>
        <w:rPr>
          <w:rStyle w:val="column"/>
        </w:rPr>
        <w:t>;</w:t>
      </w:r>
      <w:r>
        <w:t xml:space="preserve"> </w:t>
      </w:r>
      <w:r>
        <w:rPr>
          <w:i/>
        </w:rPr>
        <w:t>Бисер Костов срещу България</w:t>
      </w:r>
      <w:r>
        <w:t xml:space="preserve">, </w:t>
      </w:r>
      <w:r>
        <w:rPr>
          <w:cs/>
        </w:rPr>
        <w:t xml:space="preserve">№ </w:t>
      </w:r>
      <w:r>
        <w:t>32662/06, § 80 и §§ 83</w:t>
      </w:r>
      <w:r>
        <w:rPr>
          <w:cs/>
        </w:rPr>
        <w:t>–</w:t>
      </w:r>
      <w:r>
        <w:t xml:space="preserve">84, 10 януари 2012 г.; </w:t>
      </w:r>
      <w:r>
        <w:rPr>
          <w:i/>
        </w:rPr>
        <w:t>Николай Димитров срещу България</w:t>
      </w:r>
      <w:r>
        <w:t xml:space="preserve">, </w:t>
      </w:r>
      <w:r>
        <w:rPr>
          <w:cs/>
        </w:rPr>
        <w:t xml:space="preserve">№ </w:t>
      </w:r>
      <w:r>
        <w:t>72663/01, §§ 77</w:t>
      </w:r>
      <w:r>
        <w:rPr>
          <w:cs/>
        </w:rPr>
        <w:t>–</w:t>
      </w:r>
      <w:r>
        <w:t xml:space="preserve">78, 27 септември 2007 г.). </w:t>
      </w:r>
      <w:r w:rsidR="00B5096F">
        <w:t>Н</w:t>
      </w:r>
      <w:r>
        <w:t xml:space="preserve">акрая, не е </w:t>
      </w:r>
      <w:r w:rsidR="00B5096F">
        <w:t xml:space="preserve">допуснато каквито и да е било </w:t>
      </w:r>
      <w:r>
        <w:t xml:space="preserve">доказателства да бъдат повредени </w:t>
      </w:r>
      <w:r w:rsidR="00B5096F">
        <w:t xml:space="preserve">по време на </w:t>
      </w:r>
      <w:r>
        <w:t xml:space="preserve"> процеса и заедно със съдебния контрол на две инстанции, разследването приключва в рамките на десет месеца (вж. за разлика от това </w:t>
      </w:r>
      <w:proofErr w:type="spellStart"/>
      <w:r>
        <w:rPr>
          <w:i/>
        </w:rPr>
        <w:t>Labita</w:t>
      </w:r>
      <w:proofErr w:type="spellEnd"/>
      <w:r>
        <w:t>, цитирано по-горе, § 133, където единственото действие в продължение на четиринадесет месеца е фотографиране на твърдените извършители).</w:t>
      </w:r>
    </w:p>
    <w:p w:rsidR="00BC019E" w:rsidRPr="00EB346B" w:rsidRDefault="00BC019E" w:rsidP="00BC019E">
      <w:pPr>
        <w:pStyle w:val="ECHRPara"/>
      </w:pPr>
      <w:r>
        <w:fldChar w:fldCharType="begin"/>
      </w:r>
      <w:r>
        <w:instrText xml:space="preserve"> SEQ level0 \*arabic </w:instrText>
      </w:r>
      <w:r>
        <w:fldChar w:fldCharType="separate"/>
      </w:r>
      <w:r>
        <w:t>41</w:t>
      </w:r>
      <w:r>
        <w:fldChar w:fldCharType="end"/>
      </w:r>
      <w:r>
        <w:t xml:space="preserve">.  В този контекст Съдът заключава, че властите са </w:t>
      </w:r>
      <w:r w:rsidR="00FF5F2C">
        <w:t xml:space="preserve">извършили </w:t>
      </w:r>
      <w:r>
        <w:t xml:space="preserve">ефективно разследване на твърденията на жалбоподателя за </w:t>
      </w:r>
      <w:r w:rsidR="00FF5F2C">
        <w:t>нечовешко отношение</w:t>
      </w:r>
      <w:r>
        <w:t>. Следователно не е налице нарушение на чл. 3 от Конвенцията в неговия процесуален аспект.</w:t>
      </w:r>
    </w:p>
    <w:p w:rsidR="00BC019E" w:rsidRPr="00EB346B" w:rsidRDefault="00BC019E" w:rsidP="00BC019E">
      <w:pPr>
        <w:pStyle w:val="ECHRPara"/>
      </w:pPr>
      <w:r>
        <w:fldChar w:fldCharType="begin"/>
      </w:r>
      <w:r>
        <w:instrText xml:space="preserve"> SEQ level0 \*arabic </w:instrText>
      </w:r>
      <w:r>
        <w:fldChar w:fldCharType="separate"/>
      </w:r>
      <w:r>
        <w:t>42</w:t>
      </w:r>
      <w:r>
        <w:fldChar w:fldCharType="end"/>
      </w:r>
      <w:r>
        <w:t>.  </w:t>
      </w:r>
      <w:r w:rsidR="00FF5F2C">
        <w:t>На последно място</w:t>
      </w:r>
      <w:r>
        <w:t xml:space="preserve">, що се отнася до твърдението на жалбоподателя, че не е </w:t>
      </w:r>
      <w:r w:rsidR="00FF5F2C">
        <w:t xml:space="preserve">разполагал с </w:t>
      </w:r>
      <w:r>
        <w:t>ефективно вътрешноправно средство за защита във връзка с оплакванията по чл. 3 в нарушение на чл. 13, Съдът повтаря гореизложените констатации. По-конкретно</w:t>
      </w:r>
      <w:r w:rsidR="00FF5F2C">
        <w:t>,</w:t>
      </w:r>
      <w:r>
        <w:t xml:space="preserve"> проведено</w:t>
      </w:r>
      <w:r w:rsidR="00FF5F2C">
        <w:t xml:space="preserve"> е</w:t>
      </w:r>
      <w:r>
        <w:t xml:space="preserve"> разследване на оплакванията на жалбоподателя за </w:t>
      </w:r>
      <w:r w:rsidR="00723F6E">
        <w:t xml:space="preserve">нечовешко отношение </w:t>
      </w:r>
      <w:r>
        <w:t xml:space="preserve">по време на неговото задържане и той е могъл да оспори прекратяването му пред две съдилища, което той е направил ефективно. Следователно той </w:t>
      </w:r>
      <w:r w:rsidR="00FF5F2C">
        <w:t>установява</w:t>
      </w:r>
      <w:r>
        <w:t>, че не е налице нарушение на чл. 13 във връзка с чл. 3 от Конвенцията.</w:t>
      </w:r>
    </w:p>
    <w:p w:rsidR="00BC019E" w:rsidRPr="00EB346B" w:rsidRDefault="00BC019E" w:rsidP="00BC019E">
      <w:pPr>
        <w:pStyle w:val="ECHRTitle1"/>
      </w:pPr>
      <w:r>
        <w:t>ПО ТЕЗИ СЪОБРАЖЕНИЯ</w:t>
      </w:r>
      <w:r w:rsidR="00B42307">
        <w:t>,</w:t>
      </w:r>
      <w:r>
        <w:t xml:space="preserve"> СЪДЪТ ЕДИНОДУШНО</w:t>
      </w:r>
    </w:p>
    <w:p w:rsidR="00BC019E" w:rsidRPr="00EB346B" w:rsidRDefault="00BC019E" w:rsidP="00BC019E">
      <w:pPr>
        <w:pStyle w:val="JuList"/>
      </w:pPr>
      <w:r>
        <w:t>1.  </w:t>
      </w:r>
      <w:r>
        <w:rPr>
          <w:i/>
        </w:rPr>
        <w:t>Обявява</w:t>
      </w:r>
      <w:r>
        <w:t xml:space="preserve"> жалбата за допустима;</w:t>
      </w:r>
    </w:p>
    <w:p w:rsidR="00BC019E" w:rsidRPr="00EB346B" w:rsidRDefault="00BC019E" w:rsidP="00BC019E">
      <w:pPr>
        <w:pStyle w:val="JuList"/>
        <w:ind w:left="0" w:firstLine="0"/>
      </w:pPr>
    </w:p>
    <w:p w:rsidR="00BC019E" w:rsidRPr="00EB346B" w:rsidRDefault="00BC019E" w:rsidP="00BC019E">
      <w:pPr>
        <w:pStyle w:val="JuList"/>
      </w:pPr>
      <w:r>
        <w:t>2.  </w:t>
      </w:r>
      <w:r>
        <w:rPr>
          <w:i/>
        </w:rPr>
        <w:t>Приема</w:t>
      </w:r>
      <w:r>
        <w:t xml:space="preserve">, че не е налице нарушение на чл. 3 от Конвенцията нито в </w:t>
      </w:r>
      <w:proofErr w:type="spellStart"/>
      <w:r>
        <w:t>материалноправния</w:t>
      </w:r>
      <w:proofErr w:type="spellEnd"/>
      <w:r>
        <w:t>, нито в процесуалния му аспект;</w:t>
      </w:r>
    </w:p>
    <w:p w:rsidR="00BC019E" w:rsidRPr="00EB346B" w:rsidRDefault="00BC019E" w:rsidP="00BC019E">
      <w:pPr>
        <w:pStyle w:val="JuList"/>
      </w:pPr>
    </w:p>
    <w:p w:rsidR="00BC019E" w:rsidRPr="00EB346B" w:rsidRDefault="00BC019E" w:rsidP="00BC019E">
      <w:pPr>
        <w:pStyle w:val="JuList"/>
      </w:pPr>
      <w:r>
        <w:t>3.  </w:t>
      </w:r>
      <w:r>
        <w:rPr>
          <w:i/>
        </w:rPr>
        <w:t>Приема,</w:t>
      </w:r>
      <w:r>
        <w:t xml:space="preserve"> че не е налице нарушение на чл. 13 във връзка с чл. 3 от Конвенцията.</w:t>
      </w:r>
    </w:p>
    <w:p w:rsidR="00BC019E" w:rsidRPr="00EB346B" w:rsidRDefault="00BC019E" w:rsidP="00BC019E">
      <w:pPr>
        <w:pStyle w:val="JuParaLast"/>
      </w:pPr>
      <w:r>
        <w:t xml:space="preserve">Изготвено на английски език и оповестено писмено на 5 октомври 2017 г. в съответствие с </w:t>
      </w:r>
      <w:r w:rsidR="00B42307">
        <w:t>п</w:t>
      </w:r>
      <w:r>
        <w:t>равило 77 §§ 2 и 3 от Правилника на Съда.</w:t>
      </w:r>
    </w:p>
    <w:p w:rsidR="00BC019E" w:rsidRPr="00EB346B" w:rsidRDefault="00BC019E" w:rsidP="00BC019E">
      <w:pPr>
        <w:pStyle w:val="JuSigned"/>
        <w:tabs>
          <w:tab w:val="clear" w:pos="851"/>
          <w:tab w:val="center" w:pos="1134"/>
        </w:tabs>
      </w:pPr>
      <w:r>
        <w:tab/>
        <w:t xml:space="preserve">Ан-Мари </w:t>
      </w:r>
      <w:proofErr w:type="spellStart"/>
      <w:r>
        <w:t>Дуген</w:t>
      </w:r>
      <w:proofErr w:type="spellEnd"/>
      <w:r>
        <w:tab/>
        <w:t>Ери</w:t>
      </w:r>
      <w:r w:rsidR="00B42307">
        <w:t>к</w:t>
      </w:r>
      <w:r>
        <w:t xml:space="preserve"> </w:t>
      </w:r>
      <w:proofErr w:type="spellStart"/>
      <w:r>
        <w:t>Мьозе</w:t>
      </w:r>
      <w:proofErr w:type="spellEnd"/>
      <w:r>
        <w:br/>
      </w:r>
      <w:proofErr w:type="spellStart"/>
      <w:r>
        <w:t>и.д</w:t>
      </w:r>
      <w:proofErr w:type="spellEnd"/>
      <w:r w:rsidR="00B42307">
        <w:t>. заместник-секретар</w:t>
      </w:r>
      <w:r w:rsidR="00B42307">
        <w:tab/>
        <w:t>председател</w:t>
      </w:r>
    </w:p>
    <w:sectPr w:rsidR="00BC019E" w:rsidRPr="00EB346B" w:rsidSect="00BC019E">
      <w:headerReference w:type="even" r:id="rId13"/>
      <w:headerReference w:type="default" r:id="rId14"/>
      <w:footnotePr>
        <w:numRestart w:val="eachSect"/>
      </w:footnotePr>
      <w:pgSz w:w="11906" w:h="16838" w:code="9"/>
      <w:pgMar w:top="2274" w:right="2274" w:bottom="2274" w:left="2274" w:header="1701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5AE8" w:rsidRPr="00E4133A" w:rsidRDefault="00375AE8" w:rsidP="00BC019E">
      <w:r>
        <w:separator/>
      </w:r>
    </w:p>
  </w:endnote>
  <w:endnote w:type="continuationSeparator" w:id="0">
    <w:p w:rsidR="00375AE8" w:rsidRPr="00E4133A" w:rsidRDefault="00375AE8" w:rsidP="00BC01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28E2" w:rsidRDefault="00A228E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28E2" w:rsidRDefault="00A228E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019E" w:rsidRPr="00150BFA" w:rsidRDefault="004B50D3" w:rsidP="00BC019E">
    <w:pPr>
      <w:jc w:val="center"/>
    </w:pPr>
    <w:r>
      <w:rPr>
        <w:noProof/>
        <w:lang w:val="en-US" w:eastAsia="en-US"/>
      </w:rPr>
      <w:drawing>
        <wp:inline distT="0" distB="0" distL="0" distR="0">
          <wp:extent cx="771525" cy="619125"/>
          <wp:effectExtent l="0" t="0" r="0" b="0"/>
          <wp:docPr id="2" name="Picture 13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C019E" w:rsidRDefault="00BC019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5AE8" w:rsidRPr="00E4133A" w:rsidRDefault="00375AE8" w:rsidP="00BC019E">
      <w:r>
        <w:separator/>
      </w:r>
    </w:p>
  </w:footnote>
  <w:footnote w:type="continuationSeparator" w:id="0">
    <w:p w:rsidR="00375AE8" w:rsidRPr="00E4133A" w:rsidRDefault="00375AE8" w:rsidP="00BC01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28E2" w:rsidRDefault="00A228E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019E" w:rsidRPr="00E4133A" w:rsidRDefault="00BC019E" w:rsidP="00BC019E">
    <w:pPr>
      <w:pStyle w:val="ECHRHeader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019E" w:rsidRPr="00A45145" w:rsidRDefault="004B50D3" w:rsidP="00BC019E">
    <w:pPr>
      <w:jc w:val="center"/>
    </w:pPr>
    <w:r>
      <w:rPr>
        <w:noProof/>
        <w:lang w:val="en-US" w:eastAsia="en-US"/>
      </w:rPr>
      <w:drawing>
        <wp:inline distT="0" distB="0" distL="0" distR="0">
          <wp:extent cx="2962275" cy="1219200"/>
          <wp:effectExtent l="0" t="0" r="0" b="0"/>
          <wp:docPr id="1" name="Picture 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C019E" w:rsidRDefault="00BC019E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019E" w:rsidRPr="00E4133A" w:rsidRDefault="00BC019E" w:rsidP="00BC019E">
    <w:pPr>
      <w:pStyle w:val="ECHRHead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22419">
      <w:rPr>
        <w:rStyle w:val="PageNumber"/>
        <w:noProof/>
      </w:rPr>
      <w:t>10</w:t>
    </w:r>
    <w:r>
      <w:rPr>
        <w:rStyle w:val="PageNumber"/>
      </w:rPr>
      <w:fldChar w:fldCharType="end"/>
    </w:r>
    <w:r>
      <w:tab/>
      <w:t>РЕШЕНИЕ МИТЕВ СРЕЩУ БЪЛГАРИЯ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019E" w:rsidRPr="00E4133A" w:rsidRDefault="00BC019E" w:rsidP="00BC019E">
    <w:pPr>
      <w:pStyle w:val="ECHRHeader"/>
    </w:pPr>
    <w:r>
      <w:tab/>
      <w:t>РЕШЕНИЕ МИТЕВ СРЕЩУ БЪЛГАРИЯ</w:t>
    </w:r>
    <w: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22419">
      <w:rPr>
        <w:rStyle w:val="PageNumber"/>
        <w:noProof/>
      </w:rPr>
      <w:t>11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00180FE6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B90ECFBC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5B8BEFC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F1CF73A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3802660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0C2C34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482EC3A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666B2C2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276011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066004F"/>
    <w:multiLevelType w:val="multilevel"/>
    <w:tmpl w:val="040C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163F153D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67FD1241"/>
    <w:multiLevelType w:val="hybridMultilevel"/>
    <w:tmpl w:val="F6D86CC2"/>
    <w:lvl w:ilvl="0" w:tplc="2A44F47E">
      <w:start w:val="1"/>
      <w:numFmt w:val="bullet"/>
      <w:pStyle w:val="ListBullet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12244748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E0C44E40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4F3893FE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EBACC30C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356CE4C2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6AA6FA84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58FA038E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99AE2C80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76903243"/>
    <w:multiLevelType w:val="multilevel"/>
    <w:tmpl w:val="E884A926"/>
    <w:lvl w:ilvl="0">
      <w:start w:val="1"/>
      <w:numFmt w:val="decimal"/>
      <w:pStyle w:val="JuAppQuestion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7737461D"/>
    <w:multiLevelType w:val="multilevel"/>
    <w:tmpl w:val="040C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11"/>
  </w:num>
  <w:num w:numId="2">
    <w:abstractNumId w:val="10"/>
  </w:num>
  <w:num w:numId="3">
    <w:abstractNumId w:val="9"/>
  </w:num>
  <w:num w:numId="4">
    <w:abstractNumId w:val="13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2"/>
  </w:num>
  <w:num w:numId="15">
    <w:abstractNumId w:val="12"/>
  </w:num>
  <w:num w:numId="16">
    <w:abstractNumId w:val="12"/>
  </w:num>
  <w:num w:numId="17">
    <w:abstractNumId w:val="12"/>
  </w:num>
  <w:num w:numId="18">
    <w:abstractNumId w:val="12"/>
  </w:num>
  <w:num w:numId="19">
    <w:abstractNumId w:val="12"/>
  </w:num>
  <w:num w:numId="20">
    <w:abstractNumId w:val="1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ppNatAutre" w:val="0"/>
    <w:docVar w:name="DocVarPREMATURE" w:val="0"/>
    <w:docVar w:name="EMM" w:val="0"/>
    <w:docVar w:name="ETRANSMISSION" w:val="BY E-TRANSMISSION ONLY"/>
    <w:docVar w:name="L4_1Annex" w:val="0"/>
    <w:docVar w:name="L4_1Anonymity" w:val="0"/>
    <w:docVar w:name="NBEMMDOC" w:val="0"/>
    <w:docVar w:name="SignForeName" w:val="0"/>
  </w:docVars>
  <w:rsids>
    <w:rsidRoot w:val="00740BE3"/>
    <w:rsid w:val="00021FA6"/>
    <w:rsid w:val="000A7E62"/>
    <w:rsid w:val="000E0EF7"/>
    <w:rsid w:val="001257E6"/>
    <w:rsid w:val="00140DFF"/>
    <w:rsid w:val="001413AC"/>
    <w:rsid w:val="001A1194"/>
    <w:rsid w:val="002249CE"/>
    <w:rsid w:val="00226EF9"/>
    <w:rsid w:val="00270353"/>
    <w:rsid w:val="00284FA9"/>
    <w:rsid w:val="00311DB5"/>
    <w:rsid w:val="0032085A"/>
    <w:rsid w:val="00375AE8"/>
    <w:rsid w:val="00376D96"/>
    <w:rsid w:val="00384A8E"/>
    <w:rsid w:val="003D5828"/>
    <w:rsid w:val="00414561"/>
    <w:rsid w:val="00484816"/>
    <w:rsid w:val="004B50D3"/>
    <w:rsid w:val="004C6030"/>
    <w:rsid w:val="004F5E9F"/>
    <w:rsid w:val="00510DC1"/>
    <w:rsid w:val="005578B3"/>
    <w:rsid w:val="005D764E"/>
    <w:rsid w:val="005F4405"/>
    <w:rsid w:val="006807F6"/>
    <w:rsid w:val="00687B43"/>
    <w:rsid w:val="00697B7D"/>
    <w:rsid w:val="006F6F00"/>
    <w:rsid w:val="007215CA"/>
    <w:rsid w:val="00723F6E"/>
    <w:rsid w:val="00740BE3"/>
    <w:rsid w:val="00745DEA"/>
    <w:rsid w:val="008004F5"/>
    <w:rsid w:val="00891286"/>
    <w:rsid w:val="008F4819"/>
    <w:rsid w:val="0092638B"/>
    <w:rsid w:val="00977D5F"/>
    <w:rsid w:val="009B527D"/>
    <w:rsid w:val="00A228E2"/>
    <w:rsid w:val="00A25B00"/>
    <w:rsid w:val="00A64B83"/>
    <w:rsid w:val="00A6779D"/>
    <w:rsid w:val="00A83A73"/>
    <w:rsid w:val="00AD2442"/>
    <w:rsid w:val="00AD4B60"/>
    <w:rsid w:val="00B0757E"/>
    <w:rsid w:val="00B20898"/>
    <w:rsid w:val="00B30DB8"/>
    <w:rsid w:val="00B42307"/>
    <w:rsid w:val="00B5096F"/>
    <w:rsid w:val="00B667B7"/>
    <w:rsid w:val="00B8211F"/>
    <w:rsid w:val="00BC019E"/>
    <w:rsid w:val="00BD3DCC"/>
    <w:rsid w:val="00BE551C"/>
    <w:rsid w:val="00BF1893"/>
    <w:rsid w:val="00C22419"/>
    <w:rsid w:val="00C8685D"/>
    <w:rsid w:val="00CB5FF6"/>
    <w:rsid w:val="00D13340"/>
    <w:rsid w:val="00D313F1"/>
    <w:rsid w:val="00D32D32"/>
    <w:rsid w:val="00D47345"/>
    <w:rsid w:val="00D764DC"/>
    <w:rsid w:val="00DF5B4B"/>
    <w:rsid w:val="00ED7F83"/>
    <w:rsid w:val="00F007E0"/>
    <w:rsid w:val="00F04379"/>
    <w:rsid w:val="00F13484"/>
    <w:rsid w:val="00F403B3"/>
    <w:rsid w:val="00F7306E"/>
    <w:rsid w:val="00F77C05"/>
    <w:rsid w:val="00F8593B"/>
    <w:rsid w:val="00F939D6"/>
    <w:rsid w:val="00FD2660"/>
    <w:rsid w:val="00FE724A"/>
    <w:rsid w:val="00FF1065"/>
    <w:rsid w:val="00FF5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57" w:unhideWhenUsed="1"/>
    <w:lsdException w:name="footer" w:semiHidden="1" w:uiPriority="57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semiHidden/>
    <w:rsid w:val="00EB346B"/>
    <w:pPr>
      <w:jc w:val="both"/>
    </w:pPr>
    <w:rPr>
      <w:rFonts w:eastAsia="MS Mincho"/>
      <w:sz w:val="24"/>
      <w:szCs w:val="22"/>
      <w:lang w:val="bg-BG" w:eastAsia="bg-BG"/>
    </w:rPr>
  </w:style>
  <w:style w:type="paragraph" w:styleId="Heading1">
    <w:name w:val="heading 1"/>
    <w:basedOn w:val="Normal"/>
    <w:next w:val="Normal"/>
    <w:link w:val="Heading1Char"/>
    <w:uiPriority w:val="99"/>
    <w:semiHidden/>
    <w:rsid w:val="00EB346B"/>
    <w:pPr>
      <w:spacing w:before="480"/>
      <w:contextualSpacing/>
      <w:outlineLvl w:val="0"/>
    </w:pPr>
    <w:rPr>
      <w:rFonts w:eastAsia="MS Gothic"/>
      <w:b/>
      <w:bCs/>
      <w:color w:val="333333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semiHidden/>
    <w:rsid w:val="00EB346B"/>
    <w:pPr>
      <w:spacing w:before="200"/>
      <w:outlineLvl w:val="1"/>
    </w:pPr>
    <w:rPr>
      <w:rFonts w:eastAsia="MS Gothic"/>
      <w:b/>
      <w:bCs/>
      <w:color w:val="4D4D4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semiHidden/>
    <w:rsid w:val="00EB346B"/>
    <w:pPr>
      <w:spacing w:before="200" w:line="271" w:lineRule="auto"/>
      <w:outlineLvl w:val="2"/>
    </w:pPr>
    <w:rPr>
      <w:rFonts w:eastAsia="MS Gothic"/>
      <w:b/>
      <w:bCs/>
      <w:color w:val="5F5F5F"/>
    </w:rPr>
  </w:style>
  <w:style w:type="paragraph" w:styleId="Heading4">
    <w:name w:val="heading 4"/>
    <w:basedOn w:val="Normal"/>
    <w:next w:val="Normal"/>
    <w:link w:val="Heading4Char"/>
    <w:uiPriority w:val="99"/>
    <w:semiHidden/>
    <w:rsid w:val="00EB346B"/>
    <w:pPr>
      <w:spacing w:before="200"/>
      <w:outlineLvl w:val="3"/>
    </w:pPr>
    <w:rPr>
      <w:rFonts w:eastAsia="MS Gothic"/>
      <w:b/>
      <w:bCs/>
      <w:i/>
      <w:iCs/>
      <w:color w:val="777777"/>
    </w:rPr>
  </w:style>
  <w:style w:type="paragraph" w:styleId="Heading5">
    <w:name w:val="heading 5"/>
    <w:basedOn w:val="Normal"/>
    <w:next w:val="Normal"/>
    <w:link w:val="Heading5Char"/>
    <w:uiPriority w:val="99"/>
    <w:semiHidden/>
    <w:qFormat/>
    <w:rsid w:val="00EB346B"/>
    <w:pPr>
      <w:spacing w:before="200"/>
      <w:outlineLvl w:val="4"/>
    </w:pPr>
    <w:rPr>
      <w:rFonts w:eastAsia="MS Gothic"/>
      <w:b/>
      <w:bCs/>
      <w:color w:val="808080"/>
      <w:sz w:val="22"/>
    </w:rPr>
  </w:style>
  <w:style w:type="paragraph" w:styleId="Heading6">
    <w:name w:val="heading 6"/>
    <w:basedOn w:val="Normal"/>
    <w:next w:val="Normal"/>
    <w:link w:val="Heading6Char"/>
    <w:uiPriority w:val="99"/>
    <w:semiHidden/>
    <w:rsid w:val="00EB346B"/>
    <w:pPr>
      <w:spacing w:line="271" w:lineRule="auto"/>
      <w:outlineLvl w:val="5"/>
    </w:pPr>
    <w:rPr>
      <w:rFonts w:eastAsia="MS Gothic"/>
      <w:b/>
      <w:bCs/>
      <w:i/>
      <w:iCs/>
      <w:color w:val="7F7F7F"/>
      <w:lang w:bidi="en-US"/>
    </w:rPr>
  </w:style>
  <w:style w:type="paragraph" w:styleId="Heading7">
    <w:name w:val="heading 7"/>
    <w:basedOn w:val="Normal"/>
    <w:next w:val="Normal"/>
    <w:link w:val="Heading7Char"/>
    <w:uiPriority w:val="99"/>
    <w:semiHidden/>
    <w:qFormat/>
    <w:rsid w:val="00EB346B"/>
    <w:pPr>
      <w:outlineLvl w:val="6"/>
    </w:pPr>
    <w:rPr>
      <w:rFonts w:eastAsia="MS Gothic"/>
      <w:i/>
      <w:iCs/>
      <w:sz w:val="22"/>
      <w:lang w:bidi="en-US"/>
    </w:rPr>
  </w:style>
  <w:style w:type="paragraph" w:styleId="Heading8">
    <w:name w:val="heading 8"/>
    <w:basedOn w:val="Normal"/>
    <w:next w:val="Normal"/>
    <w:link w:val="Heading8Char"/>
    <w:uiPriority w:val="99"/>
    <w:semiHidden/>
    <w:qFormat/>
    <w:rsid w:val="00EB346B"/>
    <w:pPr>
      <w:outlineLvl w:val="7"/>
    </w:pPr>
    <w:rPr>
      <w:rFonts w:eastAsia="MS Gothic"/>
      <w:sz w:val="20"/>
      <w:szCs w:val="20"/>
      <w:lang w:bidi="en-US"/>
    </w:rPr>
  </w:style>
  <w:style w:type="paragraph" w:styleId="Heading9">
    <w:name w:val="heading 9"/>
    <w:basedOn w:val="Normal"/>
    <w:next w:val="Normal"/>
    <w:link w:val="Heading9Char"/>
    <w:uiPriority w:val="99"/>
    <w:semiHidden/>
    <w:qFormat/>
    <w:rsid w:val="00EB346B"/>
    <w:pPr>
      <w:outlineLvl w:val="8"/>
    </w:pPr>
    <w:rPr>
      <w:rFonts w:eastAsia="MS Gothic"/>
      <w:i/>
      <w:iCs/>
      <w:spacing w:val="5"/>
      <w:sz w:val="20"/>
      <w:szCs w:val="20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EB34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EB346B"/>
    <w:rPr>
      <w:rFonts w:ascii="Tahoma" w:eastAsia="MS Mincho" w:hAnsi="Tahoma" w:cs="Tahoma"/>
      <w:sz w:val="16"/>
      <w:szCs w:val="16"/>
      <w:lang w:val="bg-BG" w:eastAsia="bg-BG"/>
    </w:rPr>
  </w:style>
  <w:style w:type="character" w:styleId="BookTitle">
    <w:name w:val="Book Title"/>
    <w:uiPriority w:val="99"/>
    <w:semiHidden/>
    <w:qFormat/>
    <w:rsid w:val="00EB346B"/>
    <w:rPr>
      <w:i/>
      <w:iCs/>
      <w:smallCaps/>
      <w:spacing w:val="5"/>
      <w:lang w:val="bg-BG" w:eastAsia="bg-BG"/>
    </w:rPr>
  </w:style>
  <w:style w:type="paragraph" w:customStyle="1" w:styleId="ECHRHeader">
    <w:name w:val="ECHR_Header"/>
    <w:aliases w:val="Ju_Header"/>
    <w:basedOn w:val="Header"/>
    <w:uiPriority w:val="4"/>
    <w:qFormat/>
    <w:rsid w:val="00EB346B"/>
    <w:pPr>
      <w:tabs>
        <w:tab w:val="clear" w:pos="4536"/>
        <w:tab w:val="clear" w:pos="9072"/>
        <w:tab w:val="center" w:pos="3686"/>
        <w:tab w:val="right" w:pos="7371"/>
      </w:tabs>
      <w:jc w:val="left"/>
    </w:pPr>
    <w:rPr>
      <w:sz w:val="18"/>
    </w:rPr>
  </w:style>
  <w:style w:type="paragraph" w:customStyle="1" w:styleId="ECHRFooter">
    <w:name w:val="ECHR_Footer"/>
    <w:aliases w:val="Footer_ECHR"/>
    <w:basedOn w:val="Footer"/>
    <w:uiPriority w:val="57"/>
    <w:semiHidden/>
    <w:rsid w:val="00EB346B"/>
    <w:pPr>
      <w:jc w:val="left"/>
    </w:pPr>
    <w:rPr>
      <w:sz w:val="8"/>
    </w:rPr>
  </w:style>
  <w:style w:type="character" w:styleId="Strong">
    <w:name w:val="Strong"/>
    <w:uiPriority w:val="99"/>
    <w:semiHidden/>
    <w:qFormat/>
    <w:rsid w:val="00EB346B"/>
    <w:rPr>
      <w:b/>
      <w:bCs/>
      <w:lang w:val="bg-BG" w:eastAsia="bg-BG"/>
    </w:rPr>
  </w:style>
  <w:style w:type="paragraph" w:styleId="NoSpacing">
    <w:name w:val="No Spacing"/>
    <w:basedOn w:val="Normal"/>
    <w:link w:val="NoSpacingChar"/>
    <w:semiHidden/>
    <w:qFormat/>
    <w:rsid w:val="00EB346B"/>
    <w:rPr>
      <w:sz w:val="22"/>
    </w:rPr>
  </w:style>
  <w:style w:type="character" w:customStyle="1" w:styleId="NoSpacingChar">
    <w:name w:val="No Spacing Char"/>
    <w:link w:val="NoSpacing"/>
    <w:semiHidden/>
    <w:rsid w:val="00EB346B"/>
    <w:rPr>
      <w:rFonts w:eastAsia="MS Mincho"/>
      <w:lang w:val="bg-BG" w:eastAsia="bg-BG"/>
    </w:rPr>
  </w:style>
  <w:style w:type="paragraph" w:customStyle="1" w:styleId="ECHRFooterLine">
    <w:name w:val="ECHR_Footer_Line"/>
    <w:aliases w:val="Footer_Line"/>
    <w:basedOn w:val="Normal"/>
    <w:next w:val="ECHRFooter"/>
    <w:uiPriority w:val="57"/>
    <w:semiHidden/>
    <w:rsid w:val="00EB346B"/>
    <w:pPr>
      <w:pBdr>
        <w:top w:val="single" w:sz="6" w:space="1" w:color="5F5F5F"/>
      </w:pBdr>
      <w:tabs>
        <w:tab w:val="center" w:pos="4536"/>
        <w:tab w:val="right" w:pos="9696"/>
      </w:tabs>
      <w:ind w:left="-680" w:right="-680"/>
      <w:jc w:val="left"/>
    </w:pPr>
    <w:rPr>
      <w:color w:val="5F5F5F"/>
    </w:rPr>
  </w:style>
  <w:style w:type="paragraph" w:customStyle="1" w:styleId="DecHTitle">
    <w:name w:val="Dec_H_Title"/>
    <w:basedOn w:val="ECHRTitleCentre1"/>
    <w:uiPriority w:val="7"/>
    <w:semiHidden/>
    <w:qFormat/>
    <w:rsid w:val="00EB346B"/>
  </w:style>
  <w:style w:type="paragraph" w:customStyle="1" w:styleId="DecList">
    <w:name w:val="Dec_List"/>
    <w:basedOn w:val="Normal"/>
    <w:uiPriority w:val="9"/>
    <w:semiHidden/>
    <w:qFormat/>
    <w:rsid w:val="00EB346B"/>
    <w:pPr>
      <w:spacing w:before="240"/>
      <w:ind w:left="284"/>
    </w:pPr>
  </w:style>
  <w:style w:type="paragraph" w:customStyle="1" w:styleId="DummyStyle">
    <w:name w:val="Dummy_Style"/>
    <w:basedOn w:val="Normal"/>
    <w:semiHidden/>
    <w:qFormat/>
    <w:rsid w:val="00EB346B"/>
    <w:rPr>
      <w:color w:val="00B050"/>
    </w:rPr>
  </w:style>
  <w:style w:type="paragraph" w:customStyle="1" w:styleId="ECHRTitleCentre3">
    <w:name w:val="ECHR_Title_Centre_3"/>
    <w:aliases w:val="Ju_H_Article"/>
    <w:basedOn w:val="Normal"/>
    <w:next w:val="ECHRParaQuote"/>
    <w:uiPriority w:val="27"/>
    <w:qFormat/>
    <w:rsid w:val="00EB346B"/>
    <w:pPr>
      <w:keepNext/>
      <w:keepLines/>
      <w:spacing w:before="240" w:after="120"/>
      <w:jc w:val="center"/>
      <w:outlineLvl w:val="3"/>
    </w:pPr>
    <w:rPr>
      <w:b/>
      <w:sz w:val="20"/>
      <w:lang w:bidi="en-US"/>
    </w:rPr>
  </w:style>
  <w:style w:type="paragraph" w:customStyle="1" w:styleId="ECHRTitleCentre1">
    <w:name w:val="ECHR_Title_Centre_1"/>
    <w:aliases w:val="Opi_H_Head"/>
    <w:basedOn w:val="Normal"/>
    <w:next w:val="OpiPara"/>
    <w:uiPriority w:val="39"/>
    <w:qFormat/>
    <w:rsid w:val="00EB346B"/>
    <w:pPr>
      <w:keepNext/>
      <w:keepLines/>
      <w:spacing w:after="240"/>
      <w:jc w:val="center"/>
      <w:outlineLvl w:val="0"/>
    </w:pPr>
    <w:rPr>
      <w:sz w:val="28"/>
    </w:rPr>
  </w:style>
  <w:style w:type="paragraph" w:customStyle="1" w:styleId="JuAppQuestion">
    <w:name w:val="Ju_App_Question"/>
    <w:basedOn w:val="Normal"/>
    <w:uiPriority w:val="5"/>
    <w:semiHidden/>
    <w:qFormat/>
    <w:rsid w:val="00EB346B"/>
    <w:pPr>
      <w:numPr>
        <w:numId w:val="20"/>
      </w:numPr>
      <w:jc w:val="left"/>
    </w:pPr>
    <w:rPr>
      <w:b/>
    </w:rPr>
  </w:style>
  <w:style w:type="paragraph" w:customStyle="1" w:styleId="JuCourt">
    <w:name w:val="Ju_Court"/>
    <w:basedOn w:val="Normal"/>
    <w:next w:val="Normal"/>
    <w:uiPriority w:val="16"/>
    <w:qFormat/>
    <w:rsid w:val="00EB346B"/>
    <w:pPr>
      <w:tabs>
        <w:tab w:val="left" w:pos="907"/>
        <w:tab w:val="left" w:pos="1701"/>
        <w:tab w:val="right" w:pos="7371"/>
      </w:tabs>
      <w:spacing w:before="240"/>
      <w:ind w:left="397" w:hanging="397"/>
      <w:jc w:val="left"/>
    </w:pPr>
    <w:rPr>
      <w:lang w:bidi="en-US"/>
    </w:rPr>
  </w:style>
  <w:style w:type="paragraph" w:customStyle="1" w:styleId="JuHeaderLandscape">
    <w:name w:val="Ju_Header_Landscape"/>
    <w:basedOn w:val="ECHRHeader"/>
    <w:uiPriority w:val="4"/>
    <w:qFormat/>
    <w:rsid w:val="00EB346B"/>
    <w:pPr>
      <w:tabs>
        <w:tab w:val="clear" w:pos="3686"/>
        <w:tab w:val="clear" w:pos="7371"/>
        <w:tab w:val="center" w:pos="6146"/>
        <w:tab w:val="right" w:pos="12293"/>
      </w:tabs>
    </w:pPr>
  </w:style>
  <w:style w:type="paragraph" w:customStyle="1" w:styleId="ECHRTitleCentre2">
    <w:name w:val="ECHR_Title_Centre_2"/>
    <w:aliases w:val="Dec_H_Case"/>
    <w:basedOn w:val="Normal"/>
    <w:next w:val="ECHRPara"/>
    <w:uiPriority w:val="8"/>
    <w:qFormat/>
    <w:rsid w:val="00EB346B"/>
    <w:pPr>
      <w:spacing w:after="240"/>
      <w:jc w:val="center"/>
      <w:outlineLvl w:val="0"/>
    </w:pPr>
  </w:style>
  <w:style w:type="paragraph" w:customStyle="1" w:styleId="JuInitialled">
    <w:name w:val="Ju_Initialled"/>
    <w:basedOn w:val="Normal"/>
    <w:uiPriority w:val="31"/>
    <w:qFormat/>
    <w:rsid w:val="00EB346B"/>
    <w:pPr>
      <w:tabs>
        <w:tab w:val="center" w:pos="6407"/>
      </w:tabs>
      <w:spacing w:before="720"/>
      <w:jc w:val="right"/>
    </w:pPr>
  </w:style>
  <w:style w:type="paragraph" w:styleId="Title">
    <w:name w:val="Title"/>
    <w:basedOn w:val="Normal"/>
    <w:next w:val="Normal"/>
    <w:link w:val="TitleChar"/>
    <w:uiPriority w:val="99"/>
    <w:semiHidden/>
    <w:qFormat/>
    <w:rsid w:val="00EB346B"/>
    <w:pPr>
      <w:pBdr>
        <w:bottom w:val="single" w:sz="4" w:space="1" w:color="auto"/>
      </w:pBdr>
      <w:contextualSpacing/>
    </w:pPr>
    <w:rPr>
      <w:rFonts w:eastAsia="MS Gothic"/>
      <w:spacing w:val="5"/>
      <w:sz w:val="52"/>
      <w:szCs w:val="52"/>
      <w:lang w:bidi="en-US"/>
    </w:rPr>
  </w:style>
  <w:style w:type="character" w:customStyle="1" w:styleId="TitleChar">
    <w:name w:val="Title Char"/>
    <w:link w:val="Title"/>
    <w:uiPriority w:val="99"/>
    <w:semiHidden/>
    <w:rsid w:val="00EB346B"/>
    <w:rPr>
      <w:rFonts w:ascii="Times New Roman" w:eastAsia="MS Gothic" w:hAnsi="Times New Roman" w:cs="Times New Roman"/>
      <w:spacing w:val="5"/>
      <w:sz w:val="52"/>
      <w:szCs w:val="52"/>
      <w:lang w:val="bg-BG" w:eastAsia="bg-BG" w:bidi="en-US"/>
    </w:rPr>
  </w:style>
  <w:style w:type="paragraph" w:customStyle="1" w:styleId="ECHRHeading3">
    <w:name w:val="ECHR_Heading_3"/>
    <w:aliases w:val="Ju_H_1."/>
    <w:basedOn w:val="Heading3"/>
    <w:next w:val="ECHRPara"/>
    <w:uiPriority w:val="21"/>
    <w:qFormat/>
    <w:rsid w:val="00EB346B"/>
    <w:pPr>
      <w:keepNext/>
      <w:keepLines/>
      <w:tabs>
        <w:tab w:val="left" w:pos="731"/>
      </w:tabs>
      <w:spacing w:before="240" w:after="120" w:line="240" w:lineRule="auto"/>
      <w:ind w:left="732" w:hanging="301"/>
    </w:pPr>
    <w:rPr>
      <w:b w:val="0"/>
      <w:i/>
      <w:color w:val="000000"/>
    </w:rPr>
  </w:style>
  <w:style w:type="paragraph" w:customStyle="1" w:styleId="ECHRHeading4">
    <w:name w:val="ECHR_Heading_4"/>
    <w:aliases w:val="Ju_H_a"/>
    <w:basedOn w:val="Heading4"/>
    <w:next w:val="ECHRPara"/>
    <w:uiPriority w:val="22"/>
    <w:qFormat/>
    <w:rsid w:val="00EB346B"/>
    <w:pPr>
      <w:keepNext/>
      <w:keepLines/>
      <w:tabs>
        <w:tab w:val="left" w:pos="975"/>
      </w:tabs>
      <w:spacing w:before="240" w:after="120"/>
      <w:ind w:left="975" w:hanging="340"/>
    </w:pPr>
    <w:rPr>
      <w:i w:val="0"/>
      <w:color w:val="000000"/>
      <w:sz w:val="20"/>
    </w:rPr>
  </w:style>
  <w:style w:type="paragraph" w:customStyle="1" w:styleId="ECHRHeading5">
    <w:name w:val="ECHR_Heading_5"/>
    <w:aliases w:val="Ju_H_i"/>
    <w:basedOn w:val="Heading5"/>
    <w:next w:val="ECHRPara"/>
    <w:uiPriority w:val="23"/>
    <w:qFormat/>
    <w:rsid w:val="00EB346B"/>
    <w:pPr>
      <w:keepNext/>
      <w:keepLines/>
      <w:tabs>
        <w:tab w:val="left" w:pos="1191"/>
      </w:tabs>
      <w:spacing w:before="240" w:after="120"/>
      <w:ind w:left="1190" w:hanging="357"/>
    </w:pPr>
    <w:rPr>
      <w:b w:val="0"/>
      <w:i/>
      <w:color w:val="000000"/>
      <w:sz w:val="20"/>
    </w:rPr>
  </w:style>
  <w:style w:type="paragraph" w:customStyle="1" w:styleId="ECHRHeading6">
    <w:name w:val="ECHR_Heading_6"/>
    <w:aliases w:val="Ju_H_alpha"/>
    <w:basedOn w:val="Heading6"/>
    <w:next w:val="ECHRPara"/>
    <w:uiPriority w:val="24"/>
    <w:qFormat/>
    <w:rsid w:val="00EB346B"/>
    <w:pPr>
      <w:keepNext/>
      <w:keepLines/>
      <w:tabs>
        <w:tab w:val="left" w:pos="1372"/>
      </w:tabs>
      <w:spacing w:before="240" w:after="120" w:line="240" w:lineRule="auto"/>
      <w:ind w:left="1373" w:hanging="335"/>
    </w:pPr>
    <w:rPr>
      <w:b w:val="0"/>
      <w:i w:val="0"/>
      <w:color w:val="000000"/>
      <w:sz w:val="20"/>
    </w:rPr>
  </w:style>
  <w:style w:type="paragraph" w:customStyle="1" w:styleId="ECHRHeading7">
    <w:name w:val="ECHR_Heading_7"/>
    <w:aliases w:val="Ju_H_–"/>
    <w:basedOn w:val="Heading7"/>
    <w:next w:val="ECHRPara"/>
    <w:uiPriority w:val="25"/>
    <w:qFormat/>
    <w:rsid w:val="00EB346B"/>
    <w:pPr>
      <w:keepNext/>
      <w:keepLines/>
      <w:spacing w:before="240" w:after="120"/>
      <w:ind w:left="1236"/>
    </w:pPr>
    <w:rPr>
      <w:sz w:val="20"/>
    </w:rPr>
  </w:style>
  <w:style w:type="character" w:customStyle="1" w:styleId="JuITMark">
    <w:name w:val="Ju_ITMark"/>
    <w:uiPriority w:val="38"/>
    <w:qFormat/>
    <w:rsid w:val="00EB346B"/>
    <w:rPr>
      <w:color w:val="000000"/>
      <w:sz w:val="14"/>
      <w:bdr w:val="none" w:sz="0" w:space="0" w:color="auto"/>
      <w:lang w:val="bg-BG" w:eastAsia="bg-BG"/>
    </w:rPr>
  </w:style>
  <w:style w:type="paragraph" w:customStyle="1" w:styleId="JuLista">
    <w:name w:val="Ju_List_a"/>
    <w:basedOn w:val="JuList"/>
    <w:uiPriority w:val="28"/>
    <w:qFormat/>
    <w:rsid w:val="00EB346B"/>
    <w:pPr>
      <w:ind w:left="346" w:firstLine="0"/>
    </w:pPr>
  </w:style>
  <w:style w:type="paragraph" w:customStyle="1" w:styleId="JuListi">
    <w:name w:val="Ju_List_i"/>
    <w:basedOn w:val="Normal"/>
    <w:next w:val="JuLista"/>
    <w:uiPriority w:val="28"/>
    <w:qFormat/>
    <w:rsid w:val="00EB346B"/>
    <w:pPr>
      <w:ind w:left="794"/>
    </w:pPr>
  </w:style>
  <w:style w:type="paragraph" w:styleId="Header">
    <w:name w:val="header"/>
    <w:basedOn w:val="Normal"/>
    <w:link w:val="HeaderChar"/>
    <w:uiPriority w:val="57"/>
    <w:semiHidden/>
    <w:rsid w:val="00EB346B"/>
    <w:pPr>
      <w:tabs>
        <w:tab w:val="center" w:pos="4536"/>
        <w:tab w:val="right" w:pos="9072"/>
      </w:tabs>
    </w:pPr>
    <w:rPr>
      <w:rFonts w:eastAsia="Times New Roman"/>
    </w:rPr>
  </w:style>
  <w:style w:type="character" w:customStyle="1" w:styleId="HeaderChar">
    <w:name w:val="Header Char"/>
    <w:link w:val="Header"/>
    <w:uiPriority w:val="57"/>
    <w:semiHidden/>
    <w:rsid w:val="00EB346B"/>
    <w:rPr>
      <w:sz w:val="24"/>
      <w:lang w:val="bg-BG" w:eastAsia="bg-BG"/>
    </w:rPr>
  </w:style>
  <w:style w:type="character" w:customStyle="1" w:styleId="Heading1Char">
    <w:name w:val="Heading 1 Char"/>
    <w:link w:val="Heading1"/>
    <w:uiPriority w:val="99"/>
    <w:semiHidden/>
    <w:rsid w:val="00EB346B"/>
    <w:rPr>
      <w:rFonts w:ascii="Times New Roman" w:eastAsia="MS Gothic" w:hAnsi="Times New Roman" w:cs="Times New Roman"/>
      <w:b/>
      <w:bCs/>
      <w:color w:val="333333"/>
      <w:sz w:val="28"/>
      <w:szCs w:val="28"/>
      <w:lang w:val="bg-BG" w:eastAsia="bg-BG"/>
    </w:rPr>
  </w:style>
  <w:style w:type="paragraph" w:customStyle="1" w:styleId="ECHRHeading1">
    <w:name w:val="ECHR_Heading_1"/>
    <w:aliases w:val="Ju_H_I_Roman"/>
    <w:basedOn w:val="Heading1"/>
    <w:next w:val="ECHRPara"/>
    <w:uiPriority w:val="19"/>
    <w:qFormat/>
    <w:rsid w:val="00EB346B"/>
    <w:pPr>
      <w:keepNext/>
      <w:keepLines/>
      <w:tabs>
        <w:tab w:val="left" w:pos="357"/>
      </w:tabs>
      <w:spacing w:before="360" w:after="240"/>
      <w:ind w:left="357" w:hanging="357"/>
      <w:contextualSpacing w:val="0"/>
    </w:pPr>
    <w:rPr>
      <w:b w:val="0"/>
      <w:color w:val="000000"/>
      <w:sz w:val="24"/>
    </w:rPr>
  </w:style>
  <w:style w:type="paragraph" w:customStyle="1" w:styleId="ECHRHeading2">
    <w:name w:val="ECHR_Heading_2"/>
    <w:aliases w:val="Ju_H_A"/>
    <w:basedOn w:val="Heading2"/>
    <w:next w:val="ECHRPara"/>
    <w:uiPriority w:val="20"/>
    <w:qFormat/>
    <w:rsid w:val="00EB346B"/>
    <w:pPr>
      <w:keepNext/>
      <w:keepLines/>
      <w:tabs>
        <w:tab w:val="left" w:pos="584"/>
      </w:tabs>
      <w:spacing w:before="360" w:after="240"/>
      <w:ind w:left="584" w:hanging="352"/>
    </w:pPr>
    <w:rPr>
      <w:color w:val="000000"/>
      <w:sz w:val="24"/>
    </w:rPr>
  </w:style>
  <w:style w:type="character" w:customStyle="1" w:styleId="Heading2Char">
    <w:name w:val="Heading 2 Char"/>
    <w:link w:val="Heading2"/>
    <w:uiPriority w:val="99"/>
    <w:semiHidden/>
    <w:rsid w:val="00EB346B"/>
    <w:rPr>
      <w:rFonts w:ascii="Times New Roman" w:eastAsia="MS Gothic" w:hAnsi="Times New Roman" w:cs="Times New Roman"/>
      <w:b/>
      <w:bCs/>
      <w:color w:val="4D4D4D"/>
      <w:sz w:val="26"/>
      <w:szCs w:val="26"/>
      <w:lang w:val="bg-BG" w:eastAsia="bg-BG"/>
    </w:rPr>
  </w:style>
  <w:style w:type="character" w:customStyle="1" w:styleId="JUNAMES">
    <w:name w:val="JU_NAMES"/>
    <w:uiPriority w:val="17"/>
    <w:qFormat/>
    <w:rsid w:val="00EB346B"/>
    <w:rPr>
      <w:smallCaps/>
      <w:lang w:val="bg-BG" w:eastAsia="bg-BG"/>
    </w:rPr>
  </w:style>
  <w:style w:type="paragraph" w:customStyle="1" w:styleId="JuCase">
    <w:name w:val="Ju_Case"/>
    <w:basedOn w:val="Normal"/>
    <w:next w:val="ECHRPara"/>
    <w:uiPriority w:val="10"/>
    <w:rsid w:val="00EB346B"/>
    <w:pPr>
      <w:ind w:firstLine="284"/>
    </w:pPr>
    <w:rPr>
      <w:b/>
    </w:rPr>
  </w:style>
  <w:style w:type="character" w:customStyle="1" w:styleId="Heading3Char">
    <w:name w:val="Heading 3 Char"/>
    <w:link w:val="Heading3"/>
    <w:uiPriority w:val="99"/>
    <w:semiHidden/>
    <w:rsid w:val="00EB346B"/>
    <w:rPr>
      <w:rFonts w:ascii="Times New Roman" w:eastAsia="MS Gothic" w:hAnsi="Times New Roman" w:cs="Times New Roman"/>
      <w:b/>
      <w:bCs/>
      <w:color w:val="5F5F5F"/>
      <w:sz w:val="24"/>
      <w:lang w:val="bg-BG" w:eastAsia="bg-BG"/>
    </w:rPr>
  </w:style>
  <w:style w:type="character" w:customStyle="1" w:styleId="Heading4Char">
    <w:name w:val="Heading 4 Char"/>
    <w:link w:val="Heading4"/>
    <w:uiPriority w:val="99"/>
    <w:semiHidden/>
    <w:rsid w:val="00EB346B"/>
    <w:rPr>
      <w:rFonts w:ascii="Times New Roman" w:eastAsia="MS Gothic" w:hAnsi="Times New Roman" w:cs="Times New Roman"/>
      <w:b/>
      <w:bCs/>
      <w:i/>
      <w:iCs/>
      <w:color w:val="777777"/>
      <w:sz w:val="24"/>
      <w:lang w:val="bg-BG" w:eastAsia="bg-BG"/>
    </w:rPr>
  </w:style>
  <w:style w:type="character" w:customStyle="1" w:styleId="Heading5Char">
    <w:name w:val="Heading 5 Char"/>
    <w:link w:val="Heading5"/>
    <w:uiPriority w:val="99"/>
    <w:semiHidden/>
    <w:rsid w:val="00EB346B"/>
    <w:rPr>
      <w:rFonts w:ascii="Times New Roman" w:eastAsia="MS Gothic" w:hAnsi="Times New Roman" w:cs="Times New Roman"/>
      <w:b/>
      <w:bCs/>
      <w:color w:val="808080"/>
      <w:lang w:val="bg-BG" w:eastAsia="bg-BG"/>
    </w:rPr>
  </w:style>
  <w:style w:type="character" w:styleId="SubtleEmphasis">
    <w:name w:val="Subtle Emphasis"/>
    <w:uiPriority w:val="99"/>
    <w:semiHidden/>
    <w:qFormat/>
    <w:rsid w:val="00EB346B"/>
    <w:rPr>
      <w:i/>
      <w:iCs/>
      <w:lang w:val="bg-BG" w:eastAsia="bg-BG"/>
    </w:rPr>
  </w:style>
  <w:style w:type="table" w:customStyle="1" w:styleId="ECHRTable">
    <w:name w:val="ECHR_Table"/>
    <w:basedOn w:val="TableNormal"/>
    <w:rsid w:val="00860B03"/>
    <w:rPr>
      <w:lang w:val="en-GB"/>
    </w:rPr>
    <w:tblPr>
      <w:tblStyleRowBandSize w:val="1"/>
      <w:tblStyleColBandSize w:val="1"/>
      <w:tblBorders>
        <w:top w:val="single" w:sz="4" w:space="0" w:color="949494"/>
        <w:left w:val="single" w:sz="4" w:space="0" w:color="949494"/>
        <w:bottom w:val="single" w:sz="4" w:space="0" w:color="949494"/>
        <w:right w:val="single" w:sz="4" w:space="0" w:color="949494"/>
        <w:insideH w:val="single" w:sz="4" w:space="0" w:color="949494"/>
        <w:insideV w:val="single" w:sz="4" w:space="0" w:color="949494"/>
      </w:tblBorders>
      <w:tblCellMar>
        <w:top w:w="28" w:type="dxa"/>
        <w:bottom w:w="28" w:type="dxa"/>
      </w:tblCellMar>
    </w:tblPr>
    <w:tblStylePr w:type="firstRow">
      <w:rPr>
        <w:rFonts w:ascii="Times New Roman" w:hAnsi="Times New Roman"/>
        <w:b/>
        <w:i w:val="0"/>
        <w:color w:val="474747"/>
        <w:sz w:val="22"/>
      </w:rPr>
      <w:tblPr/>
      <w:tcPr>
        <w:tcBorders>
          <w:top w:val="single" w:sz="4" w:space="0" w:color="949494"/>
          <w:left w:val="single" w:sz="4" w:space="0" w:color="949494"/>
          <w:bottom w:val="single" w:sz="4" w:space="0" w:color="949494"/>
          <w:right w:val="single" w:sz="4" w:space="0" w:color="949494"/>
          <w:insideH w:val="single" w:sz="4" w:space="0" w:color="949494"/>
          <w:insideV w:val="single" w:sz="4" w:space="0" w:color="949494"/>
          <w:tl2br w:val="nil"/>
          <w:tr2bl w:val="nil"/>
        </w:tcBorders>
        <w:shd w:val="clear" w:color="auto" w:fill="DFDFDF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/>
      </w:tcPr>
    </w:tblStylePr>
    <w:tblStylePr w:type="band2Horz">
      <w:tblPr/>
      <w:tcPr>
        <w:tcBorders>
          <w:top w:val="single" w:sz="4" w:space="0" w:color="949494"/>
          <w:left w:val="single" w:sz="4" w:space="0" w:color="949494"/>
          <w:bottom w:val="single" w:sz="4" w:space="0" w:color="949494"/>
          <w:right w:val="single" w:sz="4" w:space="0" w:color="949494"/>
          <w:insideH w:val="single" w:sz="4" w:space="0" w:color="949494"/>
          <w:insideV w:val="single" w:sz="4" w:space="0" w:color="949494"/>
          <w:tl2br w:val="nil"/>
          <w:tr2bl w:val="nil"/>
        </w:tcBorders>
        <w:shd w:val="clear" w:color="auto" w:fill="DFDFDF"/>
      </w:tcPr>
    </w:tblStylePr>
  </w:style>
  <w:style w:type="table" w:customStyle="1" w:styleId="ECHRTableBoxHeader">
    <w:name w:val="ECHR_Table_Box_Header"/>
    <w:basedOn w:val="TableNormal"/>
    <w:rsid w:val="004C086C"/>
    <w:rPr>
      <w:rFonts w:ascii="Verdana" w:hAnsi="Verdana"/>
      <w:lang w:val="en-GB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/>
    </w:tcPr>
    <w:tblStylePr w:type="firstCol">
      <w:rPr>
        <w:b/>
        <w:color w:val="5F5F5F"/>
      </w:rPr>
    </w:tblStylePr>
  </w:style>
  <w:style w:type="paragraph" w:customStyle="1" w:styleId="ECHRTitle1">
    <w:name w:val="ECHR_Title_1"/>
    <w:aliases w:val="Ju_H_Head"/>
    <w:basedOn w:val="Normal"/>
    <w:next w:val="ECHRPara"/>
    <w:uiPriority w:val="18"/>
    <w:qFormat/>
    <w:rsid w:val="00EB346B"/>
    <w:pPr>
      <w:keepNext/>
      <w:keepLines/>
      <w:spacing w:before="720" w:after="240"/>
      <w:outlineLvl w:val="0"/>
    </w:pPr>
    <w:rPr>
      <w:sz w:val="28"/>
    </w:rPr>
  </w:style>
  <w:style w:type="character" w:styleId="Emphasis">
    <w:name w:val="Emphasis"/>
    <w:uiPriority w:val="99"/>
    <w:semiHidden/>
    <w:qFormat/>
    <w:rsid w:val="00EB346B"/>
    <w:rPr>
      <w:b/>
      <w:bCs/>
      <w:i/>
      <w:iCs/>
      <w:spacing w:val="10"/>
      <w:bdr w:val="none" w:sz="0" w:space="0" w:color="auto"/>
      <w:lang w:val="bg-BG" w:eastAsia="bg-BG"/>
    </w:rPr>
  </w:style>
  <w:style w:type="paragraph" w:styleId="Footer">
    <w:name w:val="footer"/>
    <w:basedOn w:val="Normal"/>
    <w:link w:val="FooterChar"/>
    <w:uiPriority w:val="57"/>
    <w:semiHidden/>
    <w:rsid w:val="00EB346B"/>
    <w:pPr>
      <w:tabs>
        <w:tab w:val="center" w:pos="4536"/>
        <w:tab w:val="right" w:pos="9696"/>
      </w:tabs>
      <w:ind w:left="-680" w:right="-680"/>
    </w:pPr>
    <w:rPr>
      <w:rFonts w:eastAsia="Times New Roman"/>
    </w:rPr>
  </w:style>
  <w:style w:type="character" w:customStyle="1" w:styleId="FooterChar">
    <w:name w:val="Footer Char"/>
    <w:link w:val="Footer"/>
    <w:uiPriority w:val="57"/>
    <w:semiHidden/>
    <w:rsid w:val="00EB346B"/>
    <w:rPr>
      <w:sz w:val="24"/>
      <w:lang w:val="bg-BG" w:eastAsia="bg-BG"/>
    </w:rPr>
  </w:style>
  <w:style w:type="character" w:styleId="FootnoteReference">
    <w:name w:val="footnote reference"/>
    <w:uiPriority w:val="99"/>
    <w:semiHidden/>
    <w:rsid w:val="00EB346B"/>
    <w:rPr>
      <w:vertAlign w:val="superscript"/>
      <w:lang w:val="bg-BG" w:eastAsia="bg-BG"/>
    </w:rPr>
  </w:style>
  <w:style w:type="paragraph" w:styleId="FootnoteText">
    <w:name w:val="footnote text"/>
    <w:basedOn w:val="Normal"/>
    <w:link w:val="FootnoteTextChar"/>
    <w:uiPriority w:val="99"/>
    <w:semiHidden/>
    <w:rsid w:val="00EB346B"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EB346B"/>
    <w:rPr>
      <w:rFonts w:eastAsia="MS Mincho"/>
      <w:sz w:val="20"/>
      <w:szCs w:val="20"/>
      <w:lang w:val="bg-BG" w:eastAsia="bg-BG"/>
    </w:rPr>
  </w:style>
  <w:style w:type="character" w:customStyle="1" w:styleId="Heading6Char">
    <w:name w:val="Heading 6 Char"/>
    <w:link w:val="Heading6"/>
    <w:uiPriority w:val="99"/>
    <w:semiHidden/>
    <w:rsid w:val="00EB346B"/>
    <w:rPr>
      <w:rFonts w:ascii="Times New Roman" w:eastAsia="MS Gothic" w:hAnsi="Times New Roman" w:cs="Times New Roman"/>
      <w:b/>
      <w:bCs/>
      <w:i/>
      <w:iCs/>
      <w:color w:val="7F7F7F"/>
      <w:sz w:val="24"/>
      <w:lang w:val="bg-BG" w:eastAsia="bg-BG" w:bidi="en-US"/>
    </w:rPr>
  </w:style>
  <w:style w:type="character" w:customStyle="1" w:styleId="Heading7Char">
    <w:name w:val="Heading 7 Char"/>
    <w:link w:val="Heading7"/>
    <w:uiPriority w:val="99"/>
    <w:semiHidden/>
    <w:rsid w:val="00EB346B"/>
    <w:rPr>
      <w:rFonts w:ascii="Times New Roman" w:eastAsia="MS Gothic" w:hAnsi="Times New Roman" w:cs="Times New Roman"/>
      <w:i/>
      <w:iCs/>
      <w:lang w:val="bg-BG" w:eastAsia="bg-BG" w:bidi="en-US"/>
    </w:rPr>
  </w:style>
  <w:style w:type="character" w:customStyle="1" w:styleId="Heading8Char">
    <w:name w:val="Heading 8 Char"/>
    <w:link w:val="Heading8"/>
    <w:uiPriority w:val="99"/>
    <w:semiHidden/>
    <w:rsid w:val="00EB346B"/>
    <w:rPr>
      <w:rFonts w:ascii="Times New Roman" w:eastAsia="MS Gothic" w:hAnsi="Times New Roman" w:cs="Times New Roman"/>
      <w:sz w:val="20"/>
      <w:szCs w:val="20"/>
      <w:lang w:val="bg-BG" w:eastAsia="bg-BG" w:bidi="en-US"/>
    </w:rPr>
  </w:style>
  <w:style w:type="character" w:customStyle="1" w:styleId="Heading9Char">
    <w:name w:val="Heading 9 Char"/>
    <w:link w:val="Heading9"/>
    <w:uiPriority w:val="99"/>
    <w:semiHidden/>
    <w:rsid w:val="00EB346B"/>
    <w:rPr>
      <w:rFonts w:ascii="Times New Roman" w:eastAsia="MS Gothic" w:hAnsi="Times New Roman" w:cs="Times New Roman"/>
      <w:i/>
      <w:iCs/>
      <w:spacing w:val="5"/>
      <w:sz w:val="20"/>
      <w:szCs w:val="20"/>
      <w:lang w:val="bg-BG" w:eastAsia="bg-BG" w:bidi="en-US"/>
    </w:rPr>
  </w:style>
  <w:style w:type="character" w:styleId="Hyperlink">
    <w:name w:val="Hyperlink"/>
    <w:uiPriority w:val="99"/>
    <w:semiHidden/>
    <w:rsid w:val="00EB346B"/>
    <w:rPr>
      <w:color w:val="0072BC"/>
      <w:u w:val="single"/>
      <w:lang w:val="bg-BG" w:eastAsia="bg-BG"/>
    </w:rPr>
  </w:style>
  <w:style w:type="character" w:styleId="IntenseEmphasis">
    <w:name w:val="Intense Emphasis"/>
    <w:uiPriority w:val="99"/>
    <w:semiHidden/>
    <w:qFormat/>
    <w:rsid w:val="00EB346B"/>
    <w:rPr>
      <w:b/>
      <w:bCs/>
      <w:lang w:val="bg-BG" w:eastAsia="bg-BG"/>
    </w:rPr>
  </w:style>
  <w:style w:type="paragraph" w:styleId="IntenseQuote">
    <w:name w:val="Intense Quote"/>
    <w:basedOn w:val="Normal"/>
    <w:next w:val="Normal"/>
    <w:link w:val="IntenseQuoteChar"/>
    <w:uiPriority w:val="99"/>
    <w:semiHidden/>
    <w:qFormat/>
    <w:rsid w:val="00EB346B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sz w:val="22"/>
      <w:lang w:bidi="en-US"/>
    </w:rPr>
  </w:style>
  <w:style w:type="character" w:customStyle="1" w:styleId="IntenseQuoteChar">
    <w:name w:val="Intense Quote Char"/>
    <w:link w:val="IntenseQuote"/>
    <w:uiPriority w:val="99"/>
    <w:semiHidden/>
    <w:rsid w:val="00EB346B"/>
    <w:rPr>
      <w:rFonts w:eastAsia="MS Mincho"/>
      <w:b/>
      <w:bCs/>
      <w:i/>
      <w:iCs/>
      <w:lang w:val="bg-BG" w:eastAsia="bg-BG" w:bidi="en-US"/>
    </w:rPr>
  </w:style>
  <w:style w:type="character" w:styleId="IntenseReference">
    <w:name w:val="Intense Reference"/>
    <w:uiPriority w:val="99"/>
    <w:semiHidden/>
    <w:qFormat/>
    <w:rsid w:val="00EB346B"/>
    <w:rPr>
      <w:smallCaps/>
      <w:spacing w:val="5"/>
      <w:u w:val="single"/>
      <w:lang w:val="bg-BG" w:eastAsia="bg-BG"/>
    </w:rPr>
  </w:style>
  <w:style w:type="paragraph" w:styleId="ListParagraph">
    <w:name w:val="List Paragraph"/>
    <w:basedOn w:val="Normal"/>
    <w:uiPriority w:val="99"/>
    <w:semiHidden/>
    <w:qFormat/>
    <w:rsid w:val="00EB346B"/>
    <w:pPr>
      <w:ind w:left="720"/>
      <w:contextualSpacing/>
    </w:pPr>
  </w:style>
  <w:style w:type="table" w:customStyle="1" w:styleId="LtrTableAddress">
    <w:name w:val="Ltr_Table_Address"/>
    <w:basedOn w:val="TableNormal"/>
    <w:uiPriority w:val="99"/>
    <w:rsid w:val="001E6F32"/>
    <w:tblPr>
      <w:tblInd w:w="5103" w:type="dxa"/>
    </w:tblPr>
  </w:style>
  <w:style w:type="paragraph" w:styleId="Quote">
    <w:name w:val="Quote"/>
    <w:basedOn w:val="Normal"/>
    <w:next w:val="Normal"/>
    <w:link w:val="QuoteChar"/>
    <w:uiPriority w:val="99"/>
    <w:semiHidden/>
    <w:qFormat/>
    <w:rsid w:val="00EB346B"/>
    <w:pPr>
      <w:spacing w:before="200"/>
      <w:ind w:left="360" w:right="360"/>
    </w:pPr>
    <w:rPr>
      <w:i/>
      <w:iCs/>
      <w:sz w:val="22"/>
      <w:lang w:bidi="en-US"/>
    </w:rPr>
  </w:style>
  <w:style w:type="character" w:customStyle="1" w:styleId="QuoteChar">
    <w:name w:val="Quote Char"/>
    <w:link w:val="Quote"/>
    <w:uiPriority w:val="99"/>
    <w:semiHidden/>
    <w:rsid w:val="00EB346B"/>
    <w:rPr>
      <w:rFonts w:eastAsia="MS Mincho"/>
      <w:i/>
      <w:iCs/>
      <w:lang w:val="bg-BG" w:eastAsia="bg-BG" w:bidi="en-US"/>
    </w:rPr>
  </w:style>
  <w:style w:type="character" w:styleId="SubtleReference">
    <w:name w:val="Subtle Reference"/>
    <w:uiPriority w:val="99"/>
    <w:semiHidden/>
    <w:qFormat/>
    <w:rsid w:val="00EB346B"/>
    <w:rPr>
      <w:smallCaps/>
      <w:lang w:val="bg-BG" w:eastAsia="bg-BG"/>
    </w:rPr>
  </w:style>
  <w:style w:type="table" w:styleId="TableGrid">
    <w:name w:val="Table Grid"/>
    <w:basedOn w:val="TableNormal"/>
    <w:uiPriority w:val="59"/>
    <w:semiHidden/>
    <w:rsid w:val="00EB346B"/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1">
    <w:name w:val="toc 1"/>
    <w:basedOn w:val="Normal"/>
    <w:next w:val="Normal"/>
    <w:autoRedefine/>
    <w:uiPriority w:val="99"/>
    <w:semiHidden/>
    <w:rsid w:val="00EB346B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TOC2">
    <w:name w:val="toc 2"/>
    <w:basedOn w:val="Normal"/>
    <w:next w:val="Normal"/>
    <w:autoRedefine/>
    <w:uiPriority w:val="99"/>
    <w:semiHidden/>
    <w:rsid w:val="00EB346B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TOC3">
    <w:name w:val="toc 3"/>
    <w:basedOn w:val="Normal"/>
    <w:next w:val="Normal"/>
    <w:autoRedefine/>
    <w:uiPriority w:val="99"/>
    <w:semiHidden/>
    <w:rsid w:val="00EB346B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TOC4">
    <w:name w:val="toc 4"/>
    <w:basedOn w:val="Normal"/>
    <w:next w:val="Normal"/>
    <w:autoRedefine/>
    <w:uiPriority w:val="99"/>
    <w:semiHidden/>
    <w:rsid w:val="00EB346B"/>
    <w:pPr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TOC5">
    <w:name w:val="toc 5"/>
    <w:basedOn w:val="Normal"/>
    <w:next w:val="Normal"/>
    <w:autoRedefine/>
    <w:uiPriority w:val="99"/>
    <w:semiHidden/>
    <w:rsid w:val="00EB346B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TOCHeading">
    <w:name w:val="TOC Heading"/>
    <w:basedOn w:val="Normal"/>
    <w:next w:val="Normal"/>
    <w:uiPriority w:val="99"/>
    <w:semiHidden/>
    <w:qFormat/>
    <w:rsid w:val="00EB346B"/>
    <w:pPr>
      <w:keepNext/>
      <w:keepLines/>
      <w:spacing w:before="240"/>
      <w:contextualSpacing/>
      <w:jc w:val="center"/>
    </w:pPr>
    <w:rPr>
      <w:rFonts w:eastAsia="Times New Roman"/>
      <w:b/>
      <w:color w:val="474747"/>
      <w:sz w:val="28"/>
    </w:rPr>
  </w:style>
  <w:style w:type="table" w:customStyle="1" w:styleId="UGTable">
    <w:name w:val="UG_Table"/>
    <w:basedOn w:val="TableNormal"/>
    <w:uiPriority w:val="99"/>
    <w:rsid w:val="00801300"/>
    <w:rPr>
      <w:rFonts w:eastAsia="MS Mincho"/>
      <w:lang w:val="en-GB"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basedOn w:val="TableNormal"/>
    <w:uiPriority w:val="99"/>
    <w:rsid w:val="00801300"/>
    <w:rPr>
      <w:rFonts w:eastAsia="MS Mincho"/>
      <w:lang w:val="en-GB" w:eastAsia="en-GB"/>
    </w:rPr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basedOn w:val="TableNormal"/>
    <w:uiPriority w:val="99"/>
    <w:rsid w:val="00810B38"/>
    <w:rPr>
      <w:color w:val="000000"/>
      <w:sz w:val="18"/>
    </w:rPr>
    <w:tblPr>
      <w:tblBorders>
        <w:top w:val="single" w:sz="8" w:space="0" w:color="9F9F9F"/>
        <w:left w:val="single" w:sz="8" w:space="0" w:color="9F9F9F"/>
        <w:bottom w:val="single" w:sz="8" w:space="0" w:color="9F9F9F"/>
        <w:right w:val="single" w:sz="8" w:space="0" w:color="9F9F9F"/>
        <w:insideH w:val="single" w:sz="8" w:space="0" w:color="9F9F9F"/>
        <w:insideV w:val="single" w:sz="8" w:space="0" w:color="9F9F9F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TableNormal"/>
    <w:uiPriority w:val="99"/>
    <w:rsid w:val="00893576"/>
    <w:rPr>
      <w:color w:val="000000"/>
    </w:rPr>
    <w:tblPr>
      <w:tblInd w:w="-680" w:type="dxa"/>
      <w:tblBorders>
        <w:insideH w:val="single" w:sz="4" w:space="0" w:color="C6C6C6"/>
        <w:insideV w:val="single" w:sz="4" w:space="0" w:color="C6C6C6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TableNormal"/>
    <w:uiPriority w:val="99"/>
    <w:rsid w:val="00210338"/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aliases w:val="DN_Table"/>
    <w:basedOn w:val="TableNormal"/>
    <w:uiPriority w:val="99"/>
    <w:rsid w:val="0090506B"/>
    <w:tblPr>
      <w:jc w:val="center"/>
      <w:tblBorders>
        <w:left w:val="single" w:sz="4" w:space="0" w:color="949494"/>
        <w:bottom w:val="single" w:sz="4" w:space="0" w:color="949494"/>
        <w:right w:val="single" w:sz="4" w:space="0" w:color="949494"/>
        <w:insideH w:val="single" w:sz="4" w:space="0" w:color="949494"/>
        <w:insideV w:val="single" w:sz="4" w:space="0" w:color="949494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="Times New Roman" w:hAnsi="Times New Roman"/>
        <w:b/>
        <w:i w:val="0"/>
        <w:color w:val="474747"/>
        <w:sz w:val="24"/>
      </w:rPr>
      <w:tblPr/>
      <w:tcPr>
        <w:tcBorders>
          <w:top w:val="single" w:sz="4" w:space="0" w:color="949494"/>
          <w:left w:val="single" w:sz="4" w:space="0" w:color="949494"/>
          <w:bottom w:val="nil"/>
          <w:right w:val="single" w:sz="4" w:space="0" w:color="949494"/>
          <w:insideH w:val="nil"/>
          <w:insideV w:val="nil"/>
          <w:tl2br w:val="nil"/>
          <w:tr2bl w:val="nil"/>
        </w:tcBorders>
        <w:shd w:val="clear" w:color="auto" w:fill="DFDFDF"/>
      </w:tcPr>
    </w:tblStylePr>
  </w:style>
  <w:style w:type="paragraph" w:styleId="TOAHeading">
    <w:name w:val="toa heading"/>
    <w:basedOn w:val="Normal"/>
    <w:next w:val="Normal"/>
    <w:uiPriority w:val="99"/>
    <w:semiHidden/>
    <w:rsid w:val="00EB346B"/>
    <w:pPr>
      <w:keepNext/>
      <w:keepLines/>
      <w:spacing w:before="240"/>
      <w:contextualSpacing/>
      <w:jc w:val="center"/>
    </w:pPr>
    <w:rPr>
      <w:rFonts w:eastAsia="MS Gothic"/>
      <w:b/>
      <w:bCs/>
      <w:color w:val="474747"/>
      <w:sz w:val="28"/>
      <w:szCs w:val="24"/>
    </w:rPr>
  </w:style>
  <w:style w:type="paragraph" w:customStyle="1" w:styleId="ECHRParaQuote">
    <w:name w:val="ECHR_Para_Quote"/>
    <w:aliases w:val="Ju_Quot"/>
    <w:basedOn w:val="Normal"/>
    <w:uiPriority w:val="14"/>
    <w:qFormat/>
    <w:rsid w:val="00EB346B"/>
    <w:pPr>
      <w:spacing w:before="120" w:after="120"/>
      <w:ind w:left="425" w:firstLine="142"/>
    </w:pPr>
    <w:rPr>
      <w:sz w:val="20"/>
    </w:rPr>
  </w:style>
  <w:style w:type="paragraph" w:customStyle="1" w:styleId="ECHRPara">
    <w:name w:val="ECHR_Para"/>
    <w:aliases w:val="Ju_Para"/>
    <w:basedOn w:val="Normal"/>
    <w:link w:val="ECHRParaChar"/>
    <w:uiPriority w:val="12"/>
    <w:qFormat/>
    <w:rsid w:val="00EB346B"/>
    <w:pPr>
      <w:ind w:firstLine="284"/>
    </w:pPr>
  </w:style>
  <w:style w:type="table" w:customStyle="1" w:styleId="ECHRTableSimpleBox">
    <w:name w:val="ECHR_Table_Simple_Box"/>
    <w:basedOn w:val="TableNormal"/>
    <w:uiPriority w:val="99"/>
    <w:rsid w:val="00AE354C"/>
    <w:tblPr>
      <w:tblBorders>
        <w:top w:val="single" w:sz="4" w:space="0" w:color="9F9F9F"/>
        <w:left w:val="single" w:sz="4" w:space="0" w:color="9F9F9F"/>
        <w:bottom w:val="single" w:sz="4" w:space="0" w:color="9F9F9F"/>
        <w:right w:val="single" w:sz="4" w:space="0" w:color="9F9F9F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TableNormal"/>
    <w:uiPriority w:val="99"/>
    <w:rsid w:val="00F218EF"/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="Times New Roman" w:hAnsi="Times New Roman"/>
        <w:b/>
        <w:i w:val="0"/>
        <w:color w:val="474747"/>
        <w:sz w:val="24"/>
      </w:rPr>
      <w:tblPr/>
      <w:tcPr>
        <w:tcBorders>
          <w:top w:val="single" w:sz="4" w:space="0" w:color="949494"/>
          <w:left w:val="single" w:sz="4" w:space="0" w:color="949494"/>
          <w:bottom w:val="single" w:sz="4" w:space="0" w:color="949494"/>
          <w:right w:val="single" w:sz="4" w:space="0" w:color="949494"/>
          <w:insideH w:val="nil"/>
          <w:insideV w:val="nil"/>
          <w:tl2br w:val="nil"/>
          <w:tr2bl w:val="nil"/>
        </w:tcBorders>
        <w:shd w:val="clear" w:color="auto" w:fill="DFDFDF"/>
      </w:tcPr>
    </w:tblStylePr>
    <w:tblStylePr w:type="firstCol">
      <w:tblPr/>
      <w:tcPr>
        <w:tcBorders>
          <w:top w:val="single" w:sz="4" w:space="0" w:color="949494"/>
          <w:left w:val="single" w:sz="4" w:space="0" w:color="949494"/>
          <w:bottom w:val="single" w:sz="4" w:space="0" w:color="949494"/>
          <w:right w:val="single" w:sz="4" w:space="0" w:color="949494"/>
          <w:insideH w:val="single" w:sz="4" w:space="0" w:color="949494"/>
          <w:insideV w:val="single" w:sz="4" w:space="0" w:color="949494"/>
        </w:tcBorders>
      </w:tcPr>
    </w:tblStylePr>
  </w:style>
  <w:style w:type="table" w:customStyle="1" w:styleId="ECHRTableForInternalUse">
    <w:name w:val="ECHR_Table_For_Internal_Use"/>
    <w:basedOn w:val="TableNormal"/>
    <w:uiPriority w:val="99"/>
    <w:rsid w:val="005474E7"/>
    <w:rPr>
      <w:color w:val="636363"/>
      <w:sz w:val="18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/>
          <w:left w:val="single" w:sz="4" w:space="0" w:color="949494"/>
          <w:bottom w:val="single" w:sz="4" w:space="0" w:color="949494"/>
          <w:right w:val="single" w:sz="4" w:space="0" w:color="949494"/>
          <w:insideH w:val="single" w:sz="4" w:space="0" w:color="949494"/>
          <w:insideV w:val="single" w:sz="4" w:space="0" w:color="949494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/>
          <w:left w:val="single" w:sz="4" w:space="0" w:color="949494"/>
          <w:bottom w:val="single" w:sz="4" w:space="0" w:color="949494"/>
          <w:right w:val="single" w:sz="4" w:space="0" w:color="949494"/>
          <w:insideH w:val="single" w:sz="4" w:space="0" w:color="949494"/>
          <w:insideV w:val="single" w:sz="4" w:space="0" w:color="949494"/>
          <w:tl2br w:val="nil"/>
          <w:tr2bl w:val="nil"/>
        </w:tcBorders>
      </w:tcPr>
    </w:tblStylePr>
  </w:style>
  <w:style w:type="table" w:customStyle="1" w:styleId="ECHRListTable">
    <w:name w:val="ECHR_List_Table"/>
    <w:basedOn w:val="TableNormal"/>
    <w:uiPriority w:val="99"/>
    <w:rsid w:val="00EB346B"/>
    <w:tblPr>
      <w:tblBorders>
        <w:top w:val="single" w:sz="4" w:space="0" w:color="949494"/>
        <w:left w:val="single" w:sz="4" w:space="0" w:color="949494"/>
        <w:bottom w:val="single" w:sz="4" w:space="0" w:color="949494"/>
        <w:right w:val="single" w:sz="4" w:space="0" w:color="949494"/>
        <w:insideH w:val="single" w:sz="4" w:space="0" w:color="949494"/>
        <w:insideV w:val="single" w:sz="4" w:space="0" w:color="949494"/>
      </w:tblBorders>
      <w:tblCellMar>
        <w:top w:w="28" w:type="dxa"/>
        <w:bottom w:w="28" w:type="dxa"/>
      </w:tblCellMar>
    </w:tblPr>
    <w:tblStylePr w:type="firstRow">
      <w:rPr>
        <w:b/>
        <w:color w:val="474747"/>
      </w:rPr>
      <w:tblPr/>
      <w:trPr>
        <w:tblHeader/>
      </w:trPr>
      <w:tcPr>
        <w:tcBorders>
          <w:top w:val="single" w:sz="4" w:space="0" w:color="949494"/>
          <w:left w:val="single" w:sz="4" w:space="0" w:color="949494"/>
          <w:bottom w:val="single" w:sz="4" w:space="0" w:color="949494"/>
          <w:right w:val="single" w:sz="4" w:space="0" w:color="949494"/>
          <w:insideH w:val="single" w:sz="4" w:space="0" w:color="949494"/>
          <w:insideV w:val="single" w:sz="4" w:space="0" w:color="949494"/>
        </w:tcBorders>
        <w:shd w:val="clear" w:color="auto" w:fill="DFDFDF"/>
      </w:tcPr>
    </w:tblStylePr>
  </w:style>
  <w:style w:type="table" w:customStyle="1" w:styleId="ECHRHeaderTable">
    <w:name w:val="ECHR_Header_Table"/>
    <w:basedOn w:val="TableNormal"/>
    <w:uiPriority w:val="99"/>
    <w:rsid w:val="00661971"/>
    <w:tblPr>
      <w:tblInd w:w="-680" w:type="dxa"/>
      <w:tblBorders>
        <w:bottom w:val="single" w:sz="6" w:space="0" w:color="949494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table" w:customStyle="1" w:styleId="ECHRTableOddBanded">
    <w:name w:val="ECHR_Table_Odd_Banded"/>
    <w:basedOn w:val="TableNormal"/>
    <w:uiPriority w:val="99"/>
    <w:rsid w:val="00860B03"/>
    <w:tblPr>
      <w:tblStyleRowBandSize w:val="1"/>
      <w:tblStyleColBandSize w:val="1"/>
      <w:tblBorders>
        <w:top w:val="single" w:sz="4" w:space="0" w:color="949494"/>
        <w:left w:val="single" w:sz="4" w:space="0" w:color="949494"/>
        <w:bottom w:val="single" w:sz="4" w:space="0" w:color="949494"/>
        <w:right w:val="single" w:sz="4" w:space="0" w:color="949494"/>
        <w:insideH w:val="single" w:sz="4" w:space="0" w:color="949494"/>
        <w:insideV w:val="single" w:sz="4" w:space="0" w:color="949494"/>
      </w:tblBorders>
      <w:tblCellMar>
        <w:top w:w="28" w:type="dxa"/>
        <w:bottom w:w="28" w:type="dxa"/>
      </w:tblCellMar>
    </w:tblPr>
    <w:tblStylePr w:type="firstRow">
      <w:rPr>
        <w:rFonts w:ascii="Times New Roman" w:hAnsi="Times New Roman"/>
        <w:b/>
        <w:i w:val="0"/>
        <w:color w:val="474747"/>
        <w:sz w:val="22"/>
      </w:rPr>
      <w:tblPr/>
      <w:tcPr>
        <w:tcBorders>
          <w:top w:val="single" w:sz="4" w:space="0" w:color="949494"/>
          <w:left w:val="single" w:sz="4" w:space="0" w:color="949494"/>
          <w:bottom w:val="single" w:sz="4" w:space="0" w:color="949494"/>
          <w:right w:val="single" w:sz="4" w:space="0" w:color="949494"/>
          <w:insideH w:val="nil"/>
          <w:insideV w:val="single" w:sz="4" w:space="0" w:color="949494"/>
          <w:tl2br w:val="nil"/>
          <w:tr2bl w:val="nil"/>
        </w:tcBorders>
        <w:shd w:val="clear" w:color="auto" w:fill="DFDFD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/>
      </w:tcPr>
    </w:tblStylePr>
    <w:tblStylePr w:type="band1Horz">
      <w:rPr>
        <w:b/>
      </w:rPr>
      <w:tblPr/>
      <w:tcPr>
        <w:shd w:val="clear" w:color="auto" w:fill="DFDFDF"/>
      </w:tcPr>
    </w:tblStylePr>
  </w:style>
  <w:style w:type="paragraph" w:customStyle="1" w:styleId="ECHRDecisionBody">
    <w:name w:val="ECHR_Decision_Body"/>
    <w:aliases w:val="Ju_Judges"/>
    <w:basedOn w:val="Normal"/>
    <w:uiPriority w:val="11"/>
    <w:qFormat/>
    <w:rsid w:val="00EB346B"/>
    <w:pPr>
      <w:tabs>
        <w:tab w:val="left" w:pos="567"/>
        <w:tab w:val="left" w:pos="1134"/>
      </w:tabs>
      <w:jc w:val="left"/>
    </w:pPr>
  </w:style>
  <w:style w:type="table" w:customStyle="1" w:styleId="ECHRHeaderTableReduced">
    <w:name w:val="ECHR_Header_Table_Reduced"/>
    <w:basedOn w:val="TableNormal"/>
    <w:uiPriority w:val="99"/>
    <w:rsid w:val="00B52BE0"/>
    <w:tblPr>
      <w:tblInd w:w="-680" w:type="dxa"/>
      <w:tblCellMar>
        <w:left w:w="0" w:type="dxa"/>
        <w:right w:w="0" w:type="dxa"/>
      </w:tblCellMar>
    </w:tblPr>
    <w:tcPr>
      <w:vAlign w:val="bottom"/>
    </w:tcPr>
    <w:tblStylePr w:type="firstRow">
      <w:tblPr/>
      <w:tcPr>
        <w:tcBorders>
          <w:top w:val="nil"/>
          <w:left w:val="nil"/>
          <w:bottom w:val="single" w:sz="6" w:space="0" w:color="949494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List">
    <w:name w:val="Ju_List"/>
    <w:basedOn w:val="Normal"/>
    <w:uiPriority w:val="28"/>
    <w:qFormat/>
    <w:rsid w:val="00EB346B"/>
    <w:pPr>
      <w:ind w:left="340" w:hanging="340"/>
    </w:pPr>
  </w:style>
  <w:style w:type="paragraph" w:customStyle="1" w:styleId="JuSigned">
    <w:name w:val="Ju_Signed"/>
    <w:basedOn w:val="Normal"/>
    <w:next w:val="JuParaLast"/>
    <w:uiPriority w:val="32"/>
    <w:qFormat/>
    <w:rsid w:val="00EB346B"/>
    <w:pPr>
      <w:tabs>
        <w:tab w:val="center" w:pos="851"/>
        <w:tab w:val="center" w:pos="6407"/>
      </w:tabs>
      <w:spacing w:before="720"/>
      <w:jc w:val="left"/>
    </w:pPr>
  </w:style>
  <w:style w:type="paragraph" w:customStyle="1" w:styleId="JuParaLast">
    <w:name w:val="Ju_Para_Last"/>
    <w:basedOn w:val="Normal"/>
    <w:next w:val="ECHRPara"/>
    <w:uiPriority w:val="30"/>
    <w:qFormat/>
    <w:rsid w:val="00EB346B"/>
    <w:pPr>
      <w:keepNext/>
      <w:keepLines/>
      <w:spacing w:before="240"/>
      <w:ind w:firstLine="284"/>
    </w:pPr>
  </w:style>
  <w:style w:type="paragraph" w:customStyle="1" w:styleId="JuParaSub">
    <w:name w:val="Ju_Para_Sub"/>
    <w:basedOn w:val="ECHRPara"/>
    <w:uiPriority w:val="13"/>
    <w:qFormat/>
    <w:rsid w:val="00EB346B"/>
    <w:pPr>
      <w:ind w:left="284"/>
    </w:pPr>
  </w:style>
  <w:style w:type="character" w:styleId="PageNumber">
    <w:name w:val="page number"/>
    <w:uiPriority w:val="99"/>
    <w:semiHidden/>
    <w:rsid w:val="00014566"/>
    <w:rPr>
      <w:sz w:val="18"/>
      <w:lang w:val="bg-BG" w:eastAsia="bg-BG"/>
    </w:rPr>
  </w:style>
  <w:style w:type="paragraph" w:customStyle="1" w:styleId="JuQuotSub">
    <w:name w:val="Ju_Quot_Sub"/>
    <w:basedOn w:val="ECHRParaQuote"/>
    <w:uiPriority w:val="15"/>
    <w:qFormat/>
    <w:rsid w:val="00EB346B"/>
    <w:pPr>
      <w:ind w:left="567"/>
    </w:pPr>
  </w:style>
  <w:style w:type="paragraph" w:customStyle="1" w:styleId="JuTitle">
    <w:name w:val="Ju_Title"/>
    <w:basedOn w:val="Normal"/>
    <w:next w:val="ECHRPara"/>
    <w:uiPriority w:val="3"/>
    <w:semiHidden/>
    <w:qFormat/>
    <w:rsid w:val="00EB346B"/>
    <w:pPr>
      <w:spacing w:before="720" w:after="240"/>
      <w:jc w:val="center"/>
      <w:outlineLvl w:val="0"/>
    </w:pPr>
    <w:rPr>
      <w:b/>
      <w:caps/>
    </w:rPr>
  </w:style>
  <w:style w:type="character" w:styleId="CommentReference">
    <w:name w:val="annotation reference"/>
    <w:uiPriority w:val="99"/>
    <w:semiHidden/>
    <w:rsid w:val="00014566"/>
    <w:rPr>
      <w:sz w:val="16"/>
      <w:lang w:val="bg-BG" w:eastAsia="bg-BG"/>
    </w:rPr>
  </w:style>
  <w:style w:type="paragraph" w:styleId="CommentText">
    <w:name w:val="annotation text"/>
    <w:basedOn w:val="Normal"/>
    <w:link w:val="CommentTextChar"/>
    <w:semiHidden/>
    <w:rsid w:val="00014566"/>
    <w:rPr>
      <w:sz w:val="20"/>
    </w:rPr>
  </w:style>
  <w:style w:type="character" w:customStyle="1" w:styleId="CommentTextChar">
    <w:name w:val="Comment Text Char"/>
    <w:link w:val="CommentText"/>
    <w:semiHidden/>
    <w:rsid w:val="00014566"/>
    <w:rPr>
      <w:rFonts w:eastAsia="MS Mincho"/>
      <w:sz w:val="20"/>
      <w:lang w:val="bg-BG" w:eastAsia="bg-BG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014566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014566"/>
    <w:rPr>
      <w:rFonts w:eastAsia="MS Mincho"/>
      <w:b/>
      <w:bCs/>
      <w:sz w:val="20"/>
      <w:lang w:val="bg-BG" w:eastAsia="bg-BG"/>
    </w:rPr>
  </w:style>
  <w:style w:type="character" w:styleId="EndnoteReference">
    <w:name w:val="endnote reference"/>
    <w:uiPriority w:val="99"/>
    <w:semiHidden/>
    <w:rsid w:val="00EB346B"/>
    <w:rPr>
      <w:vertAlign w:val="superscript"/>
      <w:lang w:val="bg-BG" w:eastAsia="bg-BG"/>
    </w:rPr>
  </w:style>
  <w:style w:type="paragraph" w:styleId="EndnoteText">
    <w:name w:val="endnote text"/>
    <w:basedOn w:val="Normal"/>
    <w:link w:val="EndnoteTextChar"/>
    <w:uiPriority w:val="99"/>
    <w:semiHidden/>
    <w:rsid w:val="00EB346B"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rsid w:val="00EB346B"/>
    <w:rPr>
      <w:rFonts w:eastAsia="MS Mincho"/>
      <w:sz w:val="20"/>
      <w:szCs w:val="20"/>
      <w:lang w:val="bg-BG" w:eastAsia="bg-BG"/>
    </w:rPr>
  </w:style>
  <w:style w:type="character" w:styleId="FollowedHyperlink">
    <w:name w:val="FollowedHyperlink"/>
    <w:uiPriority w:val="99"/>
    <w:semiHidden/>
    <w:rsid w:val="00014566"/>
    <w:rPr>
      <w:color w:val="800080"/>
      <w:u w:val="single"/>
      <w:lang w:val="bg-BG" w:eastAsia="bg-BG"/>
    </w:rPr>
  </w:style>
  <w:style w:type="paragraph" w:styleId="DocumentMap">
    <w:name w:val="Document Map"/>
    <w:basedOn w:val="Normal"/>
    <w:link w:val="DocumentMapChar"/>
    <w:uiPriority w:val="99"/>
    <w:semiHidden/>
    <w:rsid w:val="00014566"/>
    <w:pPr>
      <w:shd w:val="clear" w:color="auto" w:fill="000080"/>
    </w:pPr>
    <w:rPr>
      <w:rFonts w:ascii="Tahoma" w:hAnsi="Tahoma" w:cs="Tahoma"/>
      <w:sz w:val="20"/>
    </w:rPr>
  </w:style>
  <w:style w:type="character" w:customStyle="1" w:styleId="DocumentMapChar">
    <w:name w:val="Document Map Char"/>
    <w:link w:val="DocumentMap"/>
    <w:uiPriority w:val="99"/>
    <w:semiHidden/>
    <w:rsid w:val="00014566"/>
    <w:rPr>
      <w:rFonts w:ascii="Tahoma" w:eastAsia="MS Mincho" w:hAnsi="Tahoma" w:cs="Tahoma"/>
      <w:sz w:val="20"/>
      <w:lang w:val="bg-BG" w:eastAsia="bg-BG"/>
    </w:rPr>
  </w:style>
  <w:style w:type="paragraph" w:customStyle="1" w:styleId="OpiH1">
    <w:name w:val="Opi_H_1"/>
    <w:basedOn w:val="ECHRHeading2"/>
    <w:uiPriority w:val="42"/>
    <w:qFormat/>
    <w:rsid w:val="00EB346B"/>
    <w:pPr>
      <w:ind w:left="635" w:hanging="357"/>
      <w:outlineLvl w:val="2"/>
    </w:pPr>
  </w:style>
  <w:style w:type="paragraph" w:styleId="ListBullet">
    <w:name w:val="List Bullet"/>
    <w:basedOn w:val="Normal"/>
    <w:uiPriority w:val="99"/>
    <w:semiHidden/>
    <w:rsid w:val="00014566"/>
    <w:pPr>
      <w:numPr>
        <w:numId w:val="1"/>
      </w:numPr>
    </w:pPr>
  </w:style>
  <w:style w:type="paragraph" w:customStyle="1" w:styleId="OpiHa">
    <w:name w:val="Opi_H_a"/>
    <w:basedOn w:val="ECHRHeading3"/>
    <w:uiPriority w:val="43"/>
    <w:qFormat/>
    <w:rsid w:val="00EB346B"/>
    <w:pPr>
      <w:ind w:left="833" w:hanging="357"/>
      <w:outlineLvl w:val="3"/>
    </w:pPr>
    <w:rPr>
      <w:b/>
      <w:i w:val="0"/>
      <w:sz w:val="20"/>
    </w:rPr>
  </w:style>
  <w:style w:type="paragraph" w:styleId="Subtitle">
    <w:name w:val="Subtitle"/>
    <w:basedOn w:val="Normal"/>
    <w:next w:val="Normal"/>
    <w:link w:val="SubtitleChar"/>
    <w:uiPriority w:val="99"/>
    <w:semiHidden/>
    <w:qFormat/>
    <w:rsid w:val="00EB346B"/>
    <w:pPr>
      <w:spacing w:after="600"/>
    </w:pPr>
    <w:rPr>
      <w:rFonts w:eastAsia="MS Gothic"/>
      <w:i/>
      <w:iCs/>
      <w:spacing w:val="13"/>
      <w:szCs w:val="24"/>
      <w:lang w:bidi="en-US"/>
    </w:rPr>
  </w:style>
  <w:style w:type="character" w:customStyle="1" w:styleId="SubtitleChar">
    <w:name w:val="Subtitle Char"/>
    <w:link w:val="Subtitle"/>
    <w:uiPriority w:val="99"/>
    <w:semiHidden/>
    <w:rsid w:val="00EB346B"/>
    <w:rPr>
      <w:rFonts w:ascii="Times New Roman" w:eastAsia="MS Gothic" w:hAnsi="Times New Roman" w:cs="Times New Roman"/>
      <w:i/>
      <w:iCs/>
      <w:spacing w:val="13"/>
      <w:sz w:val="24"/>
      <w:szCs w:val="24"/>
      <w:lang w:val="bg-BG" w:eastAsia="bg-BG" w:bidi="en-US"/>
    </w:rPr>
  </w:style>
  <w:style w:type="numbering" w:styleId="111111">
    <w:name w:val="Outline List 2"/>
    <w:basedOn w:val="NoList"/>
    <w:uiPriority w:val="99"/>
    <w:semiHidden/>
    <w:rsid w:val="00014566"/>
  </w:style>
  <w:style w:type="numbering" w:styleId="1ai">
    <w:name w:val="Outline List 1"/>
    <w:basedOn w:val="NoList"/>
    <w:uiPriority w:val="99"/>
    <w:semiHidden/>
    <w:rsid w:val="00014566"/>
  </w:style>
  <w:style w:type="numbering" w:styleId="ArticleSection">
    <w:name w:val="Outline List 3"/>
    <w:basedOn w:val="NoList"/>
    <w:uiPriority w:val="99"/>
    <w:semiHidden/>
    <w:rsid w:val="00014566"/>
  </w:style>
  <w:style w:type="paragraph" w:styleId="Bibliography">
    <w:name w:val="Bibliography"/>
    <w:basedOn w:val="Normal"/>
    <w:next w:val="Normal"/>
    <w:uiPriority w:val="99"/>
    <w:semiHidden/>
    <w:unhideWhenUsed/>
    <w:rsid w:val="00014566"/>
  </w:style>
  <w:style w:type="paragraph" w:styleId="BlockText">
    <w:name w:val="Block Text"/>
    <w:basedOn w:val="Normal"/>
    <w:uiPriority w:val="99"/>
    <w:semiHidden/>
    <w:rsid w:val="00014566"/>
    <w:pPr>
      <w:pBdr>
        <w:top w:val="single" w:sz="2" w:space="10" w:color="0072BC" w:shadow="1" w:frame="1"/>
        <w:left w:val="single" w:sz="2" w:space="10" w:color="0072BC" w:shadow="1" w:frame="1"/>
        <w:bottom w:val="single" w:sz="2" w:space="10" w:color="0072BC" w:shadow="1" w:frame="1"/>
        <w:right w:val="single" w:sz="2" w:space="10" w:color="0072BC" w:shadow="1" w:frame="1"/>
      </w:pBdr>
      <w:ind w:left="1152" w:right="1152"/>
    </w:pPr>
    <w:rPr>
      <w:i/>
      <w:iCs/>
      <w:color w:val="0072BC"/>
    </w:rPr>
  </w:style>
  <w:style w:type="paragraph" w:styleId="BodyText">
    <w:name w:val="Body Text"/>
    <w:basedOn w:val="Normal"/>
    <w:link w:val="BodyTextChar"/>
    <w:uiPriority w:val="99"/>
    <w:semiHidden/>
    <w:rsid w:val="00014566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014566"/>
    <w:rPr>
      <w:rFonts w:eastAsia="MS Mincho"/>
      <w:sz w:val="24"/>
      <w:lang w:val="bg-BG" w:eastAsia="bg-BG"/>
    </w:rPr>
  </w:style>
  <w:style w:type="paragraph" w:styleId="BodyText2">
    <w:name w:val="Body Text 2"/>
    <w:basedOn w:val="Normal"/>
    <w:link w:val="BodyText2Char"/>
    <w:uiPriority w:val="99"/>
    <w:semiHidden/>
    <w:rsid w:val="00014566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014566"/>
    <w:rPr>
      <w:rFonts w:eastAsia="MS Mincho"/>
      <w:sz w:val="24"/>
      <w:lang w:val="bg-BG" w:eastAsia="bg-BG"/>
    </w:rPr>
  </w:style>
  <w:style w:type="paragraph" w:styleId="BodyText3">
    <w:name w:val="Body Text 3"/>
    <w:basedOn w:val="Normal"/>
    <w:link w:val="BodyText3Char"/>
    <w:uiPriority w:val="99"/>
    <w:semiHidden/>
    <w:rsid w:val="00014566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uiPriority w:val="99"/>
    <w:semiHidden/>
    <w:rsid w:val="00014566"/>
    <w:rPr>
      <w:rFonts w:eastAsia="MS Mincho"/>
      <w:sz w:val="16"/>
      <w:szCs w:val="16"/>
      <w:lang w:val="bg-BG" w:eastAsia="bg-BG"/>
    </w:rPr>
  </w:style>
  <w:style w:type="paragraph" w:styleId="BodyTextFirstIndent">
    <w:name w:val="Body Text First Indent"/>
    <w:basedOn w:val="BodyText"/>
    <w:link w:val="BodyTextFirstIndentChar"/>
    <w:uiPriority w:val="99"/>
    <w:semiHidden/>
    <w:rsid w:val="00014566"/>
    <w:p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014566"/>
    <w:rPr>
      <w:rFonts w:eastAsia="MS Mincho"/>
      <w:sz w:val="24"/>
      <w:lang w:val="bg-BG" w:eastAsia="bg-BG"/>
    </w:rPr>
  </w:style>
  <w:style w:type="paragraph" w:styleId="BodyTextIndent">
    <w:name w:val="Body Text Indent"/>
    <w:basedOn w:val="Normal"/>
    <w:link w:val="BodyTextIndentChar"/>
    <w:uiPriority w:val="99"/>
    <w:semiHidden/>
    <w:rsid w:val="00014566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014566"/>
    <w:rPr>
      <w:rFonts w:eastAsia="MS Mincho"/>
      <w:sz w:val="24"/>
      <w:lang w:val="bg-BG" w:eastAsia="bg-BG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rsid w:val="00014566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014566"/>
    <w:rPr>
      <w:rFonts w:eastAsia="MS Mincho"/>
      <w:sz w:val="24"/>
      <w:lang w:val="bg-BG" w:eastAsia="bg-BG"/>
    </w:rPr>
  </w:style>
  <w:style w:type="paragraph" w:styleId="BodyTextIndent2">
    <w:name w:val="Body Text Indent 2"/>
    <w:basedOn w:val="Normal"/>
    <w:link w:val="BodyTextIndent2Char"/>
    <w:uiPriority w:val="99"/>
    <w:semiHidden/>
    <w:rsid w:val="00014566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014566"/>
    <w:rPr>
      <w:rFonts w:eastAsia="MS Mincho"/>
      <w:sz w:val="24"/>
      <w:lang w:val="bg-BG" w:eastAsia="bg-BG"/>
    </w:rPr>
  </w:style>
  <w:style w:type="paragraph" w:styleId="BodyTextIndent3">
    <w:name w:val="Body Text Indent 3"/>
    <w:basedOn w:val="Normal"/>
    <w:link w:val="BodyTextIndent3Char"/>
    <w:uiPriority w:val="99"/>
    <w:semiHidden/>
    <w:rsid w:val="0001456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014566"/>
    <w:rPr>
      <w:rFonts w:eastAsia="MS Mincho"/>
      <w:sz w:val="16"/>
      <w:szCs w:val="16"/>
      <w:lang w:val="bg-BG" w:eastAsia="bg-BG"/>
    </w:rPr>
  </w:style>
  <w:style w:type="paragraph" w:styleId="Caption">
    <w:name w:val="caption"/>
    <w:basedOn w:val="Normal"/>
    <w:next w:val="Normal"/>
    <w:uiPriority w:val="99"/>
    <w:semiHidden/>
    <w:qFormat/>
    <w:rsid w:val="00014566"/>
    <w:pPr>
      <w:spacing w:after="200"/>
    </w:pPr>
    <w:rPr>
      <w:b/>
      <w:bCs/>
      <w:color w:val="0072BC"/>
      <w:sz w:val="18"/>
      <w:szCs w:val="18"/>
    </w:rPr>
  </w:style>
  <w:style w:type="paragraph" w:styleId="Closing">
    <w:name w:val="Closing"/>
    <w:basedOn w:val="Normal"/>
    <w:link w:val="ClosingChar"/>
    <w:uiPriority w:val="99"/>
    <w:semiHidden/>
    <w:rsid w:val="00014566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014566"/>
    <w:rPr>
      <w:rFonts w:eastAsia="MS Mincho"/>
      <w:sz w:val="24"/>
      <w:lang w:val="bg-BG" w:eastAsia="bg-BG"/>
    </w:rPr>
  </w:style>
  <w:style w:type="table" w:styleId="ColorfulGrid">
    <w:name w:val="Colorful Grid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0072BC"/>
      </w:rPr>
      <w:tblPr/>
      <w:tcPr>
        <w:shd w:val="clear" w:color="auto" w:fill="000000"/>
      </w:tcPr>
    </w:tblStylePr>
    <w:tblStylePr w:type="lastCol">
      <w:rPr>
        <w:color w:val="0072BC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BEE5FF"/>
    </w:tcPr>
    <w:tblStylePr w:type="firstRow">
      <w:rPr>
        <w:b/>
        <w:bCs/>
      </w:rPr>
      <w:tblPr/>
      <w:tcPr>
        <w:shd w:val="clear" w:color="auto" w:fill="7ECBFF"/>
      </w:tcPr>
    </w:tblStylePr>
    <w:tblStylePr w:type="lastRow">
      <w:rPr>
        <w:b/>
        <w:bCs/>
        <w:color w:val="000000"/>
      </w:rPr>
      <w:tblPr/>
      <w:tcPr>
        <w:shd w:val="clear" w:color="auto" w:fill="7ECBFF"/>
      </w:tcPr>
    </w:tblStylePr>
    <w:tblStylePr w:type="firstCol">
      <w:rPr>
        <w:color w:val="0072BC"/>
      </w:rPr>
      <w:tblPr/>
      <w:tcPr>
        <w:shd w:val="clear" w:color="auto" w:fill="00548C"/>
      </w:tcPr>
    </w:tblStylePr>
    <w:tblStylePr w:type="lastCol">
      <w:rPr>
        <w:color w:val="0072BC"/>
      </w:rPr>
      <w:tblPr/>
      <w:tcPr>
        <w:shd w:val="clear" w:color="auto" w:fill="00548C"/>
      </w:tcPr>
    </w:tblStylePr>
    <w:tblStylePr w:type="band1Vert">
      <w:tblPr/>
      <w:tcPr>
        <w:shd w:val="clear" w:color="auto" w:fill="5EBFFF"/>
      </w:tcPr>
    </w:tblStylePr>
    <w:tblStylePr w:type="band1Horz">
      <w:tblPr/>
      <w:tcPr>
        <w:shd w:val="clear" w:color="auto" w:fill="5EBFFF"/>
      </w:tcPr>
    </w:tblStylePr>
  </w:style>
  <w:style w:type="table" w:styleId="ColorfulGrid-Accent2">
    <w:name w:val="Colorful Grid Accent 2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FFBFBF"/>
    </w:tcPr>
    <w:tblStylePr w:type="firstRow">
      <w:rPr>
        <w:b/>
        <w:bCs/>
      </w:rPr>
      <w:tblPr/>
      <w:tcPr>
        <w:shd w:val="clear" w:color="auto" w:fill="FF7F7F"/>
      </w:tcPr>
    </w:tblStylePr>
    <w:tblStylePr w:type="lastRow">
      <w:rPr>
        <w:b/>
        <w:bCs/>
        <w:color w:val="000000"/>
      </w:rPr>
      <w:tblPr/>
      <w:tcPr>
        <w:shd w:val="clear" w:color="auto" w:fill="FF7F7F"/>
      </w:tcPr>
    </w:tblStylePr>
    <w:tblStylePr w:type="firstCol">
      <w:rPr>
        <w:color w:val="0072BC"/>
      </w:rPr>
      <w:tblPr/>
      <w:tcPr>
        <w:shd w:val="clear" w:color="auto" w:fill="8F0000"/>
      </w:tcPr>
    </w:tblStylePr>
    <w:tblStylePr w:type="lastCol">
      <w:rPr>
        <w:color w:val="0072BC"/>
      </w:rPr>
      <w:tblPr/>
      <w:tcPr>
        <w:shd w:val="clear" w:color="auto" w:fill="8F0000"/>
      </w:tcPr>
    </w:tblStylePr>
    <w:tblStylePr w:type="band1Vert">
      <w:tblPr/>
      <w:tcPr>
        <w:shd w:val="clear" w:color="auto" w:fill="FF6060"/>
      </w:tcPr>
    </w:tblStylePr>
    <w:tblStylePr w:type="band1Horz">
      <w:tblPr/>
      <w:tcPr>
        <w:shd w:val="clear" w:color="auto" w:fill="FF6060"/>
      </w:tcPr>
    </w:tblStylePr>
  </w:style>
  <w:style w:type="table" w:styleId="ColorfulGrid-Accent3">
    <w:name w:val="Colorful Grid Accent 3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DFDFDF"/>
    </w:tcPr>
    <w:tblStylePr w:type="firstRow">
      <w:rPr>
        <w:b/>
        <w:bCs/>
      </w:rPr>
      <w:tblPr/>
      <w:tcPr>
        <w:shd w:val="clear" w:color="auto" w:fill="BFBFBF"/>
      </w:tcPr>
    </w:tblStylePr>
    <w:tblStylePr w:type="lastRow">
      <w:rPr>
        <w:b/>
        <w:bCs/>
        <w:color w:val="000000"/>
      </w:rPr>
      <w:tblPr/>
      <w:tcPr>
        <w:shd w:val="clear" w:color="auto" w:fill="BFBFBF"/>
      </w:tcPr>
    </w:tblStylePr>
    <w:tblStylePr w:type="firstCol">
      <w:rPr>
        <w:color w:val="0072BC"/>
      </w:rPr>
      <w:tblPr/>
      <w:tcPr>
        <w:shd w:val="clear" w:color="auto" w:fill="474747"/>
      </w:tcPr>
    </w:tblStylePr>
    <w:tblStylePr w:type="lastCol">
      <w:rPr>
        <w:color w:val="0072BC"/>
      </w:rPr>
      <w:tblPr/>
      <w:tcPr>
        <w:shd w:val="clear" w:color="auto" w:fill="474747"/>
      </w:tcPr>
    </w:tblStylePr>
    <w:tblStylePr w:type="band1Vert">
      <w:tblPr/>
      <w:tcPr>
        <w:shd w:val="clear" w:color="auto" w:fill="AFAFAF"/>
      </w:tcPr>
    </w:tblStylePr>
    <w:tblStylePr w:type="band1Horz">
      <w:tblPr/>
      <w:tcPr>
        <w:shd w:val="clear" w:color="auto" w:fill="AFAFAF"/>
      </w:tcPr>
    </w:tblStylePr>
  </w:style>
  <w:style w:type="table" w:styleId="ColorfulGrid-Accent4">
    <w:name w:val="Colorful Grid Accent 4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EAEAEA"/>
    </w:tcPr>
    <w:tblStylePr w:type="firstRow">
      <w:rPr>
        <w:b/>
        <w:bCs/>
      </w:rPr>
      <w:tblPr/>
      <w:tcPr>
        <w:shd w:val="clear" w:color="auto" w:fill="D5D5D5"/>
      </w:tcPr>
    </w:tblStylePr>
    <w:tblStylePr w:type="lastRow">
      <w:rPr>
        <w:b/>
        <w:bCs/>
        <w:color w:val="000000"/>
      </w:rPr>
      <w:tblPr/>
      <w:tcPr>
        <w:shd w:val="clear" w:color="auto" w:fill="D5D5D5"/>
      </w:tcPr>
    </w:tblStylePr>
    <w:tblStylePr w:type="firstCol">
      <w:rPr>
        <w:color w:val="0072BC"/>
      </w:rPr>
      <w:tblPr/>
      <w:tcPr>
        <w:shd w:val="clear" w:color="auto" w:fill="707070"/>
      </w:tcPr>
    </w:tblStylePr>
    <w:tblStylePr w:type="lastCol">
      <w:rPr>
        <w:color w:val="0072BC"/>
      </w:rPr>
      <w:tblPr/>
      <w:tcPr>
        <w:shd w:val="clear" w:color="auto" w:fill="707070"/>
      </w:tcPr>
    </w:tblStylePr>
    <w:tblStylePr w:type="band1Vert">
      <w:tblPr/>
      <w:tcPr>
        <w:shd w:val="clear" w:color="auto" w:fill="CACACA"/>
      </w:tcPr>
    </w:tblStylePr>
    <w:tblStylePr w:type="band1Horz">
      <w:tblPr/>
      <w:tcPr>
        <w:shd w:val="clear" w:color="auto" w:fill="CACACA"/>
      </w:tcPr>
    </w:tblStylePr>
  </w:style>
  <w:style w:type="table" w:styleId="ColorfulGrid-Accent5">
    <w:name w:val="Colorful Grid Accent 5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DFDFDF"/>
    </w:tcPr>
    <w:tblStylePr w:type="firstRow">
      <w:rPr>
        <w:b/>
        <w:bCs/>
      </w:rPr>
      <w:tblPr/>
      <w:tcPr>
        <w:shd w:val="clear" w:color="auto" w:fill="BFBFBF"/>
      </w:tcPr>
    </w:tblStylePr>
    <w:tblStylePr w:type="lastRow">
      <w:rPr>
        <w:b/>
        <w:bCs/>
        <w:color w:val="000000"/>
      </w:rPr>
      <w:tblPr/>
      <w:tcPr>
        <w:shd w:val="clear" w:color="auto" w:fill="BFBFBF"/>
      </w:tcPr>
    </w:tblStylePr>
    <w:tblStylePr w:type="firstCol">
      <w:rPr>
        <w:color w:val="0072BC"/>
      </w:rPr>
      <w:tblPr/>
      <w:tcPr>
        <w:shd w:val="clear" w:color="auto" w:fill="474747"/>
      </w:tcPr>
    </w:tblStylePr>
    <w:tblStylePr w:type="lastCol">
      <w:rPr>
        <w:color w:val="0072BC"/>
      </w:rPr>
      <w:tblPr/>
      <w:tcPr>
        <w:shd w:val="clear" w:color="auto" w:fill="474747"/>
      </w:tcPr>
    </w:tblStylePr>
    <w:tblStylePr w:type="band1Vert">
      <w:tblPr/>
      <w:tcPr>
        <w:shd w:val="clear" w:color="auto" w:fill="AFAFAF"/>
      </w:tcPr>
    </w:tblStylePr>
    <w:tblStylePr w:type="band1Horz">
      <w:tblPr/>
      <w:tcPr>
        <w:shd w:val="clear" w:color="auto" w:fill="AFAFAF"/>
      </w:tcPr>
    </w:tblStylePr>
  </w:style>
  <w:style w:type="table" w:styleId="ColorfulGrid-Accent6">
    <w:name w:val="Colorful Grid Accent 6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DBDBDB"/>
    </w:tcPr>
    <w:tblStylePr w:type="firstRow">
      <w:rPr>
        <w:b/>
        <w:bCs/>
      </w:rPr>
      <w:tblPr/>
      <w:tcPr>
        <w:shd w:val="clear" w:color="auto" w:fill="B7B7B7"/>
      </w:tcPr>
    </w:tblStylePr>
    <w:tblStylePr w:type="lastRow">
      <w:rPr>
        <w:b/>
        <w:bCs/>
        <w:color w:val="000000"/>
      </w:rPr>
      <w:tblPr/>
      <w:tcPr>
        <w:shd w:val="clear" w:color="auto" w:fill="B7B7B7"/>
      </w:tcPr>
    </w:tblStylePr>
    <w:tblStylePr w:type="firstCol">
      <w:rPr>
        <w:color w:val="0072BC"/>
      </w:rPr>
      <w:tblPr/>
      <w:tcPr>
        <w:shd w:val="clear" w:color="auto" w:fill="393939"/>
      </w:tcPr>
    </w:tblStylePr>
    <w:tblStylePr w:type="lastCol">
      <w:rPr>
        <w:color w:val="0072BC"/>
      </w:rPr>
      <w:tblPr/>
      <w:tcPr>
        <w:shd w:val="clear" w:color="auto" w:fill="393939"/>
      </w:tcPr>
    </w:tblStylePr>
    <w:tblStylePr w:type="band1Vert">
      <w:tblPr/>
      <w:tcPr>
        <w:shd w:val="clear" w:color="auto" w:fill="A6A6A6"/>
      </w:tcPr>
    </w:tblStylePr>
    <w:tblStylePr w:type="band1Horz">
      <w:tblPr/>
      <w:tcPr>
        <w:shd w:val="clear" w:color="auto" w:fill="A6A6A6"/>
      </w:tcPr>
    </w:tblStylePr>
  </w:style>
  <w:style w:type="table" w:styleId="ColorfulList">
    <w:name w:val="Colorful List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990000"/>
      </w:tcPr>
    </w:tblStylePr>
    <w:tblStylePr w:type="lastRow">
      <w:rPr>
        <w:b/>
        <w:bCs/>
        <w:color w:val="990000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</w:tblPr>
    <w:tcPr>
      <w:shd w:val="clear" w:color="auto" w:fill="DFF2FF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990000"/>
      </w:tcPr>
    </w:tblStylePr>
    <w:tblStylePr w:type="lastRow">
      <w:rPr>
        <w:b/>
        <w:bCs/>
        <w:color w:val="990000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/>
      </w:tcPr>
    </w:tblStylePr>
    <w:tblStylePr w:type="band1Horz">
      <w:tblPr/>
      <w:tcPr>
        <w:shd w:val="clear" w:color="auto" w:fill="BEE5FF"/>
      </w:tcPr>
    </w:tblStylePr>
  </w:style>
  <w:style w:type="table" w:styleId="ColorfulList-Accent2">
    <w:name w:val="Colorful List Accent 2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</w:tblPr>
    <w:tcPr>
      <w:shd w:val="clear" w:color="auto" w:fill="FFDFDF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990000"/>
      </w:tcPr>
    </w:tblStylePr>
    <w:tblStylePr w:type="lastRow">
      <w:rPr>
        <w:b/>
        <w:bCs/>
        <w:color w:val="990000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/>
      </w:tcPr>
    </w:tblStylePr>
    <w:tblStylePr w:type="band1Horz">
      <w:tblPr/>
      <w:tcPr>
        <w:shd w:val="clear" w:color="auto" w:fill="FFBFBF"/>
      </w:tcPr>
    </w:tblStylePr>
  </w:style>
  <w:style w:type="table" w:styleId="ColorfulList-Accent3">
    <w:name w:val="Colorful List Accent 3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</w:tblPr>
    <w:tcPr>
      <w:shd w:val="clear" w:color="auto" w:fill="EFEFEF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787878"/>
      </w:tcPr>
    </w:tblStylePr>
    <w:tblStylePr w:type="lastRow">
      <w:rPr>
        <w:b/>
        <w:bCs/>
        <w:color w:val="787878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shd w:val="clear" w:color="auto" w:fill="DFDFDF"/>
      </w:tcPr>
    </w:tblStylePr>
  </w:style>
  <w:style w:type="table" w:styleId="ColorfulList-Accent4">
    <w:name w:val="Colorful List Accent 4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</w:tblPr>
    <w:tcPr>
      <w:shd w:val="clear" w:color="auto" w:fill="F4F4F4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4C4C4C"/>
      </w:tcPr>
    </w:tblStylePr>
    <w:tblStylePr w:type="lastRow">
      <w:rPr>
        <w:b/>
        <w:bCs/>
        <w:color w:val="4C4C4C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/>
      </w:tcPr>
    </w:tblStylePr>
    <w:tblStylePr w:type="band1Horz">
      <w:tblPr/>
      <w:tcPr>
        <w:shd w:val="clear" w:color="auto" w:fill="EAEAEA"/>
      </w:tcPr>
    </w:tblStylePr>
  </w:style>
  <w:style w:type="table" w:styleId="ColorfulList-Accent5">
    <w:name w:val="Colorful List Accent 5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</w:tblPr>
    <w:tcPr>
      <w:shd w:val="clear" w:color="auto" w:fill="EFEFEF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3D3D3D"/>
      </w:tcPr>
    </w:tblStylePr>
    <w:tblStylePr w:type="lastRow">
      <w:rPr>
        <w:b/>
        <w:bCs/>
        <w:color w:val="3D3D3D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shd w:val="clear" w:color="auto" w:fill="DFDFDF"/>
      </w:tcPr>
    </w:tblStylePr>
  </w:style>
  <w:style w:type="table" w:styleId="ColorfulList-Accent6">
    <w:name w:val="Colorful List Accent 6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</w:tblPr>
    <w:tcPr>
      <w:shd w:val="clear" w:color="auto" w:fill="EDEDED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4C4C4C"/>
      </w:tcPr>
    </w:tblStylePr>
    <w:tblStylePr w:type="lastRow">
      <w:rPr>
        <w:b/>
        <w:bCs/>
        <w:color w:val="4C4C4C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/>
      </w:tcPr>
    </w:tblStylePr>
    <w:tblStylePr w:type="band1Horz">
      <w:tblPr/>
      <w:tcPr>
        <w:shd w:val="clear" w:color="auto" w:fill="DBDBDB"/>
      </w:tcPr>
    </w:tblStylePr>
  </w:style>
  <w:style w:type="table" w:styleId="ColorfulShading">
    <w:name w:val="Colorful Shading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24" w:space="0" w:color="C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72BC"/>
        <w:insideV w:val="single" w:sz="4" w:space="0" w:color="0072BC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000000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24" w:space="0" w:color="C00000"/>
        <w:left w:val="single" w:sz="4" w:space="0" w:color="0072BC"/>
        <w:bottom w:val="single" w:sz="4" w:space="0" w:color="0072BC"/>
        <w:right w:val="single" w:sz="4" w:space="0" w:color="0072BC"/>
        <w:insideH w:val="single" w:sz="4" w:space="0" w:color="0072BC"/>
        <w:insideV w:val="single" w:sz="4" w:space="0" w:color="0072BC"/>
      </w:tblBorders>
    </w:tblPr>
    <w:tcPr>
      <w:shd w:val="clear" w:color="auto" w:fill="DFF2FF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004470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004470"/>
          <w:insideV w:val="nil"/>
        </w:tcBorders>
        <w:shd w:val="clear" w:color="auto" w:fill="004470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/>
      </w:tcPr>
    </w:tblStylePr>
    <w:tblStylePr w:type="band1Vert">
      <w:tblPr/>
      <w:tcPr>
        <w:shd w:val="clear" w:color="auto" w:fill="7ECBFF"/>
      </w:tcPr>
    </w:tblStylePr>
    <w:tblStylePr w:type="band1Horz">
      <w:tblPr/>
      <w:tcPr>
        <w:shd w:val="clear" w:color="auto" w:fill="5EBFF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24" w:space="0" w:color="C00000"/>
        <w:left w:val="single" w:sz="4" w:space="0" w:color="C00000"/>
        <w:bottom w:val="single" w:sz="4" w:space="0" w:color="C00000"/>
        <w:right w:val="single" w:sz="4" w:space="0" w:color="C00000"/>
        <w:insideH w:val="single" w:sz="4" w:space="0" w:color="0072BC"/>
        <w:insideV w:val="single" w:sz="4" w:space="0" w:color="0072BC"/>
      </w:tblBorders>
    </w:tblPr>
    <w:tcPr>
      <w:shd w:val="clear" w:color="auto" w:fill="FFDFDF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730000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730000"/>
          <w:insideV w:val="nil"/>
        </w:tcBorders>
        <w:shd w:val="clear" w:color="auto" w:fill="730000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/>
      </w:tcPr>
    </w:tblStylePr>
    <w:tblStylePr w:type="band1Vert">
      <w:tblPr/>
      <w:tcPr>
        <w:shd w:val="clear" w:color="auto" w:fill="FF7F7F"/>
      </w:tcPr>
    </w:tblStylePr>
    <w:tblStylePr w:type="band1Horz">
      <w:tblPr/>
      <w:tcPr>
        <w:shd w:val="clear" w:color="auto" w:fill="FF606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24" w:space="0" w:color="969696"/>
        <w:left w:val="single" w:sz="4" w:space="0" w:color="5F5F5F"/>
        <w:bottom w:val="single" w:sz="4" w:space="0" w:color="5F5F5F"/>
        <w:right w:val="single" w:sz="4" w:space="0" w:color="5F5F5F"/>
        <w:insideH w:val="single" w:sz="4" w:space="0" w:color="0072BC"/>
        <w:insideV w:val="single" w:sz="4" w:space="0" w:color="0072BC"/>
      </w:tblBorders>
    </w:tblPr>
    <w:tcPr>
      <w:shd w:val="clear" w:color="auto" w:fill="EFEFEF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393939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393939"/>
          <w:insideV w:val="nil"/>
        </w:tcBorders>
        <w:shd w:val="clear" w:color="auto" w:fill="393939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/>
      </w:tc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AFAFAF"/>
      </w:tcPr>
    </w:tblStylePr>
  </w:style>
  <w:style w:type="table" w:styleId="ColorfulShading-Accent4">
    <w:name w:val="Colorful Shading Accent 4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24" w:space="0" w:color="5F5F5F"/>
        <w:left w:val="single" w:sz="4" w:space="0" w:color="969696"/>
        <w:bottom w:val="single" w:sz="4" w:space="0" w:color="969696"/>
        <w:right w:val="single" w:sz="4" w:space="0" w:color="969696"/>
        <w:insideH w:val="single" w:sz="4" w:space="0" w:color="0072BC"/>
        <w:insideV w:val="single" w:sz="4" w:space="0" w:color="0072BC"/>
      </w:tblBorders>
    </w:tblPr>
    <w:tcPr>
      <w:shd w:val="clear" w:color="auto" w:fill="F4F4F4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5A5A5A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5A5A5A"/>
          <w:insideV w:val="nil"/>
        </w:tcBorders>
        <w:shd w:val="clear" w:color="auto" w:fill="5A5A5A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/>
      </w:tcPr>
    </w:tblStylePr>
    <w:tblStylePr w:type="band1Vert">
      <w:tblPr/>
      <w:tcPr>
        <w:shd w:val="clear" w:color="auto" w:fill="D5D5D5"/>
      </w:tcPr>
    </w:tblStylePr>
    <w:tblStylePr w:type="band1Horz">
      <w:tblPr/>
      <w:tcPr>
        <w:shd w:val="clear" w:color="auto" w:fill="CACACA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24" w:space="0" w:color="4D4D4D"/>
        <w:left w:val="single" w:sz="4" w:space="0" w:color="5F5F5F"/>
        <w:bottom w:val="single" w:sz="4" w:space="0" w:color="5F5F5F"/>
        <w:right w:val="single" w:sz="4" w:space="0" w:color="5F5F5F"/>
        <w:insideH w:val="single" w:sz="4" w:space="0" w:color="0072BC"/>
        <w:insideV w:val="single" w:sz="4" w:space="0" w:color="0072BC"/>
      </w:tblBorders>
    </w:tblPr>
    <w:tcPr>
      <w:shd w:val="clear" w:color="auto" w:fill="EFEFEF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393939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393939"/>
          <w:insideV w:val="nil"/>
        </w:tcBorders>
        <w:shd w:val="clear" w:color="auto" w:fill="393939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/>
      </w:tc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AFAFA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24" w:space="0" w:color="5F5F5F"/>
        <w:left w:val="single" w:sz="4" w:space="0" w:color="4D4D4D"/>
        <w:bottom w:val="single" w:sz="4" w:space="0" w:color="4D4D4D"/>
        <w:right w:val="single" w:sz="4" w:space="0" w:color="4D4D4D"/>
        <w:insideH w:val="single" w:sz="4" w:space="0" w:color="0072BC"/>
        <w:insideV w:val="single" w:sz="4" w:space="0" w:color="0072BC"/>
      </w:tblBorders>
    </w:tblPr>
    <w:tcPr>
      <w:shd w:val="clear" w:color="auto" w:fill="ED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2E2E2E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2E2E2E"/>
          <w:insideV w:val="nil"/>
        </w:tcBorders>
        <w:shd w:val="clear" w:color="auto" w:fill="2E2E2E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/>
      </w:tcPr>
    </w:tblStylePr>
    <w:tblStylePr w:type="band1Vert">
      <w:tblPr/>
      <w:tcPr>
        <w:shd w:val="clear" w:color="auto" w:fill="B7B7B7"/>
      </w:tcPr>
    </w:tblStylePr>
    <w:tblStylePr w:type="band1Horz">
      <w:tblPr/>
      <w:tcPr>
        <w:shd w:val="clear" w:color="auto" w:fill="A6A6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99"/>
    <w:semiHidden/>
    <w:rsid w:val="00014566"/>
    <w:rPr>
      <w:color w:val="0072BC"/>
      <w:lang w:val="fr-FR" w:eastAsia="fr-FR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99"/>
    <w:semiHidden/>
    <w:rsid w:val="00014566"/>
    <w:rPr>
      <w:color w:val="0072BC"/>
      <w:lang w:val="fr-FR" w:eastAsia="fr-FR"/>
    </w:rPr>
    <w:tblPr>
      <w:tblStyleRowBandSize w:val="1"/>
      <w:tblStyleColBandSize w:val="1"/>
    </w:tblPr>
    <w:tcPr>
      <w:shd w:val="clear" w:color="auto" w:fill="0072BC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00385D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00548C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00548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/>
      </w:tcPr>
    </w:tblStylePr>
  </w:style>
  <w:style w:type="table" w:styleId="DarkList-Accent2">
    <w:name w:val="Dark List Accent 2"/>
    <w:basedOn w:val="TableNormal"/>
    <w:uiPriority w:val="99"/>
    <w:semiHidden/>
    <w:rsid w:val="00014566"/>
    <w:rPr>
      <w:color w:val="0072BC"/>
      <w:lang w:val="fr-FR" w:eastAsia="fr-FR"/>
    </w:rPr>
    <w:tblPr>
      <w:tblStyleRowBandSize w:val="1"/>
      <w:tblStyleColBandSize w:val="1"/>
    </w:tblPr>
    <w:tcPr>
      <w:shd w:val="clear" w:color="auto" w:fill="C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5F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8F0000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8F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/>
      </w:tcPr>
    </w:tblStylePr>
  </w:style>
  <w:style w:type="table" w:styleId="DarkList-Accent3">
    <w:name w:val="Dark List Accent 3"/>
    <w:basedOn w:val="TableNormal"/>
    <w:uiPriority w:val="99"/>
    <w:semiHidden/>
    <w:rsid w:val="00014566"/>
    <w:rPr>
      <w:color w:val="0072BC"/>
      <w:lang w:val="fr-FR" w:eastAsia="fr-FR"/>
    </w:rPr>
    <w:tblPr>
      <w:tblStyleRowBandSize w:val="1"/>
      <w:tblStyleColBandSize w:val="1"/>
    </w:tblPr>
    <w:tcPr>
      <w:shd w:val="clear" w:color="auto" w:fill="5F5F5F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2F2F2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474747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474747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/>
      </w:tcPr>
    </w:tblStylePr>
  </w:style>
  <w:style w:type="table" w:styleId="DarkList-Accent4">
    <w:name w:val="Dark List Accent 4"/>
    <w:basedOn w:val="TableNormal"/>
    <w:uiPriority w:val="99"/>
    <w:semiHidden/>
    <w:rsid w:val="00014566"/>
    <w:rPr>
      <w:color w:val="0072BC"/>
      <w:lang w:val="fr-FR" w:eastAsia="fr-FR"/>
    </w:rPr>
    <w:tblPr>
      <w:tblStyleRowBandSize w:val="1"/>
      <w:tblStyleColBandSize w:val="1"/>
    </w:tblPr>
    <w:tcPr>
      <w:shd w:val="clear" w:color="auto" w:fill="96969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4A4A4A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707070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70707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/>
      </w:tcPr>
    </w:tblStylePr>
  </w:style>
  <w:style w:type="table" w:styleId="DarkList-Accent5">
    <w:name w:val="Dark List Accent 5"/>
    <w:basedOn w:val="TableNormal"/>
    <w:uiPriority w:val="99"/>
    <w:semiHidden/>
    <w:rsid w:val="00014566"/>
    <w:rPr>
      <w:color w:val="0072BC"/>
      <w:lang w:val="fr-FR" w:eastAsia="fr-FR"/>
    </w:rPr>
    <w:tblPr>
      <w:tblStyleRowBandSize w:val="1"/>
      <w:tblStyleColBandSize w:val="1"/>
    </w:tblPr>
    <w:tcPr>
      <w:shd w:val="clear" w:color="auto" w:fill="5F5F5F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2F2F2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474747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474747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/>
      </w:tcPr>
    </w:tblStylePr>
  </w:style>
  <w:style w:type="table" w:styleId="DarkList-Accent6">
    <w:name w:val="Dark List Accent 6"/>
    <w:basedOn w:val="TableNormal"/>
    <w:uiPriority w:val="99"/>
    <w:semiHidden/>
    <w:rsid w:val="00014566"/>
    <w:rPr>
      <w:color w:val="0072BC"/>
      <w:lang w:val="fr-FR" w:eastAsia="fr-FR"/>
    </w:rPr>
    <w:tblPr>
      <w:tblStyleRowBandSize w:val="1"/>
      <w:tblStyleColBandSize w:val="1"/>
    </w:tblPr>
    <w:tcPr>
      <w:shd w:val="clear" w:color="auto" w:fill="4D4D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26262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393939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393939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/>
      </w:tcPr>
    </w:tblStylePr>
  </w:style>
  <w:style w:type="paragraph" w:styleId="Date">
    <w:name w:val="Date"/>
    <w:basedOn w:val="Normal"/>
    <w:next w:val="Normal"/>
    <w:link w:val="DateChar"/>
    <w:uiPriority w:val="99"/>
    <w:semiHidden/>
    <w:rsid w:val="00014566"/>
  </w:style>
  <w:style w:type="character" w:customStyle="1" w:styleId="DateChar">
    <w:name w:val="Date Char"/>
    <w:link w:val="Date"/>
    <w:uiPriority w:val="99"/>
    <w:semiHidden/>
    <w:rsid w:val="00014566"/>
    <w:rPr>
      <w:rFonts w:eastAsia="MS Mincho"/>
      <w:sz w:val="24"/>
      <w:lang w:val="bg-BG" w:eastAsia="bg-BG"/>
    </w:rPr>
  </w:style>
  <w:style w:type="paragraph" w:styleId="E-mailSignature">
    <w:name w:val="E-mail Signature"/>
    <w:basedOn w:val="Normal"/>
    <w:link w:val="E-mailSignatureChar"/>
    <w:uiPriority w:val="99"/>
    <w:semiHidden/>
    <w:rsid w:val="00014566"/>
  </w:style>
  <w:style w:type="character" w:customStyle="1" w:styleId="E-mailSignatureChar">
    <w:name w:val="E-mail Signature Char"/>
    <w:link w:val="E-mailSignature"/>
    <w:uiPriority w:val="99"/>
    <w:semiHidden/>
    <w:rsid w:val="00014566"/>
    <w:rPr>
      <w:rFonts w:eastAsia="MS Mincho"/>
      <w:sz w:val="24"/>
      <w:lang w:val="bg-BG" w:eastAsia="bg-BG"/>
    </w:rPr>
  </w:style>
  <w:style w:type="paragraph" w:styleId="EnvelopeAddress">
    <w:name w:val="envelope address"/>
    <w:basedOn w:val="Normal"/>
    <w:uiPriority w:val="99"/>
    <w:semiHidden/>
    <w:rsid w:val="00014566"/>
    <w:pPr>
      <w:framePr w:w="7938" w:h="1985" w:hRule="exact" w:hSpace="141" w:wrap="auto" w:hAnchor="page" w:xAlign="center" w:yAlign="bottom"/>
      <w:ind w:left="2835"/>
    </w:pPr>
    <w:rPr>
      <w:rFonts w:eastAsia="MS Gothic"/>
      <w:szCs w:val="24"/>
    </w:rPr>
  </w:style>
  <w:style w:type="paragraph" w:styleId="EnvelopeReturn">
    <w:name w:val="envelope return"/>
    <w:basedOn w:val="Normal"/>
    <w:uiPriority w:val="99"/>
    <w:semiHidden/>
    <w:rsid w:val="00014566"/>
    <w:rPr>
      <w:rFonts w:eastAsia="MS Gothic"/>
      <w:sz w:val="20"/>
      <w:szCs w:val="20"/>
    </w:rPr>
  </w:style>
  <w:style w:type="character" w:styleId="HTMLAcronym">
    <w:name w:val="HTML Acronym"/>
    <w:basedOn w:val="DefaultParagraphFont"/>
    <w:uiPriority w:val="99"/>
    <w:semiHidden/>
    <w:rsid w:val="00014566"/>
  </w:style>
  <w:style w:type="paragraph" w:styleId="HTMLAddress">
    <w:name w:val="HTML Address"/>
    <w:basedOn w:val="Normal"/>
    <w:link w:val="HTMLAddressChar"/>
    <w:uiPriority w:val="99"/>
    <w:semiHidden/>
    <w:rsid w:val="00014566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014566"/>
    <w:rPr>
      <w:rFonts w:eastAsia="MS Mincho"/>
      <w:i/>
      <w:iCs/>
      <w:sz w:val="24"/>
      <w:lang w:val="bg-BG" w:eastAsia="bg-BG"/>
    </w:rPr>
  </w:style>
  <w:style w:type="character" w:styleId="HTMLCite">
    <w:name w:val="HTML Cite"/>
    <w:uiPriority w:val="99"/>
    <w:semiHidden/>
    <w:rsid w:val="00014566"/>
    <w:rPr>
      <w:i/>
      <w:iCs/>
      <w:lang w:val="bg-BG" w:eastAsia="bg-BG"/>
    </w:rPr>
  </w:style>
  <w:style w:type="character" w:styleId="HTMLCode">
    <w:name w:val="HTML Code"/>
    <w:uiPriority w:val="99"/>
    <w:semiHidden/>
    <w:rsid w:val="00014566"/>
    <w:rPr>
      <w:rFonts w:ascii="Consolas" w:hAnsi="Consolas" w:cs="Consolas"/>
      <w:sz w:val="20"/>
      <w:szCs w:val="20"/>
      <w:lang w:val="bg-BG" w:eastAsia="bg-BG"/>
    </w:rPr>
  </w:style>
  <w:style w:type="character" w:styleId="HTMLDefinition">
    <w:name w:val="HTML Definition"/>
    <w:uiPriority w:val="99"/>
    <w:semiHidden/>
    <w:rsid w:val="00014566"/>
    <w:rPr>
      <w:i/>
      <w:iCs/>
      <w:lang w:val="bg-BG" w:eastAsia="bg-BG"/>
    </w:rPr>
  </w:style>
  <w:style w:type="character" w:styleId="HTMLKeyboard">
    <w:name w:val="HTML Keyboard"/>
    <w:uiPriority w:val="99"/>
    <w:semiHidden/>
    <w:rsid w:val="00014566"/>
    <w:rPr>
      <w:rFonts w:ascii="Consolas" w:hAnsi="Consolas" w:cs="Consolas"/>
      <w:sz w:val="20"/>
      <w:szCs w:val="20"/>
      <w:lang w:val="bg-BG" w:eastAsia="bg-BG"/>
    </w:rPr>
  </w:style>
  <w:style w:type="paragraph" w:styleId="HTMLPreformatted">
    <w:name w:val="HTML Preformatted"/>
    <w:basedOn w:val="Normal"/>
    <w:link w:val="HTMLPreformattedChar"/>
    <w:uiPriority w:val="99"/>
    <w:semiHidden/>
    <w:rsid w:val="00014566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014566"/>
    <w:rPr>
      <w:rFonts w:ascii="Consolas" w:eastAsia="MS Mincho" w:hAnsi="Consolas" w:cs="Consolas"/>
      <w:sz w:val="20"/>
      <w:szCs w:val="20"/>
      <w:lang w:val="bg-BG" w:eastAsia="bg-BG"/>
    </w:rPr>
  </w:style>
  <w:style w:type="character" w:styleId="HTMLSample">
    <w:name w:val="HTML Sample"/>
    <w:uiPriority w:val="99"/>
    <w:semiHidden/>
    <w:rsid w:val="00014566"/>
    <w:rPr>
      <w:rFonts w:ascii="Consolas" w:hAnsi="Consolas" w:cs="Consolas"/>
      <w:sz w:val="24"/>
      <w:szCs w:val="24"/>
      <w:lang w:val="bg-BG" w:eastAsia="bg-BG"/>
    </w:rPr>
  </w:style>
  <w:style w:type="character" w:styleId="HTMLTypewriter">
    <w:name w:val="HTML Typewriter"/>
    <w:uiPriority w:val="99"/>
    <w:semiHidden/>
    <w:rsid w:val="00014566"/>
    <w:rPr>
      <w:rFonts w:ascii="Consolas" w:hAnsi="Consolas" w:cs="Consolas"/>
      <w:sz w:val="20"/>
      <w:szCs w:val="20"/>
      <w:lang w:val="bg-BG" w:eastAsia="bg-BG"/>
    </w:rPr>
  </w:style>
  <w:style w:type="character" w:styleId="HTMLVariable">
    <w:name w:val="HTML Variable"/>
    <w:uiPriority w:val="99"/>
    <w:semiHidden/>
    <w:rsid w:val="00014566"/>
    <w:rPr>
      <w:i/>
      <w:iCs/>
      <w:lang w:val="bg-BG" w:eastAsia="bg-BG"/>
    </w:rPr>
  </w:style>
  <w:style w:type="paragraph" w:styleId="Index1">
    <w:name w:val="index 1"/>
    <w:basedOn w:val="Normal"/>
    <w:next w:val="Normal"/>
    <w:autoRedefine/>
    <w:uiPriority w:val="99"/>
    <w:semiHidden/>
    <w:rsid w:val="00014566"/>
    <w:pPr>
      <w:ind w:left="240" w:hanging="240"/>
    </w:pPr>
  </w:style>
  <w:style w:type="paragraph" w:styleId="Index2">
    <w:name w:val="index 2"/>
    <w:basedOn w:val="Normal"/>
    <w:next w:val="Normal"/>
    <w:autoRedefine/>
    <w:uiPriority w:val="99"/>
    <w:semiHidden/>
    <w:rsid w:val="00014566"/>
    <w:pPr>
      <w:ind w:left="480" w:hanging="240"/>
    </w:pPr>
  </w:style>
  <w:style w:type="paragraph" w:styleId="Index3">
    <w:name w:val="index 3"/>
    <w:basedOn w:val="Normal"/>
    <w:next w:val="Normal"/>
    <w:autoRedefine/>
    <w:uiPriority w:val="99"/>
    <w:semiHidden/>
    <w:rsid w:val="00014566"/>
    <w:pPr>
      <w:ind w:left="720" w:hanging="240"/>
    </w:pPr>
  </w:style>
  <w:style w:type="paragraph" w:styleId="Index4">
    <w:name w:val="index 4"/>
    <w:basedOn w:val="Normal"/>
    <w:next w:val="Normal"/>
    <w:autoRedefine/>
    <w:uiPriority w:val="99"/>
    <w:semiHidden/>
    <w:rsid w:val="00014566"/>
    <w:pPr>
      <w:ind w:left="960" w:hanging="240"/>
    </w:pPr>
  </w:style>
  <w:style w:type="paragraph" w:styleId="Index5">
    <w:name w:val="index 5"/>
    <w:basedOn w:val="Normal"/>
    <w:next w:val="Normal"/>
    <w:autoRedefine/>
    <w:uiPriority w:val="99"/>
    <w:semiHidden/>
    <w:rsid w:val="00014566"/>
    <w:pPr>
      <w:ind w:left="1200" w:hanging="240"/>
    </w:pPr>
  </w:style>
  <w:style w:type="paragraph" w:styleId="Index6">
    <w:name w:val="index 6"/>
    <w:basedOn w:val="Normal"/>
    <w:next w:val="Normal"/>
    <w:autoRedefine/>
    <w:uiPriority w:val="99"/>
    <w:semiHidden/>
    <w:rsid w:val="00014566"/>
    <w:pPr>
      <w:ind w:left="1440" w:hanging="240"/>
    </w:pPr>
  </w:style>
  <w:style w:type="paragraph" w:styleId="Index7">
    <w:name w:val="index 7"/>
    <w:basedOn w:val="Normal"/>
    <w:next w:val="Normal"/>
    <w:autoRedefine/>
    <w:uiPriority w:val="99"/>
    <w:semiHidden/>
    <w:rsid w:val="00014566"/>
    <w:pPr>
      <w:ind w:left="1680" w:hanging="240"/>
    </w:pPr>
  </w:style>
  <w:style w:type="paragraph" w:styleId="Index8">
    <w:name w:val="index 8"/>
    <w:basedOn w:val="Normal"/>
    <w:next w:val="Normal"/>
    <w:autoRedefine/>
    <w:uiPriority w:val="99"/>
    <w:semiHidden/>
    <w:rsid w:val="00014566"/>
    <w:pPr>
      <w:ind w:left="1920" w:hanging="240"/>
    </w:pPr>
  </w:style>
  <w:style w:type="paragraph" w:styleId="Index9">
    <w:name w:val="index 9"/>
    <w:basedOn w:val="Normal"/>
    <w:next w:val="Normal"/>
    <w:autoRedefine/>
    <w:uiPriority w:val="99"/>
    <w:semiHidden/>
    <w:rsid w:val="00014566"/>
    <w:pPr>
      <w:ind w:left="2160" w:hanging="240"/>
    </w:pPr>
  </w:style>
  <w:style w:type="paragraph" w:styleId="IndexHeading">
    <w:name w:val="index heading"/>
    <w:basedOn w:val="Normal"/>
    <w:next w:val="Index1"/>
    <w:uiPriority w:val="99"/>
    <w:semiHidden/>
    <w:rsid w:val="00014566"/>
    <w:rPr>
      <w:rFonts w:eastAsia="MS Gothic"/>
      <w:b/>
      <w:bCs/>
    </w:rPr>
  </w:style>
  <w:style w:type="table" w:styleId="LightGrid">
    <w:name w:val="Light Grid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8" w:space="0" w:color="0072BC"/>
        <w:insideV w:val="single" w:sz="8" w:space="0" w:color="0072BC"/>
      </w:tblBorders>
    </w:tblPr>
    <w:tblStylePr w:type="firstRow">
      <w:pPr>
        <w:spacing w:before="0" w:after="0" w:line="240" w:lineRule="auto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0072BC"/>
          <w:left w:val="single" w:sz="8" w:space="0" w:color="0072BC"/>
          <w:bottom w:val="single" w:sz="18" w:space="0" w:color="0072BC"/>
          <w:right w:val="single" w:sz="8" w:space="0" w:color="0072BC"/>
          <w:insideH w:val="nil"/>
          <w:insideV w:val="single" w:sz="8" w:space="0" w:color="0072BC"/>
        </w:tcBorders>
      </w:tcPr>
    </w:tblStylePr>
    <w:tblStylePr w:type="lastRow">
      <w:pPr>
        <w:spacing w:before="0" w:after="0" w:line="240" w:lineRule="auto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  <w:shd w:val="clear" w:color="auto" w:fill="AFDFFF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V w:val="single" w:sz="8" w:space="0" w:color="0072BC"/>
        </w:tcBorders>
        <w:shd w:val="clear" w:color="auto" w:fill="AFDFFF"/>
      </w:tcPr>
    </w:tblStylePr>
    <w:tblStylePr w:type="band2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V w:val="single" w:sz="8" w:space="0" w:color="0072BC"/>
        </w:tcBorders>
      </w:tcPr>
    </w:tblStylePr>
  </w:style>
  <w:style w:type="table" w:styleId="LightGrid-Accent2">
    <w:name w:val="Light Grid Accent 2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C00000"/>
        <w:left w:val="single" w:sz="8" w:space="0" w:color="C00000"/>
        <w:bottom w:val="single" w:sz="8" w:space="0" w:color="C00000"/>
        <w:right w:val="single" w:sz="8" w:space="0" w:color="C00000"/>
        <w:insideH w:val="single" w:sz="8" w:space="0" w:color="C00000"/>
        <w:insideV w:val="single" w:sz="8" w:space="0" w:color="C00000"/>
      </w:tblBorders>
    </w:tblPr>
    <w:tblStylePr w:type="firstRow">
      <w:pPr>
        <w:spacing w:before="0" w:after="0" w:line="240" w:lineRule="auto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C00000"/>
          <w:left w:val="single" w:sz="8" w:space="0" w:color="C00000"/>
          <w:bottom w:val="single" w:sz="18" w:space="0" w:color="C00000"/>
          <w:right w:val="single" w:sz="8" w:space="0" w:color="C00000"/>
          <w:insideH w:val="nil"/>
          <w:insideV w:val="single" w:sz="8" w:space="0" w:color="C00000"/>
        </w:tcBorders>
      </w:tcPr>
    </w:tblStylePr>
    <w:tblStylePr w:type="lastRow">
      <w:pPr>
        <w:spacing w:before="0" w:after="0" w:line="240" w:lineRule="auto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C00000"/>
          <w:left w:val="single" w:sz="8" w:space="0" w:color="C00000"/>
          <w:bottom w:val="single" w:sz="8" w:space="0" w:color="C00000"/>
          <w:right w:val="single" w:sz="8" w:space="0" w:color="C00000"/>
          <w:insideH w:val="nil"/>
          <w:insideV w:val="single" w:sz="8" w:space="0" w:color="C00000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</w:tcBorders>
      </w:tcPr>
    </w:tblStylePr>
    <w:tblStylePr w:type="band1Vert"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</w:tcBorders>
        <w:shd w:val="clear" w:color="auto" w:fill="FFB0B0"/>
      </w:tcPr>
    </w:tblStylePr>
    <w:tblStylePr w:type="band1Horz"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  <w:insideV w:val="single" w:sz="8" w:space="0" w:color="C00000"/>
        </w:tcBorders>
        <w:shd w:val="clear" w:color="auto" w:fill="FFB0B0"/>
      </w:tcPr>
    </w:tblStylePr>
    <w:tblStylePr w:type="band2Horz"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  <w:insideV w:val="single" w:sz="8" w:space="0" w:color="C00000"/>
        </w:tcBorders>
      </w:tcPr>
    </w:tblStylePr>
  </w:style>
  <w:style w:type="table" w:styleId="LightGrid-Accent3">
    <w:name w:val="Light Grid Accent 3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  <w:insideH w:val="single" w:sz="8" w:space="0" w:color="5F5F5F"/>
        <w:insideV w:val="single" w:sz="8" w:space="0" w:color="5F5F5F"/>
      </w:tblBorders>
    </w:tblPr>
    <w:tblStylePr w:type="firstRow">
      <w:pPr>
        <w:spacing w:before="0" w:after="0" w:line="240" w:lineRule="auto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5F5F5F"/>
          <w:left w:val="single" w:sz="8" w:space="0" w:color="5F5F5F"/>
          <w:bottom w:val="single" w:sz="18" w:space="0" w:color="5F5F5F"/>
          <w:right w:val="single" w:sz="8" w:space="0" w:color="5F5F5F"/>
          <w:insideH w:val="nil"/>
          <w:insideV w:val="single" w:sz="8" w:space="0" w:color="5F5F5F"/>
        </w:tcBorders>
      </w:tcPr>
    </w:tblStylePr>
    <w:tblStylePr w:type="lastRow">
      <w:pPr>
        <w:spacing w:before="0" w:after="0" w:line="240" w:lineRule="auto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5F5F5F"/>
          <w:left w:val="single" w:sz="8" w:space="0" w:color="5F5F5F"/>
          <w:bottom w:val="single" w:sz="8" w:space="0" w:color="5F5F5F"/>
          <w:right w:val="single" w:sz="8" w:space="0" w:color="5F5F5F"/>
          <w:insideH w:val="nil"/>
          <w:insideV w:val="single" w:sz="8" w:space="0" w:color="5F5F5F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band1Vert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  <w:shd w:val="clear" w:color="auto" w:fill="D7D7D7"/>
      </w:tcPr>
    </w:tblStylePr>
    <w:tblStylePr w:type="band1Horz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  <w:insideV w:val="single" w:sz="8" w:space="0" w:color="5F5F5F"/>
        </w:tcBorders>
        <w:shd w:val="clear" w:color="auto" w:fill="D7D7D7"/>
      </w:tcPr>
    </w:tblStylePr>
    <w:tblStylePr w:type="band2Horz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  <w:insideV w:val="single" w:sz="8" w:space="0" w:color="5F5F5F"/>
        </w:tcBorders>
      </w:tcPr>
    </w:tblStylePr>
  </w:style>
  <w:style w:type="table" w:styleId="LightGrid-Accent4">
    <w:name w:val="Light Grid Accent 4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969696"/>
        <w:left w:val="single" w:sz="8" w:space="0" w:color="969696"/>
        <w:bottom w:val="single" w:sz="8" w:space="0" w:color="969696"/>
        <w:right w:val="single" w:sz="8" w:space="0" w:color="969696"/>
        <w:insideH w:val="single" w:sz="8" w:space="0" w:color="969696"/>
        <w:insideV w:val="single" w:sz="8" w:space="0" w:color="969696"/>
      </w:tblBorders>
    </w:tblPr>
    <w:tblStylePr w:type="firstRow">
      <w:pPr>
        <w:spacing w:before="0" w:after="0" w:line="240" w:lineRule="auto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969696"/>
          <w:left w:val="single" w:sz="8" w:space="0" w:color="969696"/>
          <w:bottom w:val="single" w:sz="18" w:space="0" w:color="969696"/>
          <w:right w:val="single" w:sz="8" w:space="0" w:color="969696"/>
          <w:insideH w:val="nil"/>
          <w:insideV w:val="single" w:sz="8" w:space="0" w:color="969696"/>
        </w:tcBorders>
      </w:tcPr>
    </w:tblStylePr>
    <w:tblStylePr w:type="lastRow">
      <w:pPr>
        <w:spacing w:before="0" w:after="0" w:line="240" w:lineRule="auto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969696"/>
          <w:left w:val="single" w:sz="8" w:space="0" w:color="969696"/>
          <w:bottom w:val="single" w:sz="8" w:space="0" w:color="969696"/>
          <w:right w:val="single" w:sz="8" w:space="0" w:color="969696"/>
          <w:insideH w:val="nil"/>
          <w:insideV w:val="single" w:sz="8" w:space="0" w:color="969696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</w:tcBorders>
      </w:tcPr>
    </w:tblStylePr>
    <w:tblStylePr w:type="band1Vert"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</w:tcBorders>
        <w:shd w:val="clear" w:color="auto" w:fill="E5E5E5"/>
      </w:tcPr>
    </w:tblStylePr>
    <w:tblStylePr w:type="band1Horz"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  <w:insideV w:val="single" w:sz="8" w:space="0" w:color="969696"/>
        </w:tcBorders>
        <w:shd w:val="clear" w:color="auto" w:fill="E5E5E5"/>
      </w:tcPr>
    </w:tblStylePr>
    <w:tblStylePr w:type="band2Horz"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  <w:insideV w:val="single" w:sz="8" w:space="0" w:color="969696"/>
        </w:tcBorders>
      </w:tcPr>
    </w:tblStylePr>
  </w:style>
  <w:style w:type="table" w:styleId="LightGrid-Accent5">
    <w:name w:val="Light Grid Accent 5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  <w:insideH w:val="single" w:sz="8" w:space="0" w:color="5F5F5F"/>
        <w:insideV w:val="single" w:sz="8" w:space="0" w:color="5F5F5F"/>
      </w:tblBorders>
    </w:tblPr>
    <w:tblStylePr w:type="firstRow">
      <w:pPr>
        <w:spacing w:before="0" w:after="0" w:line="240" w:lineRule="auto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5F5F5F"/>
          <w:left w:val="single" w:sz="8" w:space="0" w:color="5F5F5F"/>
          <w:bottom w:val="single" w:sz="18" w:space="0" w:color="5F5F5F"/>
          <w:right w:val="single" w:sz="8" w:space="0" w:color="5F5F5F"/>
          <w:insideH w:val="nil"/>
          <w:insideV w:val="single" w:sz="8" w:space="0" w:color="5F5F5F"/>
        </w:tcBorders>
      </w:tcPr>
    </w:tblStylePr>
    <w:tblStylePr w:type="lastRow">
      <w:pPr>
        <w:spacing w:before="0" w:after="0" w:line="240" w:lineRule="auto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5F5F5F"/>
          <w:left w:val="single" w:sz="8" w:space="0" w:color="5F5F5F"/>
          <w:bottom w:val="single" w:sz="8" w:space="0" w:color="5F5F5F"/>
          <w:right w:val="single" w:sz="8" w:space="0" w:color="5F5F5F"/>
          <w:insideH w:val="nil"/>
          <w:insideV w:val="single" w:sz="8" w:space="0" w:color="5F5F5F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band1Vert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  <w:shd w:val="clear" w:color="auto" w:fill="D7D7D7"/>
      </w:tcPr>
    </w:tblStylePr>
    <w:tblStylePr w:type="band1Horz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  <w:insideV w:val="single" w:sz="8" w:space="0" w:color="5F5F5F"/>
        </w:tcBorders>
        <w:shd w:val="clear" w:color="auto" w:fill="D7D7D7"/>
      </w:tcPr>
    </w:tblStylePr>
    <w:tblStylePr w:type="band2Horz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  <w:insideV w:val="single" w:sz="8" w:space="0" w:color="5F5F5F"/>
        </w:tcBorders>
      </w:tcPr>
    </w:tblStylePr>
  </w:style>
  <w:style w:type="table" w:styleId="LightGrid-Accent6">
    <w:name w:val="Light Grid Accent 6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D4D4D"/>
        <w:left w:val="single" w:sz="8" w:space="0" w:color="4D4D4D"/>
        <w:bottom w:val="single" w:sz="8" w:space="0" w:color="4D4D4D"/>
        <w:right w:val="single" w:sz="8" w:space="0" w:color="4D4D4D"/>
        <w:insideH w:val="single" w:sz="8" w:space="0" w:color="4D4D4D"/>
        <w:insideV w:val="single" w:sz="8" w:space="0" w:color="4D4D4D"/>
      </w:tblBorders>
    </w:tblPr>
    <w:tblStylePr w:type="firstRow">
      <w:pPr>
        <w:spacing w:before="0" w:after="0" w:line="240" w:lineRule="auto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4D4D4D"/>
          <w:left w:val="single" w:sz="8" w:space="0" w:color="4D4D4D"/>
          <w:bottom w:val="single" w:sz="18" w:space="0" w:color="4D4D4D"/>
          <w:right w:val="single" w:sz="8" w:space="0" w:color="4D4D4D"/>
          <w:insideH w:val="nil"/>
          <w:insideV w:val="single" w:sz="8" w:space="0" w:color="4D4D4D"/>
        </w:tcBorders>
      </w:tcPr>
    </w:tblStylePr>
    <w:tblStylePr w:type="lastRow">
      <w:pPr>
        <w:spacing w:before="0" w:after="0" w:line="240" w:lineRule="auto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4D4D4D"/>
          <w:left w:val="single" w:sz="8" w:space="0" w:color="4D4D4D"/>
          <w:bottom w:val="single" w:sz="8" w:space="0" w:color="4D4D4D"/>
          <w:right w:val="single" w:sz="8" w:space="0" w:color="4D4D4D"/>
          <w:insideH w:val="nil"/>
          <w:insideV w:val="single" w:sz="8" w:space="0" w:color="4D4D4D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</w:tcBorders>
      </w:tcPr>
    </w:tblStylePr>
    <w:tblStylePr w:type="band1Vert"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</w:tcBorders>
        <w:shd w:val="clear" w:color="auto" w:fill="D3D3D3"/>
      </w:tcPr>
    </w:tblStylePr>
    <w:tblStylePr w:type="band1Horz"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  <w:insideV w:val="single" w:sz="8" w:space="0" w:color="4D4D4D"/>
        </w:tcBorders>
        <w:shd w:val="clear" w:color="auto" w:fill="D3D3D3"/>
      </w:tcPr>
    </w:tblStylePr>
    <w:tblStylePr w:type="band2Horz"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  <w:insideV w:val="single" w:sz="8" w:space="0" w:color="4D4D4D"/>
        </w:tcBorders>
      </w:tcPr>
    </w:tblStylePr>
  </w:style>
  <w:style w:type="table" w:styleId="LightList">
    <w:name w:val="Light List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shd w:val="clear" w:color="auto" w:fill="0072BC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</w:tcPr>
    </w:tblStylePr>
  </w:style>
  <w:style w:type="table" w:styleId="LightList-Accent2">
    <w:name w:val="Light List Accent 2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C00000"/>
        <w:left w:val="single" w:sz="8" w:space="0" w:color="C00000"/>
        <w:bottom w:val="single" w:sz="8" w:space="0" w:color="C00000"/>
        <w:right w:val="single" w:sz="8" w:space="0" w:color="C00000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shd w:val="clear" w:color="auto" w:fill="C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/>
          <w:left w:val="single" w:sz="8" w:space="0" w:color="C00000"/>
          <w:bottom w:val="single" w:sz="8" w:space="0" w:color="C00000"/>
          <w:right w:val="single" w:sz="8" w:space="0" w:color="C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</w:tcBorders>
      </w:tcPr>
    </w:tblStylePr>
    <w:tblStylePr w:type="band1Horz"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</w:tcBorders>
      </w:tcPr>
    </w:tblStylePr>
  </w:style>
  <w:style w:type="table" w:styleId="LightList-Accent3">
    <w:name w:val="Light List Accent 3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shd w:val="clear" w:color="auto" w:fill="5F5F5F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band1Horz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</w:style>
  <w:style w:type="table" w:styleId="LightList-Accent4">
    <w:name w:val="Light List Accent 4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969696"/>
        <w:left w:val="single" w:sz="8" w:space="0" w:color="969696"/>
        <w:bottom w:val="single" w:sz="8" w:space="0" w:color="969696"/>
        <w:right w:val="single" w:sz="8" w:space="0" w:color="969696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shd w:val="clear" w:color="auto" w:fill="96969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/>
          <w:left w:val="single" w:sz="8" w:space="0" w:color="969696"/>
          <w:bottom w:val="single" w:sz="8" w:space="0" w:color="969696"/>
          <w:right w:val="single" w:sz="8" w:space="0" w:color="96969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</w:tcBorders>
      </w:tcPr>
    </w:tblStylePr>
    <w:tblStylePr w:type="band1Horz"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</w:tcBorders>
      </w:tcPr>
    </w:tblStylePr>
  </w:style>
  <w:style w:type="table" w:styleId="LightList-Accent5">
    <w:name w:val="Light List Accent 5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shd w:val="clear" w:color="auto" w:fill="5F5F5F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band1Horz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</w:style>
  <w:style w:type="table" w:styleId="LightList-Accent6">
    <w:name w:val="Light List Accent 6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D4D4D"/>
        <w:left w:val="single" w:sz="8" w:space="0" w:color="4D4D4D"/>
        <w:bottom w:val="single" w:sz="8" w:space="0" w:color="4D4D4D"/>
        <w:right w:val="single" w:sz="8" w:space="0" w:color="4D4D4D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shd w:val="clear" w:color="auto" w:fill="4D4D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/>
          <w:left w:val="single" w:sz="8" w:space="0" w:color="4D4D4D"/>
          <w:bottom w:val="single" w:sz="8" w:space="0" w:color="4D4D4D"/>
          <w:right w:val="single" w:sz="8" w:space="0" w:color="4D4D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</w:tcBorders>
      </w:tcPr>
    </w:tblStylePr>
    <w:tblStylePr w:type="band1Horz"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</w:tcBorders>
      </w:tcPr>
    </w:tblStylePr>
  </w:style>
  <w:style w:type="table" w:styleId="LightShading">
    <w:name w:val="Light Shading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99"/>
    <w:semiHidden/>
    <w:rsid w:val="00014566"/>
    <w:rPr>
      <w:color w:val="00548C"/>
      <w:lang w:val="fr-FR" w:eastAsia="fr-FR"/>
    </w:rPr>
    <w:tblPr>
      <w:tblStyleRowBandSize w:val="1"/>
      <w:tblStyleColBandSize w:val="1"/>
      <w:tblBorders>
        <w:top w:val="single" w:sz="8" w:space="0" w:color="0072BC"/>
        <w:bottom w:val="single" w:sz="8" w:space="0" w:color="0072BC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/>
          <w:left w:val="nil"/>
          <w:bottom w:val="single" w:sz="8" w:space="0" w:color="0072BC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/>
          <w:left w:val="nil"/>
          <w:bottom w:val="single" w:sz="8" w:space="0" w:color="0072BC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/>
      </w:tcPr>
    </w:tblStylePr>
  </w:style>
  <w:style w:type="table" w:styleId="LightShading-Accent2">
    <w:name w:val="Light Shading Accent 2"/>
    <w:basedOn w:val="TableNormal"/>
    <w:uiPriority w:val="99"/>
    <w:semiHidden/>
    <w:rsid w:val="00014566"/>
    <w:rPr>
      <w:color w:val="8F0000"/>
      <w:lang w:val="fr-FR" w:eastAsia="fr-FR"/>
    </w:rPr>
    <w:tblPr>
      <w:tblStyleRowBandSize w:val="1"/>
      <w:tblStyleColBandSize w:val="1"/>
      <w:tblBorders>
        <w:top w:val="single" w:sz="8" w:space="0" w:color="C00000"/>
        <w:bottom w:val="single" w:sz="8" w:space="0" w:color="C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/>
          <w:left w:val="nil"/>
          <w:bottom w:val="single" w:sz="8" w:space="0" w:color="C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/>
          <w:left w:val="nil"/>
          <w:bottom w:val="single" w:sz="8" w:space="0" w:color="C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/>
      </w:tcPr>
    </w:tblStylePr>
  </w:style>
  <w:style w:type="table" w:styleId="LightShading-Accent3">
    <w:name w:val="Light Shading Accent 3"/>
    <w:basedOn w:val="TableNormal"/>
    <w:uiPriority w:val="99"/>
    <w:semiHidden/>
    <w:rsid w:val="00014566"/>
    <w:rPr>
      <w:color w:val="474747"/>
      <w:lang w:val="fr-FR" w:eastAsia="fr-FR"/>
    </w:rPr>
    <w:tblPr>
      <w:tblStyleRowBandSize w:val="1"/>
      <w:tblStyleColBandSize w:val="1"/>
      <w:tblBorders>
        <w:top w:val="single" w:sz="8" w:space="0" w:color="5F5F5F"/>
        <w:bottom w:val="single" w:sz="8" w:space="0" w:color="5F5F5F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/>
          <w:left w:val="nil"/>
          <w:bottom w:val="single" w:sz="8" w:space="0" w:color="5F5F5F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/>
          <w:left w:val="nil"/>
          <w:bottom w:val="single" w:sz="8" w:space="0" w:color="5F5F5F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</w:style>
  <w:style w:type="table" w:styleId="LightShading-Accent4">
    <w:name w:val="Light Shading Accent 4"/>
    <w:basedOn w:val="TableNormal"/>
    <w:uiPriority w:val="99"/>
    <w:semiHidden/>
    <w:rsid w:val="00014566"/>
    <w:rPr>
      <w:color w:val="707070"/>
      <w:lang w:val="fr-FR" w:eastAsia="fr-FR"/>
    </w:rPr>
    <w:tblPr>
      <w:tblStyleRowBandSize w:val="1"/>
      <w:tblStyleColBandSize w:val="1"/>
      <w:tblBorders>
        <w:top w:val="single" w:sz="8" w:space="0" w:color="969696"/>
        <w:bottom w:val="single" w:sz="8" w:space="0" w:color="96969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/>
          <w:left w:val="nil"/>
          <w:bottom w:val="single" w:sz="8" w:space="0" w:color="96969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/>
          <w:left w:val="nil"/>
          <w:bottom w:val="single" w:sz="8" w:space="0" w:color="96969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/>
      </w:tcPr>
    </w:tblStylePr>
  </w:style>
  <w:style w:type="table" w:styleId="LightShading-Accent5">
    <w:name w:val="Light Shading Accent 5"/>
    <w:basedOn w:val="TableNormal"/>
    <w:uiPriority w:val="99"/>
    <w:semiHidden/>
    <w:rsid w:val="00014566"/>
    <w:rPr>
      <w:color w:val="474747"/>
      <w:lang w:val="fr-FR" w:eastAsia="fr-FR"/>
    </w:rPr>
    <w:tblPr>
      <w:tblStyleRowBandSize w:val="1"/>
      <w:tblStyleColBandSize w:val="1"/>
      <w:tblBorders>
        <w:top w:val="single" w:sz="8" w:space="0" w:color="5F5F5F"/>
        <w:bottom w:val="single" w:sz="8" w:space="0" w:color="5F5F5F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/>
          <w:left w:val="nil"/>
          <w:bottom w:val="single" w:sz="8" w:space="0" w:color="5F5F5F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/>
          <w:left w:val="nil"/>
          <w:bottom w:val="single" w:sz="8" w:space="0" w:color="5F5F5F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</w:style>
  <w:style w:type="table" w:styleId="LightShading-Accent6">
    <w:name w:val="Light Shading Accent 6"/>
    <w:basedOn w:val="TableNormal"/>
    <w:uiPriority w:val="99"/>
    <w:semiHidden/>
    <w:rsid w:val="00014566"/>
    <w:rPr>
      <w:color w:val="393939"/>
      <w:lang w:val="fr-FR" w:eastAsia="fr-FR"/>
    </w:rPr>
    <w:tblPr>
      <w:tblStyleRowBandSize w:val="1"/>
      <w:tblStyleColBandSize w:val="1"/>
      <w:tblBorders>
        <w:top w:val="single" w:sz="8" w:space="0" w:color="4D4D4D"/>
        <w:bottom w:val="single" w:sz="8" w:space="0" w:color="4D4D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/>
          <w:left w:val="nil"/>
          <w:bottom w:val="single" w:sz="8" w:space="0" w:color="4D4D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/>
          <w:left w:val="nil"/>
          <w:bottom w:val="single" w:sz="8" w:space="0" w:color="4D4D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/>
      </w:tcPr>
    </w:tblStylePr>
  </w:style>
  <w:style w:type="character" w:styleId="LineNumber">
    <w:name w:val="line number"/>
    <w:basedOn w:val="DefaultParagraphFont"/>
    <w:uiPriority w:val="99"/>
    <w:semiHidden/>
    <w:rsid w:val="00014566"/>
  </w:style>
  <w:style w:type="paragraph" w:styleId="List">
    <w:name w:val="List"/>
    <w:basedOn w:val="Normal"/>
    <w:uiPriority w:val="99"/>
    <w:semiHidden/>
    <w:rsid w:val="00014566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rsid w:val="00014566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rsid w:val="00014566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rsid w:val="00014566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rsid w:val="00014566"/>
    <w:pPr>
      <w:ind w:left="1415" w:hanging="283"/>
      <w:contextualSpacing/>
    </w:pPr>
  </w:style>
  <w:style w:type="paragraph" w:styleId="ListBullet2">
    <w:name w:val="List Bullet 2"/>
    <w:basedOn w:val="Normal"/>
    <w:uiPriority w:val="99"/>
    <w:semiHidden/>
    <w:rsid w:val="00014566"/>
    <w:pPr>
      <w:numPr>
        <w:numId w:val="5"/>
      </w:numPr>
      <w:contextualSpacing/>
    </w:pPr>
  </w:style>
  <w:style w:type="paragraph" w:styleId="ListBullet3">
    <w:name w:val="List Bullet 3"/>
    <w:basedOn w:val="Normal"/>
    <w:uiPriority w:val="99"/>
    <w:semiHidden/>
    <w:rsid w:val="00014566"/>
    <w:pPr>
      <w:numPr>
        <w:numId w:val="6"/>
      </w:numPr>
      <w:contextualSpacing/>
    </w:pPr>
  </w:style>
  <w:style w:type="paragraph" w:styleId="ListBullet4">
    <w:name w:val="List Bullet 4"/>
    <w:basedOn w:val="Normal"/>
    <w:uiPriority w:val="99"/>
    <w:semiHidden/>
    <w:rsid w:val="00014566"/>
    <w:pPr>
      <w:numPr>
        <w:numId w:val="7"/>
      </w:numPr>
      <w:contextualSpacing/>
    </w:pPr>
  </w:style>
  <w:style w:type="paragraph" w:styleId="ListBullet5">
    <w:name w:val="List Bullet 5"/>
    <w:basedOn w:val="Normal"/>
    <w:uiPriority w:val="99"/>
    <w:semiHidden/>
    <w:rsid w:val="00014566"/>
    <w:pPr>
      <w:numPr>
        <w:numId w:val="8"/>
      </w:numPr>
      <w:contextualSpacing/>
    </w:pPr>
  </w:style>
  <w:style w:type="paragraph" w:styleId="ListContinue">
    <w:name w:val="List Continue"/>
    <w:basedOn w:val="Normal"/>
    <w:uiPriority w:val="99"/>
    <w:semiHidden/>
    <w:rsid w:val="00014566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rsid w:val="00014566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rsid w:val="00014566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rsid w:val="00014566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rsid w:val="00014566"/>
    <w:pPr>
      <w:spacing w:after="120"/>
      <w:ind w:left="1415"/>
      <w:contextualSpacing/>
    </w:pPr>
  </w:style>
  <w:style w:type="paragraph" w:styleId="ListNumber">
    <w:name w:val="List Number"/>
    <w:basedOn w:val="Normal"/>
    <w:uiPriority w:val="99"/>
    <w:semiHidden/>
    <w:rsid w:val="00014566"/>
    <w:pPr>
      <w:numPr>
        <w:numId w:val="9"/>
      </w:numPr>
      <w:contextualSpacing/>
    </w:pPr>
  </w:style>
  <w:style w:type="paragraph" w:styleId="ListNumber2">
    <w:name w:val="List Number 2"/>
    <w:basedOn w:val="Normal"/>
    <w:uiPriority w:val="99"/>
    <w:semiHidden/>
    <w:rsid w:val="00014566"/>
    <w:pPr>
      <w:numPr>
        <w:numId w:val="10"/>
      </w:numPr>
      <w:contextualSpacing/>
    </w:pPr>
  </w:style>
  <w:style w:type="paragraph" w:styleId="ListNumber3">
    <w:name w:val="List Number 3"/>
    <w:basedOn w:val="Normal"/>
    <w:uiPriority w:val="99"/>
    <w:semiHidden/>
    <w:rsid w:val="00014566"/>
    <w:pPr>
      <w:numPr>
        <w:numId w:val="11"/>
      </w:numPr>
      <w:contextualSpacing/>
    </w:pPr>
  </w:style>
  <w:style w:type="paragraph" w:styleId="ListNumber4">
    <w:name w:val="List Number 4"/>
    <w:basedOn w:val="Normal"/>
    <w:uiPriority w:val="99"/>
    <w:semiHidden/>
    <w:rsid w:val="00014566"/>
    <w:pPr>
      <w:numPr>
        <w:numId w:val="12"/>
      </w:numPr>
      <w:contextualSpacing/>
    </w:pPr>
  </w:style>
  <w:style w:type="paragraph" w:styleId="ListNumber5">
    <w:name w:val="List Number 5"/>
    <w:basedOn w:val="Normal"/>
    <w:uiPriority w:val="99"/>
    <w:semiHidden/>
    <w:rsid w:val="00014566"/>
    <w:pPr>
      <w:numPr>
        <w:numId w:val="13"/>
      </w:numPr>
      <w:contextualSpacing/>
    </w:pPr>
  </w:style>
  <w:style w:type="paragraph" w:styleId="MacroText">
    <w:name w:val="macro"/>
    <w:link w:val="MacroTextChar"/>
    <w:uiPriority w:val="99"/>
    <w:semiHidden/>
    <w:rsid w:val="0001456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uppressAutoHyphens/>
    </w:pPr>
    <w:rPr>
      <w:rFonts w:ascii="Consolas" w:hAnsi="Consolas" w:cs="Consolas"/>
      <w:lang w:val="bg-BG" w:eastAsia="bg-BG"/>
    </w:rPr>
  </w:style>
  <w:style w:type="character" w:customStyle="1" w:styleId="MacroTextChar">
    <w:name w:val="Macro Text Char"/>
    <w:link w:val="MacroText"/>
    <w:uiPriority w:val="99"/>
    <w:semiHidden/>
    <w:rsid w:val="00014566"/>
    <w:rPr>
      <w:rFonts w:ascii="Consolas" w:hAnsi="Consolas" w:cs="Consolas"/>
      <w:sz w:val="20"/>
      <w:szCs w:val="20"/>
      <w:lang w:val="bg-BG" w:eastAsia="bg-BG"/>
    </w:rPr>
  </w:style>
  <w:style w:type="table" w:styleId="MediumGrid1">
    <w:name w:val="Medium Grid 1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D9FFF"/>
        <w:left w:val="single" w:sz="8" w:space="0" w:color="0D9FFF"/>
        <w:bottom w:val="single" w:sz="8" w:space="0" w:color="0D9FFF"/>
        <w:right w:val="single" w:sz="8" w:space="0" w:color="0D9FFF"/>
        <w:insideH w:val="single" w:sz="8" w:space="0" w:color="0D9FFF"/>
        <w:insideV w:val="single" w:sz="8" w:space="0" w:color="0D9FFF"/>
      </w:tblBorders>
    </w:tblPr>
    <w:tcPr>
      <w:shd w:val="clear" w:color="auto" w:fill="AFDFF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/>
      </w:tcPr>
    </w:tblStylePr>
    <w:tblStylePr w:type="band1Horz">
      <w:tblPr/>
      <w:tcPr>
        <w:shd w:val="clear" w:color="auto" w:fill="5EBFFF"/>
      </w:tcPr>
    </w:tblStylePr>
  </w:style>
  <w:style w:type="table" w:styleId="MediumGrid1-Accent2">
    <w:name w:val="Medium Grid 1 Accent 2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FF1010"/>
        <w:left w:val="single" w:sz="8" w:space="0" w:color="FF1010"/>
        <w:bottom w:val="single" w:sz="8" w:space="0" w:color="FF1010"/>
        <w:right w:val="single" w:sz="8" w:space="0" w:color="FF1010"/>
        <w:insideH w:val="single" w:sz="8" w:space="0" w:color="FF1010"/>
        <w:insideV w:val="single" w:sz="8" w:space="0" w:color="FF1010"/>
      </w:tblBorders>
    </w:tblPr>
    <w:tcPr>
      <w:shd w:val="clear" w:color="auto" w:fill="FFB0B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/>
      </w:tcPr>
    </w:tblStylePr>
    <w:tblStylePr w:type="band1Horz">
      <w:tblPr/>
      <w:tcPr>
        <w:shd w:val="clear" w:color="auto" w:fill="FF6060"/>
      </w:tcPr>
    </w:tblStylePr>
  </w:style>
  <w:style w:type="table" w:styleId="MediumGrid1-Accent3">
    <w:name w:val="Medium Grid 1 Accent 3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/>
        <w:left w:val="single" w:sz="8" w:space="0" w:color="878787"/>
        <w:bottom w:val="single" w:sz="8" w:space="0" w:color="878787"/>
        <w:right w:val="single" w:sz="8" w:space="0" w:color="878787"/>
        <w:insideH w:val="single" w:sz="8" w:space="0" w:color="878787"/>
        <w:insideV w:val="single" w:sz="8" w:space="0" w:color="878787"/>
      </w:tblBorders>
    </w:tblPr>
    <w:tcPr>
      <w:shd w:val="clear" w:color="auto" w:fill="D7D7D7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/>
      </w:tcPr>
    </w:tblStylePr>
    <w:tblStylePr w:type="band1Horz">
      <w:tblPr/>
      <w:tcPr>
        <w:shd w:val="clear" w:color="auto" w:fill="AFAFAF"/>
      </w:tcPr>
    </w:tblStylePr>
  </w:style>
  <w:style w:type="table" w:styleId="MediumGrid1-Accent4">
    <w:name w:val="Medium Grid 1 Accent 4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B0B0B0"/>
        <w:left w:val="single" w:sz="8" w:space="0" w:color="B0B0B0"/>
        <w:bottom w:val="single" w:sz="8" w:space="0" w:color="B0B0B0"/>
        <w:right w:val="single" w:sz="8" w:space="0" w:color="B0B0B0"/>
        <w:insideH w:val="single" w:sz="8" w:space="0" w:color="B0B0B0"/>
        <w:insideV w:val="single" w:sz="8" w:space="0" w:color="B0B0B0"/>
      </w:tblBorders>
    </w:tblPr>
    <w:tcPr>
      <w:shd w:val="clear" w:color="auto" w:fill="E5E5E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/>
      </w:tcPr>
    </w:tblStylePr>
    <w:tblStylePr w:type="band1Horz">
      <w:tblPr/>
      <w:tcPr>
        <w:shd w:val="clear" w:color="auto" w:fill="CACACA"/>
      </w:tcPr>
    </w:tblStylePr>
  </w:style>
  <w:style w:type="table" w:styleId="MediumGrid1-Accent5">
    <w:name w:val="Medium Grid 1 Accent 5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/>
        <w:left w:val="single" w:sz="8" w:space="0" w:color="878787"/>
        <w:bottom w:val="single" w:sz="8" w:space="0" w:color="878787"/>
        <w:right w:val="single" w:sz="8" w:space="0" w:color="878787"/>
        <w:insideH w:val="single" w:sz="8" w:space="0" w:color="878787"/>
        <w:insideV w:val="single" w:sz="8" w:space="0" w:color="878787"/>
      </w:tblBorders>
    </w:tblPr>
    <w:tcPr>
      <w:shd w:val="clear" w:color="auto" w:fill="D7D7D7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/>
      </w:tcPr>
    </w:tblStylePr>
    <w:tblStylePr w:type="band1Horz">
      <w:tblPr/>
      <w:tcPr>
        <w:shd w:val="clear" w:color="auto" w:fill="AFAFAF"/>
      </w:tcPr>
    </w:tblStylePr>
  </w:style>
  <w:style w:type="table" w:styleId="MediumGrid1-Accent6">
    <w:name w:val="Medium Grid 1 Accent 6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797979"/>
        <w:left w:val="single" w:sz="8" w:space="0" w:color="797979"/>
        <w:bottom w:val="single" w:sz="8" w:space="0" w:color="797979"/>
        <w:right w:val="single" w:sz="8" w:space="0" w:color="797979"/>
        <w:insideH w:val="single" w:sz="8" w:space="0" w:color="797979"/>
        <w:insideV w:val="single" w:sz="8" w:space="0" w:color="797979"/>
      </w:tblBorders>
    </w:tblPr>
    <w:tcPr>
      <w:shd w:val="clear" w:color="auto" w:fill="D3D3D3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/>
      </w:tcPr>
    </w:tblStylePr>
    <w:tblStylePr w:type="band1Horz">
      <w:tblPr/>
      <w:tcPr>
        <w:shd w:val="clear" w:color="auto" w:fill="A6A6A6"/>
      </w:tcPr>
    </w:tblStylePr>
  </w:style>
  <w:style w:type="table" w:styleId="MediumGrid2">
    <w:name w:val="Medium Grid 2"/>
    <w:basedOn w:val="TableNormal"/>
    <w:uiPriority w:val="99"/>
    <w:semiHidden/>
    <w:rsid w:val="00014566"/>
    <w:rPr>
      <w:rFonts w:eastAsia="MS Gothic"/>
      <w:color w:val="000000"/>
      <w:lang w:val="fr-FR" w:eastAsia="fr-FR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0072BC"/>
      </w:tcPr>
    </w:tblStylePr>
  </w:style>
  <w:style w:type="table" w:styleId="MediumGrid2-Accent1">
    <w:name w:val="Medium Grid 2 Accent 1"/>
    <w:basedOn w:val="TableNormal"/>
    <w:uiPriority w:val="99"/>
    <w:semiHidden/>
    <w:rsid w:val="00014566"/>
    <w:rPr>
      <w:rFonts w:eastAsia="MS Gothic"/>
      <w:color w:val="000000"/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8" w:space="0" w:color="0072BC"/>
        <w:insideV w:val="single" w:sz="8" w:space="0" w:color="0072BC"/>
      </w:tblBorders>
    </w:tblPr>
    <w:tcPr>
      <w:shd w:val="clear" w:color="auto" w:fill="AFDFFF"/>
    </w:tcPr>
    <w:tblStylePr w:type="firstRow">
      <w:rPr>
        <w:b/>
        <w:bCs/>
        <w:color w:val="000000"/>
      </w:rPr>
      <w:tblPr/>
      <w:tcPr>
        <w:shd w:val="clear" w:color="auto" w:fill="DFF2FF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/>
      </w:tcPr>
    </w:tblStylePr>
    <w:tblStylePr w:type="band1Vert">
      <w:tblPr/>
      <w:tcPr>
        <w:shd w:val="clear" w:color="auto" w:fill="5EBFFF"/>
      </w:tcPr>
    </w:tblStylePr>
    <w:tblStylePr w:type="band1Horz">
      <w:tblPr/>
      <w:tcPr>
        <w:tcBorders>
          <w:insideH w:val="single" w:sz="6" w:space="0" w:color="0072BC"/>
          <w:insideV w:val="single" w:sz="6" w:space="0" w:color="0072BC"/>
        </w:tcBorders>
        <w:shd w:val="clear" w:color="auto" w:fill="5EBFFF"/>
      </w:tcPr>
    </w:tblStylePr>
    <w:tblStylePr w:type="nwCell">
      <w:tblPr/>
      <w:tcPr>
        <w:shd w:val="clear" w:color="auto" w:fill="0072BC"/>
      </w:tcPr>
    </w:tblStylePr>
  </w:style>
  <w:style w:type="table" w:styleId="MediumGrid2-Accent2">
    <w:name w:val="Medium Grid 2 Accent 2"/>
    <w:basedOn w:val="TableNormal"/>
    <w:uiPriority w:val="99"/>
    <w:semiHidden/>
    <w:rsid w:val="00014566"/>
    <w:rPr>
      <w:rFonts w:eastAsia="MS Gothic"/>
      <w:color w:val="000000"/>
      <w:lang w:val="fr-FR" w:eastAsia="fr-FR"/>
    </w:rPr>
    <w:tblPr>
      <w:tblStyleRowBandSize w:val="1"/>
      <w:tblStyleColBandSize w:val="1"/>
      <w:tblBorders>
        <w:top w:val="single" w:sz="8" w:space="0" w:color="C00000"/>
        <w:left w:val="single" w:sz="8" w:space="0" w:color="C00000"/>
        <w:bottom w:val="single" w:sz="8" w:space="0" w:color="C00000"/>
        <w:right w:val="single" w:sz="8" w:space="0" w:color="C00000"/>
        <w:insideH w:val="single" w:sz="8" w:space="0" w:color="C00000"/>
        <w:insideV w:val="single" w:sz="8" w:space="0" w:color="C00000"/>
      </w:tblBorders>
    </w:tblPr>
    <w:tcPr>
      <w:shd w:val="clear" w:color="auto" w:fill="FFB0B0"/>
    </w:tcPr>
    <w:tblStylePr w:type="firstRow">
      <w:rPr>
        <w:b/>
        <w:bCs/>
        <w:color w:val="000000"/>
      </w:rPr>
      <w:tblPr/>
      <w:tcPr>
        <w:shd w:val="clear" w:color="auto" w:fill="FFDFDF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/>
      </w:tcPr>
    </w:tblStylePr>
    <w:tblStylePr w:type="band1Vert">
      <w:tblPr/>
      <w:tcPr>
        <w:shd w:val="clear" w:color="auto" w:fill="FF6060"/>
      </w:tcPr>
    </w:tblStylePr>
    <w:tblStylePr w:type="band1Horz">
      <w:tblPr/>
      <w:tcPr>
        <w:tcBorders>
          <w:insideH w:val="single" w:sz="6" w:space="0" w:color="C00000"/>
          <w:insideV w:val="single" w:sz="6" w:space="0" w:color="C00000"/>
        </w:tcBorders>
        <w:shd w:val="clear" w:color="auto" w:fill="FF6060"/>
      </w:tcPr>
    </w:tblStylePr>
    <w:tblStylePr w:type="nwCell">
      <w:tblPr/>
      <w:tcPr>
        <w:shd w:val="clear" w:color="auto" w:fill="0072BC"/>
      </w:tcPr>
    </w:tblStylePr>
  </w:style>
  <w:style w:type="table" w:styleId="MediumGrid2-Accent3">
    <w:name w:val="Medium Grid 2 Accent 3"/>
    <w:basedOn w:val="TableNormal"/>
    <w:uiPriority w:val="99"/>
    <w:semiHidden/>
    <w:rsid w:val="00014566"/>
    <w:rPr>
      <w:rFonts w:eastAsia="MS Gothic"/>
      <w:color w:val="000000"/>
      <w:lang w:val="fr-FR" w:eastAsia="fr-FR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  <w:insideH w:val="single" w:sz="8" w:space="0" w:color="5F5F5F"/>
        <w:insideV w:val="single" w:sz="8" w:space="0" w:color="5F5F5F"/>
      </w:tblBorders>
    </w:tblPr>
    <w:tcPr>
      <w:shd w:val="clear" w:color="auto" w:fill="D7D7D7"/>
    </w:tcPr>
    <w:tblStylePr w:type="firstRow">
      <w:rPr>
        <w:b/>
        <w:bCs/>
        <w:color w:val="000000"/>
      </w:rPr>
      <w:tblPr/>
      <w:tcPr>
        <w:shd w:val="clear" w:color="auto" w:fill="EFEFEF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/>
      </w:tcPr>
    </w:tblStylePr>
    <w:tblStylePr w:type="band1Vert">
      <w:tblPr/>
      <w:tcPr>
        <w:shd w:val="clear" w:color="auto" w:fill="AFAFAF"/>
      </w:tcPr>
    </w:tblStylePr>
    <w:tblStylePr w:type="band1Horz">
      <w:tblPr/>
      <w:tcPr>
        <w:tcBorders>
          <w:insideH w:val="single" w:sz="6" w:space="0" w:color="5F5F5F"/>
          <w:insideV w:val="single" w:sz="6" w:space="0" w:color="5F5F5F"/>
        </w:tcBorders>
        <w:shd w:val="clear" w:color="auto" w:fill="AFAFAF"/>
      </w:tcPr>
    </w:tblStylePr>
    <w:tblStylePr w:type="nwCell">
      <w:tblPr/>
      <w:tcPr>
        <w:shd w:val="clear" w:color="auto" w:fill="0072BC"/>
      </w:tcPr>
    </w:tblStylePr>
  </w:style>
  <w:style w:type="table" w:styleId="MediumGrid2-Accent4">
    <w:name w:val="Medium Grid 2 Accent 4"/>
    <w:basedOn w:val="TableNormal"/>
    <w:uiPriority w:val="99"/>
    <w:semiHidden/>
    <w:rsid w:val="00014566"/>
    <w:rPr>
      <w:rFonts w:eastAsia="MS Gothic"/>
      <w:color w:val="000000"/>
      <w:lang w:val="fr-FR" w:eastAsia="fr-FR"/>
    </w:rPr>
    <w:tblPr>
      <w:tblStyleRowBandSize w:val="1"/>
      <w:tblStyleColBandSize w:val="1"/>
      <w:tblBorders>
        <w:top w:val="single" w:sz="8" w:space="0" w:color="969696"/>
        <w:left w:val="single" w:sz="8" w:space="0" w:color="969696"/>
        <w:bottom w:val="single" w:sz="8" w:space="0" w:color="969696"/>
        <w:right w:val="single" w:sz="8" w:space="0" w:color="969696"/>
        <w:insideH w:val="single" w:sz="8" w:space="0" w:color="969696"/>
        <w:insideV w:val="single" w:sz="8" w:space="0" w:color="969696"/>
      </w:tblBorders>
    </w:tblPr>
    <w:tcPr>
      <w:shd w:val="clear" w:color="auto" w:fill="E5E5E5"/>
    </w:tcPr>
    <w:tblStylePr w:type="firstRow">
      <w:rPr>
        <w:b/>
        <w:bCs/>
        <w:color w:val="000000"/>
      </w:rPr>
      <w:tblPr/>
      <w:tcPr>
        <w:shd w:val="clear" w:color="auto" w:fill="F4F4F4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/>
      </w:tcPr>
    </w:tblStylePr>
    <w:tblStylePr w:type="band1Vert">
      <w:tblPr/>
      <w:tcPr>
        <w:shd w:val="clear" w:color="auto" w:fill="CACACA"/>
      </w:tcPr>
    </w:tblStylePr>
    <w:tblStylePr w:type="band1Horz">
      <w:tblPr/>
      <w:tcPr>
        <w:tcBorders>
          <w:insideH w:val="single" w:sz="6" w:space="0" w:color="969696"/>
          <w:insideV w:val="single" w:sz="6" w:space="0" w:color="969696"/>
        </w:tcBorders>
        <w:shd w:val="clear" w:color="auto" w:fill="CACACA"/>
      </w:tcPr>
    </w:tblStylePr>
    <w:tblStylePr w:type="nwCell">
      <w:tblPr/>
      <w:tcPr>
        <w:shd w:val="clear" w:color="auto" w:fill="0072BC"/>
      </w:tcPr>
    </w:tblStylePr>
  </w:style>
  <w:style w:type="table" w:styleId="MediumGrid2-Accent5">
    <w:name w:val="Medium Grid 2 Accent 5"/>
    <w:basedOn w:val="TableNormal"/>
    <w:uiPriority w:val="99"/>
    <w:semiHidden/>
    <w:rsid w:val="00014566"/>
    <w:rPr>
      <w:rFonts w:eastAsia="MS Gothic"/>
      <w:color w:val="000000"/>
      <w:lang w:val="fr-FR" w:eastAsia="fr-FR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  <w:insideH w:val="single" w:sz="8" w:space="0" w:color="5F5F5F"/>
        <w:insideV w:val="single" w:sz="8" w:space="0" w:color="5F5F5F"/>
      </w:tblBorders>
    </w:tblPr>
    <w:tcPr>
      <w:shd w:val="clear" w:color="auto" w:fill="D7D7D7"/>
    </w:tcPr>
    <w:tblStylePr w:type="firstRow">
      <w:rPr>
        <w:b/>
        <w:bCs/>
        <w:color w:val="000000"/>
      </w:rPr>
      <w:tblPr/>
      <w:tcPr>
        <w:shd w:val="clear" w:color="auto" w:fill="EFEFEF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/>
      </w:tcPr>
    </w:tblStylePr>
    <w:tblStylePr w:type="band1Vert">
      <w:tblPr/>
      <w:tcPr>
        <w:shd w:val="clear" w:color="auto" w:fill="AFAFAF"/>
      </w:tcPr>
    </w:tblStylePr>
    <w:tblStylePr w:type="band1Horz">
      <w:tblPr/>
      <w:tcPr>
        <w:tcBorders>
          <w:insideH w:val="single" w:sz="6" w:space="0" w:color="5F5F5F"/>
          <w:insideV w:val="single" w:sz="6" w:space="0" w:color="5F5F5F"/>
        </w:tcBorders>
        <w:shd w:val="clear" w:color="auto" w:fill="AFAFAF"/>
      </w:tcPr>
    </w:tblStylePr>
    <w:tblStylePr w:type="nwCell">
      <w:tblPr/>
      <w:tcPr>
        <w:shd w:val="clear" w:color="auto" w:fill="0072BC"/>
      </w:tcPr>
    </w:tblStylePr>
  </w:style>
  <w:style w:type="table" w:styleId="MediumGrid2-Accent6">
    <w:name w:val="Medium Grid 2 Accent 6"/>
    <w:basedOn w:val="TableNormal"/>
    <w:uiPriority w:val="99"/>
    <w:semiHidden/>
    <w:rsid w:val="00014566"/>
    <w:rPr>
      <w:rFonts w:eastAsia="MS Gothic"/>
      <w:color w:val="000000"/>
      <w:lang w:val="fr-FR" w:eastAsia="fr-FR"/>
    </w:rPr>
    <w:tblPr>
      <w:tblStyleRowBandSize w:val="1"/>
      <w:tblStyleColBandSize w:val="1"/>
      <w:tblBorders>
        <w:top w:val="single" w:sz="8" w:space="0" w:color="4D4D4D"/>
        <w:left w:val="single" w:sz="8" w:space="0" w:color="4D4D4D"/>
        <w:bottom w:val="single" w:sz="8" w:space="0" w:color="4D4D4D"/>
        <w:right w:val="single" w:sz="8" w:space="0" w:color="4D4D4D"/>
        <w:insideH w:val="single" w:sz="8" w:space="0" w:color="4D4D4D"/>
        <w:insideV w:val="single" w:sz="8" w:space="0" w:color="4D4D4D"/>
      </w:tblBorders>
    </w:tblPr>
    <w:tcPr>
      <w:shd w:val="clear" w:color="auto" w:fill="D3D3D3"/>
    </w:tcPr>
    <w:tblStylePr w:type="firstRow">
      <w:rPr>
        <w:b/>
        <w:bCs/>
        <w:color w:val="000000"/>
      </w:rPr>
      <w:tblPr/>
      <w:tcPr>
        <w:shd w:val="clear" w:color="auto" w:fill="ED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/>
      </w:tcPr>
    </w:tblStylePr>
    <w:tblStylePr w:type="band1Vert">
      <w:tblPr/>
      <w:tcPr>
        <w:shd w:val="clear" w:color="auto" w:fill="A6A6A6"/>
      </w:tcPr>
    </w:tblStylePr>
    <w:tblStylePr w:type="band1Horz">
      <w:tblPr/>
      <w:tcPr>
        <w:tcBorders>
          <w:insideH w:val="single" w:sz="6" w:space="0" w:color="4D4D4D"/>
          <w:insideV w:val="single" w:sz="6" w:space="0" w:color="4D4D4D"/>
        </w:tcBorders>
        <w:shd w:val="clear" w:color="auto" w:fill="A6A6A6"/>
      </w:tcPr>
    </w:tblStylePr>
    <w:tblStylePr w:type="nwCell">
      <w:tblPr/>
      <w:tcPr>
        <w:shd w:val="clear" w:color="auto" w:fill="0072BC"/>
      </w:tcPr>
    </w:tblStylePr>
  </w:style>
  <w:style w:type="table" w:styleId="MediumGrid3">
    <w:name w:val="Medium Grid 3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AFDFFF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0072BC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0072BC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0072BC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5EBFFF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5EBFFF"/>
      </w:tcPr>
    </w:tblStylePr>
  </w:style>
  <w:style w:type="table" w:styleId="MediumGrid3-Accent2">
    <w:name w:val="Medium Grid 3 Accent 2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FFB0B0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C00000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C00000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C00000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C00000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FF6060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FF6060"/>
      </w:tcPr>
    </w:tblStylePr>
  </w:style>
  <w:style w:type="table" w:styleId="MediumGrid3-Accent3">
    <w:name w:val="Medium Grid 3 Accent 3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D7D7D7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5F5F5F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5F5F5F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5F5F5F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5F5F5F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AFAFAF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AFAFAF"/>
      </w:tcPr>
    </w:tblStylePr>
  </w:style>
  <w:style w:type="table" w:styleId="MediumGrid3-Accent4">
    <w:name w:val="Medium Grid 3 Accent 4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E5E5E5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969696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969696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969696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969696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CACACA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CACACA"/>
      </w:tcPr>
    </w:tblStylePr>
  </w:style>
  <w:style w:type="table" w:styleId="MediumGrid3-Accent5">
    <w:name w:val="Medium Grid 3 Accent 5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D7D7D7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5F5F5F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5F5F5F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5F5F5F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5F5F5F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AFAFAF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AFAFAF"/>
      </w:tcPr>
    </w:tblStylePr>
  </w:style>
  <w:style w:type="table" w:styleId="MediumGrid3-Accent6">
    <w:name w:val="Medium Grid 3 Accent 6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D3D3D3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4D4D4D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4D4D4D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4D4D4D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4D4D4D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A6A6A6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A6A6A6"/>
      </w:tcPr>
    </w:tblStylePr>
  </w:style>
  <w:style w:type="table" w:styleId="MediumList1">
    <w:name w:val="Medium List 1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0072BC"/>
        <w:bottom w:val="single" w:sz="8" w:space="0" w:color="0072BC"/>
      </w:tblBorders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0072BC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0072BC"/>
          <w:bottom w:val="single" w:sz="8" w:space="0" w:color="0072BC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/>
          <w:bottom w:val="single" w:sz="8" w:space="0" w:color="0072BC"/>
        </w:tcBorders>
      </w:tcPr>
    </w:tblStylePr>
    <w:tblStylePr w:type="band1Vert">
      <w:tblPr/>
      <w:tcPr>
        <w:shd w:val="clear" w:color="auto" w:fill="AFDFFF"/>
      </w:tcPr>
    </w:tblStylePr>
    <w:tblStylePr w:type="band1Horz">
      <w:tblPr/>
      <w:tcPr>
        <w:shd w:val="clear" w:color="auto" w:fill="AFDFFF"/>
      </w:tcPr>
    </w:tblStylePr>
  </w:style>
  <w:style w:type="table" w:styleId="MediumList1-Accent2">
    <w:name w:val="Medium List 1 Accent 2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C00000"/>
        <w:bottom w:val="single" w:sz="8" w:space="0" w:color="C00000"/>
      </w:tblBorders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C00000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C00000"/>
          <w:bottom w:val="single" w:sz="8" w:space="0" w:color="C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/>
          <w:bottom w:val="single" w:sz="8" w:space="0" w:color="C00000"/>
        </w:tcBorders>
      </w:tcPr>
    </w:tblStylePr>
    <w:tblStylePr w:type="band1Vert">
      <w:tblPr/>
      <w:tcPr>
        <w:shd w:val="clear" w:color="auto" w:fill="FFB0B0"/>
      </w:tcPr>
    </w:tblStylePr>
    <w:tblStylePr w:type="band1Horz">
      <w:tblPr/>
      <w:tcPr>
        <w:shd w:val="clear" w:color="auto" w:fill="FFB0B0"/>
      </w:tcPr>
    </w:tblStylePr>
  </w:style>
  <w:style w:type="table" w:styleId="MediumList1-Accent3">
    <w:name w:val="Medium List 1 Accent 3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5F5F5F"/>
        <w:bottom w:val="single" w:sz="8" w:space="0" w:color="5F5F5F"/>
      </w:tblBorders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5F5F5F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5F5F5F"/>
          <w:bottom w:val="single" w:sz="8" w:space="0" w:color="5F5F5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/>
          <w:bottom w:val="single" w:sz="8" w:space="0" w:color="5F5F5F"/>
        </w:tcBorders>
      </w:tcPr>
    </w:tblStylePr>
    <w:tblStylePr w:type="band1Vert">
      <w:tblPr/>
      <w:tcPr>
        <w:shd w:val="clear" w:color="auto" w:fill="D7D7D7"/>
      </w:tcPr>
    </w:tblStylePr>
    <w:tblStylePr w:type="band1Horz">
      <w:tblPr/>
      <w:tcPr>
        <w:shd w:val="clear" w:color="auto" w:fill="D7D7D7"/>
      </w:tcPr>
    </w:tblStylePr>
  </w:style>
  <w:style w:type="table" w:styleId="MediumList1-Accent4">
    <w:name w:val="Medium List 1 Accent 4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969696"/>
        <w:bottom w:val="single" w:sz="8" w:space="0" w:color="969696"/>
      </w:tblBorders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969696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969696"/>
          <w:bottom w:val="single" w:sz="8" w:space="0" w:color="96969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/>
          <w:bottom w:val="single" w:sz="8" w:space="0" w:color="969696"/>
        </w:tcBorders>
      </w:tcPr>
    </w:tblStylePr>
    <w:tblStylePr w:type="band1Vert">
      <w:tblPr/>
      <w:tcPr>
        <w:shd w:val="clear" w:color="auto" w:fill="E5E5E5"/>
      </w:tcPr>
    </w:tblStylePr>
    <w:tblStylePr w:type="band1Horz">
      <w:tblPr/>
      <w:tcPr>
        <w:shd w:val="clear" w:color="auto" w:fill="E5E5E5"/>
      </w:tcPr>
    </w:tblStylePr>
  </w:style>
  <w:style w:type="table" w:styleId="MediumList1-Accent5">
    <w:name w:val="Medium List 1 Accent 5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5F5F5F"/>
        <w:bottom w:val="single" w:sz="8" w:space="0" w:color="5F5F5F"/>
      </w:tblBorders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5F5F5F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5F5F5F"/>
          <w:bottom w:val="single" w:sz="8" w:space="0" w:color="5F5F5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/>
          <w:bottom w:val="single" w:sz="8" w:space="0" w:color="5F5F5F"/>
        </w:tcBorders>
      </w:tcPr>
    </w:tblStylePr>
    <w:tblStylePr w:type="band1Vert">
      <w:tblPr/>
      <w:tcPr>
        <w:shd w:val="clear" w:color="auto" w:fill="D7D7D7"/>
      </w:tcPr>
    </w:tblStylePr>
    <w:tblStylePr w:type="band1Horz">
      <w:tblPr/>
      <w:tcPr>
        <w:shd w:val="clear" w:color="auto" w:fill="D7D7D7"/>
      </w:tcPr>
    </w:tblStylePr>
  </w:style>
  <w:style w:type="table" w:styleId="MediumList1-Accent6">
    <w:name w:val="Medium List 1 Accent 6"/>
    <w:basedOn w:val="TableNormal"/>
    <w:uiPriority w:val="99"/>
    <w:semiHidden/>
    <w:rsid w:val="00014566"/>
    <w:rPr>
      <w:color w:val="000000"/>
      <w:lang w:val="fr-FR" w:eastAsia="fr-FR"/>
    </w:rPr>
    <w:tblPr>
      <w:tblStyleRowBandSize w:val="1"/>
      <w:tblStyleColBandSize w:val="1"/>
      <w:tblBorders>
        <w:top w:val="single" w:sz="8" w:space="0" w:color="4D4D4D"/>
        <w:bottom w:val="single" w:sz="8" w:space="0" w:color="4D4D4D"/>
      </w:tblBorders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4D4D4D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4D4D4D"/>
          <w:bottom w:val="single" w:sz="8" w:space="0" w:color="4D4D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/>
          <w:bottom w:val="single" w:sz="8" w:space="0" w:color="4D4D4D"/>
        </w:tcBorders>
      </w:tcPr>
    </w:tblStylePr>
    <w:tblStylePr w:type="band1Vert">
      <w:tblPr/>
      <w:tcPr>
        <w:shd w:val="clear" w:color="auto" w:fill="D3D3D3"/>
      </w:tcPr>
    </w:tblStylePr>
    <w:tblStylePr w:type="band1Horz">
      <w:tblPr/>
      <w:tcPr>
        <w:shd w:val="clear" w:color="auto" w:fill="D3D3D3"/>
      </w:tcPr>
    </w:tblStylePr>
  </w:style>
  <w:style w:type="table" w:styleId="MediumList2">
    <w:name w:val="Medium List 2"/>
    <w:basedOn w:val="TableNormal"/>
    <w:uiPriority w:val="99"/>
    <w:semiHidden/>
    <w:rsid w:val="00014566"/>
    <w:rPr>
      <w:rFonts w:eastAsia="MS Gothic"/>
      <w:color w:val="000000"/>
      <w:lang w:val="fr-FR" w:eastAsia="fr-FR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99"/>
    <w:semiHidden/>
    <w:rsid w:val="00014566"/>
    <w:rPr>
      <w:rFonts w:eastAsia="MS Gothic"/>
      <w:color w:val="000000"/>
      <w:lang w:val="fr-FR" w:eastAsia="fr-FR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0072BC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0072BC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99"/>
    <w:semiHidden/>
    <w:rsid w:val="00014566"/>
    <w:rPr>
      <w:rFonts w:eastAsia="MS Gothic"/>
      <w:color w:val="000000"/>
      <w:lang w:val="fr-FR" w:eastAsia="fr-FR"/>
    </w:rPr>
    <w:tblPr>
      <w:tblStyleRowBandSize w:val="1"/>
      <w:tblStyleColBandSize w:val="1"/>
      <w:tblBorders>
        <w:top w:val="single" w:sz="8" w:space="0" w:color="C00000"/>
        <w:left w:val="single" w:sz="8" w:space="0" w:color="C00000"/>
        <w:bottom w:val="single" w:sz="8" w:space="0" w:color="C00000"/>
        <w:right w:val="single" w:sz="8" w:space="0" w:color="C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C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C00000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99"/>
    <w:semiHidden/>
    <w:rsid w:val="00014566"/>
    <w:rPr>
      <w:rFonts w:eastAsia="MS Gothic"/>
      <w:color w:val="000000"/>
      <w:lang w:val="fr-FR" w:eastAsia="fr-FR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5F5F5F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5F5F5F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99"/>
    <w:semiHidden/>
    <w:rsid w:val="00014566"/>
    <w:rPr>
      <w:rFonts w:eastAsia="MS Gothic"/>
      <w:color w:val="000000"/>
      <w:lang w:val="fr-FR" w:eastAsia="fr-FR"/>
    </w:rPr>
    <w:tblPr>
      <w:tblStyleRowBandSize w:val="1"/>
      <w:tblStyleColBandSize w:val="1"/>
      <w:tblBorders>
        <w:top w:val="single" w:sz="8" w:space="0" w:color="969696"/>
        <w:left w:val="single" w:sz="8" w:space="0" w:color="969696"/>
        <w:bottom w:val="single" w:sz="8" w:space="0" w:color="969696"/>
        <w:right w:val="single" w:sz="8" w:space="0" w:color="96969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969696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969696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99"/>
    <w:semiHidden/>
    <w:rsid w:val="00014566"/>
    <w:rPr>
      <w:rFonts w:eastAsia="MS Gothic"/>
      <w:color w:val="000000"/>
      <w:lang w:val="fr-FR" w:eastAsia="fr-FR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5F5F5F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5F5F5F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99"/>
    <w:semiHidden/>
    <w:rsid w:val="00014566"/>
    <w:rPr>
      <w:rFonts w:eastAsia="MS Gothic"/>
      <w:color w:val="000000"/>
      <w:lang w:val="fr-FR" w:eastAsia="fr-FR"/>
    </w:rPr>
    <w:tblPr>
      <w:tblStyleRowBandSize w:val="1"/>
      <w:tblStyleColBandSize w:val="1"/>
      <w:tblBorders>
        <w:top w:val="single" w:sz="8" w:space="0" w:color="4D4D4D"/>
        <w:left w:val="single" w:sz="8" w:space="0" w:color="4D4D4D"/>
        <w:bottom w:val="single" w:sz="8" w:space="0" w:color="4D4D4D"/>
        <w:right w:val="single" w:sz="8" w:space="0" w:color="4D4D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4D4D4D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4D4D4D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D9FFF"/>
        <w:left w:val="single" w:sz="8" w:space="0" w:color="0D9FFF"/>
        <w:bottom w:val="single" w:sz="8" w:space="0" w:color="0D9FFF"/>
        <w:right w:val="single" w:sz="8" w:space="0" w:color="0D9FFF"/>
        <w:insideH w:val="single" w:sz="8" w:space="0" w:color="0D9FFF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8" w:space="0" w:color="0D9FFF"/>
          <w:left w:val="single" w:sz="8" w:space="0" w:color="0D9FFF"/>
          <w:bottom w:val="single" w:sz="8" w:space="0" w:color="0D9FFF"/>
          <w:right w:val="single" w:sz="8" w:space="0" w:color="0D9FFF"/>
          <w:insideH w:val="nil"/>
          <w:insideV w:val="nil"/>
        </w:tcBorders>
        <w:shd w:val="clear" w:color="auto" w:fill="0072BC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/>
          <w:left w:val="single" w:sz="8" w:space="0" w:color="0D9FFF"/>
          <w:bottom w:val="single" w:sz="8" w:space="0" w:color="0D9FFF"/>
          <w:right w:val="single" w:sz="8" w:space="0" w:color="0D9FF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FF1010"/>
        <w:left w:val="single" w:sz="8" w:space="0" w:color="FF1010"/>
        <w:bottom w:val="single" w:sz="8" w:space="0" w:color="FF1010"/>
        <w:right w:val="single" w:sz="8" w:space="0" w:color="FF1010"/>
        <w:insideH w:val="single" w:sz="8" w:space="0" w:color="FF1010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8" w:space="0" w:color="FF1010"/>
          <w:left w:val="single" w:sz="8" w:space="0" w:color="FF1010"/>
          <w:bottom w:val="single" w:sz="8" w:space="0" w:color="FF1010"/>
          <w:right w:val="single" w:sz="8" w:space="0" w:color="FF1010"/>
          <w:insideH w:val="nil"/>
          <w:insideV w:val="nil"/>
        </w:tcBorders>
        <w:shd w:val="clear" w:color="auto" w:fill="C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/>
          <w:left w:val="single" w:sz="8" w:space="0" w:color="FF1010"/>
          <w:bottom w:val="single" w:sz="8" w:space="0" w:color="FF1010"/>
          <w:right w:val="single" w:sz="8" w:space="0" w:color="FF101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/>
        <w:left w:val="single" w:sz="8" w:space="0" w:color="878787"/>
        <w:bottom w:val="single" w:sz="8" w:space="0" w:color="878787"/>
        <w:right w:val="single" w:sz="8" w:space="0" w:color="878787"/>
        <w:insideH w:val="single" w:sz="8" w:space="0" w:color="878787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8" w:space="0" w:color="878787"/>
          <w:left w:val="single" w:sz="8" w:space="0" w:color="878787"/>
          <w:bottom w:val="single" w:sz="8" w:space="0" w:color="878787"/>
          <w:right w:val="single" w:sz="8" w:space="0" w:color="878787"/>
          <w:insideH w:val="nil"/>
          <w:insideV w:val="nil"/>
        </w:tcBorders>
        <w:shd w:val="clear" w:color="auto" w:fill="5F5F5F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/>
          <w:left w:val="single" w:sz="8" w:space="0" w:color="878787"/>
          <w:bottom w:val="single" w:sz="8" w:space="0" w:color="878787"/>
          <w:right w:val="single" w:sz="8" w:space="0" w:color="878787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B0B0B0"/>
        <w:left w:val="single" w:sz="8" w:space="0" w:color="B0B0B0"/>
        <w:bottom w:val="single" w:sz="8" w:space="0" w:color="B0B0B0"/>
        <w:right w:val="single" w:sz="8" w:space="0" w:color="B0B0B0"/>
        <w:insideH w:val="single" w:sz="8" w:space="0" w:color="B0B0B0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8" w:space="0" w:color="B0B0B0"/>
          <w:left w:val="single" w:sz="8" w:space="0" w:color="B0B0B0"/>
          <w:bottom w:val="single" w:sz="8" w:space="0" w:color="B0B0B0"/>
          <w:right w:val="single" w:sz="8" w:space="0" w:color="B0B0B0"/>
          <w:insideH w:val="nil"/>
          <w:insideV w:val="nil"/>
        </w:tcBorders>
        <w:shd w:val="clear" w:color="auto" w:fill="96969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/>
          <w:left w:val="single" w:sz="8" w:space="0" w:color="B0B0B0"/>
          <w:bottom w:val="single" w:sz="8" w:space="0" w:color="B0B0B0"/>
          <w:right w:val="single" w:sz="8" w:space="0" w:color="B0B0B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/>
        <w:left w:val="single" w:sz="8" w:space="0" w:color="878787"/>
        <w:bottom w:val="single" w:sz="8" w:space="0" w:color="878787"/>
        <w:right w:val="single" w:sz="8" w:space="0" w:color="878787"/>
        <w:insideH w:val="single" w:sz="8" w:space="0" w:color="878787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8" w:space="0" w:color="878787"/>
          <w:left w:val="single" w:sz="8" w:space="0" w:color="878787"/>
          <w:bottom w:val="single" w:sz="8" w:space="0" w:color="878787"/>
          <w:right w:val="single" w:sz="8" w:space="0" w:color="878787"/>
          <w:insideH w:val="nil"/>
          <w:insideV w:val="nil"/>
        </w:tcBorders>
        <w:shd w:val="clear" w:color="auto" w:fill="5F5F5F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/>
          <w:left w:val="single" w:sz="8" w:space="0" w:color="878787"/>
          <w:bottom w:val="single" w:sz="8" w:space="0" w:color="878787"/>
          <w:right w:val="single" w:sz="8" w:space="0" w:color="878787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797979"/>
        <w:left w:val="single" w:sz="8" w:space="0" w:color="797979"/>
        <w:bottom w:val="single" w:sz="8" w:space="0" w:color="797979"/>
        <w:right w:val="single" w:sz="8" w:space="0" w:color="797979"/>
        <w:insideH w:val="single" w:sz="8" w:space="0" w:color="797979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8" w:space="0" w:color="797979"/>
          <w:left w:val="single" w:sz="8" w:space="0" w:color="797979"/>
          <w:bottom w:val="single" w:sz="8" w:space="0" w:color="797979"/>
          <w:right w:val="single" w:sz="8" w:space="0" w:color="797979"/>
          <w:insideH w:val="nil"/>
          <w:insideV w:val="nil"/>
        </w:tcBorders>
        <w:shd w:val="clear" w:color="auto" w:fill="4D4D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/>
          <w:left w:val="single" w:sz="8" w:space="0" w:color="797979"/>
          <w:bottom w:val="single" w:sz="8" w:space="0" w:color="797979"/>
          <w:right w:val="single" w:sz="8" w:space="0" w:color="7979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rsid w:val="0001456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eastAsia="MS Gothic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014566"/>
    <w:rPr>
      <w:rFonts w:ascii="Times New Roman" w:eastAsia="MS Gothic" w:hAnsi="Times New Roman" w:cs="Times New Roman"/>
      <w:sz w:val="24"/>
      <w:szCs w:val="24"/>
      <w:lang w:val="bg-BG" w:eastAsia="bg-BG"/>
    </w:rPr>
  </w:style>
  <w:style w:type="paragraph" w:styleId="NormalWeb">
    <w:name w:val="Normal (Web)"/>
    <w:basedOn w:val="Normal"/>
    <w:uiPriority w:val="99"/>
    <w:semiHidden/>
    <w:rsid w:val="00014566"/>
    <w:rPr>
      <w:szCs w:val="24"/>
    </w:rPr>
  </w:style>
  <w:style w:type="paragraph" w:styleId="NormalIndent">
    <w:name w:val="Normal Indent"/>
    <w:basedOn w:val="Normal"/>
    <w:uiPriority w:val="99"/>
    <w:semiHidden/>
    <w:rsid w:val="00014566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rsid w:val="00014566"/>
  </w:style>
  <w:style w:type="character" w:customStyle="1" w:styleId="NoteHeadingChar">
    <w:name w:val="Note Heading Char"/>
    <w:link w:val="NoteHeading"/>
    <w:uiPriority w:val="99"/>
    <w:semiHidden/>
    <w:rsid w:val="00014566"/>
    <w:rPr>
      <w:rFonts w:eastAsia="MS Mincho"/>
      <w:sz w:val="24"/>
      <w:lang w:val="bg-BG" w:eastAsia="bg-BG"/>
    </w:rPr>
  </w:style>
  <w:style w:type="character" w:styleId="PlaceholderText">
    <w:name w:val="Placeholder Text"/>
    <w:uiPriority w:val="99"/>
    <w:semiHidden/>
    <w:rsid w:val="00EB346B"/>
    <w:rPr>
      <w:color w:val="000000"/>
      <w:bdr w:val="none" w:sz="0" w:space="0" w:color="auto"/>
      <w:lang w:val="bg-BG" w:eastAsia="bg-BG"/>
    </w:rPr>
  </w:style>
  <w:style w:type="paragraph" w:styleId="PlainText">
    <w:name w:val="Plain Text"/>
    <w:basedOn w:val="Normal"/>
    <w:link w:val="PlainTextChar"/>
    <w:uiPriority w:val="99"/>
    <w:semiHidden/>
    <w:rsid w:val="00014566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semiHidden/>
    <w:rsid w:val="00014566"/>
    <w:rPr>
      <w:rFonts w:ascii="Consolas" w:eastAsia="MS Mincho" w:hAnsi="Consolas" w:cs="Consolas"/>
      <w:sz w:val="21"/>
      <w:szCs w:val="21"/>
      <w:lang w:val="bg-BG" w:eastAsia="bg-BG"/>
    </w:rPr>
  </w:style>
  <w:style w:type="paragraph" w:styleId="Salutation">
    <w:name w:val="Salutation"/>
    <w:basedOn w:val="Normal"/>
    <w:next w:val="Normal"/>
    <w:link w:val="SalutationChar"/>
    <w:uiPriority w:val="99"/>
    <w:semiHidden/>
    <w:rsid w:val="00014566"/>
  </w:style>
  <w:style w:type="character" w:customStyle="1" w:styleId="SalutationChar">
    <w:name w:val="Salutation Char"/>
    <w:link w:val="Salutation"/>
    <w:uiPriority w:val="99"/>
    <w:semiHidden/>
    <w:rsid w:val="00014566"/>
    <w:rPr>
      <w:rFonts w:eastAsia="MS Mincho"/>
      <w:sz w:val="24"/>
      <w:lang w:val="bg-BG" w:eastAsia="bg-BG"/>
    </w:rPr>
  </w:style>
  <w:style w:type="paragraph" w:styleId="Signature">
    <w:name w:val="Signature"/>
    <w:basedOn w:val="Normal"/>
    <w:link w:val="SignatureChar"/>
    <w:uiPriority w:val="99"/>
    <w:semiHidden/>
    <w:rsid w:val="00014566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014566"/>
    <w:rPr>
      <w:rFonts w:eastAsia="MS Mincho"/>
      <w:sz w:val="24"/>
      <w:lang w:val="bg-BG" w:eastAsia="bg-BG"/>
    </w:rPr>
  </w:style>
  <w:style w:type="table" w:styleId="Table3Deffects1">
    <w:name w:val="Table 3D effects 1"/>
    <w:basedOn w:val="TableNormal"/>
    <w:uiPriority w:val="99"/>
    <w:semiHidden/>
    <w:rsid w:val="00014566"/>
    <w:pPr>
      <w:suppressAutoHyphens/>
    </w:pPr>
    <w:rPr>
      <w:lang w:val="fr-FR" w:eastAsia="fr-FR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rsid w:val="00014566"/>
    <w:pPr>
      <w:suppressAutoHyphens/>
    </w:pPr>
    <w:rPr>
      <w:lang w:val="fr-FR" w:eastAsia="fr-FR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rsid w:val="00014566"/>
    <w:pPr>
      <w:suppressAutoHyphens/>
    </w:pPr>
    <w:rPr>
      <w:color w:val="000080"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rsid w:val="00014566"/>
    <w:pPr>
      <w:suppressAutoHyphens/>
    </w:pPr>
    <w:rPr>
      <w:color w:val="FFFFFF"/>
      <w:lang w:val="fr-FR" w:eastAsia="fr-FR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rsid w:val="00014566"/>
    <w:pPr>
      <w:suppressAutoHyphens/>
    </w:pPr>
    <w:rPr>
      <w:b/>
      <w:bCs/>
      <w:lang w:val="fr-FR" w:eastAsia="fr-FR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rsid w:val="00014566"/>
    <w:pPr>
      <w:suppressAutoHyphens/>
    </w:pPr>
    <w:rPr>
      <w:b/>
      <w:bCs/>
      <w:lang w:val="fr-FR"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rsid w:val="00014566"/>
    <w:pPr>
      <w:suppressAutoHyphens/>
    </w:pPr>
    <w:rPr>
      <w:b/>
      <w:bCs/>
      <w:lang w:val="fr-FR" w:eastAsia="fr-FR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rsid w:val="00014566"/>
    <w:pPr>
      <w:suppressAutoHyphens/>
    </w:pPr>
    <w:rPr>
      <w:lang w:val="fr-FR"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rsid w:val="00014566"/>
    <w:pPr>
      <w:suppressAutoHyphens/>
    </w:pPr>
    <w:rPr>
      <w:lang w:val="fr-FR" w:eastAsia="fr-FR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rsid w:val="00014566"/>
    <w:pPr>
      <w:suppressAutoHyphens/>
    </w:pPr>
    <w:rPr>
      <w:b/>
      <w:bCs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rsid w:val="00014566"/>
    <w:pPr>
      <w:suppressAutoHyphens/>
    </w:pPr>
    <w:rPr>
      <w:lang w:val="fr-FR" w:eastAsia="fr-FR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rsid w:val="00014566"/>
    <w:pPr>
      <w:ind w:left="240" w:hanging="240"/>
    </w:pPr>
  </w:style>
  <w:style w:type="paragraph" w:styleId="TableofFigures">
    <w:name w:val="table of figures"/>
    <w:basedOn w:val="Normal"/>
    <w:next w:val="Normal"/>
    <w:uiPriority w:val="99"/>
    <w:semiHidden/>
    <w:rsid w:val="00014566"/>
  </w:style>
  <w:style w:type="table" w:styleId="TableProfessional">
    <w:name w:val="Table Professional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rsid w:val="00014566"/>
    <w:pPr>
      <w:suppressAutoHyphens/>
    </w:pPr>
    <w:rPr>
      <w:lang w:val="fr-FR" w:eastAsia="fr-FR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rsid w:val="00014566"/>
    <w:pPr>
      <w:suppressAutoHyphens/>
    </w:pPr>
    <w:rPr>
      <w:lang w:val="fr-FR" w:eastAsia="fr-FR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rsid w:val="00014566"/>
    <w:pPr>
      <w:suppressAutoHyphens/>
    </w:pPr>
    <w:rPr>
      <w:lang w:val="fr-FR" w:eastAsia="fr-FR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rsid w:val="00014566"/>
    <w:pPr>
      <w:suppressAutoHyphens/>
    </w:pPr>
    <w:rPr>
      <w:lang w:val="fr-FR" w:eastAsia="fr-FR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rsid w:val="00014566"/>
    <w:pPr>
      <w:suppressAutoHyphens/>
    </w:pPr>
    <w:rPr>
      <w:lang w:val="fr-FR" w:eastAsia="fr-FR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C6">
    <w:name w:val="toc 6"/>
    <w:basedOn w:val="Normal"/>
    <w:next w:val="Normal"/>
    <w:autoRedefine/>
    <w:uiPriority w:val="99"/>
    <w:semiHidden/>
    <w:rsid w:val="00EB346B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TOC7">
    <w:name w:val="toc 7"/>
    <w:basedOn w:val="Normal"/>
    <w:next w:val="Normal"/>
    <w:autoRedefine/>
    <w:uiPriority w:val="99"/>
    <w:semiHidden/>
    <w:rsid w:val="00EB346B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TOC8">
    <w:name w:val="toc 8"/>
    <w:basedOn w:val="Normal"/>
    <w:next w:val="Normal"/>
    <w:autoRedefine/>
    <w:uiPriority w:val="99"/>
    <w:semiHidden/>
    <w:rsid w:val="00014566"/>
    <w:pPr>
      <w:spacing w:after="100"/>
      <w:ind w:left="1680"/>
    </w:pPr>
  </w:style>
  <w:style w:type="paragraph" w:styleId="TOC9">
    <w:name w:val="toc 9"/>
    <w:basedOn w:val="Normal"/>
    <w:next w:val="Normal"/>
    <w:autoRedefine/>
    <w:uiPriority w:val="99"/>
    <w:semiHidden/>
    <w:rsid w:val="00014566"/>
    <w:pPr>
      <w:spacing w:after="100"/>
      <w:ind w:left="1920"/>
    </w:pPr>
  </w:style>
  <w:style w:type="paragraph" w:customStyle="1" w:styleId="OpiHA0">
    <w:name w:val="Opi_H_A"/>
    <w:basedOn w:val="ECHRHeading1"/>
    <w:next w:val="OpiPara"/>
    <w:uiPriority w:val="41"/>
    <w:qFormat/>
    <w:rsid w:val="00EB346B"/>
    <w:pPr>
      <w:tabs>
        <w:tab w:val="clear" w:pos="357"/>
      </w:tabs>
      <w:outlineLvl w:val="1"/>
    </w:pPr>
    <w:rPr>
      <w:b/>
    </w:rPr>
  </w:style>
  <w:style w:type="paragraph" w:customStyle="1" w:styleId="OpiHi">
    <w:name w:val="Opi_H_i"/>
    <w:basedOn w:val="ECHRHeading4"/>
    <w:uiPriority w:val="44"/>
    <w:qFormat/>
    <w:rsid w:val="00EB346B"/>
    <w:pPr>
      <w:ind w:left="1037" w:hanging="357"/>
      <w:outlineLvl w:val="4"/>
    </w:pPr>
    <w:rPr>
      <w:b w:val="0"/>
      <w:i/>
    </w:rPr>
  </w:style>
  <w:style w:type="paragraph" w:customStyle="1" w:styleId="OpiPara">
    <w:name w:val="Opi_Para"/>
    <w:basedOn w:val="ECHRPara"/>
    <w:uiPriority w:val="46"/>
    <w:qFormat/>
    <w:rsid w:val="00EB346B"/>
  </w:style>
  <w:style w:type="paragraph" w:customStyle="1" w:styleId="OpiParaSub">
    <w:name w:val="Opi_Para_Sub"/>
    <w:basedOn w:val="JuParaSub"/>
    <w:uiPriority w:val="47"/>
    <w:qFormat/>
    <w:rsid w:val="00EB346B"/>
  </w:style>
  <w:style w:type="paragraph" w:customStyle="1" w:styleId="OpiQuot">
    <w:name w:val="Opi_Quot"/>
    <w:basedOn w:val="ECHRParaQuote"/>
    <w:uiPriority w:val="48"/>
    <w:qFormat/>
    <w:rsid w:val="00EB346B"/>
  </w:style>
  <w:style w:type="paragraph" w:customStyle="1" w:styleId="OpiQuotSub">
    <w:name w:val="Opi_Quot_Sub"/>
    <w:basedOn w:val="JuQuotSub"/>
    <w:uiPriority w:val="49"/>
    <w:qFormat/>
    <w:rsid w:val="00EB346B"/>
  </w:style>
  <w:style w:type="paragraph" w:customStyle="1" w:styleId="OpiTranslation">
    <w:name w:val="Opi_Translation"/>
    <w:basedOn w:val="Normal"/>
    <w:next w:val="OpiPara"/>
    <w:uiPriority w:val="40"/>
    <w:qFormat/>
    <w:rsid w:val="00EB346B"/>
    <w:pPr>
      <w:jc w:val="center"/>
      <w:outlineLvl w:val="0"/>
    </w:pPr>
    <w:rPr>
      <w:i/>
    </w:rPr>
  </w:style>
  <w:style w:type="character" w:customStyle="1" w:styleId="ECHRParaChar">
    <w:name w:val="ECHR_Para Char"/>
    <w:aliases w:val="Ju_Para Char"/>
    <w:link w:val="ECHRPara"/>
    <w:uiPriority w:val="12"/>
    <w:rsid w:val="00084BAB"/>
    <w:rPr>
      <w:rFonts w:eastAsia="MS Mincho"/>
      <w:sz w:val="24"/>
      <w:lang w:val="bg-BG" w:eastAsia="bg-BG"/>
    </w:rPr>
  </w:style>
  <w:style w:type="character" w:customStyle="1" w:styleId="column">
    <w:name w:val="column"/>
    <w:basedOn w:val="DefaultParagraphFont"/>
    <w:rsid w:val="00C41489"/>
  </w:style>
  <w:style w:type="paragraph" w:styleId="Revision">
    <w:name w:val="Revision"/>
    <w:hidden/>
    <w:uiPriority w:val="99"/>
    <w:semiHidden/>
    <w:rsid w:val="00700474"/>
    <w:rPr>
      <w:rFonts w:eastAsia="MS Mincho"/>
      <w:sz w:val="24"/>
      <w:szCs w:val="22"/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02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60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48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4135</Words>
  <Characters>23573</Characters>
  <Application>Microsoft Office Word</Application>
  <DocSecurity>0</DocSecurity>
  <Lines>196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27653</CharactersWithSpaces>
  <SharedDoc>false</SharedDoc>
  <HLinks>
    <vt:vector size="12" baseType="variant">
      <vt:variant>
        <vt:i4>1966087</vt:i4>
      </vt:variant>
      <vt:variant>
        <vt:i4>111</vt:i4>
      </vt:variant>
      <vt:variant>
        <vt:i4>0</vt:i4>
      </vt:variant>
      <vt:variant>
        <vt:i4>5</vt:i4>
      </vt:variant>
      <vt:variant>
        <vt:lpwstr>http://hudoc.echr.coe.int/eng</vt:lpwstr>
      </vt:variant>
      <vt:variant>
        <vt:lpwstr>{"appno":["29462/95"]}</vt:lpwstr>
      </vt:variant>
      <vt:variant>
        <vt:i4>2031627</vt:i4>
      </vt:variant>
      <vt:variant>
        <vt:i4>102</vt:i4>
      </vt:variant>
      <vt:variant>
        <vt:i4>0</vt:i4>
      </vt:variant>
      <vt:variant>
        <vt:i4>5</vt:i4>
      </vt:variant>
      <vt:variant>
        <vt:lpwstr>http://hudoc.echr.coe.int/eng</vt:lpwstr>
      </vt:variant>
      <vt:variant>
        <vt:lpwstr>{"appno":["24760/94"]}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2019-07-08T08:28:00Z</dcterms:created>
  <dcterms:modified xsi:type="dcterms:W3CDTF">2019-07-08T08:30:00Z</dcterms:modified>
  <cp:category/>
  <cp:contentStatus>Final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