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F2" w:rsidRPr="003F4F6E" w:rsidRDefault="00E80AF2" w:rsidP="00807C04">
      <w:pPr>
        <w:rPr>
          <w:rFonts w:ascii="Times New Roman" w:hAnsi="Times New Roman" w:cs="Times New Roman"/>
          <w:lang w:val="en-US"/>
        </w:rPr>
      </w:pPr>
    </w:p>
    <w:p w:rsidR="007A4070" w:rsidRPr="00807C04" w:rsidRDefault="007A4070" w:rsidP="00807C04"/>
    <w:p w:rsidR="007A4070" w:rsidRPr="00807C04" w:rsidRDefault="00E80AF2" w:rsidP="00807C04">
      <w:pPr>
        <w:pStyle w:val="DecHCase"/>
      </w:pPr>
      <w:r>
        <w:t>ЧЕТВЪРТО ОТДЕЛЕНИЕ</w:t>
      </w:r>
    </w:p>
    <w:p w:rsidR="007A4070" w:rsidRPr="00807C04" w:rsidRDefault="007A4070" w:rsidP="00807C04">
      <w:pPr>
        <w:pStyle w:val="JuTitle"/>
      </w:pPr>
      <w:r>
        <w:t>ДЕЛОТО ИЛИЕВИ И ГАНЧЕВИ срещу БЪЛГАРИЯ</w:t>
      </w:r>
    </w:p>
    <w:p w:rsidR="007A4070" w:rsidRPr="00807C04" w:rsidRDefault="004752B3" w:rsidP="00807C04">
      <w:pPr>
        <w:pStyle w:val="ECHRCoverTitle4"/>
      </w:pPr>
      <w:r>
        <w:t>(Жалби</w:t>
      </w:r>
      <w:bookmarkStart w:id="0" w:name="_GoBack"/>
      <w:bookmarkEnd w:id="0"/>
      <w:r w:rsidR="007A4070">
        <w:t xml:space="preserve"> №№ 69154/11 и 69163/11)</w:t>
      </w:r>
    </w:p>
    <w:p w:rsidR="007A4070" w:rsidRPr="00807C04" w:rsidRDefault="007A4070" w:rsidP="00807C04">
      <w:pPr>
        <w:pStyle w:val="DecHCase"/>
      </w:pPr>
    </w:p>
    <w:p w:rsidR="007A4070" w:rsidRPr="00807C04" w:rsidRDefault="007A4070" w:rsidP="00807C04">
      <w:pPr>
        <w:pStyle w:val="DecHCase"/>
      </w:pPr>
    </w:p>
    <w:p w:rsidR="007A4070" w:rsidRPr="00807C04" w:rsidRDefault="007A4070" w:rsidP="00807C04">
      <w:pPr>
        <w:pStyle w:val="DecHCase"/>
      </w:pPr>
    </w:p>
    <w:p w:rsidR="007A4070" w:rsidRPr="00807C04" w:rsidRDefault="007A4070" w:rsidP="00807C04">
      <w:pPr>
        <w:pStyle w:val="DecHCase"/>
      </w:pPr>
      <w:r>
        <w:t>РЕШЕНИЕ</w:t>
      </w:r>
      <w:r>
        <w:br/>
      </w:r>
    </w:p>
    <w:p w:rsidR="007D7398" w:rsidRPr="00807C04" w:rsidRDefault="007D7398" w:rsidP="00807C04">
      <w:pPr>
        <w:pStyle w:val="JuPara"/>
        <w:pBdr>
          <w:top w:val="single" w:sz="4" w:space="1" w:color="auto"/>
          <w:left w:val="single" w:sz="4" w:space="4" w:color="auto"/>
          <w:bottom w:val="single" w:sz="4" w:space="1" w:color="auto"/>
          <w:right w:val="single" w:sz="4" w:space="4" w:color="auto"/>
        </w:pBdr>
        <w:ind w:firstLine="0"/>
      </w:pPr>
      <w:r>
        <w:t xml:space="preserve">Член 3 • Унизително отношение • Прекомерна употреба на физическа сила от полицейски служители срещу заподозрени по време на претърсване </w:t>
      </w:r>
      <w:r w:rsidR="002F7423">
        <w:t>на техните домове</w:t>
      </w:r>
      <w:r w:rsidR="00B57D42" w:rsidRPr="00513897">
        <w:t xml:space="preserve"> </w:t>
      </w:r>
      <w:r>
        <w:t xml:space="preserve">• </w:t>
      </w:r>
      <w:r w:rsidR="00B57D42">
        <w:t>Липсва</w:t>
      </w:r>
      <w:r w:rsidRPr="00B117B2">
        <w:t xml:space="preserve"> накърняване</w:t>
      </w:r>
      <w:r w:rsidR="00B57D42">
        <w:t xml:space="preserve"> </w:t>
      </w:r>
      <w:r>
        <w:t>на достойнството на членовете на техните семейства</w:t>
      </w:r>
    </w:p>
    <w:p w:rsidR="007D7398" w:rsidRPr="00807C04" w:rsidRDefault="007D7398" w:rsidP="00807C04">
      <w:pPr>
        <w:pStyle w:val="JuPara"/>
        <w:spacing w:after="240"/>
      </w:pPr>
    </w:p>
    <w:p w:rsidR="007A4070" w:rsidRPr="00807C04" w:rsidRDefault="007A4070" w:rsidP="00807C04">
      <w:pPr>
        <w:pStyle w:val="DecHCase"/>
      </w:pPr>
      <w:r>
        <w:t>СТРАСБУРГ</w:t>
      </w:r>
    </w:p>
    <w:p w:rsidR="007A4070" w:rsidRPr="00807C04" w:rsidRDefault="00E80AF2" w:rsidP="00807C04">
      <w:pPr>
        <w:pStyle w:val="DecHCase"/>
      </w:pPr>
      <w:r>
        <w:t>8 юни 2021 г.</w:t>
      </w:r>
    </w:p>
    <w:p w:rsidR="007A4070" w:rsidRPr="00807C04" w:rsidRDefault="007A4070" w:rsidP="00807C04">
      <w:pPr>
        <w:pStyle w:val="DecHCase"/>
      </w:pPr>
    </w:p>
    <w:p w:rsidR="007D7398" w:rsidRPr="00807C04" w:rsidRDefault="007D7398" w:rsidP="00807C04">
      <w:pPr>
        <w:pStyle w:val="JuPara"/>
      </w:pPr>
    </w:p>
    <w:p w:rsidR="007D7398" w:rsidRPr="00807C04" w:rsidRDefault="007D7398" w:rsidP="00807C04">
      <w:pPr>
        <w:pStyle w:val="JuPara"/>
      </w:pPr>
    </w:p>
    <w:p w:rsidR="00516B59" w:rsidRPr="00807C04" w:rsidRDefault="007A4070" w:rsidP="00807C04">
      <w:pPr>
        <w:rPr>
          <w:rFonts w:ascii="Times New Roman" w:hAnsi="Times New Roman" w:cs="Times New Roman"/>
          <w:i/>
          <w:sz w:val="22"/>
        </w:rPr>
      </w:pPr>
      <w:r>
        <w:rPr>
          <w:i/>
          <w:sz w:val="22"/>
        </w:rPr>
        <w:t xml:space="preserve">Това решение ще стане окончателно при условията на чл. 44 § 2 от Конвенцията. Може </w:t>
      </w:r>
      <w:r w:rsidR="00B10085">
        <w:rPr>
          <w:i/>
          <w:sz w:val="22"/>
        </w:rPr>
        <w:t xml:space="preserve">да бъде предмет на </w:t>
      </w:r>
      <w:r>
        <w:rPr>
          <w:i/>
          <w:sz w:val="22"/>
        </w:rPr>
        <w:t>редакционни промени</w:t>
      </w:r>
      <w:r w:rsidR="00B10085">
        <w:rPr>
          <w:i/>
          <w:sz w:val="22"/>
        </w:rPr>
        <w:t xml:space="preserve">. </w:t>
      </w:r>
    </w:p>
    <w:p w:rsidR="00516B59" w:rsidRPr="00807C04" w:rsidRDefault="00516B59" w:rsidP="00807C04">
      <w:pPr>
        <w:ind w:left="720"/>
        <w:rPr>
          <w:rFonts w:ascii="Times New Roman" w:hAnsi="Times New Roman" w:cs="Times New Roman"/>
          <w:sz w:val="22"/>
        </w:rPr>
      </w:pPr>
    </w:p>
    <w:p w:rsidR="007D7398" w:rsidRPr="00807C04" w:rsidRDefault="007D7398" w:rsidP="00807C04">
      <w:pPr>
        <w:ind w:left="720"/>
        <w:rPr>
          <w:rFonts w:ascii="Times New Roman" w:hAnsi="Times New Roman" w:cs="Times New Roman"/>
          <w:sz w:val="22"/>
        </w:rPr>
        <w:sectPr w:rsidR="007D7398" w:rsidRPr="00807C04"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807C04" w:rsidRDefault="004344E6" w:rsidP="00807C04">
      <w:pPr>
        <w:pStyle w:val="JuCase"/>
      </w:pPr>
      <w:r>
        <w:lastRenderedPageBreak/>
        <w:t>По делото Илиеви и Ганчеви срещу България,</w:t>
      </w:r>
    </w:p>
    <w:p w:rsidR="004344E6" w:rsidRPr="00807C04" w:rsidRDefault="004344E6" w:rsidP="00807C04">
      <w:pPr>
        <w:pStyle w:val="JuPara"/>
      </w:pPr>
      <w:r>
        <w:t>Европейският съд по правата на човека (Четвърто отделение), заседаващ в състав, състоящ се от:</w:t>
      </w:r>
    </w:p>
    <w:p w:rsidR="004344E6" w:rsidRPr="00807C04" w:rsidRDefault="00FD6FA5" w:rsidP="00807C04">
      <w:pPr>
        <w:pStyle w:val="JuJudges"/>
      </w:pPr>
      <w:r>
        <w:tab/>
      </w:r>
      <w:proofErr w:type="spellStart"/>
      <w:r>
        <w:t>Tim</w:t>
      </w:r>
      <w:proofErr w:type="spellEnd"/>
      <w:r>
        <w:t xml:space="preserve"> </w:t>
      </w:r>
      <w:proofErr w:type="spellStart"/>
      <w:r>
        <w:t>Eicke</w:t>
      </w:r>
      <w:proofErr w:type="spellEnd"/>
      <w:r>
        <w:t>,</w:t>
      </w:r>
      <w:r>
        <w:rPr>
          <w:i/>
        </w:rPr>
        <w:t xml:space="preserve"> председател,</w:t>
      </w:r>
      <w:r>
        <w:rPr>
          <w:i/>
        </w:rPr>
        <w:br/>
      </w:r>
      <w:r>
        <w:tab/>
        <w:t>Йонко Грозев,</w:t>
      </w:r>
      <w:r>
        <w:rPr>
          <w:i/>
        </w:rPr>
        <w:br/>
      </w:r>
      <w:r>
        <w:tab/>
      </w:r>
      <w:proofErr w:type="spellStart"/>
      <w:r>
        <w:t>Faris</w:t>
      </w:r>
      <w:proofErr w:type="spellEnd"/>
      <w:r>
        <w:t xml:space="preserve"> </w:t>
      </w:r>
      <w:proofErr w:type="spellStart"/>
      <w:r>
        <w:t>Vehabović</w:t>
      </w:r>
      <w:proofErr w:type="spellEnd"/>
      <w:r>
        <w:t>,</w:t>
      </w:r>
      <w:r>
        <w:rPr>
          <w:i/>
        </w:rPr>
        <w:br/>
      </w:r>
      <w:r>
        <w:tab/>
      </w:r>
      <w:proofErr w:type="spellStart"/>
      <w:r>
        <w:t>Iulia</w:t>
      </w:r>
      <w:proofErr w:type="spellEnd"/>
      <w:r>
        <w:t xml:space="preserve"> </w:t>
      </w:r>
      <w:proofErr w:type="spellStart"/>
      <w:r>
        <w:t>Antoanella</w:t>
      </w:r>
      <w:proofErr w:type="spellEnd"/>
      <w:r>
        <w:t xml:space="preserve"> </w:t>
      </w:r>
      <w:proofErr w:type="spellStart"/>
      <w:r>
        <w:t>Motoc</w:t>
      </w:r>
      <w:proofErr w:type="spellEnd"/>
      <w:r>
        <w:t>,</w:t>
      </w:r>
      <w:r>
        <w:rPr>
          <w:i/>
        </w:rPr>
        <w:br/>
      </w:r>
      <w:r>
        <w:tab/>
      </w:r>
      <w:proofErr w:type="spellStart"/>
      <w:r>
        <w:t>Armen</w:t>
      </w:r>
      <w:proofErr w:type="spellEnd"/>
      <w:r>
        <w:t xml:space="preserve"> </w:t>
      </w:r>
      <w:proofErr w:type="spellStart"/>
      <w:r>
        <w:t>Harutyunyan</w:t>
      </w:r>
      <w:proofErr w:type="spellEnd"/>
      <w:r>
        <w:t>,</w:t>
      </w:r>
      <w:r>
        <w:rPr>
          <w:i/>
        </w:rPr>
        <w:br/>
      </w:r>
      <w:r>
        <w:tab/>
      </w:r>
      <w:proofErr w:type="spellStart"/>
      <w:r>
        <w:t>Gabriele</w:t>
      </w:r>
      <w:proofErr w:type="spellEnd"/>
      <w:r>
        <w:t xml:space="preserve"> </w:t>
      </w:r>
      <w:proofErr w:type="spellStart"/>
      <w:r>
        <w:t>Kucsko-Stadlmayer</w:t>
      </w:r>
      <w:proofErr w:type="spellEnd"/>
      <w:r>
        <w:t>,</w:t>
      </w:r>
      <w:r>
        <w:rPr>
          <w:i/>
        </w:rPr>
        <w:br/>
      </w:r>
      <w:r>
        <w:tab/>
      </w:r>
      <w:proofErr w:type="spellStart"/>
      <w:r>
        <w:t>Ana</w:t>
      </w:r>
      <w:proofErr w:type="spellEnd"/>
      <w:r>
        <w:t xml:space="preserve"> Maria </w:t>
      </w:r>
      <w:proofErr w:type="spellStart"/>
      <w:r>
        <w:t>Guerra</w:t>
      </w:r>
      <w:proofErr w:type="spellEnd"/>
      <w:r>
        <w:t xml:space="preserve"> </w:t>
      </w:r>
      <w:proofErr w:type="spellStart"/>
      <w:r>
        <w:t>Martins</w:t>
      </w:r>
      <w:proofErr w:type="spellEnd"/>
      <w:r>
        <w:t>,</w:t>
      </w:r>
      <w:r>
        <w:rPr>
          <w:i/>
        </w:rPr>
        <w:t xml:space="preserve"> съдии,</w:t>
      </w:r>
      <w:r>
        <w:br/>
        <w:t xml:space="preserve">и </w:t>
      </w:r>
      <w:proofErr w:type="spellStart"/>
      <w:r>
        <w:t>Ilse</w:t>
      </w:r>
      <w:proofErr w:type="spellEnd"/>
      <w:r>
        <w:t xml:space="preserve"> </w:t>
      </w:r>
      <w:proofErr w:type="spellStart"/>
      <w:r>
        <w:t>Freiwirth</w:t>
      </w:r>
      <w:proofErr w:type="spellEnd"/>
      <w:r>
        <w:t xml:space="preserve">, </w:t>
      </w:r>
      <w:bookmarkStart w:id="1" w:name="_Hlk51854214"/>
      <w:r>
        <w:rPr>
          <w:i/>
          <w:iCs/>
        </w:rPr>
        <w:t>заместник-секретар на секция</w:t>
      </w:r>
      <w:bookmarkEnd w:id="1"/>
      <w:r>
        <w:t>,</w:t>
      </w:r>
    </w:p>
    <w:p w:rsidR="00E80AF2" w:rsidRPr="00807C04" w:rsidRDefault="00822A48" w:rsidP="00807C04">
      <w:pPr>
        <w:pStyle w:val="JuPara"/>
      </w:pPr>
      <w:bookmarkStart w:id="2" w:name="ITMARKHavingStart"/>
      <w:bookmarkEnd w:id="2"/>
      <w:r>
        <w:t>Като взе предвид</w:t>
      </w:r>
      <w:r w:rsidR="00E80AF2">
        <w:t>:</w:t>
      </w:r>
    </w:p>
    <w:p w:rsidR="00E80AF2" w:rsidRPr="00807C04" w:rsidRDefault="00E80AF2" w:rsidP="00807C04">
      <w:pPr>
        <w:pStyle w:val="JuPara"/>
      </w:pPr>
      <w:r>
        <w:t>жалбите (№№ 69154/11 и 69163/11)</w:t>
      </w:r>
      <w:r w:rsidR="00822A48">
        <w:t>, подадени</w:t>
      </w:r>
      <w:r>
        <w:t xml:space="preserve"> срещу Република България</w:t>
      </w:r>
      <w:r w:rsidR="00822A48">
        <w:t xml:space="preserve"> от </w:t>
      </w:r>
      <w:r>
        <w:t>петима</w:t>
      </w:r>
      <w:r w:rsidR="00822A48">
        <w:t xml:space="preserve"> български</w:t>
      </w:r>
      <w:r>
        <w:t xml:space="preserve"> граждани Красимира Цанева Илиева, Георги Йорданов Илиев, Симонета Георгиева Илиева, Тереза Йорданова Ганчева и Георги Стефанов Ганчев (наричани по-долу „жалбоподателите“)</w:t>
      </w:r>
      <w:r w:rsidR="00822A48">
        <w:t xml:space="preserve"> </w:t>
      </w:r>
      <w:bookmarkStart w:id="3" w:name="_Hlk36124016"/>
      <w:r>
        <w:t>пред Съда на 17 октомври 2011 г. съгласно член 34 от Конвенцията за защита на правата на човека и основните свободи („Конвенцията“),</w:t>
      </w:r>
      <w:bookmarkEnd w:id="3"/>
      <w:r>
        <w:t xml:space="preserve"> </w:t>
      </w:r>
    </w:p>
    <w:p w:rsidR="00E80AF2" w:rsidRPr="00807C04" w:rsidRDefault="00E80AF2" w:rsidP="00807C04">
      <w:pPr>
        <w:pStyle w:val="JuPara"/>
      </w:pPr>
      <w:r>
        <w:t>становища на страните,</w:t>
      </w:r>
    </w:p>
    <w:p w:rsidR="004344E6" w:rsidRPr="00807C04" w:rsidRDefault="004344E6" w:rsidP="00807C04">
      <w:pPr>
        <w:pStyle w:val="JuPara"/>
      </w:pPr>
      <w:r>
        <w:t>След разисквания в закрито заседание на 30 март и 18 май 2021 г.,</w:t>
      </w:r>
    </w:p>
    <w:p w:rsidR="00E80AF2" w:rsidRPr="00807C04" w:rsidRDefault="004344E6" w:rsidP="00807C04">
      <w:pPr>
        <w:pStyle w:val="JuPara"/>
      </w:pPr>
      <w:r>
        <w:t>Постановява следното решение, прието на последната дата:</w:t>
      </w:r>
    </w:p>
    <w:p w:rsidR="00E80AF2" w:rsidRPr="00807C04" w:rsidRDefault="00E80AF2" w:rsidP="00807C04">
      <w:pPr>
        <w:pStyle w:val="JuHHead"/>
      </w:pPr>
      <w:r>
        <w:rPr>
          <w:caps w:val="0"/>
        </w:rPr>
        <w:t>ВЪВЕДЕНИЕ</w:t>
      </w:r>
    </w:p>
    <w:p w:rsidR="00E80AF2" w:rsidRPr="00807C04" w:rsidRDefault="00807C04" w:rsidP="00807C04">
      <w:pPr>
        <w:pStyle w:val="JuPara"/>
      </w:pPr>
      <w:bookmarkStart w:id="4" w:name="para1a"/>
      <w:r>
        <w:t>1</w:t>
      </w:r>
      <w:bookmarkEnd w:id="4"/>
      <w:r>
        <w:t xml:space="preserve">.  Като се позовават на член 3 от Конвенцията, жалбоподателите </w:t>
      </w:r>
      <w:r w:rsidR="004401AF">
        <w:t>твърдят</w:t>
      </w:r>
      <w:r>
        <w:t xml:space="preserve">, че </w:t>
      </w:r>
      <w:r w:rsidR="00A956BC">
        <w:t>полицейските операции</w:t>
      </w:r>
      <w:r>
        <w:t xml:space="preserve"> в домове </w:t>
      </w:r>
      <w:r w:rsidR="00B57D42">
        <w:t xml:space="preserve">им </w:t>
      </w:r>
      <w:r w:rsidR="00A956BC">
        <w:t>са ги</w:t>
      </w:r>
      <w:r>
        <w:t xml:space="preserve"> подлож</w:t>
      </w:r>
      <w:r w:rsidR="00A956BC">
        <w:t>или</w:t>
      </w:r>
      <w:r>
        <w:t xml:space="preserve"> на нечовешко и унизително отношение. В контекста на член 13 те </w:t>
      </w:r>
      <w:r w:rsidR="004401AF">
        <w:t>твърдят</w:t>
      </w:r>
      <w:r>
        <w:t>, че вътрешното право не им предоставя ефективни средства за правна защита за отстраняване на предполагаемите нарушения на правото им по член 3 от Конвенцията.</w:t>
      </w:r>
    </w:p>
    <w:p w:rsidR="00E80AF2" w:rsidRPr="00807C04" w:rsidRDefault="00AE42E6" w:rsidP="00807C04">
      <w:pPr>
        <w:pStyle w:val="JuHHead"/>
      </w:pPr>
      <w:bookmarkStart w:id="5" w:name="_Hlk36126677"/>
      <w:r>
        <w:t>Фактите</w:t>
      </w:r>
    </w:p>
    <w:p w:rsidR="00E80AF2" w:rsidRPr="00807C04" w:rsidRDefault="00807C04" w:rsidP="00807C04">
      <w:pPr>
        <w:pStyle w:val="JuPara"/>
      </w:pPr>
      <w:bookmarkStart w:id="6" w:name="para2a"/>
      <w:bookmarkEnd w:id="5"/>
      <w:r>
        <w:t>2</w:t>
      </w:r>
      <w:bookmarkEnd w:id="6"/>
      <w:r>
        <w:t xml:space="preserve">.  Петимата жалбоподатели, посочени в приложението, </w:t>
      </w:r>
      <w:r w:rsidR="004401AF">
        <w:t>са</w:t>
      </w:r>
      <w:r>
        <w:t xml:space="preserve"> представлявани от г-жа В. Коева и</w:t>
      </w:r>
      <w:r>
        <w:rPr>
          <w:vertAlign w:val="superscript"/>
        </w:rPr>
        <w:t xml:space="preserve"> </w:t>
      </w:r>
      <w:r>
        <w:t xml:space="preserve">Й. Йорданов, </w:t>
      </w:r>
      <w:r w:rsidR="004401AF">
        <w:t>адвокати, практикуващи във Велико Търново</w:t>
      </w:r>
      <w:r>
        <w:t>.</w:t>
      </w:r>
    </w:p>
    <w:p w:rsidR="00E80AF2" w:rsidRPr="00807C04" w:rsidRDefault="00807C04" w:rsidP="00807C04">
      <w:pPr>
        <w:pStyle w:val="JuPara"/>
      </w:pPr>
      <w:bookmarkStart w:id="7" w:name="para3a"/>
      <w:r>
        <w:t>3</w:t>
      </w:r>
      <w:bookmarkEnd w:id="7"/>
      <w:r>
        <w:t>.  </w:t>
      </w:r>
      <w:bookmarkStart w:id="8" w:name="_Hlk36127123"/>
      <w:r>
        <w:t>Българското правителство („Правителството“)</w:t>
      </w:r>
      <w:r w:rsidR="004401AF">
        <w:t xml:space="preserve"> се</w:t>
      </w:r>
      <w:r>
        <w:t xml:space="preserve"> представлява от </w:t>
      </w:r>
      <w:r w:rsidR="004401AF">
        <w:t xml:space="preserve">правителствения </w:t>
      </w:r>
      <w:r>
        <w:t>агента, г-жа В. Христова, от Министерството на правосъдието.</w:t>
      </w:r>
      <w:bookmarkEnd w:id="8"/>
    </w:p>
    <w:p w:rsidR="00E80AF2" w:rsidRPr="00807C04" w:rsidRDefault="00807C04" w:rsidP="00807C04">
      <w:pPr>
        <w:pStyle w:val="JuPara"/>
      </w:pPr>
      <w:bookmarkStart w:id="9" w:name="para4a"/>
      <w:r>
        <w:t>4</w:t>
      </w:r>
      <w:bookmarkEnd w:id="9"/>
      <w:r>
        <w:t>.  Г-жа Красимира Илиева и г-н Георги Илиев са съпрузи. Г-ца Симонета Илиева, която по време на събитията е била на деветнадесет години, е тяхна дъщеря.</w:t>
      </w:r>
    </w:p>
    <w:p w:rsidR="00E80AF2" w:rsidRPr="00807C04" w:rsidRDefault="00807C04" w:rsidP="00807C04">
      <w:pPr>
        <w:pStyle w:val="JuPara"/>
      </w:pPr>
      <w:bookmarkStart w:id="10" w:name="para5a"/>
      <w:r>
        <w:t>5</w:t>
      </w:r>
      <w:bookmarkEnd w:id="10"/>
      <w:r>
        <w:t>.  Г-жа Тереза Ганчева и г-н Георги Ганчев са съпрузи.</w:t>
      </w:r>
    </w:p>
    <w:p w:rsidR="00E80AF2" w:rsidRPr="00807C04" w:rsidRDefault="00E80AF2" w:rsidP="00807C04">
      <w:pPr>
        <w:pStyle w:val="JuHIRoman"/>
      </w:pPr>
      <w:r>
        <w:lastRenderedPageBreak/>
        <w:t>Полицейската операция от 18 април 2011 г.</w:t>
      </w:r>
    </w:p>
    <w:p w:rsidR="00E80AF2" w:rsidRPr="00807C04" w:rsidRDefault="00807C04" w:rsidP="00807C04">
      <w:pPr>
        <w:pStyle w:val="JuPara"/>
      </w:pPr>
      <w:bookmarkStart w:id="11" w:name="para6a"/>
      <w:r>
        <w:t>6</w:t>
      </w:r>
      <w:bookmarkEnd w:id="11"/>
      <w:r>
        <w:t>.  На 22 октомври 2010 г. Окръжна прокуратура-Велико Търново образува наказателно производство срещу пет лица, сред които г-н Илиев и г-н Ганчев, за противозаконна финансова дейност и укриване.</w:t>
      </w:r>
    </w:p>
    <w:p w:rsidR="00E80AF2" w:rsidRPr="00807C04" w:rsidRDefault="00807C04" w:rsidP="00807C04">
      <w:pPr>
        <w:pStyle w:val="JuPara"/>
      </w:pPr>
      <w:bookmarkStart w:id="12" w:name="para7a"/>
      <w:r>
        <w:t>7</w:t>
      </w:r>
      <w:bookmarkEnd w:id="12"/>
      <w:r>
        <w:t>.  В рамките на разследване</w:t>
      </w:r>
      <w:r w:rsidR="00A956BC">
        <w:t>то</w:t>
      </w:r>
      <w:r>
        <w:t xml:space="preserve">, на 15 април 2011 г., </w:t>
      </w:r>
      <w:r w:rsidR="003E47E4">
        <w:t>Окръжният</w:t>
      </w:r>
      <w:r>
        <w:t xml:space="preserve"> съд във Велико Търново, по искане на </w:t>
      </w:r>
      <w:r w:rsidR="003E47E4">
        <w:t>Окръжната</w:t>
      </w:r>
      <w:r>
        <w:t xml:space="preserve"> прокуратура, разреш</w:t>
      </w:r>
      <w:r w:rsidR="00B00632">
        <w:t>ава</w:t>
      </w:r>
      <w:r>
        <w:t xml:space="preserve"> претърсване на дома на всеки жалбоподател, </w:t>
      </w:r>
      <w:r w:rsidR="00A956BC">
        <w:t xml:space="preserve">респективно </w:t>
      </w:r>
      <w:r>
        <w:t xml:space="preserve">намиращ се във Велико Търново и в Присово. В решенията си съдиите констатират, че са налице достатъчно доказателства, които да </w:t>
      </w:r>
      <w:r w:rsidR="00B00632">
        <w:t>позволят да се заключи</w:t>
      </w:r>
      <w:r>
        <w:t>, че разследващите органи могат да открият документи и предмети, свързани с наказателното разследван</w:t>
      </w:r>
      <w:r w:rsidR="009310B0">
        <w:t>е</w:t>
      </w:r>
      <w:r w:rsidR="00B00632">
        <w:t xml:space="preserve"> </w:t>
      </w:r>
      <w:r>
        <w:t>в домове</w:t>
      </w:r>
      <w:r w:rsidR="00B00632">
        <w:t>те</w:t>
      </w:r>
      <w:r>
        <w:t xml:space="preserve"> на г-н Илиев и г-н Ганчев. Нито едно от </w:t>
      </w:r>
      <w:r w:rsidR="00B00632">
        <w:t>съответните</w:t>
      </w:r>
      <w:r>
        <w:t xml:space="preserve"> решения не </w:t>
      </w:r>
      <w:r w:rsidR="00B00632">
        <w:t>посочва</w:t>
      </w:r>
      <w:r>
        <w:t xml:space="preserve"> факта, че това са семейни жилища, не се </w:t>
      </w:r>
      <w:r w:rsidR="00B00632">
        <w:t>споменава</w:t>
      </w:r>
      <w:r>
        <w:t xml:space="preserve"> евентуалното присъствие на други членове на двете семейства във въпросните помещения, нито </w:t>
      </w:r>
      <w:r w:rsidR="00B00632">
        <w:t>дава указание</w:t>
      </w:r>
      <w:r>
        <w:t xml:space="preserve"> за начина на действие</w:t>
      </w:r>
      <w:r w:rsidR="00B00632">
        <w:t xml:space="preserve"> на</w:t>
      </w:r>
      <w:r>
        <w:t xml:space="preserve"> полицията по време на планираните</w:t>
      </w:r>
      <w:r w:rsidR="009310B0" w:rsidRPr="00513897">
        <w:t xml:space="preserve"> </w:t>
      </w:r>
      <w:r w:rsidR="009310B0">
        <w:t>операции</w:t>
      </w:r>
      <w:r>
        <w:t>.</w:t>
      </w:r>
    </w:p>
    <w:p w:rsidR="00E80AF2" w:rsidRPr="00807C04" w:rsidRDefault="009310B0" w:rsidP="00807C04">
      <w:pPr>
        <w:pStyle w:val="JuHA"/>
      </w:pPr>
      <w:r>
        <w:t>Операция</w:t>
      </w:r>
      <w:r w:rsidR="00E80AF2">
        <w:t xml:space="preserve"> в дома на семейство Илиеви</w:t>
      </w:r>
    </w:p>
    <w:p w:rsidR="00E80AF2" w:rsidRPr="00807C04" w:rsidRDefault="00807C04" w:rsidP="00807C04">
      <w:pPr>
        <w:pStyle w:val="JuPara"/>
      </w:pPr>
      <w:bookmarkStart w:id="13" w:name="para8a"/>
      <w:r>
        <w:t>8</w:t>
      </w:r>
      <w:bookmarkEnd w:id="13"/>
      <w:r>
        <w:t xml:space="preserve">.  На 18 април 2011 г. сутринта г-н и г-жа Илиеви и дъщеря им спят в жилището </w:t>
      </w:r>
      <w:r w:rsidR="00356F8E">
        <w:t>си</w:t>
      </w:r>
      <w:r>
        <w:t xml:space="preserve"> във Велико Търново.</w:t>
      </w:r>
    </w:p>
    <w:p w:rsidR="00E80AF2" w:rsidRPr="00807C04" w:rsidRDefault="00807C04" w:rsidP="00807C04">
      <w:pPr>
        <w:pStyle w:val="JuPara"/>
      </w:pPr>
      <w:bookmarkStart w:id="14" w:name="para9a"/>
      <w:r>
        <w:t>9</w:t>
      </w:r>
      <w:bookmarkEnd w:id="14"/>
      <w:r>
        <w:t>.  В 6:30 ч. сутринта са събудени от звънеца</w:t>
      </w:r>
      <w:r w:rsidR="009310B0">
        <w:t xml:space="preserve"> на вратата им</w:t>
      </w:r>
      <w:r>
        <w:t>. Г-жа Илиева става, поглежда през</w:t>
      </w:r>
      <w:r w:rsidR="009310B0">
        <w:t xml:space="preserve"> шпионката на</w:t>
      </w:r>
      <w:r>
        <w:t xml:space="preserve"> вратата и вижда една жена. На въпроса ѝ: „Кой е? “, жената отговаря „Има пожар. Отворете вратата! “. Когато отворя вратата, вижда няколко специални агенти с качулки, които нахлуват в апартамента с насочени оръжия към нея и я бутат обратно в коридора. Те </w:t>
      </w:r>
      <w:r w:rsidR="00356F8E">
        <w:t>извикват</w:t>
      </w:r>
      <w:r>
        <w:t>: „Къде е той ? “.</w:t>
      </w:r>
    </w:p>
    <w:p w:rsidR="00E80AF2" w:rsidRPr="00807C04" w:rsidRDefault="00807C04" w:rsidP="00807C04">
      <w:pPr>
        <w:pStyle w:val="JuPara"/>
      </w:pPr>
      <w:bookmarkStart w:id="15" w:name="para10a"/>
      <w:r>
        <w:t>10</w:t>
      </w:r>
      <w:bookmarkEnd w:id="15"/>
      <w:r>
        <w:t>.  </w:t>
      </w:r>
      <w:r w:rsidR="003E47E4">
        <w:t>Тогава</w:t>
      </w:r>
      <w:r>
        <w:t xml:space="preserve"> </w:t>
      </w:r>
      <w:r w:rsidR="00356F8E">
        <w:t xml:space="preserve">г-н Илиев идва </w:t>
      </w:r>
      <w:r>
        <w:t xml:space="preserve">в коридора на апартамента. В този момент специалните агенти го </w:t>
      </w:r>
      <w:r w:rsidR="00356F8E">
        <w:t>по</w:t>
      </w:r>
      <w:r>
        <w:t xml:space="preserve">валят </w:t>
      </w:r>
      <w:r w:rsidR="003E47E4">
        <w:t>с</w:t>
      </w:r>
      <w:r>
        <w:t xml:space="preserve"> лице</w:t>
      </w:r>
      <w:r w:rsidR="003E47E4">
        <w:t xml:space="preserve"> към земята</w:t>
      </w:r>
      <w:r>
        <w:t xml:space="preserve"> и му слагат белезници, с постоянно насочени оръжия към него. Жалбоподателят остава така до пристигането</w:t>
      </w:r>
      <w:r w:rsidR="003E47E4" w:rsidRPr="00513897">
        <w:t xml:space="preserve"> </w:t>
      </w:r>
      <w:r>
        <w:t xml:space="preserve">на следователя, отговарящ за провеждането на </w:t>
      </w:r>
      <w:r w:rsidR="00356F8E">
        <w:t>претърсването</w:t>
      </w:r>
      <w:r>
        <w:t xml:space="preserve">. При пристигане на следователя полицаите </w:t>
      </w:r>
      <w:r w:rsidR="00356F8E">
        <w:t xml:space="preserve">изправят г-н Илиев </w:t>
      </w:r>
      <w:r>
        <w:t>и му свалят белезниците. След това му позволяват да легне на дивана в хола, защото не се чувства добре.</w:t>
      </w:r>
    </w:p>
    <w:p w:rsidR="00E80AF2" w:rsidRPr="00807C04" w:rsidRDefault="00807C04" w:rsidP="00807C04">
      <w:pPr>
        <w:pStyle w:val="JuPara"/>
      </w:pPr>
      <w:bookmarkStart w:id="16" w:name="para11a"/>
      <w:r>
        <w:t>11</w:t>
      </w:r>
      <w:bookmarkEnd w:id="16"/>
      <w:r>
        <w:t xml:space="preserve">.  Г-ца Илиева, тогава на деветнадесет години, </w:t>
      </w:r>
      <w:r w:rsidR="00356F8E">
        <w:t xml:space="preserve">междувременно </w:t>
      </w:r>
      <w:r w:rsidR="003E47E4">
        <w:t>идва</w:t>
      </w:r>
      <w:r>
        <w:t xml:space="preserve"> в коридора на апартамента, където вижда баща си с белезници</w:t>
      </w:r>
      <w:r w:rsidR="00356F8E">
        <w:t xml:space="preserve"> и</w:t>
      </w:r>
      <w:r>
        <w:t xml:space="preserve"> с лице към земята. Започва да плаче и да крещи, че баща ѝ не е престъпник.</w:t>
      </w:r>
    </w:p>
    <w:p w:rsidR="00E80AF2" w:rsidRPr="00807C04" w:rsidRDefault="00807C04" w:rsidP="00807C04">
      <w:pPr>
        <w:pStyle w:val="JuPara"/>
        <w:keepNext/>
      </w:pPr>
      <w:bookmarkStart w:id="17" w:name="para12a"/>
      <w:r>
        <w:t>12</w:t>
      </w:r>
      <w:bookmarkEnd w:id="17"/>
      <w:r>
        <w:t>.  При претърсването на жилището, извършено между 7:40 ч и 12:44 ч, полицейските служители откриват и иззем</w:t>
      </w:r>
      <w:r w:rsidR="00356F8E">
        <w:t>в</w:t>
      </w:r>
      <w:r>
        <w:t xml:space="preserve">ат </w:t>
      </w:r>
      <w:r w:rsidR="00356F8E">
        <w:t xml:space="preserve">множество </w:t>
      </w:r>
      <w:r>
        <w:t>лични документ</w:t>
      </w:r>
      <w:r w:rsidR="00356F8E">
        <w:t>и</w:t>
      </w:r>
      <w:r>
        <w:t xml:space="preserve">, свързани с професионалната дейност на г-н Илиев, 4 000 лева в брой, множество бижута, два лаптопа, седем мобилни телефона, </w:t>
      </w:r>
      <w:r>
        <w:lastRenderedPageBreak/>
        <w:t xml:space="preserve">няколко електронни носители на </w:t>
      </w:r>
      <w:r w:rsidR="00E107B1">
        <w:t>информация</w:t>
      </w:r>
      <w:r>
        <w:t xml:space="preserve"> (твърд диск, USB устройства, карти памет).</w:t>
      </w:r>
    </w:p>
    <w:p w:rsidR="00E80AF2" w:rsidRPr="00807C04" w:rsidRDefault="00807C04" w:rsidP="00807C04">
      <w:pPr>
        <w:pStyle w:val="JuPara"/>
      </w:pPr>
      <w:bookmarkStart w:id="18" w:name="para13a"/>
      <w:r>
        <w:t>13</w:t>
      </w:r>
      <w:bookmarkEnd w:id="18"/>
      <w:r>
        <w:t>.  </w:t>
      </w:r>
      <w:r w:rsidR="00E107B1">
        <w:t>В с</w:t>
      </w:r>
      <w:r>
        <w:t>ъщия</w:t>
      </w:r>
      <w:r w:rsidR="00356F8E">
        <w:t>т</w:t>
      </w:r>
      <w:r>
        <w:t xml:space="preserve"> ден, от 6:45 ч. г-н Илиев е задържан от полицията. Заподозрян е в извършване на незаконна финансова дейност. </w:t>
      </w:r>
      <w:r w:rsidR="00356F8E">
        <w:t>След като е о</w:t>
      </w:r>
      <w:r>
        <w:t>свободен в 21:00 ч.</w:t>
      </w:r>
      <w:r w:rsidR="00356F8E">
        <w:t>, той</w:t>
      </w:r>
      <w:r>
        <w:t xml:space="preserve"> се прибира у дома.</w:t>
      </w:r>
    </w:p>
    <w:p w:rsidR="00E80AF2" w:rsidRPr="00807C04" w:rsidRDefault="00807C04" w:rsidP="00807C04">
      <w:pPr>
        <w:pStyle w:val="JuPara"/>
      </w:pPr>
      <w:bookmarkStart w:id="19" w:name="para14a"/>
      <w:r>
        <w:t>14</w:t>
      </w:r>
      <w:bookmarkEnd w:id="19"/>
      <w:r>
        <w:t xml:space="preserve">.  Жалбоподателите заявяват, че са белязани от събитията от 18 април 2011 г. В действителност </w:t>
      </w:r>
      <w:bookmarkStart w:id="20" w:name="_Hlk64987661"/>
      <w:r>
        <w:t>г-жа Илиева е много стресирана. След тези събития получава хипертонични кризи. Също много стресирана</w:t>
      </w:r>
      <w:r w:rsidR="00E107B1">
        <w:t xml:space="preserve"> е и </w:t>
      </w:r>
      <w:r>
        <w:t> г-ца Илиева</w:t>
      </w:r>
      <w:r w:rsidR="00E107B1">
        <w:t xml:space="preserve">, която </w:t>
      </w:r>
      <w:r>
        <w:t xml:space="preserve">взема </w:t>
      </w:r>
      <w:proofErr w:type="spellStart"/>
      <w:r>
        <w:t>анксиолитици</w:t>
      </w:r>
      <w:proofErr w:type="spellEnd"/>
      <w:r>
        <w:t>.</w:t>
      </w:r>
    </w:p>
    <w:bookmarkEnd w:id="20"/>
    <w:p w:rsidR="00E80AF2" w:rsidRPr="00807C04" w:rsidRDefault="00E107B1" w:rsidP="00807C04">
      <w:pPr>
        <w:pStyle w:val="JuHA"/>
      </w:pPr>
      <w:r>
        <w:t>Операция</w:t>
      </w:r>
      <w:r w:rsidR="00E80AF2">
        <w:t xml:space="preserve"> в дома на семейство Ганчеви</w:t>
      </w:r>
    </w:p>
    <w:p w:rsidR="00E80AF2" w:rsidRPr="00807C04" w:rsidRDefault="00807C04" w:rsidP="00807C04">
      <w:pPr>
        <w:pStyle w:val="JuPara"/>
      </w:pPr>
      <w:bookmarkStart w:id="21" w:name="para15a"/>
      <w:r>
        <w:t>15</w:t>
      </w:r>
      <w:bookmarkEnd w:id="21"/>
      <w:r>
        <w:t>. </w:t>
      </w:r>
      <w:r w:rsidR="00E107B1">
        <w:t>Сутринта</w:t>
      </w:r>
      <w:r>
        <w:t> </w:t>
      </w:r>
      <w:r w:rsidR="00E107B1">
        <w:t>н</w:t>
      </w:r>
      <w:r>
        <w:t>а 18 април 2011 г., г-жа и г-н Ганчеви, двамата им непълнолетни синове и майката на жалбоподателя, спят в семейния дом в Присово.</w:t>
      </w:r>
    </w:p>
    <w:p w:rsidR="00E80AF2" w:rsidRPr="00807C04" w:rsidRDefault="00807C04" w:rsidP="00807C04">
      <w:pPr>
        <w:pStyle w:val="JuPara"/>
      </w:pPr>
      <w:bookmarkStart w:id="22" w:name="para16a"/>
      <w:r>
        <w:t>16</w:t>
      </w:r>
      <w:bookmarkEnd w:id="22"/>
      <w:r>
        <w:t>.  В 06:20 ч жалбоподателите са събудени от удари по входната врата. Г-жа Ганчева</w:t>
      </w:r>
      <w:r>
        <w:rPr>
          <w:vertAlign w:val="superscript"/>
        </w:rPr>
        <w:t xml:space="preserve"> </w:t>
      </w:r>
      <w:r>
        <w:t xml:space="preserve">става и се втурва към вратата. След като </w:t>
      </w:r>
      <w:r w:rsidR="00E107B1">
        <w:t>я</w:t>
      </w:r>
      <w:r>
        <w:t xml:space="preserve"> отв</w:t>
      </w:r>
      <w:r w:rsidR="00E107B1">
        <w:t>а</w:t>
      </w:r>
      <w:r>
        <w:t xml:space="preserve">ря, вижда няколко специални агенти с качулки, които нахлуват в къщата с насочени оръжия към нея и я бутат обратно в коридора. Те </w:t>
      </w:r>
      <w:r w:rsidR="004B41D2">
        <w:t>извикват</w:t>
      </w:r>
      <w:r>
        <w:t>: „Къде е той ? “.</w:t>
      </w:r>
    </w:p>
    <w:p w:rsidR="00E80AF2" w:rsidRPr="00807C04" w:rsidRDefault="00807C04" w:rsidP="00807C04">
      <w:pPr>
        <w:pStyle w:val="JuPara"/>
      </w:pPr>
      <w:bookmarkStart w:id="23" w:name="para17a"/>
      <w:r>
        <w:t>17</w:t>
      </w:r>
      <w:bookmarkEnd w:id="23"/>
      <w:r>
        <w:t xml:space="preserve">.  Г-н Ганчев </w:t>
      </w:r>
      <w:r w:rsidR="00E107B1">
        <w:t>идва</w:t>
      </w:r>
      <w:r>
        <w:t xml:space="preserve"> в коридора на къщата. Специалните агенти го </w:t>
      </w:r>
      <w:r w:rsidR="004B41D2">
        <w:t>по</w:t>
      </w:r>
      <w:r>
        <w:t xml:space="preserve">валят </w:t>
      </w:r>
      <w:r w:rsidR="00E107B1">
        <w:t>с</w:t>
      </w:r>
      <w:r>
        <w:t xml:space="preserve"> лице </w:t>
      </w:r>
      <w:r w:rsidR="004B41D2">
        <w:t>към</w:t>
      </w:r>
      <w:r w:rsidR="00E107B1">
        <w:t xml:space="preserve"> земята </w:t>
      </w:r>
      <w:r>
        <w:t>и му слагат белезници</w:t>
      </w:r>
      <w:r w:rsidR="00E107B1">
        <w:t xml:space="preserve">, като оръжията им са </w:t>
      </w:r>
      <w:r>
        <w:t>постоянно насочен</w:t>
      </w:r>
      <w:r w:rsidR="00E107B1">
        <w:t xml:space="preserve">и </w:t>
      </w:r>
      <w:r>
        <w:t xml:space="preserve">към него. Жалбоподателят остава така до пристигането, малко след това, на следователя, отговарящ за провеждането на </w:t>
      </w:r>
      <w:r w:rsidR="004B41D2">
        <w:t>претърсването</w:t>
      </w:r>
      <w:r>
        <w:t xml:space="preserve">. След това полицаите </w:t>
      </w:r>
      <w:r w:rsidR="004B41D2">
        <w:t xml:space="preserve">изправят г-н Ганчев </w:t>
      </w:r>
      <w:r>
        <w:t>и му свалят белезниците.</w:t>
      </w:r>
    </w:p>
    <w:p w:rsidR="00E80AF2" w:rsidRPr="00807C04" w:rsidRDefault="00807C04" w:rsidP="00807C04">
      <w:pPr>
        <w:pStyle w:val="JuPara"/>
      </w:pPr>
      <w:bookmarkStart w:id="24" w:name="para18a"/>
      <w:r>
        <w:t>18</w:t>
      </w:r>
      <w:bookmarkEnd w:id="24"/>
      <w:r>
        <w:t>.  Г-жа Ганчева получава разрешение да се върне в стаята си, за да се облече. Тя се преоблича в присъствието на полицай.</w:t>
      </w:r>
    </w:p>
    <w:p w:rsidR="00E80AF2" w:rsidRPr="00807C04" w:rsidRDefault="00807C04" w:rsidP="00807C04">
      <w:pPr>
        <w:pStyle w:val="JuPara"/>
      </w:pPr>
      <w:bookmarkStart w:id="25" w:name="para19a"/>
      <w:r>
        <w:t>19</w:t>
      </w:r>
      <w:bookmarkEnd w:id="25"/>
      <w:r>
        <w:t xml:space="preserve">.  При претърсването на къщата, извършено между 6:55 ч. и 10:05 ч., полицейските служители откриват и изземат множество лични документи, свързани с професионалната дейност на г-н Ганчев, три компютъра, четири мобилни телефона и електронни носители на </w:t>
      </w:r>
      <w:r w:rsidR="00E107B1">
        <w:t>информация</w:t>
      </w:r>
      <w:r>
        <w:t xml:space="preserve"> (USB устройства и карти с памет).</w:t>
      </w:r>
    </w:p>
    <w:p w:rsidR="00E80AF2" w:rsidRPr="00807C04" w:rsidRDefault="00807C04" w:rsidP="00807C04">
      <w:pPr>
        <w:pStyle w:val="JuPara"/>
      </w:pPr>
      <w:bookmarkStart w:id="26" w:name="para20a"/>
      <w:r>
        <w:t>20</w:t>
      </w:r>
      <w:bookmarkEnd w:id="26"/>
      <w:r>
        <w:t>.  </w:t>
      </w:r>
      <w:r w:rsidR="00E107B1">
        <w:t>В с</w:t>
      </w:r>
      <w:r>
        <w:t xml:space="preserve">ъщия ден, от 6:30 ч., г-н Ганчев е задържан от полицията. Заподозрян е в извършване на незаконна финансова дейност. </w:t>
      </w:r>
      <w:r w:rsidR="004B41D2">
        <w:t>След като е о</w:t>
      </w:r>
      <w:r>
        <w:t>свободен в 20:25 ч.</w:t>
      </w:r>
      <w:r w:rsidR="004B41D2">
        <w:t>, той</w:t>
      </w:r>
      <w:r>
        <w:t xml:space="preserve"> се прибира у дома.</w:t>
      </w:r>
    </w:p>
    <w:p w:rsidR="00E80AF2" w:rsidRPr="00807C04" w:rsidRDefault="00807C04" w:rsidP="00807C04">
      <w:pPr>
        <w:pStyle w:val="JuPara"/>
      </w:pPr>
      <w:bookmarkStart w:id="27" w:name="para21a"/>
      <w:r>
        <w:t>21</w:t>
      </w:r>
      <w:bookmarkEnd w:id="27"/>
      <w:r>
        <w:t xml:space="preserve">.  Жалбоподателите заявяват, че са белязани от събитията от 18 април 2011 г. На 19 април и 2 май 2011 </w:t>
      </w:r>
      <w:bookmarkStart w:id="28" w:name="_Hlk64987830"/>
      <w:r>
        <w:t>г. жалбоподател</w:t>
      </w:r>
      <w:r w:rsidR="00C4226B">
        <w:t>ката</w:t>
      </w:r>
      <w:r>
        <w:t xml:space="preserve"> се консултира с общопрактикуващ лекар и невролог. Оплаква се от нарушения на съня, придружени със сърцебиене, задух и болки в дясната ръка. Заключението на невролога, че тя е страда от тревожност и са ѝ предписани </w:t>
      </w:r>
      <w:proofErr w:type="spellStart"/>
      <w:r>
        <w:t>анксиолитици</w:t>
      </w:r>
      <w:proofErr w:type="spellEnd"/>
      <w:r>
        <w:t xml:space="preserve">. </w:t>
      </w:r>
      <w:bookmarkEnd w:id="28"/>
      <w:r>
        <w:t>Жалбоподателят, от друга страна, се оплаква от повтарящи се главоболия.</w:t>
      </w:r>
    </w:p>
    <w:p w:rsidR="00E80AF2" w:rsidRPr="00807C04" w:rsidRDefault="00E80AF2" w:rsidP="00807C04">
      <w:pPr>
        <w:pStyle w:val="JuHIRoman"/>
      </w:pPr>
      <w:r>
        <w:lastRenderedPageBreak/>
        <w:t>Наказателното производство срещу г-н Илиев и г-н Ганчев</w:t>
      </w:r>
    </w:p>
    <w:p w:rsidR="00E80AF2" w:rsidRPr="00807C04" w:rsidRDefault="00807C04" w:rsidP="00807C04">
      <w:pPr>
        <w:pStyle w:val="JuPara"/>
      </w:pPr>
      <w:bookmarkStart w:id="29" w:name="para22a"/>
      <w:r>
        <w:t>22</w:t>
      </w:r>
      <w:bookmarkEnd w:id="29"/>
      <w:r>
        <w:t>.  На 21 април 2011 г.</w:t>
      </w:r>
      <w:r w:rsidR="00C4226B">
        <w:t xml:space="preserve"> срещу</w:t>
      </w:r>
      <w:r>
        <w:t xml:space="preserve"> г-н Илиев и г-н Ганчев е повдигнато обвинение за </w:t>
      </w:r>
      <w:r w:rsidR="004B41D2">
        <w:t>упражняване</w:t>
      </w:r>
      <w:r>
        <w:t xml:space="preserve">, съвместно с други три лица, </w:t>
      </w:r>
      <w:r w:rsidR="004B41D2">
        <w:t>на</w:t>
      </w:r>
      <w:r>
        <w:t xml:space="preserve"> </w:t>
      </w:r>
      <w:r w:rsidR="00C4226B">
        <w:t>лихварска дейност</w:t>
      </w:r>
      <w:r>
        <w:t xml:space="preserve"> в периода </w:t>
      </w:r>
      <w:r w:rsidR="00C4226B">
        <w:t xml:space="preserve">между </w:t>
      </w:r>
      <w:r>
        <w:t>2004 -2011 г.</w:t>
      </w:r>
    </w:p>
    <w:p w:rsidR="00E80AF2" w:rsidRPr="00807C04" w:rsidRDefault="00807C04" w:rsidP="00807C04">
      <w:pPr>
        <w:pStyle w:val="JuPara"/>
      </w:pPr>
      <w:bookmarkStart w:id="30" w:name="para23a"/>
      <w:r>
        <w:t>23</w:t>
      </w:r>
      <w:bookmarkEnd w:id="30"/>
      <w:r>
        <w:t>.  Впоследствие двамата жалбоподатели са обвинени и за участие в престъпна организация, специализирана в незаконно упражняване на финансови дейности.</w:t>
      </w:r>
    </w:p>
    <w:p w:rsidR="00E80AF2" w:rsidRPr="00807C04" w:rsidRDefault="00807C04" w:rsidP="00807C04">
      <w:pPr>
        <w:pStyle w:val="JuPara"/>
      </w:pPr>
      <w:bookmarkStart w:id="31" w:name="para24a"/>
      <w:r>
        <w:t>24</w:t>
      </w:r>
      <w:bookmarkEnd w:id="31"/>
      <w:r>
        <w:t>.  На 11 май 2015 г. Специализираният наказателен съд по въпросите за организирана престъпност прекрат</w:t>
      </w:r>
      <w:r w:rsidR="00C4226B">
        <w:t>ява</w:t>
      </w:r>
      <w:r>
        <w:t xml:space="preserve"> наказателното производство срещу г-н Ганчев в частта, свързана с извършването на незаконна</w:t>
      </w:r>
      <w:r w:rsidR="00C4226B">
        <w:t xml:space="preserve"> лихварска дейност</w:t>
      </w:r>
      <w:r>
        <w:t xml:space="preserve">. С определение за прекратяване на наказателното производство от 15 ноември 2019 г., </w:t>
      </w:r>
      <w:r w:rsidR="00C4226B">
        <w:t>станало окончателно</w:t>
      </w:r>
      <w:r>
        <w:t xml:space="preserve"> на 16 декември 2019 г., Специал</w:t>
      </w:r>
      <w:r w:rsidR="00C4226B">
        <w:t>изираната</w:t>
      </w:r>
      <w:r>
        <w:t xml:space="preserve"> прокуратура по въпросите, свързани с организираната престъпност прекрат</w:t>
      </w:r>
      <w:r w:rsidR="00C4226B">
        <w:t>ява</w:t>
      </w:r>
      <w:r>
        <w:t xml:space="preserve"> наказателното производство срещу </w:t>
      </w:r>
      <w:r w:rsidR="00C4226B">
        <w:t>заинтересованото</w:t>
      </w:r>
      <w:r>
        <w:t xml:space="preserve"> лице за останалите обвинения, по-специално тези, свързани с участие в престъпна организация.</w:t>
      </w:r>
    </w:p>
    <w:p w:rsidR="00E80AF2" w:rsidRPr="00807C04" w:rsidRDefault="00807C04" w:rsidP="00807C04">
      <w:pPr>
        <w:pStyle w:val="JuPara"/>
      </w:pPr>
      <w:bookmarkStart w:id="32" w:name="para25a"/>
      <w:r>
        <w:t>25</w:t>
      </w:r>
      <w:bookmarkEnd w:id="32"/>
      <w:r>
        <w:t xml:space="preserve">.  С решение от 26 ноември 2018 г. Специализираният съд оправдава г-н Илиев по обвинението за участие в престъпна организация и го признава за виновен, в лично качество, за </w:t>
      </w:r>
      <w:r w:rsidR="00C4226B">
        <w:t>упражняването на незаконна лихварска дейност</w:t>
      </w:r>
      <w:r>
        <w:t>. Осъден е на три години условно лишаване от свобода.</w:t>
      </w:r>
    </w:p>
    <w:p w:rsidR="00E80AF2" w:rsidRPr="00807C04" w:rsidRDefault="00807C04" w:rsidP="00807C04">
      <w:pPr>
        <w:pStyle w:val="JuPara"/>
      </w:pPr>
      <w:bookmarkStart w:id="33" w:name="para26a"/>
      <w:r>
        <w:t>26</w:t>
      </w:r>
      <w:bookmarkEnd w:id="33"/>
      <w:r>
        <w:t>.  Той обжалва това решение и към 19 февруари 2020 г. наказателното производство срещу него все още е висящо пред Апелативния специализиран наказателен съд по въпросите за организираната престъпност.</w:t>
      </w:r>
    </w:p>
    <w:p w:rsidR="00E80AF2" w:rsidRPr="00807C04" w:rsidRDefault="00AE42E6" w:rsidP="00807C04">
      <w:pPr>
        <w:pStyle w:val="JuHHead"/>
        <w:numPr>
          <w:ilvl w:val="0"/>
          <w:numId w:val="1"/>
        </w:numPr>
      </w:pPr>
      <w:bookmarkStart w:id="34" w:name="_Hlk36127227"/>
      <w:r>
        <w:rPr>
          <w:caps w:val="0"/>
        </w:rPr>
        <w:t>ПРИЛОЖИМА ПРАВНА РАМКА И ПРАКТИКА</w:t>
      </w:r>
    </w:p>
    <w:p w:rsidR="00E80AF2" w:rsidRPr="00807C04" w:rsidRDefault="00807C04" w:rsidP="00807C04">
      <w:pPr>
        <w:pStyle w:val="JuPara"/>
      </w:pPr>
      <w:bookmarkStart w:id="35" w:name="para27a"/>
      <w:bookmarkEnd w:id="34"/>
      <w:r>
        <w:t>27</w:t>
      </w:r>
      <w:bookmarkEnd w:id="35"/>
      <w:r>
        <w:t>.  </w:t>
      </w:r>
      <w:bookmarkStart w:id="36" w:name="_Hlk36127236"/>
      <w:r w:rsidR="00AE42E6">
        <w:t>Приложимото</w:t>
      </w:r>
      <w:r>
        <w:t xml:space="preserve"> национално законодателство </w:t>
      </w:r>
      <w:r w:rsidR="00A86C73">
        <w:t>относно</w:t>
      </w:r>
      <w:r>
        <w:t xml:space="preserve"> претърсвания</w:t>
      </w:r>
      <w:r w:rsidR="00A86C73">
        <w:t xml:space="preserve">та </w:t>
      </w:r>
      <w:r>
        <w:t>и изземвания</w:t>
      </w:r>
      <w:r w:rsidR="00A86C73">
        <w:t>та</w:t>
      </w:r>
      <w:r>
        <w:t xml:space="preserve">, както и съответните разпоредби на Закона за </w:t>
      </w:r>
      <w:r w:rsidR="00AC1F39">
        <w:t xml:space="preserve">отговорност на </w:t>
      </w:r>
      <w:r>
        <w:t>държав</w:t>
      </w:r>
      <w:r w:rsidR="00AC1F39">
        <w:t>ата</w:t>
      </w:r>
      <w:r>
        <w:t xml:space="preserve"> и общин</w:t>
      </w:r>
      <w:r w:rsidR="00AC1F39">
        <w:t>ите</w:t>
      </w:r>
      <w:r>
        <w:t xml:space="preserve"> за вреди, са обобщени в </w:t>
      </w:r>
      <w:r w:rsidR="00A86C73">
        <w:t xml:space="preserve">решението по делото </w:t>
      </w:r>
      <w:r>
        <w:rPr>
          <w:i/>
          <w:iCs/>
        </w:rPr>
        <w:t>Гуцанови</w:t>
      </w:r>
      <w:r>
        <w:t xml:space="preserve"> </w:t>
      </w:r>
      <w:r>
        <w:rPr>
          <w:i/>
        </w:rPr>
        <w:t xml:space="preserve">срещу България </w:t>
      </w:r>
      <w:r>
        <w:t xml:space="preserve">(№ 34529/10, §§ 59 и 67, ЕСПЧ (Европейски съд по правата на човека, </w:t>
      </w:r>
      <w:proofErr w:type="spellStart"/>
      <w:r>
        <w:t>б.пр</w:t>
      </w:r>
      <w:proofErr w:type="spellEnd"/>
      <w:r>
        <w:t>.), 2013 г.).</w:t>
      </w:r>
      <w:bookmarkEnd w:id="36"/>
    </w:p>
    <w:p w:rsidR="00E80AF2" w:rsidRPr="00807C04" w:rsidRDefault="00807C04" w:rsidP="00807C04">
      <w:pPr>
        <w:pStyle w:val="JuPara"/>
      </w:pPr>
      <w:bookmarkStart w:id="37" w:name="para28a"/>
      <w:r>
        <w:t>28</w:t>
      </w:r>
      <w:bookmarkEnd w:id="37"/>
      <w:r>
        <w:t>.  Съгласно член 227, алинея 1 и член 230, алинея 1 от Закона за МВР от 2006 г., в сила към момента на настъпване на събитията, министърът или по-висш</w:t>
      </w:r>
      <w:r w:rsidR="00A86C73">
        <w:t>естоящ</w:t>
      </w:r>
      <w:r>
        <w:t xml:space="preserve"> служител може да образува дисциплинарно производство срещу </w:t>
      </w:r>
      <w:r w:rsidR="007306EA">
        <w:t>държавни служители</w:t>
      </w:r>
      <w:r>
        <w:t xml:space="preserve"> на </w:t>
      </w:r>
      <w:r w:rsidR="00A6463A">
        <w:t>М</w:t>
      </w:r>
      <w:r>
        <w:t xml:space="preserve">инистерството за нарушаване на професионалната дисциплина или на </w:t>
      </w:r>
      <w:r w:rsidR="00FF2FEC">
        <w:t>Кодекса за поведение на служителите в държавната администрация</w:t>
      </w:r>
      <w:r w:rsidR="00FF2FEC" w:rsidDel="00FF2FEC">
        <w:t xml:space="preserve"> </w:t>
      </w:r>
      <w:r>
        <w:t xml:space="preserve">(член 224, алинея 1 от </w:t>
      </w:r>
      <w:r w:rsidR="00AC1F39">
        <w:t>З</w:t>
      </w:r>
      <w:r>
        <w:t xml:space="preserve">акона). Това би могло да доведе до налагането на една от следните дисциплинарни санкции: устно или писмено предупреждение, порицание, временна забрана за участие във вътрешни </w:t>
      </w:r>
      <w:r>
        <w:lastRenderedPageBreak/>
        <w:t xml:space="preserve">конкурси за повишаване, понижаване, уволнение (член 226, алинея 1 от Закона). Процедурата включва дисциплинарно разследване с участието на </w:t>
      </w:r>
      <w:r w:rsidR="00FF2FEC">
        <w:t>служител</w:t>
      </w:r>
      <w:r w:rsidR="00A86C73">
        <w:t>я</w:t>
      </w:r>
      <w:r>
        <w:t xml:space="preserve"> (член 230, алинеи 2 и 3 от Закона), което при необходимост води до писмено решение за налагане на дисциплинарна санкция, за </w:t>
      </w:r>
      <w:r w:rsidR="00FF2FEC">
        <w:t>което</w:t>
      </w:r>
      <w:r w:rsidR="00FF2FEC" w:rsidRPr="00513897">
        <w:t xml:space="preserve"> </w:t>
      </w:r>
      <w:r w:rsidR="00FF2FEC">
        <w:rPr>
          <w:lang w:val="en-US"/>
        </w:rPr>
        <w:t>e</w:t>
      </w:r>
      <w:r w:rsidR="00FF2FEC">
        <w:t xml:space="preserve"> уведомен служител</w:t>
      </w:r>
      <w:r w:rsidR="00A86C73">
        <w:t>я</w:t>
      </w:r>
      <w:r>
        <w:t xml:space="preserve"> (член 232 от Закона) и може да бъде оспорено пред административните съдилища (член 233 от Закона). Нито една разпоредба на закона или неговите </w:t>
      </w:r>
      <w:r w:rsidR="00FF2FEC">
        <w:t xml:space="preserve">преходни и заключително </w:t>
      </w:r>
      <w:r>
        <w:t>разпоредб</w:t>
      </w:r>
      <w:r w:rsidR="00FF2FEC">
        <w:t xml:space="preserve">и </w:t>
      </w:r>
      <w:r>
        <w:t xml:space="preserve"> не предвижда възможност за физическо лице да започне директно такова дисциплинарно производство срещу </w:t>
      </w:r>
      <w:r w:rsidR="00FF2FEC">
        <w:t xml:space="preserve">служител на </w:t>
      </w:r>
      <w:r w:rsidR="00A86C73">
        <w:t>м</w:t>
      </w:r>
      <w:r>
        <w:t>инистерството, да участва в такова производство или да оспори решението да не се налага дисциплинарно наказание на съответния служител.</w:t>
      </w:r>
    </w:p>
    <w:p w:rsidR="00E80AF2" w:rsidRPr="00807C04" w:rsidRDefault="00AE42E6" w:rsidP="00807C04">
      <w:pPr>
        <w:pStyle w:val="JuHHead"/>
      </w:pPr>
      <w:bookmarkStart w:id="38" w:name="_Hlk36127250"/>
      <w:r>
        <w:rPr>
          <w:caps w:val="0"/>
        </w:rPr>
        <w:t>ПРАВОТО</w:t>
      </w:r>
    </w:p>
    <w:bookmarkEnd w:id="38"/>
    <w:p w:rsidR="00E80AF2" w:rsidRPr="00807C04" w:rsidRDefault="00A6463A" w:rsidP="00807C04">
      <w:pPr>
        <w:pStyle w:val="JuHIRoman"/>
      </w:pPr>
      <w:r>
        <w:t>Обединяване</w:t>
      </w:r>
      <w:r w:rsidR="00E80AF2">
        <w:t xml:space="preserve"> НА ЖАЛБИ</w:t>
      </w:r>
    </w:p>
    <w:p w:rsidR="00E80AF2" w:rsidRPr="00807C04" w:rsidRDefault="00807C04" w:rsidP="00807C04">
      <w:pPr>
        <w:pStyle w:val="JuPara"/>
      </w:pPr>
      <w:r>
        <w:t xml:space="preserve">29.  С оглед на сходството </w:t>
      </w:r>
      <w:r w:rsidR="00A6463A">
        <w:t>в</w:t>
      </w:r>
      <w:r>
        <w:t xml:space="preserve"> предмета на </w:t>
      </w:r>
      <w:r w:rsidR="00604DD1">
        <w:t xml:space="preserve">жалбите </w:t>
      </w:r>
      <w:r>
        <w:t>Съдът реш</w:t>
      </w:r>
      <w:r w:rsidR="00604DD1">
        <w:t>ава</w:t>
      </w:r>
      <w:r>
        <w:t xml:space="preserve"> да ги обедини (член 42, </w:t>
      </w:r>
      <w:r w:rsidR="00A6463A">
        <w:t>параграф</w:t>
      </w:r>
      <w:r>
        <w:t xml:space="preserve"> 1 от Правилника) и да ги разгледа заедно в едно решение.</w:t>
      </w:r>
    </w:p>
    <w:p w:rsidR="00E80AF2" w:rsidRPr="00807C04" w:rsidRDefault="00A6463A" w:rsidP="00807C04">
      <w:pPr>
        <w:pStyle w:val="JuHIRoman"/>
      </w:pPr>
      <w:bookmarkStart w:id="39" w:name="_Hlk36127423"/>
      <w:bookmarkStart w:id="40" w:name="_Hlk34839031"/>
      <w:r>
        <w:t>Твърдяното</w:t>
      </w:r>
      <w:r w:rsidR="00E80AF2">
        <w:t xml:space="preserve"> НАРУШЕНИЕ НА ЧЛЕН 3 ОТ КОНВЕНЦИЯТА</w:t>
      </w:r>
      <w:bookmarkEnd w:id="39"/>
    </w:p>
    <w:p w:rsidR="00E80AF2" w:rsidRPr="00807C04" w:rsidRDefault="00807C04" w:rsidP="00807C04">
      <w:pPr>
        <w:pStyle w:val="JuPara"/>
      </w:pPr>
      <w:r>
        <w:t xml:space="preserve">30.  Жалбоподателите твърдят, че в резултат на </w:t>
      </w:r>
      <w:r w:rsidR="00604DD1">
        <w:t xml:space="preserve">полицейската </w:t>
      </w:r>
      <w:r w:rsidR="00A6463A">
        <w:t>операцията</w:t>
      </w:r>
      <w:r>
        <w:t xml:space="preserve"> в техните домове </w:t>
      </w:r>
      <w:r w:rsidR="00604DD1">
        <w:t xml:space="preserve">те </w:t>
      </w:r>
      <w:r>
        <w:t>са били подложени на третиране, несъвместимо с член 3 от Конвенцията, който гласи, както следва:</w:t>
      </w:r>
      <w:bookmarkStart w:id="41" w:name="_Hlk36127508"/>
    </w:p>
    <w:p w:rsidR="00E80AF2" w:rsidRPr="00807C04" w:rsidRDefault="00E80AF2" w:rsidP="00807C04">
      <w:pPr>
        <w:pStyle w:val="JuQuot"/>
      </w:pPr>
      <w:bookmarkStart w:id="42" w:name="_Hlk36127545"/>
      <w:bookmarkEnd w:id="41"/>
      <w:r>
        <w:t>„Никой не може да бъде подл</w:t>
      </w:r>
      <w:r w:rsidR="00AE42E6">
        <w:t>ожен</w:t>
      </w:r>
      <w:r>
        <w:t xml:space="preserve"> на изтезания</w:t>
      </w:r>
      <w:r w:rsidR="00AE42E6">
        <w:t xml:space="preserve"> или</w:t>
      </w:r>
      <w:r>
        <w:t xml:space="preserve"> нечовешко или унизително отношение или наказание. “</w:t>
      </w:r>
    </w:p>
    <w:p w:rsidR="00E80AF2" w:rsidRPr="00807C04" w:rsidRDefault="00AE42E6" w:rsidP="00807C04">
      <w:pPr>
        <w:pStyle w:val="JuHA"/>
        <w:numPr>
          <w:ilvl w:val="2"/>
          <w:numId w:val="1"/>
        </w:numPr>
      </w:pPr>
      <w:r>
        <w:t xml:space="preserve">Допустимост </w:t>
      </w:r>
      <w:bookmarkEnd w:id="42"/>
    </w:p>
    <w:p w:rsidR="00E80AF2" w:rsidRPr="00807C04" w:rsidRDefault="00E80AF2" w:rsidP="00807C04">
      <w:pPr>
        <w:pStyle w:val="JuH1"/>
      </w:pPr>
      <w:r>
        <w:t>Доводи на страните</w:t>
      </w:r>
    </w:p>
    <w:p w:rsidR="00E80AF2" w:rsidRPr="00807C04" w:rsidRDefault="00807C04" w:rsidP="00807C04">
      <w:pPr>
        <w:pStyle w:val="JuPara"/>
      </w:pPr>
      <w:bookmarkStart w:id="43" w:name="para31a"/>
      <w:r>
        <w:t>31</w:t>
      </w:r>
      <w:bookmarkEnd w:id="43"/>
      <w:r>
        <w:t>.  </w:t>
      </w:r>
      <w:bookmarkStart w:id="44" w:name="_Hlk36127558"/>
      <w:r>
        <w:t xml:space="preserve">Правителството </w:t>
      </w:r>
      <w:r w:rsidR="00604DD1">
        <w:t xml:space="preserve">повдига </w:t>
      </w:r>
      <w:r>
        <w:t>възра</w:t>
      </w:r>
      <w:r w:rsidR="00604DD1">
        <w:t xml:space="preserve">жение за неизчерпване на </w:t>
      </w:r>
      <w:r>
        <w:t xml:space="preserve"> вътреш</w:t>
      </w:r>
      <w:r w:rsidR="00604DD1">
        <w:t>ноправните</w:t>
      </w:r>
      <w:r>
        <w:t xml:space="preserve"> средства защита. Подчертав</w:t>
      </w:r>
      <w:r w:rsidR="00BF7EBF">
        <w:t>а</w:t>
      </w:r>
      <w:r>
        <w:t xml:space="preserve"> на първо място, че жалбоподателите не са сезирали компетентните органи за търсене на дисциплинарна отговорност на въпросните полицейски служители за действията им по време на полицейската операция в съответните  </w:t>
      </w:r>
      <w:r w:rsidR="00604DD1">
        <w:t>жилища</w:t>
      </w:r>
      <w:r>
        <w:t>. На второ място, жалбоподателите също не са подали иск за обезщетение на основание член 1, алинея 1 от Закона за отговорността на държавата и общините за вреди</w:t>
      </w:r>
      <w:bookmarkEnd w:id="44"/>
      <w:r>
        <w:t>.</w:t>
      </w:r>
    </w:p>
    <w:p w:rsidR="00E80AF2" w:rsidRPr="00807C04" w:rsidRDefault="00807C04" w:rsidP="00807C04">
      <w:pPr>
        <w:pStyle w:val="JuPara"/>
      </w:pPr>
      <w:r>
        <w:t xml:space="preserve">32.  Жалбоподателите твърдят, че националните средства за правна защита, предложени от правителството, не са достатъчно ефективни и достъпни. Те посочват, че дисциплинарното производство по Закона за МВР може да бъде образувано само от министъра или </w:t>
      </w:r>
      <w:r w:rsidR="00BF7EBF">
        <w:t xml:space="preserve"> </w:t>
      </w:r>
      <w:r>
        <w:t>ви</w:t>
      </w:r>
      <w:r w:rsidR="00604DD1">
        <w:t>с</w:t>
      </w:r>
      <w:r>
        <w:t xml:space="preserve">шестоящо </w:t>
      </w:r>
      <w:r>
        <w:lastRenderedPageBreak/>
        <w:t xml:space="preserve">лице спрямо </w:t>
      </w:r>
      <w:r w:rsidR="00BF7EBF">
        <w:t>замесените</w:t>
      </w:r>
      <w:r>
        <w:t xml:space="preserve"> полицаи. Вътрешното законодателство не предвижда </w:t>
      </w:r>
      <w:r w:rsidR="00D332C7">
        <w:t>конституирането</w:t>
      </w:r>
      <w:r>
        <w:t xml:space="preserve"> като страна в производствата предполагаеми жертви на малтретиране от полицейски служители. Жертвите нямат възможност да оспорят евентуалния отказ за налагане на дисциплинарна санкция и не могат да отправят иск за финанс</w:t>
      </w:r>
      <w:r w:rsidR="00606CAE">
        <w:t>ово</w:t>
      </w:r>
      <w:r>
        <w:t xml:space="preserve"> </w:t>
      </w:r>
      <w:r w:rsidR="00606CAE">
        <w:t>обезщетение</w:t>
      </w:r>
      <w:r>
        <w:t xml:space="preserve"> в контекста на настоящата процедура. Освен това в настоящия случай полицейските служители не са действали по собствена инициатива, а са следвали разпорежданията на органите на наказателното преследване, които са планирали и ръководили въпросната операция.</w:t>
      </w:r>
    </w:p>
    <w:p w:rsidR="00E80AF2" w:rsidRPr="00807C04" w:rsidRDefault="00807C04" w:rsidP="00807C04">
      <w:pPr>
        <w:pStyle w:val="JuPara"/>
      </w:pPr>
      <w:r>
        <w:t xml:space="preserve">33.  Жалбоподателите добавят, че компенсаторните </w:t>
      </w:r>
      <w:r w:rsidR="00D332C7">
        <w:t xml:space="preserve">средства </w:t>
      </w:r>
      <w:r>
        <w:t xml:space="preserve">за защита, на които се позовава правителството, а именно иск за обезщетение за вреди по член 1, алинея 1 от Закона за отговорността на държавата и общините за вреди, също не може да се считат за достатъчно ефективни. Като се позовават на решенията по делото </w:t>
      </w:r>
      <w:r>
        <w:rPr>
          <w:i/>
        </w:rPr>
        <w:t>Илия Стефанов срещу България</w:t>
      </w:r>
      <w:r>
        <w:t xml:space="preserve"> (№ 65755/01, § 28, 22 май 2008 г.) и </w:t>
      </w:r>
      <w:r>
        <w:rPr>
          <w:i/>
          <w:iCs/>
        </w:rPr>
        <w:t>Гуцанови</w:t>
      </w:r>
      <w:r>
        <w:t xml:space="preserve"> (цитирано по-горе, § 94), жалбоподателите посочват, че тази правна разпоредба може да се прилага само в случай на упражняване на административната функция, докато въпросната полицейска операция е била проведена в рамките на наказателно производство и е имала за цел да </w:t>
      </w:r>
      <w:r w:rsidR="00D332C7">
        <w:t xml:space="preserve">разреши </w:t>
      </w:r>
      <w:r>
        <w:t xml:space="preserve">претърсването на домовете им. При тези обстоятелства такова компенсаторно действие не би имало </w:t>
      </w:r>
      <w:r w:rsidR="00606CAE">
        <w:t xml:space="preserve">вероятни </w:t>
      </w:r>
      <w:r>
        <w:t>шансове за успех.</w:t>
      </w:r>
    </w:p>
    <w:p w:rsidR="00E80AF2" w:rsidRPr="00807C04" w:rsidRDefault="00E80AF2" w:rsidP="00807C04">
      <w:pPr>
        <w:pStyle w:val="JuH1"/>
      </w:pPr>
      <w:r>
        <w:t>Преценката на Съда</w:t>
      </w:r>
    </w:p>
    <w:p w:rsidR="00E80AF2" w:rsidRPr="00807C04" w:rsidRDefault="00807C04" w:rsidP="00807C04">
      <w:pPr>
        <w:pStyle w:val="JuPara"/>
      </w:pPr>
      <w:r>
        <w:t xml:space="preserve">34.  Общите принципи за изчерпване на </w:t>
      </w:r>
      <w:r w:rsidR="00A742B3">
        <w:t>вътрешно</w:t>
      </w:r>
      <w:r>
        <w:t>правни</w:t>
      </w:r>
      <w:r w:rsidR="00CE0E02">
        <w:t>те</w:t>
      </w:r>
      <w:r>
        <w:t xml:space="preserve"> средства за защита бяха припомнени от </w:t>
      </w:r>
      <w:r w:rsidR="00A742B3">
        <w:t>Голяма камара</w:t>
      </w:r>
      <w:r>
        <w:t xml:space="preserve"> в решението </w:t>
      </w:r>
      <w:proofErr w:type="spellStart"/>
      <w:r>
        <w:rPr>
          <w:i/>
          <w:iCs/>
        </w:rPr>
        <w:t>Вучкович</w:t>
      </w:r>
      <w:proofErr w:type="spellEnd"/>
      <w:r>
        <w:t xml:space="preserve"> (</w:t>
      </w:r>
      <w:proofErr w:type="spellStart"/>
      <w:r>
        <w:rPr>
          <w:i/>
          <w:iCs/>
        </w:rPr>
        <w:t>Vučković</w:t>
      </w:r>
      <w:proofErr w:type="spellEnd"/>
      <w:r>
        <w:rPr>
          <w:i/>
          <w:iCs/>
        </w:rPr>
        <w:t>)</w:t>
      </w:r>
      <w:r>
        <w:t xml:space="preserve"> </w:t>
      </w:r>
      <w:r>
        <w:rPr>
          <w:i/>
        </w:rPr>
        <w:t xml:space="preserve">и други срещу Сърбия </w:t>
      </w:r>
      <w:r>
        <w:t xml:space="preserve">((предварително възражение) [РС (разширен състав, </w:t>
      </w:r>
      <w:proofErr w:type="spellStart"/>
      <w:r>
        <w:t>б.пр</w:t>
      </w:r>
      <w:proofErr w:type="spellEnd"/>
      <w:r>
        <w:t>.)],</w:t>
      </w:r>
      <w:r>
        <w:rPr>
          <w:vertAlign w:val="superscript"/>
        </w:rPr>
        <w:t xml:space="preserve"> </w:t>
      </w:r>
      <w:r>
        <w:t xml:space="preserve">№№ 17153/11 и 29, § 69 -77, 25 март 2014 г.). По-специално изискването за изчерпване на </w:t>
      </w:r>
      <w:r w:rsidR="00CE0E02">
        <w:t xml:space="preserve">вътрешноправните </w:t>
      </w:r>
      <w:r>
        <w:t>средствата за защита на национално равнище изисква жалбоподателите да използват нормално наличните и достатъчни средства за правна защита, за да могат да получат обезщетение за нарушенията, които твърдят, че са извършени. Такива средства за правна защита трябва да съществуват в достатъчна степен, на практика и на теория, в противен случай им липсва ефективност и достъпност (</w:t>
      </w:r>
      <w:r>
        <w:rPr>
          <w:i/>
        </w:rPr>
        <w:t>пак там</w:t>
      </w:r>
      <w:r>
        <w:t>, § 71).</w:t>
      </w:r>
    </w:p>
    <w:p w:rsidR="00E80AF2" w:rsidRPr="00807C04" w:rsidRDefault="00807C04" w:rsidP="00807C04">
      <w:pPr>
        <w:pStyle w:val="JuPara"/>
      </w:pPr>
      <w:bookmarkStart w:id="45" w:name="para35a"/>
      <w:r>
        <w:t>35</w:t>
      </w:r>
      <w:bookmarkEnd w:id="45"/>
      <w:r>
        <w:t xml:space="preserve">.  Що се отнася до първата част от възражението </w:t>
      </w:r>
      <w:r w:rsidR="00CE0E02">
        <w:t>за</w:t>
      </w:r>
      <w:r>
        <w:t xml:space="preserve"> неизчерпване, повдигнато от правителството, а именно възможността за образуване на дисциплинарно производство срещу полицейските служители, участващи във въпросната операция, Съдът припомня в началото, че когато дадено лице твърди, че е претърпяло, от полицията или други подобни служби на държавата, тежки неправомерни злоупотреби, противоречащи на член 3, тази разпоредба, в съчетание с общото задължение, наложено на държавата с член 1 от Конвенцията, да „[</w:t>
      </w:r>
      <w:r w:rsidR="00B10085">
        <w:t>осигуряват</w:t>
      </w:r>
      <w:r>
        <w:t xml:space="preserve">] на всяко лице </w:t>
      </w:r>
      <w:r w:rsidR="00B10085">
        <w:t>под</w:t>
      </w:r>
      <w:r>
        <w:t xml:space="preserve"> своята юрисдикция, правата и </w:t>
      </w:r>
      <w:r>
        <w:lastRenderedPageBreak/>
        <w:t>свободите, определени [...] [</w:t>
      </w:r>
      <w:r w:rsidR="00B10085">
        <w:t>на тази</w:t>
      </w:r>
      <w:r>
        <w:t xml:space="preserve"> Конвенция ]“, изисква по подразбиране да има ефективно официално разследване. Това разследване, подобно на разследването, произтичащо от член 2, трябва да може да доведе до идентифициране и наказване на отговорните лица (вж. </w:t>
      </w:r>
      <w:r>
        <w:rPr>
          <w:i/>
        </w:rPr>
        <w:t>Асенов и др. срещу България</w:t>
      </w:r>
      <w:r>
        <w:t xml:space="preserve">, 28 октомври 1998 г., § 102, </w:t>
      </w:r>
      <w:r>
        <w:rPr>
          <w:i/>
          <w:iCs/>
        </w:rPr>
        <w:t>Доклади</w:t>
      </w:r>
      <w:r>
        <w:t xml:space="preserve"> за </w:t>
      </w:r>
      <w:r>
        <w:rPr>
          <w:i/>
        </w:rPr>
        <w:t>съдебни решения и решения</w:t>
      </w:r>
      <w:r>
        <w:t xml:space="preserve"> 1998-VIII, и </w:t>
      </w:r>
      <w:proofErr w:type="spellStart"/>
      <w:r>
        <w:rPr>
          <w:i/>
          <w:iCs/>
        </w:rPr>
        <w:t>Лабита</w:t>
      </w:r>
      <w:proofErr w:type="spellEnd"/>
      <w:r>
        <w:t xml:space="preserve"> (</w:t>
      </w:r>
      <w:proofErr w:type="spellStart"/>
      <w:r>
        <w:rPr>
          <w:i/>
        </w:rPr>
        <w:t>Labita</w:t>
      </w:r>
      <w:proofErr w:type="spellEnd"/>
      <w:r>
        <w:rPr>
          <w:i/>
        </w:rPr>
        <w:t>) срещу Италия</w:t>
      </w:r>
      <w:r>
        <w:t xml:space="preserve"> [РС],</w:t>
      </w:r>
      <w:r>
        <w:rPr>
          <w:vertAlign w:val="superscript"/>
        </w:rPr>
        <w:t xml:space="preserve"> </w:t>
      </w:r>
      <w:r>
        <w:t xml:space="preserve">№ 26772/95, § 131, ЕСПЧ 2000-IV) и да осигури, </w:t>
      </w:r>
      <w:proofErr w:type="spellStart"/>
      <w:r>
        <w:t>inter</w:t>
      </w:r>
      <w:proofErr w:type="spellEnd"/>
      <w:r>
        <w:t xml:space="preserve"> </w:t>
      </w:r>
      <w:proofErr w:type="spellStart"/>
      <w:r>
        <w:t>alia</w:t>
      </w:r>
      <w:proofErr w:type="spellEnd"/>
      <w:r>
        <w:t>, ефективен достъп на жалбоподателя до процедурата по разследване (</w:t>
      </w:r>
      <w:proofErr w:type="spellStart"/>
      <w:r>
        <w:rPr>
          <w:i/>
          <w:iCs/>
        </w:rPr>
        <w:t>Бати</w:t>
      </w:r>
      <w:proofErr w:type="spellEnd"/>
      <w:r>
        <w:t xml:space="preserve"> (</w:t>
      </w:r>
      <w:proofErr w:type="spellStart"/>
      <w:r>
        <w:t>Batı</w:t>
      </w:r>
      <w:proofErr w:type="spellEnd"/>
      <w:r>
        <w:t>)</w:t>
      </w:r>
      <w:r>
        <w:rPr>
          <w:i/>
        </w:rPr>
        <w:t xml:space="preserve"> и др. срещу Турция</w:t>
      </w:r>
      <w:r>
        <w:t>,</w:t>
      </w:r>
      <w:r>
        <w:rPr>
          <w:vertAlign w:val="superscript"/>
        </w:rPr>
        <w:t xml:space="preserve"> </w:t>
      </w:r>
      <w:r>
        <w:t>№№ 33097/96 и 57834/00, § 137, ЕСПЧ 2004 г.-IV (извлечения).</w:t>
      </w:r>
    </w:p>
    <w:p w:rsidR="00E80AF2" w:rsidRPr="00807C04" w:rsidRDefault="00807C04" w:rsidP="00807C04">
      <w:pPr>
        <w:pStyle w:val="JuPara"/>
      </w:pPr>
      <w:r>
        <w:t>36.  Трябва да се отбележи, че съгласно вътрешното законодателство, което е в сила към момента на събитията, дисциплинарно разследване срещу длъжностни лица на МВР може да бъде започнато само по инициатива на министъра или на ви</w:t>
      </w:r>
      <w:r w:rsidR="00CE0E02">
        <w:t>с</w:t>
      </w:r>
      <w:r>
        <w:t>шестоящо лице спрямо длъжностните лица</w:t>
      </w:r>
      <w:r w:rsidR="00CE0E02">
        <w:t>,</w:t>
      </w:r>
      <w:r>
        <w:t xml:space="preserve"> и че физически лица не могат самостоятелно да инициират или да участват в такова разследване или да оспорват решението да не се налага дисциплинарна санкция на въпросното длъжностно лице (точка 28 по-горе). От това следва, че това средство за правна защита не може да се счита за достатъчно ефективно съгласно член 35 от Конвенцията за отстраняване на предполагаемото нарушение на член 3 и поради това Съдът не може да изисква предварителното му изчерпване от жалбоподателите по делото.</w:t>
      </w:r>
    </w:p>
    <w:p w:rsidR="00E80AF2" w:rsidRPr="00807C04" w:rsidRDefault="00807C04" w:rsidP="00807C04">
      <w:pPr>
        <w:pStyle w:val="JuPara"/>
      </w:pPr>
      <w:r>
        <w:t xml:space="preserve">37.  По отношение на втората част от възражението, повдигнато от правителството, Съдът припомня, че вече се е произнесъл относно ефективността на исковата молба за обезщетение за вреди, предвидена в член 1, алинея 1 от Закона за отговорността на държавата и общините за вреди в подобни случаи, чиито факти датират от същия период. В решението си по дело </w:t>
      </w:r>
      <w:r>
        <w:rPr>
          <w:i/>
          <w:iCs/>
        </w:rPr>
        <w:t>Гуцанови</w:t>
      </w:r>
      <w:r>
        <w:t xml:space="preserve">, посочено по-горе, той заключава, </w:t>
      </w:r>
      <w:proofErr w:type="spellStart"/>
      <w:r>
        <w:t>inter</w:t>
      </w:r>
      <w:proofErr w:type="spellEnd"/>
      <w:r>
        <w:t xml:space="preserve"> </w:t>
      </w:r>
      <w:proofErr w:type="spellStart"/>
      <w:r>
        <w:t>alia</w:t>
      </w:r>
      <w:proofErr w:type="spellEnd"/>
      <w:r>
        <w:t>, че поради недостатъците на вътрешното законодателство това действие не може да се разглежда като достатъчно ефективно национално средство за правна защита за жалбоподателите, които са били поставени в положение, идентично с това на жалбоподателите по делото: това компенсаторно средство срещу държавата е било неефективно с оглед на ограничения обхват на проверката</w:t>
      </w:r>
      <w:r>
        <w:rPr>
          <w:i/>
        </w:rPr>
        <w:t>,</w:t>
      </w:r>
      <w:r>
        <w:t xml:space="preserve"> която националните съдилища биха могли да извършат в контекста на такава процедура (вж. също </w:t>
      </w:r>
      <w:r>
        <w:rPr>
          <w:i/>
          <w:iCs/>
        </w:rPr>
        <w:t>Говедарски срещу</w:t>
      </w:r>
      <w:r>
        <w:t xml:space="preserve"> </w:t>
      </w:r>
      <w:r>
        <w:rPr>
          <w:i/>
        </w:rPr>
        <w:t>България</w:t>
      </w:r>
      <w:r>
        <w:t>,</w:t>
      </w:r>
      <w:r>
        <w:rPr>
          <w:vertAlign w:val="superscript"/>
        </w:rPr>
        <w:t xml:space="preserve"> </w:t>
      </w:r>
      <w:r>
        <w:t>№ 34957/12, § 38, 16 февруари 2016 г.). Съдът счита, че в настоящия случай са необходими същите заключения.</w:t>
      </w:r>
    </w:p>
    <w:p w:rsidR="00E80AF2" w:rsidRPr="00807C04" w:rsidRDefault="00807C04" w:rsidP="00807C04">
      <w:pPr>
        <w:pStyle w:val="JuPara"/>
      </w:pPr>
      <w:bookmarkStart w:id="46" w:name="para38a"/>
      <w:r>
        <w:t>38</w:t>
      </w:r>
      <w:bookmarkEnd w:id="46"/>
      <w:r>
        <w:t>.  По тези причини Съдът счита, че възражението на правителството за неизчерпване следва да бъде отхвърлено.</w:t>
      </w:r>
    </w:p>
    <w:p w:rsidR="00E80AF2" w:rsidRPr="00807C04" w:rsidRDefault="00807C04" w:rsidP="00807C04">
      <w:pPr>
        <w:pStyle w:val="JuPara"/>
      </w:pPr>
      <w:r>
        <w:t>39.  </w:t>
      </w:r>
      <w:bookmarkStart w:id="47" w:name="_Hlk36127606"/>
      <w:r>
        <w:t>Като отбелязва, че тази жалба не е явно неоснователна или недопустима на каквото и да е друго основание, посочено в член 35 от Конвенцията, Съдът я обявява за допустима.</w:t>
      </w:r>
      <w:bookmarkEnd w:id="47"/>
    </w:p>
    <w:p w:rsidR="00E80AF2" w:rsidRPr="00807C04" w:rsidRDefault="00E80AF2" w:rsidP="00807C04">
      <w:pPr>
        <w:pStyle w:val="JuHA"/>
      </w:pPr>
      <w:bookmarkStart w:id="48" w:name="_Hlk36127650"/>
      <w:r>
        <w:t>Фактическа обстановка</w:t>
      </w:r>
      <w:bookmarkEnd w:id="48"/>
    </w:p>
    <w:p w:rsidR="00E80AF2" w:rsidRPr="00807C04" w:rsidRDefault="00E80AF2" w:rsidP="00807C04">
      <w:pPr>
        <w:pStyle w:val="JuH1"/>
      </w:pPr>
      <w:r>
        <w:t>Доводи на страните</w:t>
      </w:r>
    </w:p>
    <w:p w:rsidR="00E80AF2" w:rsidRPr="00807C04" w:rsidRDefault="00E80AF2" w:rsidP="00807C04">
      <w:pPr>
        <w:pStyle w:val="JuHa0"/>
      </w:pPr>
      <w:r>
        <w:t>Жалбоподателите</w:t>
      </w:r>
    </w:p>
    <w:p w:rsidR="00E80AF2" w:rsidRPr="00807C04" w:rsidRDefault="00807C04" w:rsidP="00807C04">
      <w:pPr>
        <w:pStyle w:val="JuPara"/>
      </w:pPr>
      <w:r>
        <w:t>40.  Жалбоподателите твърдят, че начинът, по който е проведена полицейската операция в домове</w:t>
      </w:r>
      <w:r w:rsidR="00FC2EB7">
        <w:t>те им</w:t>
      </w:r>
      <w:r>
        <w:t xml:space="preserve">, е несъвместим с член 3 от Конвенцията. На 18 април 2011 г. в ранните сутрешни часове две групи тежковъоръжени полицаи с качулки са влезли в домовете им. Специалните агенти са насочили оръжието си към жалбоподателите и са </w:t>
      </w:r>
      <w:r w:rsidR="00FC2EB7">
        <w:t>задържали</w:t>
      </w:r>
      <w:r>
        <w:t xml:space="preserve"> и закопчали с белезници г-н Илиев и г-н Ганчев.</w:t>
      </w:r>
    </w:p>
    <w:p w:rsidR="00E80AF2" w:rsidRPr="00807C04" w:rsidRDefault="00807C04" w:rsidP="00807C04">
      <w:pPr>
        <w:pStyle w:val="JuPara"/>
        <w:keepNext/>
        <w:keepLines/>
      </w:pPr>
      <w:r>
        <w:t>41.  Жалбоподателите считат, че не е имало основание за планиране и изпълнение на полицейската операция по този начин: Г-н Илиев и г-н Ганчев са заподозрени в ненасилствени престъпления, били са без криминалн</w:t>
      </w:r>
      <w:r w:rsidR="003213BE">
        <w:t>и</w:t>
      </w:r>
      <w:r>
        <w:t xml:space="preserve"> досие</w:t>
      </w:r>
      <w:r w:rsidR="003213BE">
        <w:t>та</w:t>
      </w:r>
      <w:r>
        <w:t xml:space="preserve">, и няма основание да се смята, че </w:t>
      </w:r>
      <w:r w:rsidR="00D63EC0">
        <w:t>биха</w:t>
      </w:r>
      <w:r>
        <w:t xml:space="preserve"> оказали съпротива на органите на реда. Претърсването на </w:t>
      </w:r>
      <w:r w:rsidR="00D63EC0">
        <w:t>домовете им</w:t>
      </w:r>
      <w:r>
        <w:t xml:space="preserve"> не би могло да попадне в категорията на </w:t>
      </w:r>
      <w:r w:rsidR="00D63EC0">
        <w:t>спешните</w:t>
      </w:r>
      <w:r>
        <w:t xml:space="preserve"> процесуално-следствени действия на основание член 161, алинея 2 от НПК (Наказателно-процесуален кодекс, </w:t>
      </w:r>
      <w:proofErr w:type="spellStart"/>
      <w:r>
        <w:t>б.пр</w:t>
      </w:r>
      <w:proofErr w:type="spellEnd"/>
      <w:r>
        <w:t>.).</w:t>
      </w:r>
    </w:p>
    <w:p w:rsidR="00E80AF2" w:rsidRPr="00807C04" w:rsidRDefault="00807C04" w:rsidP="00807C04">
      <w:pPr>
        <w:pStyle w:val="JuPara"/>
      </w:pPr>
      <w:r>
        <w:t xml:space="preserve">42.  При подготовката и изпълнението на полицейската операция </w:t>
      </w:r>
      <w:r w:rsidR="00D63EC0">
        <w:t>органите на реда не са си дали сметка за</w:t>
      </w:r>
      <w:r>
        <w:t xml:space="preserve"> присъствието на останалите жалбоподатели, които по никакъв начин не са </w:t>
      </w:r>
      <w:r w:rsidR="00D63EC0">
        <w:t>замесени в предполагаемите престъпления,</w:t>
      </w:r>
      <w:r w:rsidR="003213BE">
        <w:t xml:space="preserve"> </w:t>
      </w:r>
      <w:r w:rsidR="00D63EC0">
        <w:t xml:space="preserve">извършени от </w:t>
      </w:r>
      <w:r>
        <w:t>г-н Илиев и г-н Ганчев.</w:t>
      </w:r>
    </w:p>
    <w:p w:rsidR="00E80AF2" w:rsidRPr="00807C04" w:rsidRDefault="00807C04" w:rsidP="00807C04">
      <w:pPr>
        <w:pStyle w:val="JuPara"/>
      </w:pPr>
      <w:bookmarkStart w:id="49" w:name="para43a"/>
      <w:r>
        <w:t>43</w:t>
      </w:r>
      <w:bookmarkEnd w:id="49"/>
      <w:r>
        <w:t xml:space="preserve">.  Действията на полицейските служители са оказали </w:t>
      </w:r>
      <w:r w:rsidR="00D367D2" w:rsidRPr="00D367D2">
        <w:t>неблагоприятно въздействие</w:t>
      </w:r>
      <w:r w:rsidR="00D367D2" w:rsidRPr="00D367D2" w:rsidDel="00D367D2">
        <w:t xml:space="preserve"> </w:t>
      </w:r>
      <w:r>
        <w:t xml:space="preserve"> върху всички жалбоподатели. Психологическите последици</w:t>
      </w:r>
      <w:r w:rsidR="00D367D2">
        <w:t xml:space="preserve"> от </w:t>
      </w:r>
      <w:r>
        <w:t xml:space="preserve">унижението и тревожността, изпитвани от жалбоподателите, </w:t>
      </w:r>
      <w:r w:rsidR="00D367D2">
        <w:t>са</w:t>
      </w:r>
      <w:r>
        <w:t xml:space="preserve"> били достатъчно тежки, за да надхвърлят </w:t>
      </w:r>
      <w:r w:rsidR="00D367D2">
        <w:t xml:space="preserve">допустимия </w:t>
      </w:r>
      <w:r>
        <w:t>праг за прилагането на член 3 от Конвенцията, и да квалифицират предполагаемото третиране като нечовешко и унизително.</w:t>
      </w:r>
    </w:p>
    <w:p w:rsidR="00E80AF2" w:rsidRPr="00807C04" w:rsidRDefault="00E80AF2" w:rsidP="00807C04">
      <w:pPr>
        <w:pStyle w:val="JuHa0"/>
      </w:pPr>
      <w:r>
        <w:t>Правителството</w:t>
      </w:r>
    </w:p>
    <w:p w:rsidR="00E80AF2" w:rsidRPr="00807C04" w:rsidRDefault="00807C04" w:rsidP="000B7DF3">
      <w:pPr>
        <w:pStyle w:val="JuPara"/>
      </w:pPr>
      <w:r>
        <w:t>44.  Правителството възразява срещу доводите на жалбоподателите. То признава, че въпросната операция е проведена от екипи на областната дирекция на министерството, в които</w:t>
      </w:r>
      <w:r w:rsidR="000B7DF3">
        <w:t xml:space="preserve"> </w:t>
      </w:r>
      <w:r>
        <w:t xml:space="preserve"> наред с </w:t>
      </w:r>
      <w:r w:rsidR="000B7DF3">
        <w:t>останалите</w:t>
      </w:r>
      <w:r>
        <w:t xml:space="preserve">, са били включени </w:t>
      </w:r>
      <w:r w:rsidR="000B7DF3">
        <w:t xml:space="preserve">и </w:t>
      </w:r>
      <w:r>
        <w:t xml:space="preserve">служители, специално обучени да противодействат на евентуална съпротива от страна на г-н Илиев и г-н Ганчев. Служителите обаче не са </w:t>
      </w:r>
      <w:r w:rsidR="000B7DF3">
        <w:t xml:space="preserve">влезли </w:t>
      </w:r>
      <w:r w:rsidR="003213BE">
        <w:t xml:space="preserve">с </w:t>
      </w:r>
      <w:r w:rsidR="000B7DF3">
        <w:t>взлом</w:t>
      </w:r>
      <w:r>
        <w:t xml:space="preserve"> в домове</w:t>
      </w:r>
      <w:r w:rsidR="000B7DF3">
        <w:t>те</w:t>
      </w:r>
      <w:r>
        <w:t xml:space="preserve"> на жалбоподателите, </w:t>
      </w:r>
      <w:r w:rsidR="006362F9">
        <w:t>имуществото</w:t>
      </w:r>
      <w:r>
        <w:t xml:space="preserve"> им </w:t>
      </w:r>
      <w:r w:rsidR="006362F9">
        <w:t xml:space="preserve">не </w:t>
      </w:r>
      <w:r>
        <w:t>е бил повреден</w:t>
      </w:r>
      <w:r w:rsidR="006362F9">
        <w:t>о</w:t>
      </w:r>
      <w:r>
        <w:t xml:space="preserve"> и не са претърпели телесни</w:t>
      </w:r>
      <w:r w:rsidR="006362F9">
        <w:t xml:space="preserve"> увреждания</w:t>
      </w:r>
      <w:r>
        <w:t>.</w:t>
      </w:r>
    </w:p>
    <w:p w:rsidR="00E80AF2" w:rsidRPr="00807C04" w:rsidRDefault="00807C04" w:rsidP="00807C04">
      <w:pPr>
        <w:pStyle w:val="JuPara"/>
      </w:pPr>
      <w:r>
        <w:t xml:space="preserve">45.  Правителството счита, че полицейската операция е била надлежно планирана и проведена при зачитане на достойнството и правата на жалбоподателите. Претърсването </w:t>
      </w:r>
      <w:r w:rsidR="000B7DF3">
        <w:t>на</w:t>
      </w:r>
      <w:r>
        <w:t xml:space="preserve"> домове</w:t>
      </w:r>
      <w:r w:rsidR="000B7DF3">
        <w:t>те</w:t>
      </w:r>
      <w:r>
        <w:t xml:space="preserve"> на жалбоподателите е било част от наказателна процедура, свързана със сериозни </w:t>
      </w:r>
      <w:r w:rsidR="006362F9">
        <w:t>обстоятелства</w:t>
      </w:r>
      <w:r>
        <w:t xml:space="preserve">, </w:t>
      </w:r>
      <w:r w:rsidR="00173472">
        <w:t>за което властите</w:t>
      </w:r>
      <w:r>
        <w:t xml:space="preserve"> предварително са получили необходимите съдебни разрешения и тези процесуално-следствени действия са били извършени при стриктно спазване на приложимите процедури и формалности.</w:t>
      </w:r>
    </w:p>
    <w:p w:rsidR="00E80AF2" w:rsidRPr="00807C04" w:rsidRDefault="00807C04" w:rsidP="00807C04">
      <w:pPr>
        <w:pStyle w:val="JuPara"/>
      </w:pPr>
      <w:r>
        <w:t xml:space="preserve">46.  Според правителството, служителите на МВР са се държали професионално и с уважение към жалбоподателите. Зачитали са изцяло правата им, не са ги подлагали на нечовешко или унизително отношение и не са имали намерение да ги нараняват, унижават или сплашват, нито да прибягват до прекомерна сила. Твърденията на жалбоподателите за противното не </w:t>
      </w:r>
      <w:r w:rsidR="003213BE">
        <w:t>са били</w:t>
      </w:r>
      <w:r>
        <w:t xml:space="preserve"> подкрепени с никакви доказателства.</w:t>
      </w:r>
    </w:p>
    <w:p w:rsidR="00E80AF2" w:rsidRPr="00807C04" w:rsidRDefault="00807C04" w:rsidP="00807C04">
      <w:pPr>
        <w:pStyle w:val="JuPara"/>
        <w:keepNext/>
        <w:keepLines/>
      </w:pPr>
      <w:r>
        <w:t xml:space="preserve">47.  Накрая, правителството счита, че настоящият случай трябва да се разграничи от положението на жалбоподателите по делото  </w:t>
      </w:r>
      <w:r>
        <w:rPr>
          <w:i/>
          <w:iCs/>
        </w:rPr>
        <w:t>Гуцанови</w:t>
      </w:r>
      <w:r>
        <w:t xml:space="preserve"> (цитирано по-горе), тъй като участващите служители не са били от специалните части на министерството, а са били обикновени полицейски служители на областната дирекция във Велико Търново</w:t>
      </w:r>
      <w:r w:rsidR="008514DE">
        <w:t xml:space="preserve"> и</w:t>
      </w:r>
      <w:r>
        <w:t xml:space="preserve"> операцията е била проведена през деня по </w:t>
      </w:r>
      <w:proofErr w:type="spellStart"/>
      <w:r>
        <w:t>нетрав</w:t>
      </w:r>
      <w:r w:rsidR="008514DE">
        <w:t>миращ</w:t>
      </w:r>
      <w:proofErr w:type="spellEnd"/>
      <w:r>
        <w:t xml:space="preserve"> начин и без </w:t>
      </w:r>
      <w:r w:rsidR="008514DE">
        <w:t>жестокост</w:t>
      </w:r>
      <w:r>
        <w:t xml:space="preserve">. Освен това </w:t>
      </w:r>
      <w:r w:rsidR="008514DE">
        <w:t>властите</w:t>
      </w:r>
      <w:r>
        <w:t xml:space="preserve"> са имали </w:t>
      </w:r>
      <w:r w:rsidR="003213BE">
        <w:t xml:space="preserve">мотивирани </w:t>
      </w:r>
      <w:r>
        <w:t>съдебни разрешения, които им дават възможност да претърсят</w:t>
      </w:r>
      <w:r w:rsidR="008514DE">
        <w:t xml:space="preserve"> </w:t>
      </w:r>
      <w:r>
        <w:t>домове</w:t>
      </w:r>
      <w:r w:rsidR="008514DE">
        <w:t>те</w:t>
      </w:r>
      <w:r>
        <w:t xml:space="preserve"> на жалбоподателите.</w:t>
      </w:r>
    </w:p>
    <w:p w:rsidR="00E80AF2" w:rsidRPr="00807C04" w:rsidRDefault="00E80AF2" w:rsidP="00807C04">
      <w:pPr>
        <w:pStyle w:val="JuH1"/>
      </w:pPr>
      <w:r>
        <w:t>Преценката на Съда</w:t>
      </w:r>
    </w:p>
    <w:p w:rsidR="00E80AF2" w:rsidRPr="00807C04" w:rsidRDefault="00E80AF2" w:rsidP="00807C04">
      <w:pPr>
        <w:pStyle w:val="JuHa0"/>
      </w:pPr>
      <w:r>
        <w:t>Общи принципи</w:t>
      </w:r>
    </w:p>
    <w:p w:rsidR="00E80AF2" w:rsidRPr="00807C04" w:rsidRDefault="00807C04" w:rsidP="00807C04">
      <w:pPr>
        <w:pStyle w:val="JuPara"/>
      </w:pPr>
      <w:bookmarkStart w:id="50" w:name="_Hlk36127691"/>
      <w:r>
        <w:t>48.  Съдът припомня, че за да попадне в приложното поле на член 3 от Конвенцията,</w:t>
      </w:r>
      <w:r w:rsidR="008A4ACE">
        <w:t xml:space="preserve"> </w:t>
      </w:r>
      <w:r w:rsidR="00D3022C">
        <w:t xml:space="preserve">лошото </w:t>
      </w:r>
      <w:r w:rsidR="003213BE">
        <w:t>третиране</w:t>
      </w:r>
      <w:r>
        <w:t xml:space="preserve"> трябва да достигне минимална степен на тежест. </w:t>
      </w:r>
      <w:r w:rsidR="00D3022C">
        <w:t>Преценката</w:t>
      </w:r>
      <w:r>
        <w:t xml:space="preserve"> на тази минимална степен има относителен характер, тя зависи от всички данни </w:t>
      </w:r>
      <w:r w:rsidR="00D3022C">
        <w:t>по случая</w:t>
      </w:r>
      <w:r>
        <w:t>, и по-специално от продължителността на отношението, неговите физически или псих</w:t>
      </w:r>
      <w:r w:rsidR="00D5330B">
        <w:t>ическите</w:t>
      </w:r>
      <w:r>
        <w:t xml:space="preserve"> последици, а понякога и от пола, възрастта и здравословното състояние на жертвата. Съдът постановява, че отношението е „нечовешко “, по-специално поради умишленото му </w:t>
      </w:r>
      <w:r w:rsidR="00D5330B">
        <w:t>налагане</w:t>
      </w:r>
      <w:r>
        <w:t xml:space="preserve"> </w:t>
      </w:r>
      <w:r w:rsidR="00D5330B">
        <w:t>с</w:t>
      </w:r>
      <w:r>
        <w:t xml:space="preserve"> часове и телесни</w:t>
      </w:r>
      <w:r w:rsidR="00D5330B">
        <w:t>те</w:t>
      </w:r>
      <w:r>
        <w:t xml:space="preserve"> повреди или причинени</w:t>
      </w:r>
      <w:r w:rsidR="00D5330B">
        <w:t>те</w:t>
      </w:r>
      <w:r>
        <w:t xml:space="preserve"> тежки физически и психически страдания. Той счита, че отношението е „унизително“, тъй като е вероятно да създаде в жертвите си чувства на страх, мъка и малоценност,</w:t>
      </w:r>
      <w:r w:rsidR="007D7D72">
        <w:t xml:space="preserve"> </w:t>
      </w:r>
      <w:r w:rsidR="00D5330B">
        <w:t>които</w:t>
      </w:r>
      <w:r>
        <w:t xml:space="preserve"> да ги униж</w:t>
      </w:r>
      <w:r w:rsidR="00D5330B">
        <w:t>ат</w:t>
      </w:r>
      <w:r>
        <w:t xml:space="preserve"> и опетн</w:t>
      </w:r>
      <w:r w:rsidR="00D5330B">
        <w:t>ят</w:t>
      </w:r>
      <w:r>
        <w:t xml:space="preserve"> (</w:t>
      </w:r>
      <w:proofErr w:type="spellStart"/>
      <w:r>
        <w:rPr>
          <w:i/>
          <w:iCs/>
        </w:rPr>
        <w:t>Лабита</w:t>
      </w:r>
      <w:proofErr w:type="spellEnd"/>
      <w:r>
        <w:rPr>
          <w:i/>
          <w:iCs/>
        </w:rPr>
        <w:t xml:space="preserve"> (</w:t>
      </w:r>
      <w:proofErr w:type="spellStart"/>
      <w:r>
        <w:rPr>
          <w:i/>
          <w:iCs/>
        </w:rPr>
        <w:t>Labita</w:t>
      </w:r>
      <w:proofErr w:type="spellEnd"/>
      <w:r>
        <w:rPr>
          <w:i/>
          <w:iCs/>
        </w:rPr>
        <w:t>)</w:t>
      </w:r>
      <w:r>
        <w:t>, цитирано по-горе, § 120). Псих</w:t>
      </w:r>
      <w:r w:rsidR="00D5330B">
        <w:t>ическото</w:t>
      </w:r>
      <w:r>
        <w:t xml:space="preserve"> страдание може да е резултат от ситуация, при която </w:t>
      </w:r>
      <w:r w:rsidR="007D7D72">
        <w:t xml:space="preserve">длъжностните лица </w:t>
      </w:r>
      <w:r>
        <w:t xml:space="preserve">умишлено създават чувство на страх у жертвите, като ги заплашват със смърт или </w:t>
      </w:r>
      <w:r w:rsidR="00D5330B">
        <w:t>насилие</w:t>
      </w:r>
      <w:r>
        <w:t xml:space="preserve"> (</w:t>
      </w:r>
      <w:r>
        <w:rPr>
          <w:i/>
          <w:iCs/>
        </w:rPr>
        <w:t>Христови</w:t>
      </w:r>
      <w:r>
        <w:rPr>
          <w:i/>
        </w:rPr>
        <w:t xml:space="preserve"> срещу България</w:t>
      </w:r>
      <w:r>
        <w:t>,</w:t>
      </w:r>
      <w:r>
        <w:rPr>
          <w:vertAlign w:val="superscript"/>
        </w:rPr>
        <w:t xml:space="preserve"> </w:t>
      </w:r>
      <w:r>
        <w:t>№ 42697/05, § 80, 11 октомври 2011 г.).</w:t>
      </w:r>
    </w:p>
    <w:p w:rsidR="00E80AF2" w:rsidRPr="00807C04" w:rsidRDefault="00807C04" w:rsidP="00807C04">
      <w:pPr>
        <w:pStyle w:val="JuPara"/>
      </w:pPr>
      <w:r>
        <w:t>49.  Съдът припомня също, че член 3 от Конвенцията не забранява използването на сила от полицейски служители по време на задържане. Въпреки това използването на сила трябва да бъде пропорционално и абсолютно необходимо</w:t>
      </w:r>
      <w:r w:rsidR="00D5330B">
        <w:t xml:space="preserve"> съобразно</w:t>
      </w:r>
      <w:r>
        <w:t xml:space="preserve"> обстоятелствата по делото (вж. </w:t>
      </w:r>
      <w:proofErr w:type="spellStart"/>
      <w:r>
        <w:rPr>
          <w:i/>
        </w:rPr>
        <w:t>Rehbock</w:t>
      </w:r>
      <w:proofErr w:type="spellEnd"/>
      <w:r>
        <w:rPr>
          <w:i/>
        </w:rPr>
        <w:t xml:space="preserve"> срещу Словения</w:t>
      </w:r>
      <w:r>
        <w:t>,</w:t>
      </w:r>
      <w:r>
        <w:rPr>
          <w:vertAlign w:val="superscript"/>
        </w:rPr>
        <w:t xml:space="preserve"> </w:t>
      </w:r>
      <w:r>
        <w:t>№ 29462/95, § 76, ЕСПЧ 2000 г.</w:t>
      </w:r>
      <w:r>
        <w:noBreakHyphen/>
        <w:t xml:space="preserve">XII и </w:t>
      </w:r>
      <w:r>
        <w:rPr>
          <w:i/>
          <w:iCs/>
        </w:rPr>
        <w:t>Алтай</w:t>
      </w:r>
      <w:r>
        <w:t xml:space="preserve"> (</w:t>
      </w:r>
      <w:proofErr w:type="spellStart"/>
      <w:r>
        <w:rPr>
          <w:i/>
        </w:rPr>
        <w:t>Altay</w:t>
      </w:r>
      <w:proofErr w:type="spellEnd"/>
      <w:r>
        <w:rPr>
          <w:i/>
        </w:rPr>
        <w:t>) срещу Турция</w:t>
      </w:r>
      <w:r>
        <w:t>,</w:t>
      </w:r>
      <w:r>
        <w:rPr>
          <w:vertAlign w:val="superscript"/>
        </w:rPr>
        <w:t xml:space="preserve"> </w:t>
      </w:r>
      <w:r>
        <w:t xml:space="preserve">№ 22279/93, § 54, 22 май 2001 г.). В това отношение е важно например да се знае дали има основание да се смята, че заинтересованото лице ще се съпротивлява при арест или ще се опита да избяга, или ще причини </w:t>
      </w:r>
      <w:r w:rsidR="00D5330B">
        <w:t>наранявания</w:t>
      </w:r>
      <w:r>
        <w:t xml:space="preserve"> или </w:t>
      </w:r>
      <w:r w:rsidR="00D5330B">
        <w:t>вреди</w:t>
      </w:r>
      <w:r>
        <w:t xml:space="preserve">, или ще </w:t>
      </w:r>
      <w:r w:rsidR="008C7573">
        <w:t>унищожи</w:t>
      </w:r>
      <w:r>
        <w:t xml:space="preserve"> доказателствата (</w:t>
      </w:r>
      <w:proofErr w:type="spellStart"/>
      <w:r>
        <w:rPr>
          <w:i/>
          <w:iCs/>
        </w:rPr>
        <w:t>Ранинен</w:t>
      </w:r>
      <w:proofErr w:type="spellEnd"/>
      <w:r>
        <w:rPr>
          <w:i/>
          <w:iCs/>
        </w:rPr>
        <w:t xml:space="preserve"> (</w:t>
      </w:r>
      <w:proofErr w:type="spellStart"/>
      <w:r>
        <w:rPr>
          <w:i/>
          <w:iCs/>
        </w:rPr>
        <w:t>Raninen</w:t>
      </w:r>
      <w:proofErr w:type="spellEnd"/>
      <w:r>
        <w:rPr>
          <w:i/>
          <w:iCs/>
        </w:rPr>
        <w:t>)</w:t>
      </w:r>
      <w:r>
        <w:rPr>
          <w:i/>
        </w:rPr>
        <w:t xml:space="preserve"> срещу Финландия</w:t>
      </w:r>
      <w:r>
        <w:t xml:space="preserve">, 16 декември 1997 г., § 56, </w:t>
      </w:r>
      <w:r>
        <w:rPr>
          <w:i/>
        </w:rPr>
        <w:t>Доклади</w:t>
      </w:r>
      <w:r>
        <w:t xml:space="preserve"> 1997 г.-VIII). Съдът </w:t>
      </w:r>
      <w:r w:rsidR="008C7573">
        <w:t>иска</w:t>
      </w:r>
      <w:r>
        <w:t xml:space="preserve"> да припомни по-специално, че к</w:t>
      </w:r>
      <w:r>
        <w:rPr>
          <w:rStyle w:val="JuParaChar"/>
        </w:rPr>
        <w:t xml:space="preserve">огато дадено лице е лишено от свобода или, по-общо, е изправено пред служители на </w:t>
      </w:r>
      <w:r w:rsidR="008C7573">
        <w:rPr>
          <w:rStyle w:val="JuParaChar"/>
        </w:rPr>
        <w:t>реда</w:t>
      </w:r>
      <w:r>
        <w:rPr>
          <w:rStyle w:val="JuParaChar"/>
        </w:rPr>
        <w:t>, използването на физическа сила срещу него, когато това не е строго необходимо поради поведението му, нарушава човешкото достойнство и по принцип представлява нарушение на правото, гарантирано от тази разпоредба</w:t>
      </w:r>
      <w:r>
        <w:t xml:space="preserve"> (</w:t>
      </w:r>
      <w:proofErr w:type="spellStart"/>
      <w:r>
        <w:rPr>
          <w:i/>
          <w:iCs/>
        </w:rPr>
        <w:t>Bouyid</w:t>
      </w:r>
      <w:proofErr w:type="spellEnd"/>
      <w:r>
        <w:rPr>
          <w:i/>
        </w:rPr>
        <w:t xml:space="preserve"> срещу Белгия</w:t>
      </w:r>
      <w:r>
        <w:t xml:space="preserve"> [РС],</w:t>
      </w:r>
      <w:r>
        <w:rPr>
          <w:vertAlign w:val="superscript"/>
        </w:rPr>
        <w:t xml:space="preserve"> </w:t>
      </w:r>
      <w:r>
        <w:t>№ 23380/09, §§ 88 и 100, ЕСПЧ 2015 г.). Думите „ по принцип “ не биха могли да се разглеждат като индикация, че</w:t>
      </w:r>
      <w:r w:rsidR="008C7573">
        <w:t xml:space="preserve"> </w:t>
      </w:r>
      <w:r>
        <w:t>има ситуации, при които так</w:t>
      </w:r>
      <w:r w:rsidR="008C7573">
        <w:t>ова заключение</w:t>
      </w:r>
      <w:r>
        <w:t xml:space="preserve"> за нарушение няма да възникне, тъй като не е достигнат прагът на сериозност. При засягане на човешкото достойнство се засяга самата същност на Конвенцията. По тази причина всяко </w:t>
      </w:r>
      <w:r w:rsidR="008C7573">
        <w:t>действие</w:t>
      </w:r>
      <w:r>
        <w:t xml:space="preserve"> на органи</w:t>
      </w:r>
      <w:r w:rsidR="008C7573">
        <w:t>те на реда</w:t>
      </w:r>
      <w:r>
        <w:t xml:space="preserve"> срещу лице, което нарушава човешкото достойнство, представлява нарушение на член 3 от Конвенцията. Това се отнася по-специално до използването</w:t>
      </w:r>
      <w:r w:rsidR="009744D3">
        <w:t xml:space="preserve"> </w:t>
      </w:r>
      <w:r>
        <w:t xml:space="preserve">на физическа сила срещу дадено лице, когато това не е строго необходимо </w:t>
      </w:r>
      <w:r w:rsidR="00A65190">
        <w:t xml:space="preserve">съобразно </w:t>
      </w:r>
      <w:r>
        <w:t>неговото поведение, независимо от въздействието върху съответното лице (</w:t>
      </w:r>
      <w:r>
        <w:rPr>
          <w:i/>
        </w:rPr>
        <w:t>пак там</w:t>
      </w:r>
      <w:r>
        <w:t>, § 101).</w:t>
      </w:r>
    </w:p>
    <w:p w:rsidR="00E80AF2" w:rsidRPr="00807C04" w:rsidRDefault="00807C04" w:rsidP="002D41DF">
      <w:pPr>
        <w:pStyle w:val="JuPara"/>
      </w:pPr>
      <w:r>
        <w:t xml:space="preserve">50.  Накрая Съдът припомня, че твърденията за </w:t>
      </w:r>
      <w:r w:rsidR="00053D36">
        <w:t xml:space="preserve">лошото </w:t>
      </w:r>
      <w:r w:rsidR="00A65190">
        <w:t>третиране</w:t>
      </w:r>
      <w:r>
        <w:t xml:space="preserve">, противно на член 3 от Конвенцията, трябва да бъдат подкрепени пред него с подходящи доказателства. При установяване на фактите той използва доказателствения </w:t>
      </w:r>
      <w:r w:rsidR="002D41DF">
        <w:t>критерий</w:t>
      </w:r>
      <w:r>
        <w:t xml:space="preserve"> „без никакво съмнение“ (</w:t>
      </w:r>
      <w:r>
        <w:rPr>
          <w:i/>
        </w:rPr>
        <w:t>Ирландия срещу Обединеното кралство</w:t>
      </w:r>
      <w:r>
        <w:t xml:space="preserve">, 18 януари 1978 г., § 161 </w:t>
      </w:r>
      <w:proofErr w:type="spellStart"/>
      <w:r>
        <w:rPr>
          <w:i/>
        </w:rPr>
        <w:t>in</w:t>
      </w:r>
      <w:proofErr w:type="spellEnd"/>
      <w:r>
        <w:rPr>
          <w:i/>
        </w:rPr>
        <w:t xml:space="preserve"> </w:t>
      </w:r>
      <w:proofErr w:type="spellStart"/>
      <w:r>
        <w:rPr>
          <w:i/>
        </w:rPr>
        <w:t>fine</w:t>
      </w:r>
      <w:proofErr w:type="spellEnd"/>
      <w:r>
        <w:rPr>
          <w:i/>
        </w:rPr>
        <w:t xml:space="preserve"> (в края, </w:t>
      </w:r>
      <w:proofErr w:type="spellStart"/>
      <w:r>
        <w:rPr>
          <w:i/>
        </w:rPr>
        <w:t>б.пр</w:t>
      </w:r>
      <w:proofErr w:type="spellEnd"/>
      <w:r>
        <w:rPr>
          <w:i/>
        </w:rPr>
        <w:t>.)</w:t>
      </w:r>
      <w:r>
        <w:t>, серия A</w:t>
      </w:r>
      <w:r>
        <w:rPr>
          <w:vertAlign w:val="superscript"/>
        </w:rPr>
        <w:t xml:space="preserve"> </w:t>
      </w:r>
      <w:r>
        <w:t xml:space="preserve">№ 25). Такива доказателства обаче могат да произтичат от </w:t>
      </w:r>
      <w:r w:rsidR="002D41DF" w:rsidRPr="002D41DF">
        <w:t>редица показатели</w:t>
      </w:r>
      <w:r w:rsidR="002D41DF" w:rsidRPr="002D41DF" w:rsidDel="002D41DF">
        <w:t xml:space="preserve"> </w:t>
      </w:r>
      <w:r w:rsidR="002D41DF">
        <w:t xml:space="preserve">или от </w:t>
      </w:r>
      <w:r w:rsidR="00B65406">
        <w:t xml:space="preserve">необорими презумпции, които са </w:t>
      </w:r>
      <w:r w:rsidR="002D41DF">
        <w:t>достатъчно сериозни</w:t>
      </w:r>
      <w:r w:rsidR="00B65406">
        <w:t>, точни и съгласувани</w:t>
      </w:r>
      <w:r w:rsidR="002D41DF">
        <w:t xml:space="preserve"> </w:t>
      </w:r>
      <w:r>
        <w:t>(</w:t>
      </w:r>
      <w:proofErr w:type="spellStart"/>
      <w:r>
        <w:rPr>
          <w:i/>
          <w:iCs/>
        </w:rPr>
        <w:t>Салман</w:t>
      </w:r>
      <w:proofErr w:type="spellEnd"/>
      <w:r>
        <w:t xml:space="preserve"> (</w:t>
      </w:r>
      <w:proofErr w:type="spellStart"/>
      <w:r>
        <w:rPr>
          <w:i/>
        </w:rPr>
        <w:t>Salman</w:t>
      </w:r>
      <w:proofErr w:type="spellEnd"/>
      <w:r>
        <w:rPr>
          <w:i/>
        </w:rPr>
        <w:t>) срещу Турция</w:t>
      </w:r>
      <w:r>
        <w:t xml:space="preserve"> [РС],</w:t>
      </w:r>
      <w:r>
        <w:rPr>
          <w:vertAlign w:val="superscript"/>
        </w:rPr>
        <w:t xml:space="preserve"> </w:t>
      </w:r>
      <w:r>
        <w:t>№ 21986/93, § 100, ЕСПЧ 2000-VII).</w:t>
      </w:r>
    </w:p>
    <w:p w:rsidR="00E80AF2" w:rsidRPr="00807C04" w:rsidRDefault="00E80AF2" w:rsidP="00807C04">
      <w:pPr>
        <w:pStyle w:val="JuHa0"/>
      </w:pPr>
      <w:r>
        <w:t xml:space="preserve">Прилагане </w:t>
      </w:r>
      <w:r w:rsidR="00B65406">
        <w:t>на тези принципи в случая</w:t>
      </w:r>
    </w:p>
    <w:bookmarkEnd w:id="50"/>
    <w:p w:rsidR="00E80AF2" w:rsidRPr="00807C04" w:rsidRDefault="00807C04" w:rsidP="00807C04">
      <w:pPr>
        <w:pStyle w:val="JuPara"/>
        <w:rPr>
          <w:b/>
          <w:bCs/>
        </w:rPr>
      </w:pPr>
      <w:r>
        <w:t>51.  </w:t>
      </w:r>
      <w:bookmarkStart w:id="51" w:name="_Hlk36127707"/>
      <w:r>
        <w:t xml:space="preserve">Що се отнася до фактите по делото, Съдът отбелязва, че </w:t>
      </w:r>
      <w:bookmarkEnd w:id="51"/>
      <w:r w:rsidR="00B65406">
        <w:t xml:space="preserve">на първо място </w:t>
      </w:r>
      <w:r>
        <w:t xml:space="preserve">въпросната полицейска операция е </w:t>
      </w:r>
      <w:r w:rsidR="002F0690">
        <w:t>преследвала</w:t>
      </w:r>
      <w:r>
        <w:t xml:space="preserve"> закон</w:t>
      </w:r>
      <w:r w:rsidR="002F0690">
        <w:t>ната</w:t>
      </w:r>
      <w:r>
        <w:t xml:space="preserve"> цел </w:t>
      </w:r>
      <w:r w:rsidR="00D05018">
        <w:t xml:space="preserve">за </w:t>
      </w:r>
      <w:r>
        <w:t>извърш</w:t>
      </w:r>
      <w:r w:rsidR="00D05018">
        <w:t>ване на</w:t>
      </w:r>
      <w:r>
        <w:t xml:space="preserve"> арест, претърсване и изземване, както и цел от общ</w:t>
      </w:r>
      <w:r w:rsidR="002F0690">
        <w:t xml:space="preserve">ествен </w:t>
      </w:r>
      <w:r>
        <w:t xml:space="preserve"> интерес</w:t>
      </w:r>
      <w:r w:rsidR="00D05018">
        <w:t xml:space="preserve">, свързана с </w:t>
      </w:r>
      <w:r>
        <w:t xml:space="preserve"> </w:t>
      </w:r>
      <w:r w:rsidR="002F0690">
        <w:t>борба</w:t>
      </w:r>
      <w:r w:rsidR="00D05018">
        <w:t>та</w:t>
      </w:r>
      <w:r w:rsidR="002F0690">
        <w:t xml:space="preserve"> с престъпността</w:t>
      </w:r>
      <w:r>
        <w:t xml:space="preserve">. </w:t>
      </w:r>
      <w:r w:rsidR="00D05018">
        <w:t>Т</w:t>
      </w:r>
      <w:r>
        <w:t xml:space="preserve">рябва да </w:t>
      </w:r>
      <w:r w:rsidR="00D05018">
        <w:t xml:space="preserve">се </w:t>
      </w:r>
      <w:r>
        <w:t>гарантира, че при обстоятелствата по делото</w:t>
      </w:r>
      <w:r w:rsidR="00AB7898">
        <w:t xml:space="preserve"> има</w:t>
      </w:r>
      <w:r>
        <w:t xml:space="preserve"> справедлив баланс между изискванията на общ</w:t>
      </w:r>
      <w:r w:rsidR="002F0690">
        <w:t>ествения</w:t>
      </w:r>
      <w:r>
        <w:t xml:space="preserve"> интерес</w:t>
      </w:r>
      <w:r w:rsidR="002F0690">
        <w:t xml:space="preserve"> </w:t>
      </w:r>
      <w:r>
        <w:t xml:space="preserve">и защитата на основните </w:t>
      </w:r>
      <w:r w:rsidR="00AB7898">
        <w:t>права на човека</w:t>
      </w:r>
      <w:r>
        <w:t xml:space="preserve">. </w:t>
      </w:r>
      <w:r w:rsidR="00D05018">
        <w:t>Съдът о</w:t>
      </w:r>
      <w:r>
        <w:t xml:space="preserve">тбелязва, че жалбоподателите не са пострадали физически по време на двете оспорвани полицейски </w:t>
      </w:r>
      <w:r w:rsidR="00AB7898">
        <w:t xml:space="preserve">акции </w:t>
      </w:r>
      <w:r>
        <w:t>и че полицейските служители не са</w:t>
      </w:r>
      <w:r w:rsidR="00AB7898">
        <w:t xml:space="preserve"> влезли взлом</w:t>
      </w:r>
      <w:r>
        <w:t xml:space="preserve"> в домовете им. </w:t>
      </w:r>
      <w:r w:rsidR="00AB7898">
        <w:t>Акциите</w:t>
      </w:r>
      <w:r>
        <w:t xml:space="preserve"> обаче са включвали употреба на физическа сила: няколко маскирани и въоръжени полицаи са нахлули изненадващо в домовете на жалбоподателите много рано сутринта и са изблъскали</w:t>
      </w:r>
      <w:r>
        <w:rPr>
          <w:vertAlign w:val="superscript"/>
        </w:rPr>
        <w:t xml:space="preserve"> </w:t>
      </w:r>
      <w:r>
        <w:t xml:space="preserve">г-жа Илиева и г-жа Ганчева (точки 9 и 16 по-горе), г-н Илиев и г-н Ганчев били </w:t>
      </w:r>
      <w:r w:rsidR="00AB7898">
        <w:t>задържани с лице към земята</w:t>
      </w:r>
      <w:r>
        <w:t xml:space="preserve"> и са им сложени белезници (точки 10 и 17 по-горе). Следователно Съдът трябва да установи дали тази употреба на физическа сила е била строго необходима </w:t>
      </w:r>
      <w:r w:rsidR="00AB7898">
        <w:t>съобразно</w:t>
      </w:r>
      <w:r>
        <w:t xml:space="preserve"> поведението на жалбоподателите (</w:t>
      </w:r>
      <w:proofErr w:type="spellStart"/>
      <w:r>
        <w:rPr>
          <w:i/>
          <w:iCs/>
        </w:rPr>
        <w:t>Bouyid</w:t>
      </w:r>
      <w:proofErr w:type="spellEnd"/>
      <w:r>
        <w:t>,</w:t>
      </w:r>
      <w:r>
        <w:rPr>
          <w:i/>
        </w:rPr>
        <w:t xml:space="preserve"> цитирано</w:t>
      </w:r>
      <w:r>
        <w:t xml:space="preserve"> по-горе, §§ 100 и 101). Предвид конкретните обстоятелства по делото, Съдът счита за целесъобразно да разгледа поотделно положението на господата Илиев и Ганчев и това на останалите трима жалбоподатели.</w:t>
      </w:r>
    </w:p>
    <w:p w:rsidR="00E80AF2" w:rsidRPr="00807C04" w:rsidRDefault="00E80AF2" w:rsidP="00807C04">
      <w:pPr>
        <w:pStyle w:val="JuHi"/>
      </w:pPr>
      <w:r>
        <w:t>Относно отношението към г-н Илиев и г-н Ганчев</w:t>
      </w:r>
    </w:p>
    <w:p w:rsidR="00E80AF2" w:rsidRPr="00807C04" w:rsidRDefault="00807C04" w:rsidP="00807C04">
      <w:pPr>
        <w:pStyle w:val="JuPara"/>
        <w:keepNext/>
        <w:keepLines/>
      </w:pPr>
      <w:r>
        <w:t xml:space="preserve">52.  Целта на полицейските </w:t>
      </w:r>
      <w:r w:rsidR="00FF1605">
        <w:t>операции</w:t>
      </w:r>
      <w:r>
        <w:t xml:space="preserve"> в </w:t>
      </w:r>
      <w:r w:rsidR="00D05018">
        <w:t xml:space="preserve">жилищата </w:t>
      </w:r>
      <w:r>
        <w:t xml:space="preserve">на жалбоподателите в този ден е била да </w:t>
      </w:r>
      <w:r w:rsidR="00D05018">
        <w:t xml:space="preserve">бъдат </w:t>
      </w:r>
      <w:r>
        <w:t>задържа</w:t>
      </w:r>
      <w:r w:rsidR="00D05018">
        <w:t>ни</w:t>
      </w:r>
      <w:r>
        <w:t xml:space="preserve"> г-н Илиев и г-н Ганчев, </w:t>
      </w:r>
      <w:r w:rsidR="00D05018">
        <w:t xml:space="preserve">като </w:t>
      </w:r>
      <w:r>
        <w:t xml:space="preserve">заподозрени в участие в незаконни финансови </w:t>
      </w:r>
      <w:r w:rsidR="00FF1605">
        <w:t xml:space="preserve">дейности </w:t>
      </w:r>
      <w:r>
        <w:t>и укрива</w:t>
      </w:r>
      <w:r w:rsidR="00FF1605">
        <w:t xml:space="preserve">не </w:t>
      </w:r>
      <w:r>
        <w:t xml:space="preserve">(точка 6 по-горе), както и да се извърши претърсване на </w:t>
      </w:r>
      <w:r w:rsidR="00FF1605">
        <w:t>имотите</w:t>
      </w:r>
      <w:r>
        <w:t xml:space="preserve"> с цел </w:t>
      </w:r>
      <w:r w:rsidR="00FF1605">
        <w:t xml:space="preserve">издирване </w:t>
      </w:r>
      <w:r>
        <w:t xml:space="preserve">на веществени </w:t>
      </w:r>
      <w:r w:rsidR="00FF1605">
        <w:t xml:space="preserve">доказателства </w:t>
      </w:r>
      <w:r>
        <w:t xml:space="preserve">и </w:t>
      </w:r>
      <w:r w:rsidR="00FF1605">
        <w:t>документи</w:t>
      </w:r>
      <w:r>
        <w:t xml:space="preserve"> във връзка със същото наказателно разследване. Според документите в преписката по делото въпросното разследване е започнало шест месеца по-рано и по делото е имало няколко заподозрени (</w:t>
      </w:r>
      <w:r>
        <w:rPr>
          <w:i/>
        </w:rPr>
        <w:t>пак там</w:t>
      </w:r>
      <w:r>
        <w:t>). Очевидно обаче</w:t>
      </w:r>
      <w:r w:rsidR="00D05018" w:rsidRPr="00513897">
        <w:t>,</w:t>
      </w:r>
      <w:r>
        <w:t xml:space="preserve"> това не е била група лица, заподозрени в извършване на насил</w:t>
      </w:r>
      <w:r w:rsidR="00FF1605">
        <w:t>нически</w:t>
      </w:r>
      <w:r>
        <w:t xml:space="preserve"> престъпни де</w:t>
      </w:r>
      <w:r w:rsidR="00FF1605">
        <w:t>йствия</w:t>
      </w:r>
      <w:r>
        <w:t>.</w:t>
      </w:r>
    </w:p>
    <w:p w:rsidR="00E80AF2" w:rsidRPr="00807C04" w:rsidRDefault="00807C04" w:rsidP="00807C04">
      <w:pPr>
        <w:pStyle w:val="JuPara"/>
      </w:pPr>
      <w:r>
        <w:t xml:space="preserve">53.  Вярно е, че за разлика от делото </w:t>
      </w:r>
      <w:r>
        <w:rPr>
          <w:i/>
          <w:iCs/>
        </w:rPr>
        <w:t>Гуцанови</w:t>
      </w:r>
      <w:r>
        <w:t xml:space="preserve"> (цитирано по-горе), в настоящия случай </w:t>
      </w:r>
      <w:r w:rsidR="00FF1605">
        <w:t>властите</w:t>
      </w:r>
      <w:r>
        <w:t xml:space="preserve"> са получили необходимото предварително разрешение за претърсване на домове</w:t>
      </w:r>
      <w:r w:rsidR="00FF1605">
        <w:t>те</w:t>
      </w:r>
      <w:r>
        <w:t xml:space="preserve"> на жалбоподателите (точка 7 по-горе). Трябва обаче да се отбележи, че при упражняване на компетен</w:t>
      </w:r>
      <w:r w:rsidR="00FF1605">
        <w:t>тността</w:t>
      </w:r>
      <w:r>
        <w:t xml:space="preserve">, предоставена им от вътрешното право, съдиите, които са издали тези разрешения, са проучили съответствието на исканите </w:t>
      </w:r>
      <w:r w:rsidR="00FF1605">
        <w:t>претърсвания</w:t>
      </w:r>
      <w:r>
        <w:t xml:space="preserve"> с разпоредбите на вътрешното право, без да се съобразяват с процедурата, която полицейските служители следва да приемат по време на планираните интервенции (</w:t>
      </w:r>
      <w:r>
        <w:rPr>
          <w:i/>
        </w:rPr>
        <w:t>пак там</w:t>
      </w:r>
      <w:r>
        <w:t>).</w:t>
      </w:r>
    </w:p>
    <w:p w:rsidR="00E80AF2" w:rsidRPr="00807C04" w:rsidRDefault="00807C04" w:rsidP="00807C04">
      <w:pPr>
        <w:pStyle w:val="JuPara"/>
      </w:pPr>
      <w:bookmarkStart w:id="52" w:name="para53a"/>
      <w:r>
        <w:t>54</w:t>
      </w:r>
      <w:bookmarkEnd w:id="52"/>
      <w:r>
        <w:t>.  След това Съдът отбелязва, че в преписката няма доказателства в подкрепа на извода, че г-н Илиев и г-н Ганчев са имали случаи на насилствено поведение</w:t>
      </w:r>
      <w:r w:rsidR="00CF710C" w:rsidRPr="00513897">
        <w:t>,</w:t>
      </w:r>
      <w:r>
        <w:t xml:space="preserve"> и че са могли да представляват опасност за полицейските служители, </w:t>
      </w:r>
      <w:r w:rsidR="00CF710C">
        <w:t>извършили</w:t>
      </w:r>
      <w:r>
        <w:t xml:space="preserve"> </w:t>
      </w:r>
      <w:r w:rsidR="00FC5A4F">
        <w:t>акцията</w:t>
      </w:r>
      <w:r>
        <w:t xml:space="preserve"> в домовете им.</w:t>
      </w:r>
    </w:p>
    <w:p w:rsidR="00E80AF2" w:rsidRPr="00807C04" w:rsidRDefault="00807C04" w:rsidP="00807C04">
      <w:pPr>
        <w:pStyle w:val="JuPara"/>
      </w:pPr>
      <w:r>
        <w:t xml:space="preserve">55.  Съдът отбелязва, че нито г-н Илиев, нито г-н Ганчев са оказали съпротива на полицията по време на </w:t>
      </w:r>
      <w:r w:rsidR="00FC5A4F">
        <w:t>акциите</w:t>
      </w:r>
      <w:r>
        <w:t xml:space="preserve"> в домове</w:t>
      </w:r>
      <w:r w:rsidR="00FC5A4F">
        <w:t>те им</w:t>
      </w:r>
      <w:r>
        <w:t xml:space="preserve"> (точки 10 и 17 по-горе).</w:t>
      </w:r>
    </w:p>
    <w:p w:rsidR="00E80AF2" w:rsidRPr="00807C04" w:rsidRDefault="00807C04" w:rsidP="00807C04">
      <w:pPr>
        <w:pStyle w:val="JuPara"/>
      </w:pPr>
      <w:r>
        <w:t xml:space="preserve">56.  Това са ясни признаци за прекомерния характер на поведение на полицейските служители, които са </w:t>
      </w:r>
      <w:r w:rsidR="00CF710C">
        <w:t>по</w:t>
      </w:r>
      <w:r>
        <w:t xml:space="preserve">валили двамата жалбоподатели на земята, принудително са им сложили белезници и са насочили оръжията си към тях (точки 10 и 17 по-горе). Съдът счита, че с оглед на тези обстоятелства степента на употреба на сила срещу г-н Илиев и г-н Ганчев, която не е била строго необходима </w:t>
      </w:r>
      <w:r w:rsidR="00CF710C">
        <w:t xml:space="preserve">съобразно </w:t>
      </w:r>
      <w:r>
        <w:t>поведението им, е нарушила човешкото им достойнство и следователно противоречи на член 3. В резултат на това и двамата жалбоподатели са били подложени на унизително отношение.</w:t>
      </w:r>
    </w:p>
    <w:p w:rsidR="00E80AF2" w:rsidRPr="00807C04" w:rsidRDefault="00807C04" w:rsidP="00807C04">
      <w:pPr>
        <w:pStyle w:val="JuPara"/>
        <w:rPr>
          <w:b/>
          <w:bCs/>
        </w:rPr>
      </w:pPr>
      <w:r>
        <w:t>57.  Следователно по отношение на г-н Илиев и г-н Ганчев е налице нарушение на член 3 от Конвенцията.</w:t>
      </w:r>
    </w:p>
    <w:p w:rsidR="00E80AF2" w:rsidRPr="00807C04" w:rsidRDefault="00E80AF2" w:rsidP="00807C04">
      <w:pPr>
        <w:pStyle w:val="JuHi"/>
      </w:pPr>
      <w:r>
        <w:t>Относно отношението към другите трима жалбоподатели</w:t>
      </w:r>
    </w:p>
    <w:p w:rsidR="00E80AF2" w:rsidRPr="00807C04" w:rsidRDefault="00807C04" w:rsidP="00807C04">
      <w:pPr>
        <w:pStyle w:val="JuPara"/>
        <w:keepNext/>
        <w:keepLines/>
      </w:pPr>
      <w:r>
        <w:t xml:space="preserve">58.  Съдът отбелязва, че </w:t>
      </w:r>
      <w:r w:rsidR="00CF710C">
        <w:t xml:space="preserve">оперативните </w:t>
      </w:r>
      <w:r>
        <w:t>екипи са избрали да не разбиват входните врати на жилищата на жалбоподателите: полицията е позвънила на входните врати и</w:t>
      </w:r>
      <w:r>
        <w:rPr>
          <w:vertAlign w:val="superscript"/>
        </w:rPr>
        <w:t xml:space="preserve"> </w:t>
      </w:r>
      <w:r>
        <w:t>г-жа Илиева и г-жа Ганчева са отишли да отворят (точки 9 и 16 по-горе). В резултат на това екипите, които трябвало да влязат в съответните домове на жалбоподателите, са се оказали лице в лице с двамата жалбоподатели, които не го очаквали. При тези обстоятелства Съдът признава, че именно при влизането си полицията е изблъскала двамата жалбоподатели и за кратко е насочила оръжието си към тях. Затова физическото взаимодействие между полицейските служители и</w:t>
      </w:r>
      <w:r>
        <w:rPr>
          <w:vertAlign w:val="superscript"/>
        </w:rPr>
        <w:t xml:space="preserve"> </w:t>
      </w:r>
      <w:r>
        <w:t>г-жа Илиева и</w:t>
      </w:r>
      <w:r>
        <w:rPr>
          <w:vertAlign w:val="superscript"/>
        </w:rPr>
        <w:t xml:space="preserve"> </w:t>
      </w:r>
      <w:r>
        <w:t>г-жа Ганчева е било много кратко и с минимална интензивност.</w:t>
      </w:r>
    </w:p>
    <w:p w:rsidR="00E80AF2" w:rsidRPr="00807C04" w:rsidRDefault="00807C04" w:rsidP="00807C04">
      <w:pPr>
        <w:pStyle w:val="JuPara"/>
      </w:pPr>
      <w:r>
        <w:t>59.  След това Съдът отбелязва, че според документите в преписката не е имало физически контакт между</w:t>
      </w:r>
      <w:r>
        <w:rPr>
          <w:vertAlign w:val="superscript"/>
        </w:rPr>
        <w:t xml:space="preserve"> </w:t>
      </w:r>
      <w:r>
        <w:t>г-ца</w:t>
      </w:r>
      <w:r>
        <w:rPr>
          <w:vertAlign w:val="superscript"/>
        </w:rPr>
        <w:t xml:space="preserve"> </w:t>
      </w:r>
      <w:r>
        <w:t>Илиева и полицейските служители: тя е видяла баща си да бъде арестуван от полицаите и е реагирала емоционално на това събитие (точка 11 по-горе).</w:t>
      </w:r>
    </w:p>
    <w:p w:rsidR="00E80AF2" w:rsidRPr="00807C04" w:rsidRDefault="00807C04" w:rsidP="006D661E">
      <w:pPr>
        <w:pStyle w:val="JuPara"/>
      </w:pPr>
      <w:r>
        <w:t xml:space="preserve">60.  Съдът не намира доказателства, че полицията е нарушила човешкото достойнство на тези трима жалбоподатели. </w:t>
      </w:r>
      <w:r w:rsidR="00CF710C">
        <w:t>По</w:t>
      </w:r>
      <w:r>
        <w:t xml:space="preserve"> отношение </w:t>
      </w:r>
      <w:r w:rsidR="00CF710C">
        <w:t xml:space="preserve">на това Съда </w:t>
      </w:r>
      <w:r>
        <w:t xml:space="preserve">припомня, че полицейските операции, включващи </w:t>
      </w:r>
      <w:r w:rsidR="00FC5A4F">
        <w:t>операция</w:t>
      </w:r>
      <w:r>
        <w:t xml:space="preserve"> в дома и арестуване на заподозрени, неизбежно пораждат отрицателни емоции сред лицата, обект на тези мерки, което важи и за тримата жалбоподатели (точки 14 и 21 по-горе). Никой от тях обаче не изглежда особено засегнат от действията на полицейските служители, например поради особено крехкото им здравословно състояние или младата възраст на</w:t>
      </w:r>
      <w:r>
        <w:rPr>
          <w:vertAlign w:val="superscript"/>
        </w:rPr>
        <w:t xml:space="preserve"> </w:t>
      </w:r>
      <w:r>
        <w:t xml:space="preserve">г-ца Илиева. В тази връзка следва да се отбележи, че нито един от тримата жалбоподатели не е представил доказателства, за да се заключи, че някоя от тях е страдала от </w:t>
      </w:r>
      <w:r w:rsidR="006D661E">
        <w:t>болест</w:t>
      </w:r>
      <w:r>
        <w:t xml:space="preserve">, която може да се изостри от действията на полицейските служители, и че към момента на </w:t>
      </w:r>
      <w:r w:rsidR="00CF710C">
        <w:t xml:space="preserve">събитията  </w:t>
      </w:r>
      <w:r>
        <w:t xml:space="preserve">г-ца Илиева не е била малко дете, а на деветнадесет години (точка 4 по-горе; вж. </w:t>
      </w:r>
      <w:r>
        <w:rPr>
          <w:i/>
        </w:rPr>
        <w:t xml:space="preserve">a </w:t>
      </w:r>
      <w:proofErr w:type="spellStart"/>
      <w:r>
        <w:rPr>
          <w:i/>
        </w:rPr>
        <w:t>contrario</w:t>
      </w:r>
      <w:proofErr w:type="spellEnd"/>
      <w:r>
        <w:t xml:space="preserve"> (</w:t>
      </w:r>
      <w:r>
        <w:rPr>
          <w:i/>
          <w:iCs/>
        </w:rPr>
        <w:t xml:space="preserve">в обратния смисъл, </w:t>
      </w:r>
      <w:proofErr w:type="spellStart"/>
      <w:r>
        <w:rPr>
          <w:i/>
          <w:iCs/>
        </w:rPr>
        <w:t>б.пр</w:t>
      </w:r>
      <w:proofErr w:type="spellEnd"/>
      <w:r>
        <w:rPr>
          <w:i/>
          <w:iCs/>
        </w:rPr>
        <w:t>.</w:t>
      </w:r>
      <w:r>
        <w:t>)</w:t>
      </w:r>
      <w:r>
        <w:rPr>
          <w:i/>
        </w:rPr>
        <w:t>,</w:t>
      </w:r>
      <w:r>
        <w:t xml:space="preserve"> </w:t>
      </w:r>
      <w:r>
        <w:rPr>
          <w:i/>
          <w:iCs/>
        </w:rPr>
        <w:t>Говедарски</w:t>
      </w:r>
      <w:r>
        <w:t xml:space="preserve"> </w:t>
      </w:r>
      <w:r>
        <w:rPr>
          <w:i/>
        </w:rPr>
        <w:t>срещу България</w:t>
      </w:r>
      <w:r>
        <w:t>,</w:t>
      </w:r>
      <w:r>
        <w:rPr>
          <w:vertAlign w:val="superscript"/>
        </w:rPr>
        <w:t xml:space="preserve"> </w:t>
      </w:r>
      <w:r>
        <w:t>№ 34957/12</w:t>
      </w:r>
      <w:r>
        <w:rPr>
          <w:snapToGrid w:val="0"/>
        </w:rPr>
        <w:t xml:space="preserve">, § 62 </w:t>
      </w:r>
      <w:proofErr w:type="spellStart"/>
      <w:r>
        <w:rPr>
          <w:i/>
          <w:snapToGrid w:val="0"/>
        </w:rPr>
        <w:t>in</w:t>
      </w:r>
      <w:proofErr w:type="spellEnd"/>
      <w:r>
        <w:rPr>
          <w:i/>
          <w:snapToGrid w:val="0"/>
        </w:rPr>
        <w:t xml:space="preserve"> </w:t>
      </w:r>
      <w:proofErr w:type="spellStart"/>
      <w:r>
        <w:rPr>
          <w:i/>
          <w:snapToGrid w:val="0"/>
        </w:rPr>
        <w:t>fine</w:t>
      </w:r>
      <w:proofErr w:type="spellEnd"/>
      <w:r>
        <w:rPr>
          <w:snapToGrid w:val="0"/>
        </w:rPr>
        <w:t xml:space="preserve">, 16 </w:t>
      </w:r>
      <w:r>
        <w:t>февруари</w:t>
      </w:r>
      <w:r>
        <w:rPr>
          <w:snapToGrid w:val="0"/>
        </w:rPr>
        <w:t xml:space="preserve"> 2016 г.</w:t>
      </w:r>
      <w:r>
        <w:t>).</w:t>
      </w:r>
    </w:p>
    <w:p w:rsidR="00E80AF2" w:rsidRPr="00807C04" w:rsidRDefault="00807C04" w:rsidP="00807C04">
      <w:pPr>
        <w:pStyle w:val="JuPara"/>
      </w:pPr>
      <w:r>
        <w:t xml:space="preserve">61.  С оглед на тези </w:t>
      </w:r>
      <w:r w:rsidR="00CF710C">
        <w:t xml:space="preserve">факти </w:t>
      </w:r>
      <w:r>
        <w:t>и при конкретните обстоятелства по делото, Съдът счита, че действията на полицейските служители спрямо тези трима жалбоподатели, които са били много кратки и с ниска интензивност, не изглеждат непропорционални на поведението на</w:t>
      </w:r>
      <w:r>
        <w:rPr>
          <w:vertAlign w:val="superscript"/>
        </w:rPr>
        <w:t xml:space="preserve"> </w:t>
      </w:r>
      <w:r>
        <w:t>г-жа</w:t>
      </w:r>
      <w:r>
        <w:rPr>
          <w:vertAlign w:val="superscript"/>
        </w:rPr>
        <w:t xml:space="preserve"> </w:t>
      </w:r>
      <w:r>
        <w:t>Илиева, г-ца Илиева</w:t>
      </w:r>
      <w:r>
        <w:rPr>
          <w:vertAlign w:val="superscript"/>
        </w:rPr>
        <w:t xml:space="preserve"> </w:t>
      </w:r>
      <w:r>
        <w:t>и</w:t>
      </w:r>
      <w:r>
        <w:rPr>
          <w:vertAlign w:val="superscript"/>
        </w:rPr>
        <w:t xml:space="preserve"> </w:t>
      </w:r>
      <w:r>
        <w:t>г-жа</w:t>
      </w:r>
      <w:r>
        <w:rPr>
          <w:vertAlign w:val="superscript"/>
        </w:rPr>
        <w:t xml:space="preserve"> </w:t>
      </w:r>
      <w:r>
        <w:t>Ганчева в условията на неочаквано и стресиращо събитие, като влизането на полицията в домове</w:t>
      </w:r>
      <w:r w:rsidR="006D661E">
        <w:t>те им</w:t>
      </w:r>
      <w:r>
        <w:t xml:space="preserve"> в ранните сутрешни часове, както и че тези действия не накърняват човешкото им достойнство.</w:t>
      </w:r>
    </w:p>
    <w:p w:rsidR="00E80AF2" w:rsidRPr="00807C04" w:rsidRDefault="00807C04" w:rsidP="00807C04">
      <w:pPr>
        <w:pStyle w:val="JuPara"/>
        <w:rPr>
          <w:b/>
          <w:bCs/>
        </w:rPr>
      </w:pPr>
      <w:r>
        <w:t>62.  Следователно не е налице нарушение на член 3 от Конвенцията по отношение на тримата разглеждани жалбоподатели.</w:t>
      </w:r>
    </w:p>
    <w:p w:rsidR="00E80AF2" w:rsidRPr="00807C04" w:rsidRDefault="00AE42E6" w:rsidP="00807C04">
      <w:pPr>
        <w:pStyle w:val="JuHIRoman"/>
      </w:pPr>
      <w:bookmarkStart w:id="53" w:name="_Hlk36127770"/>
      <w:bookmarkEnd w:id="40"/>
      <w:r>
        <w:t>Твърдения за нарушение</w:t>
      </w:r>
      <w:r w:rsidR="00E80AF2">
        <w:t xml:space="preserve"> НА ЧЛЕН 13 ОТ КОНВЕНЦИЯТА</w:t>
      </w:r>
      <w:bookmarkEnd w:id="53"/>
    </w:p>
    <w:p w:rsidR="00E80AF2" w:rsidRPr="00807C04" w:rsidRDefault="00807C04" w:rsidP="00807C04">
      <w:pPr>
        <w:pStyle w:val="JuPara"/>
      </w:pPr>
      <w:r>
        <w:t>63.  </w:t>
      </w:r>
      <w:bookmarkStart w:id="54" w:name="_Hlk36127792"/>
      <w:r>
        <w:t>Жалбоподателите считат, че не са разполагали с ефективни национални средства за правна защита, за да поправят предполагаемите нарушения на правото си да не бъдат подлагани на унизително отношение. Те се позовават на член 13 от Конвенцията, гласящ, както следва:</w:t>
      </w:r>
    </w:p>
    <w:p w:rsidR="00E80AF2" w:rsidRPr="00807C04" w:rsidRDefault="00E80AF2" w:rsidP="00807C04">
      <w:pPr>
        <w:pStyle w:val="JuQuot"/>
      </w:pPr>
      <w:bookmarkStart w:id="55" w:name="_Hlk36127859"/>
      <w:bookmarkEnd w:id="54"/>
      <w:r>
        <w:t xml:space="preserve">„Всеки, чиито права и свободи, предвидени в (...) Конвенцията, са нарушени, </w:t>
      </w:r>
      <w:r w:rsidR="006D661E">
        <w:t>има право на</w:t>
      </w:r>
      <w:r>
        <w:t xml:space="preserve"> ефикасни правни средства за тяхната защита пред съответн</w:t>
      </w:r>
      <w:r w:rsidR="006D661E">
        <w:t>ите</w:t>
      </w:r>
      <w:r>
        <w:t xml:space="preserve"> националн</w:t>
      </w:r>
      <w:r w:rsidR="006D661E">
        <w:t>и власти</w:t>
      </w:r>
      <w:r>
        <w:t>, дори и нарушението да е извършено от лица, действащи при упражняване на служебни функции.“ »</w:t>
      </w:r>
    </w:p>
    <w:p w:rsidR="00E80AF2" w:rsidRPr="00807C04" w:rsidRDefault="00807C04" w:rsidP="00807C04">
      <w:pPr>
        <w:pStyle w:val="JuPara"/>
      </w:pPr>
      <w:r>
        <w:t>64.  Правителството, като изтъква отново аргументите си относно допустимостта на иска по член 3 (точка 31 по-горе), изтъква, че вътрешното право предоставя на жалбоподателите ефективни вътрешн</w:t>
      </w:r>
      <w:r w:rsidR="00CF710C">
        <w:t>оправни</w:t>
      </w:r>
      <w:r>
        <w:t xml:space="preserve"> средства защита за отстраняване на установеното в настоящия случай нарушение, включително възможността за образуване на дисциплинарно производство срещу полицейски служители и институцията</w:t>
      </w:r>
      <w:r w:rsidR="00CF710C">
        <w:t xml:space="preserve"> чрез</w:t>
      </w:r>
      <w:r>
        <w:t xml:space="preserve"> предявяване на иск за обезщетение по член 1, алинея 1 от Закона за отговорността на държавата и общините за вреди</w:t>
      </w:r>
    </w:p>
    <w:p w:rsidR="00E80AF2" w:rsidRPr="00807C04" w:rsidRDefault="00E80AF2" w:rsidP="00807C04">
      <w:pPr>
        <w:pStyle w:val="JuHA"/>
      </w:pPr>
      <w:r>
        <w:t>По допустимостта</w:t>
      </w:r>
      <w:bookmarkEnd w:id="55"/>
    </w:p>
    <w:p w:rsidR="00E80AF2" w:rsidRPr="00807C04" w:rsidRDefault="00807C04" w:rsidP="00807C04">
      <w:pPr>
        <w:pStyle w:val="JuPara"/>
      </w:pPr>
      <w:bookmarkStart w:id="56" w:name="_Hlk36127924"/>
      <w:r>
        <w:t>65.  Като отбелязва, че жалбата, подадена от петимата жалбоподатели съгласно член 13, не е явно неоснователна или недопустима на каквото и да било друго основание, посочено в член 35 от Конвенцията, Съдът я обявява за допустима.</w:t>
      </w:r>
      <w:bookmarkEnd w:id="56"/>
    </w:p>
    <w:p w:rsidR="00E80AF2" w:rsidRPr="00807C04" w:rsidRDefault="00053300" w:rsidP="00807C04">
      <w:pPr>
        <w:pStyle w:val="JuHA"/>
      </w:pPr>
      <w:bookmarkStart w:id="57" w:name="_Hlk36127958"/>
      <w:r>
        <w:t xml:space="preserve">По същество </w:t>
      </w:r>
      <w:bookmarkEnd w:id="57"/>
    </w:p>
    <w:p w:rsidR="00E80AF2" w:rsidRPr="00807C04" w:rsidRDefault="00807C04" w:rsidP="00807C04">
      <w:pPr>
        <w:pStyle w:val="JuPara"/>
      </w:pPr>
      <w:r>
        <w:t>66.  </w:t>
      </w:r>
      <w:bookmarkStart w:id="58" w:name="_Hlk36128026"/>
      <w:r>
        <w:t>Съдът припомня, че след като е разгледал допустимостта на жалбата по член 3 от Конвенцията, той е установил, че нито дисциплинарното производство по Закона за МВР, нито искът за обезщетение срещу държавата са представлявали достатъчно ефективни вътрешн</w:t>
      </w:r>
      <w:r w:rsidR="00CF710C">
        <w:t>оправни</w:t>
      </w:r>
      <w:r>
        <w:t xml:space="preserve"> средства за защита в настоящия случай (точки 35 -</w:t>
      </w:r>
      <w:r w:rsidR="00CC4112">
        <w:t xml:space="preserve"> </w:t>
      </w:r>
      <w:r>
        <w:t>38 по-горе). Следва да се отбележи, че правителството не се е позовало на други средства за правна защита, които биха позволили на заинтересованите жалбоподатели да отстояват правото си да не бъдат подлагани на унизително отношение</w:t>
      </w:r>
      <w:bookmarkEnd w:id="58"/>
      <w:r>
        <w:t>.</w:t>
      </w:r>
    </w:p>
    <w:p w:rsidR="00E80AF2" w:rsidRPr="00807C04" w:rsidRDefault="00807C04" w:rsidP="00807C04">
      <w:pPr>
        <w:pStyle w:val="JuPara"/>
      </w:pPr>
      <w:r>
        <w:t>67.  </w:t>
      </w:r>
      <w:bookmarkStart w:id="59" w:name="_Hlk36128041"/>
      <w:r>
        <w:t>Съдът счита, че същите тези основания могат да бъдат приети в контекста на разглеждането на основателната жалба, повдигната въз основа на член 13 във връзка с член 3 от Конвенцията, и че те са достатъчни, за да се заключи, че петимата жалбоподатели не са разполагали с вътрешн</w:t>
      </w:r>
      <w:r w:rsidR="00BD7124">
        <w:t>оправни</w:t>
      </w:r>
      <w:r>
        <w:t xml:space="preserve"> средства за защита, които биха им позволили да твърдят правото си да не бъдат третирани в противоречие с член 3.</w:t>
      </w:r>
    </w:p>
    <w:p w:rsidR="00E80AF2" w:rsidRPr="00807C04" w:rsidRDefault="00807C04" w:rsidP="00807C04">
      <w:pPr>
        <w:pStyle w:val="JuPara"/>
      </w:pPr>
      <w:r>
        <w:t>68.  Следователно е налице нарушение на член 13 във връзка с член 3 от Конвенцията по отношение на всички жалбоподатели.</w:t>
      </w:r>
    </w:p>
    <w:bookmarkEnd w:id="59"/>
    <w:p w:rsidR="00E80AF2" w:rsidRPr="00807C04" w:rsidRDefault="00E80AF2" w:rsidP="00807C04">
      <w:pPr>
        <w:pStyle w:val="JuHIRoman"/>
      </w:pPr>
      <w:r>
        <w:t>ПРИЛОЖЕНИЕ НА ЧЛЕН 41 ОТ КОНВЕНЦИЯТА</w:t>
      </w:r>
    </w:p>
    <w:p w:rsidR="00E80AF2" w:rsidRPr="00807C04" w:rsidRDefault="00807C04" w:rsidP="00807C04">
      <w:pPr>
        <w:pStyle w:val="JuPara"/>
      </w:pPr>
      <w:r>
        <w:t>69.  </w:t>
      </w:r>
      <w:bookmarkStart w:id="60" w:name="_Hlk36128236"/>
      <w:r w:rsidR="00AE42E6">
        <w:t>Ч</w:t>
      </w:r>
      <w:r>
        <w:t>лен 41 от Конвенцията</w:t>
      </w:r>
      <w:r w:rsidR="00AE42E6">
        <w:t xml:space="preserve"> предвижда:</w:t>
      </w:r>
      <w:bookmarkEnd w:id="60"/>
    </w:p>
    <w:p w:rsidR="00E80AF2" w:rsidRPr="00807C04" w:rsidRDefault="00E80AF2" w:rsidP="00807C04">
      <w:pPr>
        <w:pStyle w:val="JuQuot"/>
      </w:pPr>
      <w:bookmarkStart w:id="61" w:name="_Hlk36128242"/>
      <w:r>
        <w:t xml:space="preserve">„Ако Съдът </w:t>
      </w:r>
      <w:r w:rsidR="00AE42E6">
        <w:t>установи</w:t>
      </w:r>
      <w:r>
        <w:t xml:space="preserve"> нарушение на Конвенцията или н</w:t>
      </w:r>
      <w:r w:rsidR="00AE42E6">
        <w:t>а П</w:t>
      </w:r>
      <w:r>
        <w:t>ротоколи</w:t>
      </w:r>
      <w:r w:rsidR="00AE42E6">
        <w:t>те към нея</w:t>
      </w:r>
      <w:r>
        <w:t xml:space="preserve"> и ако вътрешното законодателство на </w:t>
      </w:r>
      <w:proofErr w:type="spellStart"/>
      <w:r>
        <w:t>Високодоговарящата</w:t>
      </w:r>
      <w:proofErr w:type="spellEnd"/>
      <w: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61"/>
    </w:p>
    <w:p w:rsidR="00E80AF2" w:rsidRPr="00807C04" w:rsidRDefault="00E80AF2" w:rsidP="00807C04">
      <w:pPr>
        <w:pStyle w:val="JuHA"/>
      </w:pPr>
      <w:r>
        <w:t>Вреди</w:t>
      </w:r>
    </w:p>
    <w:p w:rsidR="00E80AF2" w:rsidRPr="00807C04" w:rsidRDefault="00807C04" w:rsidP="00807C04">
      <w:pPr>
        <w:pStyle w:val="JuPara"/>
      </w:pPr>
      <w:r>
        <w:t>70.  Г-н Илиев,</w:t>
      </w:r>
      <w:r>
        <w:rPr>
          <w:vertAlign w:val="superscript"/>
        </w:rPr>
        <w:t xml:space="preserve"> </w:t>
      </w:r>
      <w:r>
        <w:t>г-жа Илиева и г-ца Илиева предявяват съвместно иск за 35 000 евро за неимуществените вреди, които смятат, че са претърпели. Г-н Ганчев и</w:t>
      </w:r>
      <w:r>
        <w:rPr>
          <w:vertAlign w:val="superscript"/>
        </w:rPr>
        <w:t xml:space="preserve"> </w:t>
      </w:r>
      <w:r>
        <w:t>г-жа Ганчева предявяват съвместно иск за 23 500 евро в същото качество.</w:t>
      </w:r>
    </w:p>
    <w:p w:rsidR="00E80AF2" w:rsidRPr="00807C04" w:rsidRDefault="00807C04" w:rsidP="00807C04">
      <w:pPr>
        <w:pStyle w:val="JuPara"/>
      </w:pPr>
      <w:r>
        <w:t>71.  Правителството счита, че исканите суми са прекомерни и необосновани. То отбелязва също така, че сумите, присъдени за неимуществени вреди в този случай, не следва да надвишават сумите, присъдени в други подобни случаи.</w:t>
      </w:r>
    </w:p>
    <w:p w:rsidR="00E80AF2" w:rsidRPr="00807C04" w:rsidRDefault="00807C04" w:rsidP="00807C04">
      <w:pPr>
        <w:pStyle w:val="JuPara"/>
      </w:pPr>
      <w:r>
        <w:t>72.  Предвид конкретните обстоятелства по делото, Съдът счита, че констатирането на нарушение на член 13 от Конвенцията по отношение на г-жа Илиева,</w:t>
      </w:r>
      <w:r>
        <w:rPr>
          <w:vertAlign w:val="superscript"/>
        </w:rPr>
        <w:t xml:space="preserve"> </w:t>
      </w:r>
      <w:r>
        <w:t>г-ца Илиева и г-жа</w:t>
      </w:r>
      <w:r>
        <w:rPr>
          <w:vertAlign w:val="superscript"/>
        </w:rPr>
        <w:t xml:space="preserve"> </w:t>
      </w:r>
      <w:r>
        <w:t xml:space="preserve">Ганчева само по себе си представлява достатъчно справедливо удовлетворение </w:t>
      </w:r>
      <w:r w:rsidR="00CB12A0">
        <w:t>от неимуществените</w:t>
      </w:r>
      <w:r>
        <w:t xml:space="preserve"> вреди, понесени от тези трима </w:t>
      </w:r>
      <w:r w:rsidR="00BD7124">
        <w:t>жалбоподатели</w:t>
      </w:r>
      <w:r>
        <w:t>.</w:t>
      </w:r>
    </w:p>
    <w:p w:rsidR="00E80AF2" w:rsidRPr="00807C04" w:rsidRDefault="00807C04" w:rsidP="00807C04">
      <w:pPr>
        <w:pStyle w:val="JuPara"/>
      </w:pPr>
      <w:r>
        <w:t xml:space="preserve">73.  Що се отнася до г-н Илиев и г-н Ганчев, Съдът счита, че тези двама жалбоподатели са претърпели </w:t>
      </w:r>
      <w:r w:rsidR="00CB12A0">
        <w:t>неимуществени</w:t>
      </w:r>
      <w:r>
        <w:t xml:space="preserve"> вреди в резултат на констатираните нарушения на правата им, гарантирани от член 3 и 13 от Конвенцията. Той счита, че за тази цел на всеки от тези жалбоподатели следва да бъдат </w:t>
      </w:r>
      <w:r w:rsidR="00BD7124">
        <w:t xml:space="preserve">присъдени </w:t>
      </w:r>
      <w:r>
        <w:t>по 3 000 евро.</w:t>
      </w:r>
    </w:p>
    <w:p w:rsidR="00E80AF2" w:rsidRPr="00807C04" w:rsidRDefault="00E80AF2" w:rsidP="00807C04">
      <w:pPr>
        <w:pStyle w:val="JuHA"/>
      </w:pPr>
      <w:r>
        <w:t>Разходи и разноски</w:t>
      </w:r>
    </w:p>
    <w:p w:rsidR="00E80AF2" w:rsidRPr="00807C04" w:rsidRDefault="00807C04" w:rsidP="00807C04">
      <w:pPr>
        <w:pStyle w:val="JuPara"/>
      </w:pPr>
      <w:bookmarkStart w:id="62" w:name="para72a"/>
      <w:r>
        <w:t>74</w:t>
      </w:r>
      <w:bookmarkEnd w:id="62"/>
      <w:r>
        <w:t>.  Жалбоподателите посочват, че техните представители са работили безплатно и са извършили 40-часова правна работа по всяка от двете молби в рамките на производството пред Съда. Те искат сума за това, без да посочват точен размер.</w:t>
      </w:r>
    </w:p>
    <w:p w:rsidR="00E80AF2" w:rsidRPr="00807C04" w:rsidRDefault="00807C04" w:rsidP="00807C04">
      <w:pPr>
        <w:pStyle w:val="JuPara"/>
      </w:pPr>
      <w:r>
        <w:t>75.  Правителството не счита за целесъобразно да присъжда каквато и да е сума за раз</w:t>
      </w:r>
      <w:r w:rsidR="00CB12A0">
        <w:t>ходи</w:t>
      </w:r>
      <w:r>
        <w:t xml:space="preserve"> и разноски, тъй като жалбоподателите не са </w:t>
      </w:r>
      <w:r w:rsidR="00BD7124">
        <w:t xml:space="preserve">формулирали конкретно </w:t>
      </w:r>
      <w:r>
        <w:t>иск</w:t>
      </w:r>
      <w:r w:rsidR="00BD7124">
        <w:t>ане</w:t>
      </w:r>
      <w:r>
        <w:t xml:space="preserve"> за това.</w:t>
      </w:r>
    </w:p>
    <w:p w:rsidR="00E80AF2" w:rsidRPr="00807C04" w:rsidRDefault="00807C04" w:rsidP="00807C04">
      <w:pPr>
        <w:pStyle w:val="JuPara"/>
        <w:keepNext/>
        <w:keepLines/>
      </w:pPr>
      <w:r>
        <w:t xml:space="preserve">76.  Според </w:t>
      </w:r>
      <w:r w:rsidR="00CD2677">
        <w:t>установената съдебна практика на Съда, жалбоподателят има право на възстановяване на разходи и разноски, доколкото е доказано, че те са били действително направени и необходими,</w:t>
      </w:r>
      <w:r w:rsidR="00BD7124">
        <w:t xml:space="preserve"> </w:t>
      </w:r>
      <w:r w:rsidR="00CD2677">
        <w:t>както и че са разумни по отношение на размера им</w:t>
      </w:r>
      <w:r>
        <w:t xml:space="preserve">. </w:t>
      </w:r>
      <w:r w:rsidR="00CD2677">
        <w:t>Възнаграждението на представителя се смята за реално,</w:t>
      </w:r>
      <w:r w:rsidR="00BD7124">
        <w:t xml:space="preserve"> </w:t>
      </w:r>
      <w:r w:rsidR="00CD2677">
        <w:t>ако жалбоподателят го е платил или е задължен да го плати</w:t>
      </w:r>
      <w:r>
        <w:t xml:space="preserve">. Следователно </w:t>
      </w:r>
      <w:r w:rsidR="00BD7124">
        <w:t xml:space="preserve">хонорарите </w:t>
      </w:r>
      <w:r>
        <w:t xml:space="preserve">на </w:t>
      </w:r>
      <w:r w:rsidR="00BD7124">
        <w:t xml:space="preserve">един процесуален </w:t>
      </w:r>
      <w:r>
        <w:t xml:space="preserve">представител, който е </w:t>
      </w:r>
      <w:r w:rsidR="00BD7124">
        <w:t xml:space="preserve">работил </w:t>
      </w:r>
      <w:r>
        <w:t xml:space="preserve">безплатно, </w:t>
      </w:r>
      <w:r w:rsidR="00BD7124">
        <w:t xml:space="preserve">реално </w:t>
      </w:r>
      <w:r>
        <w:t xml:space="preserve">не са били </w:t>
      </w:r>
      <w:r w:rsidR="00BD7124">
        <w:t>за</w:t>
      </w:r>
      <w:r>
        <w:t>платени (</w:t>
      </w:r>
      <w:proofErr w:type="spellStart"/>
      <w:r>
        <w:rPr>
          <w:i/>
          <w:iCs/>
        </w:rPr>
        <w:t>Мерабишвили</w:t>
      </w:r>
      <w:proofErr w:type="spellEnd"/>
      <w:r>
        <w:rPr>
          <w:i/>
          <w:iCs/>
        </w:rPr>
        <w:t xml:space="preserve"> (</w:t>
      </w:r>
      <w:proofErr w:type="spellStart"/>
      <w:r>
        <w:rPr>
          <w:i/>
          <w:iCs/>
        </w:rPr>
        <w:t>Merabishvili</w:t>
      </w:r>
      <w:proofErr w:type="spellEnd"/>
      <w:r>
        <w:rPr>
          <w:i/>
          <w:iCs/>
        </w:rPr>
        <w:t>)</w:t>
      </w:r>
      <w:r>
        <w:rPr>
          <w:i/>
        </w:rPr>
        <w:t xml:space="preserve"> срещу </w:t>
      </w:r>
      <w:r>
        <w:rPr>
          <w:i/>
          <w:iCs/>
        </w:rPr>
        <w:t>Грузия</w:t>
      </w:r>
      <w:r>
        <w:t xml:space="preserve"> [РС],</w:t>
      </w:r>
      <w:r>
        <w:rPr>
          <w:vertAlign w:val="superscript"/>
        </w:rPr>
        <w:t xml:space="preserve"> </w:t>
      </w:r>
      <w:r>
        <w:t>№ 72508/13, § 371, 28 ноември 2017 г., с цитираните позовавания).</w:t>
      </w:r>
    </w:p>
    <w:p w:rsidR="00E80AF2" w:rsidRPr="00807C04" w:rsidRDefault="00807C04" w:rsidP="00807C04">
      <w:pPr>
        <w:pStyle w:val="JuPara"/>
        <w:keepNext/>
      </w:pPr>
      <w:r>
        <w:t xml:space="preserve">77.  В </w:t>
      </w:r>
      <w:r w:rsidR="00CD2677">
        <w:t>настоящия</w:t>
      </w:r>
      <w:r>
        <w:t xml:space="preserve"> случай жалбоподателите не са представили документи, </w:t>
      </w:r>
      <w:r w:rsidR="00BD7124">
        <w:t>с</w:t>
      </w:r>
      <w:r>
        <w:t xml:space="preserve"> които да</w:t>
      </w:r>
      <w:r w:rsidR="00CD2677">
        <w:t xml:space="preserve"> дока</w:t>
      </w:r>
      <w:r w:rsidR="00BD7124">
        <w:t>жат</w:t>
      </w:r>
      <w:r>
        <w:t xml:space="preserve">, че са платили или </w:t>
      </w:r>
      <w:r w:rsidR="00CD2677">
        <w:t>че</w:t>
      </w:r>
      <w:r>
        <w:t xml:space="preserve"> има</w:t>
      </w:r>
      <w:r w:rsidR="00CD2677">
        <w:t>т</w:t>
      </w:r>
      <w:r>
        <w:t xml:space="preserve"> законово задължение да заплатят каквито и да било такси, начислявани от техните</w:t>
      </w:r>
      <w:r w:rsidR="00BD7124">
        <w:t xml:space="preserve"> процесуални </w:t>
      </w:r>
      <w:r>
        <w:t xml:space="preserve"> представители, или разноски, направени от тях във връзка с производството пред Съда (точка 74 по-горе). Поради това </w:t>
      </w:r>
      <w:r w:rsidR="00BD7124">
        <w:t xml:space="preserve">Съда </w:t>
      </w:r>
      <w:r>
        <w:t>не вижда причина да признае наличието на каквато и да било сума, която следва да бъде присъдена за разходи и разноски по настоящото производство.</w:t>
      </w:r>
    </w:p>
    <w:p w:rsidR="00E80AF2" w:rsidRPr="00807C04" w:rsidRDefault="00807C04" w:rsidP="00807C04">
      <w:pPr>
        <w:pStyle w:val="JuPara"/>
      </w:pPr>
      <w:r>
        <w:t>78.  От това следва, че искането за разноски трябва да бъде отхвърлено.</w:t>
      </w:r>
    </w:p>
    <w:p w:rsidR="00E80AF2" w:rsidRPr="00807C04" w:rsidRDefault="00E80AF2" w:rsidP="00807C04">
      <w:pPr>
        <w:pStyle w:val="JuHA"/>
      </w:pPr>
      <w:r>
        <w:t>Лихва за забава</w:t>
      </w:r>
    </w:p>
    <w:p w:rsidR="00E80AF2" w:rsidRPr="00807C04" w:rsidRDefault="00807C04" w:rsidP="00807C04">
      <w:pPr>
        <w:pStyle w:val="JuPara"/>
      </w:pPr>
      <w:r>
        <w:t xml:space="preserve">79.  Съдът счита за </w:t>
      </w:r>
      <w:r w:rsidR="00E849D8">
        <w:t xml:space="preserve">уместно лихвата за забава да бъде обвързана с пределната ставка по заеми на Европейската централна банка, към която да се добавят три процентни пункта. </w:t>
      </w:r>
      <w:r>
        <w:t xml:space="preserve"> </w:t>
      </w:r>
    </w:p>
    <w:p w:rsidR="00E80AF2" w:rsidRPr="00807C04" w:rsidRDefault="00E80AF2" w:rsidP="00807C04">
      <w:pPr>
        <w:pStyle w:val="JuHHead"/>
        <w:numPr>
          <w:ilvl w:val="0"/>
          <w:numId w:val="1"/>
        </w:numPr>
      </w:pPr>
      <w:r>
        <w:t xml:space="preserve">ПО ТЕЗИ </w:t>
      </w:r>
      <w:r w:rsidR="00AE42E6">
        <w:t>СЪОБРАЖЕНИЯ</w:t>
      </w:r>
      <w:r>
        <w:t xml:space="preserve"> СЪДЪТ ЕДИНОДУШНО</w:t>
      </w:r>
    </w:p>
    <w:p w:rsidR="00E80AF2" w:rsidRPr="00807C04" w:rsidRDefault="00E80AF2" w:rsidP="00807C04">
      <w:pPr>
        <w:pStyle w:val="JuList"/>
      </w:pPr>
      <w:r>
        <w:rPr>
          <w:i/>
        </w:rPr>
        <w:t>Решава</w:t>
      </w:r>
      <w:r>
        <w:t xml:space="preserve"> да </w:t>
      </w:r>
      <w:r w:rsidR="00BD7124">
        <w:t xml:space="preserve">обедини </w:t>
      </w:r>
      <w:r>
        <w:t>жалбите;</w:t>
      </w:r>
    </w:p>
    <w:p w:rsidR="00E80AF2" w:rsidRPr="00807C04" w:rsidRDefault="00E80AF2" w:rsidP="00807C04">
      <w:pPr>
        <w:pStyle w:val="JuList"/>
      </w:pPr>
      <w:r>
        <w:rPr>
          <w:i/>
        </w:rPr>
        <w:t>Обявява</w:t>
      </w:r>
      <w:r>
        <w:t xml:space="preserve"> жалбите за допустими;</w:t>
      </w:r>
    </w:p>
    <w:p w:rsidR="00E80AF2" w:rsidRPr="00807C04" w:rsidRDefault="00E849D8" w:rsidP="00807C04">
      <w:pPr>
        <w:pStyle w:val="JuList"/>
      </w:pPr>
      <w:r>
        <w:rPr>
          <w:i/>
        </w:rPr>
        <w:t>Приема</w:t>
      </w:r>
      <w:r w:rsidR="00E80AF2">
        <w:t>, че е налице нарушение на член 3 от Конвенцията по отношение на г-н Илиев и г-н Ганчев;</w:t>
      </w:r>
    </w:p>
    <w:p w:rsidR="00E80AF2" w:rsidRPr="00807C04" w:rsidRDefault="00E849D8" w:rsidP="00807C04">
      <w:pPr>
        <w:pStyle w:val="JuList"/>
      </w:pPr>
      <w:r>
        <w:rPr>
          <w:i/>
        </w:rPr>
        <w:t>Приема</w:t>
      </w:r>
      <w:r w:rsidR="00E80AF2">
        <w:t>, че не е налице нарушение на член 3 от Конвенцията по отношение на</w:t>
      </w:r>
      <w:r w:rsidR="00E80AF2">
        <w:rPr>
          <w:vertAlign w:val="superscript"/>
        </w:rPr>
        <w:t xml:space="preserve"> </w:t>
      </w:r>
      <w:r w:rsidR="00E80AF2">
        <w:t>г-жа Илиева, г-ца Илиева и г-жа Ганчева;</w:t>
      </w:r>
    </w:p>
    <w:p w:rsidR="00E80AF2" w:rsidRPr="00807C04" w:rsidRDefault="00E849D8" w:rsidP="00807C04">
      <w:pPr>
        <w:pStyle w:val="JuList"/>
      </w:pPr>
      <w:r>
        <w:rPr>
          <w:i/>
        </w:rPr>
        <w:t>Приема</w:t>
      </w:r>
      <w:r w:rsidR="00E80AF2">
        <w:t>, че е налице нарушение на член 13 от Конвенцията по отношение на петимата жалбоподатели;</w:t>
      </w:r>
    </w:p>
    <w:p w:rsidR="00E80AF2" w:rsidRPr="00807C04" w:rsidRDefault="00E849D8" w:rsidP="00807C04">
      <w:pPr>
        <w:pStyle w:val="JuList"/>
      </w:pPr>
      <w:r>
        <w:rPr>
          <w:i/>
        </w:rPr>
        <w:t>Приема</w:t>
      </w:r>
      <w:r w:rsidR="00E80AF2">
        <w:t xml:space="preserve">, че констатирането на нарушение на член 13 от Конвенцията само по себе си предоставя достатъчно справедливо удовлетворение за </w:t>
      </w:r>
      <w:r w:rsidR="00BD7124">
        <w:t xml:space="preserve">неимуществените </w:t>
      </w:r>
      <w:r w:rsidR="00E80AF2">
        <w:t>вреди, понесени от г-жа Илиева,</w:t>
      </w:r>
      <w:r w:rsidR="00E80AF2">
        <w:rPr>
          <w:vertAlign w:val="superscript"/>
        </w:rPr>
        <w:t xml:space="preserve"> </w:t>
      </w:r>
      <w:r w:rsidR="00E80AF2">
        <w:t>г-ца Илиева и</w:t>
      </w:r>
      <w:r w:rsidR="00E80AF2">
        <w:rPr>
          <w:vertAlign w:val="superscript"/>
        </w:rPr>
        <w:t xml:space="preserve"> </w:t>
      </w:r>
      <w:r w:rsidR="00E80AF2">
        <w:t>г-жа Ганчева в резултат на това нарушение ;</w:t>
      </w:r>
    </w:p>
    <w:p w:rsidR="00E80AF2" w:rsidRPr="00807C04" w:rsidRDefault="00E849D8" w:rsidP="00807C04">
      <w:pPr>
        <w:pStyle w:val="JuList"/>
        <w:keepNext/>
        <w:keepLines/>
        <w:rPr>
          <w:i/>
          <w:iCs/>
        </w:rPr>
      </w:pPr>
      <w:r>
        <w:rPr>
          <w:i/>
        </w:rPr>
        <w:t>Приема</w:t>
      </w:r>
      <w:r w:rsidR="00E80AF2">
        <w:t>,</w:t>
      </w:r>
    </w:p>
    <w:p w:rsidR="00E80AF2" w:rsidRPr="00807C04" w:rsidRDefault="00E80AF2" w:rsidP="00807C04">
      <w:pPr>
        <w:pStyle w:val="JuLista"/>
        <w:keepNext/>
        <w:keepLines/>
        <w:numPr>
          <w:ilvl w:val="1"/>
          <w:numId w:val="3"/>
        </w:numPr>
      </w:pPr>
      <w:r>
        <w:t>че държавата ответник следва да заплати на жалбоподател</w:t>
      </w:r>
      <w:r w:rsidR="00BD7124">
        <w:t>ите</w:t>
      </w:r>
      <w:r>
        <w:t xml:space="preserve"> в срок от три месеца от датата, на която решението стане окончателно в съответствие с член 44 § 2 от Конвенцията, следните суми, които да се </w:t>
      </w:r>
      <w:r w:rsidR="00E849D8">
        <w:t>изчислят</w:t>
      </w:r>
      <w:r>
        <w:t xml:space="preserve"> в български лева по курса, приложим към датата на изплащането:</w:t>
      </w:r>
    </w:p>
    <w:p w:rsidR="00E80AF2" w:rsidRPr="00807C04" w:rsidRDefault="00E80AF2" w:rsidP="00807C04">
      <w:pPr>
        <w:pStyle w:val="JuListi"/>
        <w:numPr>
          <w:ilvl w:val="2"/>
          <w:numId w:val="2"/>
        </w:numPr>
      </w:pPr>
      <w:r>
        <w:t xml:space="preserve">3 000 евро (три хиляди евро) на г-н Илиев, </w:t>
      </w:r>
      <w:r w:rsidR="0018554A">
        <w:t>към които се добавя всеки данък,</w:t>
      </w:r>
      <w:r w:rsidR="00BD7124">
        <w:t xml:space="preserve"> </w:t>
      </w:r>
      <w:r w:rsidR="0018554A">
        <w:t>който може да бъде начислен във връзка с неимуществени</w:t>
      </w:r>
      <w:r w:rsidR="00BD7124">
        <w:t>те</w:t>
      </w:r>
      <w:r w:rsidR="0018554A">
        <w:t xml:space="preserve"> вреди</w:t>
      </w:r>
      <w:r>
        <w:t>;</w:t>
      </w:r>
    </w:p>
    <w:p w:rsidR="00E80AF2" w:rsidRPr="00807C04" w:rsidRDefault="00E80AF2" w:rsidP="00B117B2">
      <w:pPr>
        <w:pStyle w:val="ListParagraph"/>
        <w:numPr>
          <w:ilvl w:val="2"/>
          <w:numId w:val="2"/>
        </w:numPr>
      </w:pPr>
      <w:r>
        <w:t>3 000 евро (три хиляди евро) на г-н Ганчев,</w:t>
      </w:r>
      <w:r w:rsidR="0018554A">
        <w:t xml:space="preserve"> </w:t>
      </w:r>
      <w:r w:rsidR="0018554A" w:rsidRPr="0018554A">
        <w:t>към които се добавя всеки данък,</w:t>
      </w:r>
      <w:r w:rsidR="00BD7124">
        <w:t xml:space="preserve"> </w:t>
      </w:r>
      <w:r w:rsidR="0018554A" w:rsidRPr="0018554A">
        <w:t>който може да бъде начислен във връзка с неимуществени</w:t>
      </w:r>
      <w:r w:rsidR="00BD7124">
        <w:t>те</w:t>
      </w:r>
      <w:r w:rsidR="0018554A" w:rsidRPr="0018554A">
        <w:t xml:space="preserve"> вреди;</w:t>
      </w:r>
    </w:p>
    <w:p w:rsidR="00FD6FA5" w:rsidRPr="00807C04" w:rsidRDefault="00E80AF2" w:rsidP="00807C04">
      <w:pPr>
        <w:pStyle w:val="JuLista"/>
        <w:numPr>
          <w:ilvl w:val="1"/>
          <w:numId w:val="3"/>
        </w:numPr>
      </w:pPr>
      <w:r>
        <w:t xml:space="preserve">че след изтичането на </w:t>
      </w:r>
      <w:r w:rsidR="0018554A">
        <w:t>горепосочените три месеца до изплащането, върху горепосочените суми се дължи проста лихва в размер</w:t>
      </w:r>
      <w:r>
        <w:t xml:space="preserve">, равен на </w:t>
      </w:r>
      <w:r w:rsidR="0018554A">
        <w:t>пределния лихвен процент на</w:t>
      </w:r>
      <w:r>
        <w:t xml:space="preserve"> Европейската централна банка</w:t>
      </w:r>
      <w:r w:rsidR="0018554A">
        <w:t xml:space="preserve"> през периода на неизпълнение, към който се добавят три процентни пункта</w:t>
      </w:r>
      <w:r>
        <w:t>;</w:t>
      </w:r>
    </w:p>
    <w:p w:rsidR="00876F03" w:rsidRPr="00807C04" w:rsidRDefault="00E80AF2" w:rsidP="00807C04">
      <w:pPr>
        <w:pStyle w:val="JuList"/>
      </w:pPr>
      <w:r>
        <w:rPr>
          <w:i/>
        </w:rPr>
        <w:t>Отхвърля</w:t>
      </w:r>
      <w:r>
        <w:t xml:space="preserve"> </w:t>
      </w:r>
      <w:r w:rsidR="0018554A">
        <w:t xml:space="preserve">останалата част от иска за справедливо обезщетение. </w:t>
      </w:r>
    </w:p>
    <w:p w:rsidR="00893F30" w:rsidRPr="00807C04" w:rsidRDefault="00893F30" w:rsidP="00807C04">
      <w:pPr>
        <w:pStyle w:val="JuParaLast"/>
      </w:pPr>
      <w:r>
        <w:t xml:space="preserve">Изготвено на френски език и </w:t>
      </w:r>
      <w:r w:rsidR="0018554A">
        <w:t>обявено</w:t>
      </w:r>
      <w:r>
        <w:t xml:space="preserve"> в писмен вид на 8 юни 2021 г. </w:t>
      </w:r>
      <w:r w:rsidR="0018554A">
        <w:t>според</w:t>
      </w:r>
      <w:r>
        <w:t xml:space="preserve"> </w:t>
      </w:r>
      <w:r w:rsidR="0018554A">
        <w:t>Правило</w:t>
      </w:r>
      <w:r>
        <w:t xml:space="preserve"> 77, </w:t>
      </w:r>
      <w:r w:rsidR="0018554A">
        <w:t>§§</w:t>
      </w:r>
      <w:r>
        <w:t xml:space="preserve"> 2 и 3 от Правилника на Съда.</w:t>
      </w:r>
    </w:p>
    <w:p w:rsidR="00D16A76" w:rsidRDefault="00E80AF2" w:rsidP="00807C04">
      <w:pPr>
        <w:pStyle w:val="JuSigned"/>
        <w:spacing w:before="840"/>
      </w:pPr>
      <w:r>
        <w:tab/>
      </w:r>
      <w:proofErr w:type="spellStart"/>
      <w:r>
        <w:t>Ilse</w:t>
      </w:r>
      <w:proofErr w:type="spellEnd"/>
      <w:r>
        <w:t xml:space="preserve"> </w:t>
      </w:r>
      <w:proofErr w:type="spellStart"/>
      <w:r>
        <w:t>Freiwirth</w:t>
      </w:r>
      <w:proofErr w:type="spellEnd"/>
      <w:r>
        <w:tab/>
      </w:r>
      <w:proofErr w:type="spellStart"/>
      <w:r>
        <w:t>Tim</w:t>
      </w:r>
      <w:proofErr w:type="spellEnd"/>
      <w:r>
        <w:t xml:space="preserve"> </w:t>
      </w:r>
      <w:proofErr w:type="spellStart"/>
      <w:r>
        <w:t>Eicke</w:t>
      </w:r>
      <w:proofErr w:type="spellEnd"/>
      <w:r>
        <w:br/>
      </w:r>
      <w:r>
        <w:tab/>
        <w:t>Заместник-секретар</w:t>
      </w:r>
      <w:r>
        <w:tab/>
        <w:t>Председател</w:t>
      </w:r>
    </w:p>
    <w:p w:rsidR="00807C04" w:rsidRPr="00807C04" w:rsidRDefault="00807C04" w:rsidP="00807C04">
      <w:pPr>
        <w:pStyle w:val="JuPara"/>
      </w:pPr>
    </w:p>
    <w:p w:rsidR="00D16A76" w:rsidRPr="00807C04" w:rsidRDefault="00D16A76" w:rsidP="00807C04">
      <w:r>
        <w:br w:type="page"/>
      </w:r>
    </w:p>
    <w:p w:rsidR="00D16A76" w:rsidRPr="00807C04" w:rsidRDefault="00D16A76" w:rsidP="00807C04">
      <w:pPr>
        <w:pStyle w:val="JuTitle"/>
      </w:pPr>
      <w:r>
        <w:t>Приложение</w:t>
      </w:r>
    </w:p>
    <w:p w:rsidR="00D16A76" w:rsidRPr="00807C04" w:rsidRDefault="00D16A76" w:rsidP="00807C04">
      <w:pPr>
        <w:pStyle w:val="JuPara"/>
      </w:pPr>
      <w:r>
        <w:t>Списък на жалбоподателите:</w:t>
      </w:r>
    </w:p>
    <w:p w:rsidR="009155CC" w:rsidRPr="00807C04" w:rsidRDefault="009155CC" w:rsidP="00807C04">
      <w:pPr>
        <w:pStyle w:val="JuPara"/>
      </w:pPr>
    </w:p>
    <w:p w:rsidR="00D16A76" w:rsidRPr="00807C04" w:rsidRDefault="00D16A76" w:rsidP="00807C04">
      <w:pPr>
        <w:pStyle w:val="JuPara"/>
      </w:pPr>
    </w:p>
    <w:p w:rsidR="00D16A76" w:rsidRPr="00807C04" w:rsidRDefault="00D16A76" w:rsidP="00807C04">
      <w:pPr>
        <w:pStyle w:val="JuPara"/>
        <w:rPr>
          <w:rFonts w:ascii="Times New Roman" w:eastAsia="Times New Roman" w:hAnsi="Times New Roman" w:cs="Times New Roman"/>
        </w:rPr>
      </w:pPr>
      <w:r>
        <w:rPr>
          <w:rFonts w:ascii="Times New Roman" w:hAnsi="Times New Roman"/>
        </w:rPr>
        <w:t>Жал</w:t>
      </w:r>
      <w:r>
        <w:t>б</w:t>
      </w:r>
      <w:r>
        <w:rPr>
          <w:rFonts w:ascii="Times New Roman" w:hAnsi="Times New Roman"/>
        </w:rPr>
        <w:t xml:space="preserve">а </w:t>
      </w:r>
      <w:r>
        <w:t>№</w:t>
      </w:r>
      <w:r>
        <w:rPr>
          <w:rFonts w:ascii="Times New Roman" w:hAnsi="Times New Roman"/>
        </w:rPr>
        <w:t xml:space="preserve"> 69154/11</w:t>
      </w:r>
    </w:p>
    <w:p w:rsidR="00D16A76" w:rsidRPr="00807C04" w:rsidRDefault="00D16A76" w:rsidP="00807C04">
      <w:pPr>
        <w:ind w:firstLine="284"/>
        <w:jc w:val="both"/>
        <w:rPr>
          <w:rFonts w:ascii="Times New Roman" w:eastAsia="Times New Roman" w:hAnsi="Times New Roman" w:cs="Times New Roman"/>
        </w:rPr>
      </w:pPr>
    </w:p>
    <w:tbl>
      <w:tblPr>
        <w:tblStyle w:val="ECHRListTable1"/>
        <w:tblW w:w="5000" w:type="pct"/>
        <w:tblLook w:val="0420" w:firstRow="1" w:lastRow="0" w:firstColumn="0" w:lastColumn="0" w:noHBand="0" w:noVBand="1"/>
      </w:tblPr>
      <w:tblGrid>
        <w:gridCol w:w="458"/>
        <w:gridCol w:w="1835"/>
        <w:gridCol w:w="1130"/>
        <w:gridCol w:w="1650"/>
        <w:gridCol w:w="2275"/>
      </w:tblGrid>
      <w:tr w:rsidR="00D16A76" w:rsidRPr="00807C04" w:rsidTr="00D16A76">
        <w:trPr>
          <w:cnfStyle w:val="100000000000" w:firstRow="1" w:lastRow="0" w:firstColumn="0" w:lastColumn="0" w:oddVBand="0" w:evenVBand="0" w:oddHBand="0" w:evenHBand="0" w:firstRowFirstColumn="0" w:firstRowLastColumn="0" w:lastRowFirstColumn="0" w:lastRowLastColumn="0"/>
        </w:trPr>
        <w:tc>
          <w:tcPr>
            <w:tcW w:w="321" w:type="pct"/>
          </w:tcPr>
          <w:p w:rsidR="00D16A76" w:rsidRPr="00807C04" w:rsidRDefault="00D16A76" w:rsidP="00807C04">
            <w:pPr>
              <w:rPr>
                <w:rFonts w:eastAsia="Times New Roman"/>
              </w:rPr>
            </w:pPr>
            <w:r>
              <w:t>№</w:t>
            </w:r>
          </w:p>
        </w:tc>
        <w:tc>
          <w:tcPr>
            <w:tcW w:w="2278" w:type="pct"/>
          </w:tcPr>
          <w:p w:rsidR="00D16A76" w:rsidRPr="00807C04" w:rsidRDefault="00D16A76" w:rsidP="00807C04">
            <w:pPr>
              <w:rPr>
                <w:rFonts w:eastAsia="Times New Roman"/>
              </w:rPr>
            </w:pPr>
            <w:r>
              <w:t>Собствено име ФАМИЛИЯ</w:t>
            </w:r>
          </w:p>
        </w:tc>
        <w:tc>
          <w:tcPr>
            <w:tcW w:w="384" w:type="pct"/>
          </w:tcPr>
          <w:p w:rsidR="00D16A76" w:rsidRPr="00807C04" w:rsidRDefault="00D16A76" w:rsidP="00807C04">
            <w:pPr>
              <w:rPr>
                <w:rFonts w:eastAsia="Times New Roman"/>
              </w:rPr>
            </w:pPr>
            <w:r>
              <w:t>Година на раждане</w:t>
            </w:r>
          </w:p>
        </w:tc>
        <w:tc>
          <w:tcPr>
            <w:tcW w:w="891" w:type="pct"/>
          </w:tcPr>
          <w:p w:rsidR="00D16A76" w:rsidRPr="00807C04" w:rsidRDefault="00D16A76" w:rsidP="00807C04">
            <w:pPr>
              <w:rPr>
                <w:rFonts w:eastAsia="Times New Roman"/>
              </w:rPr>
            </w:pPr>
            <w:r>
              <w:t>Гражданство</w:t>
            </w:r>
          </w:p>
        </w:tc>
        <w:tc>
          <w:tcPr>
            <w:tcW w:w="1126" w:type="pct"/>
          </w:tcPr>
          <w:p w:rsidR="00D16A76" w:rsidRPr="00807C04" w:rsidRDefault="00D16A76" w:rsidP="00807C04">
            <w:pPr>
              <w:rPr>
                <w:rFonts w:eastAsia="Times New Roman"/>
              </w:rPr>
            </w:pPr>
            <w:r>
              <w:t>Местопребиваване</w:t>
            </w:r>
          </w:p>
        </w:tc>
      </w:tr>
      <w:tr w:rsidR="00D16A76" w:rsidRPr="00807C04" w:rsidTr="00D16A76">
        <w:tc>
          <w:tcPr>
            <w:tcW w:w="321" w:type="pct"/>
          </w:tcPr>
          <w:p w:rsidR="00D16A76" w:rsidRPr="00807C04" w:rsidRDefault="00D16A76" w:rsidP="00807C04">
            <w:pPr>
              <w:rPr>
                <w:rFonts w:eastAsia="Times New Roman"/>
              </w:rPr>
            </w:pPr>
            <w:r>
              <w:t>1.</w:t>
            </w:r>
          </w:p>
        </w:tc>
        <w:tc>
          <w:tcPr>
            <w:tcW w:w="2278" w:type="pct"/>
          </w:tcPr>
          <w:p w:rsidR="00D16A76" w:rsidRPr="00807C04" w:rsidRDefault="00D16A76" w:rsidP="00807C04">
            <w:pPr>
              <w:rPr>
                <w:rFonts w:eastAsia="Times New Roman"/>
              </w:rPr>
            </w:pPr>
            <w:r>
              <w:t>Красимира Цанева ИЛИЕВА</w:t>
            </w:r>
          </w:p>
        </w:tc>
        <w:tc>
          <w:tcPr>
            <w:tcW w:w="384" w:type="pct"/>
          </w:tcPr>
          <w:p w:rsidR="00D16A76" w:rsidRPr="00807C04" w:rsidRDefault="00D16A76" w:rsidP="00807C04">
            <w:pPr>
              <w:rPr>
                <w:rFonts w:eastAsia="Times New Roman"/>
              </w:rPr>
            </w:pPr>
            <w:r>
              <w:t>1967 г.</w:t>
            </w:r>
          </w:p>
        </w:tc>
        <w:tc>
          <w:tcPr>
            <w:tcW w:w="891" w:type="pct"/>
          </w:tcPr>
          <w:p w:rsidR="00D16A76" w:rsidRPr="00807C04" w:rsidRDefault="00D16A76" w:rsidP="00807C04">
            <w:pPr>
              <w:rPr>
                <w:rFonts w:eastAsia="Times New Roman"/>
              </w:rPr>
            </w:pPr>
            <w:r>
              <w:t>българско</w:t>
            </w:r>
          </w:p>
        </w:tc>
        <w:tc>
          <w:tcPr>
            <w:tcW w:w="1126" w:type="pct"/>
          </w:tcPr>
          <w:p w:rsidR="00D16A76" w:rsidRPr="00807C04" w:rsidRDefault="00D16A76" w:rsidP="00807C04">
            <w:pPr>
              <w:rPr>
                <w:rFonts w:eastAsia="Times New Roman"/>
              </w:rPr>
            </w:pPr>
            <w:r>
              <w:t>Велико Търново</w:t>
            </w:r>
          </w:p>
        </w:tc>
      </w:tr>
      <w:tr w:rsidR="00D16A76" w:rsidRPr="00807C04" w:rsidTr="00D16A76">
        <w:tc>
          <w:tcPr>
            <w:tcW w:w="321" w:type="pct"/>
          </w:tcPr>
          <w:p w:rsidR="00D16A76" w:rsidRPr="00807C04" w:rsidRDefault="00D16A76" w:rsidP="00807C04">
            <w:pPr>
              <w:rPr>
                <w:rFonts w:eastAsia="Times New Roman"/>
              </w:rPr>
            </w:pPr>
            <w:r>
              <w:t>2.</w:t>
            </w:r>
          </w:p>
        </w:tc>
        <w:tc>
          <w:tcPr>
            <w:tcW w:w="2278" w:type="pct"/>
          </w:tcPr>
          <w:p w:rsidR="00D16A76" w:rsidRPr="00807C04" w:rsidRDefault="00D16A76" w:rsidP="00807C04">
            <w:pPr>
              <w:rPr>
                <w:rFonts w:eastAsia="Times New Roman"/>
              </w:rPr>
            </w:pPr>
            <w:r>
              <w:t>Георги Йорданов ИЛИЕВ</w:t>
            </w:r>
          </w:p>
        </w:tc>
        <w:tc>
          <w:tcPr>
            <w:tcW w:w="384" w:type="pct"/>
          </w:tcPr>
          <w:p w:rsidR="00D16A76" w:rsidRPr="00807C04" w:rsidRDefault="00D16A76" w:rsidP="00807C04">
            <w:pPr>
              <w:rPr>
                <w:rFonts w:eastAsia="Times New Roman"/>
              </w:rPr>
            </w:pPr>
            <w:r>
              <w:t>1967 г.</w:t>
            </w:r>
          </w:p>
        </w:tc>
        <w:tc>
          <w:tcPr>
            <w:tcW w:w="891" w:type="pct"/>
          </w:tcPr>
          <w:p w:rsidR="00D16A76" w:rsidRPr="00807C04" w:rsidRDefault="00D16A76" w:rsidP="00807C04">
            <w:pPr>
              <w:rPr>
                <w:rFonts w:eastAsia="Times New Roman"/>
              </w:rPr>
            </w:pPr>
            <w:r>
              <w:t>българско</w:t>
            </w:r>
          </w:p>
        </w:tc>
        <w:tc>
          <w:tcPr>
            <w:tcW w:w="1126" w:type="pct"/>
          </w:tcPr>
          <w:p w:rsidR="00D16A76" w:rsidRPr="00807C04" w:rsidRDefault="00D16A76" w:rsidP="00807C04">
            <w:pPr>
              <w:rPr>
                <w:rFonts w:eastAsia="Times New Roman"/>
              </w:rPr>
            </w:pPr>
            <w:r>
              <w:t>Велико Търново</w:t>
            </w:r>
          </w:p>
        </w:tc>
      </w:tr>
      <w:tr w:rsidR="00D16A76" w:rsidRPr="00807C04" w:rsidTr="00D16A76">
        <w:tc>
          <w:tcPr>
            <w:tcW w:w="321" w:type="pct"/>
          </w:tcPr>
          <w:p w:rsidR="00D16A76" w:rsidRPr="00807C04" w:rsidRDefault="00D16A76" w:rsidP="00807C04">
            <w:pPr>
              <w:rPr>
                <w:rFonts w:eastAsia="Times New Roman"/>
              </w:rPr>
            </w:pPr>
            <w:r>
              <w:t>3.</w:t>
            </w:r>
          </w:p>
        </w:tc>
        <w:tc>
          <w:tcPr>
            <w:tcW w:w="2278" w:type="pct"/>
          </w:tcPr>
          <w:p w:rsidR="00D16A76" w:rsidRPr="00807C04" w:rsidRDefault="00D16A76" w:rsidP="00807C04">
            <w:pPr>
              <w:rPr>
                <w:rFonts w:eastAsia="Times New Roman"/>
              </w:rPr>
            </w:pPr>
            <w:r>
              <w:t>Симонета Георгиева ИЛИЕВА</w:t>
            </w:r>
          </w:p>
        </w:tc>
        <w:tc>
          <w:tcPr>
            <w:tcW w:w="384" w:type="pct"/>
          </w:tcPr>
          <w:p w:rsidR="00D16A76" w:rsidRPr="00807C04" w:rsidRDefault="00D16A76" w:rsidP="00807C04">
            <w:pPr>
              <w:rPr>
                <w:rFonts w:eastAsia="Times New Roman"/>
              </w:rPr>
            </w:pPr>
            <w:r>
              <w:t>1991 г.</w:t>
            </w:r>
          </w:p>
        </w:tc>
        <w:tc>
          <w:tcPr>
            <w:tcW w:w="891" w:type="pct"/>
          </w:tcPr>
          <w:p w:rsidR="00D16A76" w:rsidRPr="00807C04" w:rsidRDefault="00D16A76" w:rsidP="00807C04">
            <w:pPr>
              <w:rPr>
                <w:rFonts w:eastAsia="Times New Roman"/>
              </w:rPr>
            </w:pPr>
            <w:r>
              <w:t>българско</w:t>
            </w:r>
          </w:p>
        </w:tc>
        <w:tc>
          <w:tcPr>
            <w:tcW w:w="1126" w:type="pct"/>
          </w:tcPr>
          <w:p w:rsidR="00D16A76" w:rsidRPr="00807C04" w:rsidRDefault="00D16A76" w:rsidP="00807C04">
            <w:pPr>
              <w:rPr>
                <w:rFonts w:eastAsia="Times New Roman"/>
              </w:rPr>
            </w:pPr>
            <w:r>
              <w:t>Велико Търново</w:t>
            </w:r>
          </w:p>
        </w:tc>
      </w:tr>
    </w:tbl>
    <w:p w:rsidR="00D16A76" w:rsidRPr="00807C04" w:rsidRDefault="00D16A76" w:rsidP="00807C04">
      <w:pPr>
        <w:rPr>
          <w:rFonts w:eastAsia="Times New Roman"/>
        </w:rPr>
      </w:pPr>
    </w:p>
    <w:p w:rsidR="009155CC" w:rsidRPr="00807C04" w:rsidRDefault="009155CC" w:rsidP="00807C04">
      <w:pPr>
        <w:ind w:firstLine="284"/>
        <w:jc w:val="both"/>
        <w:rPr>
          <w:rFonts w:ascii="Times New Roman" w:eastAsia="Times New Roman" w:hAnsi="Times New Roman" w:cs="Times New Roman"/>
          <w:lang w:val="en-GB"/>
        </w:rPr>
      </w:pPr>
    </w:p>
    <w:p w:rsidR="00D16A76" w:rsidRPr="00807C04" w:rsidRDefault="00D16A76" w:rsidP="00807C04">
      <w:pPr>
        <w:ind w:firstLine="284"/>
        <w:jc w:val="both"/>
        <w:rPr>
          <w:rFonts w:ascii="Times New Roman" w:eastAsia="Times New Roman" w:hAnsi="Times New Roman" w:cs="Times New Roman"/>
        </w:rPr>
      </w:pPr>
      <w:r>
        <w:rPr>
          <w:rFonts w:ascii="Times New Roman" w:hAnsi="Times New Roman"/>
        </w:rPr>
        <w:t>Жал</w:t>
      </w:r>
      <w:r>
        <w:t>б</w:t>
      </w:r>
      <w:r>
        <w:rPr>
          <w:rFonts w:ascii="Times New Roman" w:hAnsi="Times New Roman"/>
        </w:rPr>
        <w:t xml:space="preserve">а </w:t>
      </w:r>
      <w:r>
        <w:t>№</w:t>
      </w:r>
      <w:r>
        <w:rPr>
          <w:rFonts w:ascii="Times New Roman" w:hAnsi="Times New Roman"/>
        </w:rPr>
        <w:t xml:space="preserve"> 69163/11</w:t>
      </w:r>
    </w:p>
    <w:p w:rsidR="00D16A76" w:rsidRPr="00807C04" w:rsidRDefault="00D16A76" w:rsidP="00807C04">
      <w:pPr>
        <w:ind w:firstLine="284"/>
        <w:jc w:val="both"/>
        <w:rPr>
          <w:rFonts w:ascii="Times New Roman" w:eastAsia="Times New Roman" w:hAnsi="Times New Roman" w:cs="Times New Roman"/>
          <w:lang w:val="en-GB"/>
        </w:rPr>
      </w:pPr>
    </w:p>
    <w:tbl>
      <w:tblPr>
        <w:tblStyle w:val="ECHRListTable1"/>
        <w:tblW w:w="5000" w:type="pct"/>
        <w:tblLook w:val="0420" w:firstRow="1" w:lastRow="0" w:firstColumn="0" w:lastColumn="0" w:noHBand="0" w:noVBand="1"/>
      </w:tblPr>
      <w:tblGrid>
        <w:gridCol w:w="458"/>
        <w:gridCol w:w="1835"/>
        <w:gridCol w:w="1130"/>
        <w:gridCol w:w="1650"/>
        <w:gridCol w:w="2275"/>
      </w:tblGrid>
      <w:tr w:rsidR="00D16A76" w:rsidRPr="00807C04" w:rsidTr="00D16A76">
        <w:trPr>
          <w:cnfStyle w:val="100000000000" w:firstRow="1" w:lastRow="0" w:firstColumn="0" w:lastColumn="0" w:oddVBand="0" w:evenVBand="0" w:oddHBand="0" w:evenHBand="0" w:firstRowFirstColumn="0" w:firstRowLastColumn="0" w:lastRowFirstColumn="0" w:lastRowLastColumn="0"/>
        </w:trPr>
        <w:tc>
          <w:tcPr>
            <w:tcW w:w="321" w:type="pct"/>
          </w:tcPr>
          <w:p w:rsidR="00D16A76" w:rsidRPr="00807C04" w:rsidRDefault="00D16A76" w:rsidP="00807C04">
            <w:r>
              <w:t>№</w:t>
            </w:r>
          </w:p>
        </w:tc>
        <w:tc>
          <w:tcPr>
            <w:tcW w:w="2089" w:type="pct"/>
          </w:tcPr>
          <w:p w:rsidR="00D16A76" w:rsidRPr="00807C04" w:rsidRDefault="00D16A76" w:rsidP="00807C04">
            <w:r>
              <w:t>Собствено име ФАМИЛИЯ</w:t>
            </w:r>
          </w:p>
        </w:tc>
        <w:tc>
          <w:tcPr>
            <w:tcW w:w="749" w:type="pct"/>
          </w:tcPr>
          <w:p w:rsidR="00D16A76" w:rsidRPr="00807C04" w:rsidRDefault="00D16A76" w:rsidP="00807C04">
            <w:r>
              <w:t>Година на раждане</w:t>
            </w:r>
          </w:p>
        </w:tc>
        <w:tc>
          <w:tcPr>
            <w:tcW w:w="937" w:type="pct"/>
          </w:tcPr>
          <w:p w:rsidR="00D16A76" w:rsidRPr="00807C04" w:rsidRDefault="00D16A76" w:rsidP="00807C04">
            <w:r>
              <w:t>Гражданство</w:t>
            </w:r>
          </w:p>
        </w:tc>
        <w:tc>
          <w:tcPr>
            <w:tcW w:w="904" w:type="pct"/>
          </w:tcPr>
          <w:p w:rsidR="00D16A76" w:rsidRPr="00807C04" w:rsidRDefault="00D16A76" w:rsidP="00807C04">
            <w:r>
              <w:t>Местопребиваване</w:t>
            </w:r>
          </w:p>
        </w:tc>
      </w:tr>
      <w:tr w:rsidR="00D16A76" w:rsidRPr="00807C04" w:rsidTr="00D16A76">
        <w:tc>
          <w:tcPr>
            <w:tcW w:w="321" w:type="pct"/>
          </w:tcPr>
          <w:p w:rsidR="00D16A76" w:rsidRPr="00807C04" w:rsidRDefault="00D16A76" w:rsidP="00807C04">
            <w:r>
              <w:t>1.</w:t>
            </w:r>
          </w:p>
        </w:tc>
        <w:tc>
          <w:tcPr>
            <w:tcW w:w="2089" w:type="pct"/>
          </w:tcPr>
          <w:p w:rsidR="00D16A76" w:rsidRPr="00807C04" w:rsidRDefault="00D16A76" w:rsidP="00807C04">
            <w:pPr>
              <w:rPr>
                <w:sz w:val="22"/>
                <w:szCs w:val="22"/>
              </w:rPr>
            </w:pPr>
            <w:r>
              <w:rPr>
                <w:sz w:val="22"/>
              </w:rPr>
              <w:t>Тереза Йорданова ГАНЧЕВА</w:t>
            </w:r>
          </w:p>
        </w:tc>
        <w:tc>
          <w:tcPr>
            <w:tcW w:w="749" w:type="pct"/>
          </w:tcPr>
          <w:p w:rsidR="00D16A76" w:rsidRPr="00807C04" w:rsidRDefault="00D16A76" w:rsidP="00807C04">
            <w:r>
              <w:t>1987 г.</w:t>
            </w:r>
          </w:p>
        </w:tc>
        <w:tc>
          <w:tcPr>
            <w:tcW w:w="937" w:type="pct"/>
          </w:tcPr>
          <w:p w:rsidR="00D16A76" w:rsidRPr="00807C04" w:rsidRDefault="00D16A76" w:rsidP="00807C04">
            <w:r>
              <w:t>българско</w:t>
            </w:r>
          </w:p>
        </w:tc>
        <w:tc>
          <w:tcPr>
            <w:tcW w:w="904" w:type="pct"/>
          </w:tcPr>
          <w:p w:rsidR="00D16A76" w:rsidRPr="00807C04" w:rsidRDefault="00EE15EB" w:rsidP="00807C04">
            <w:r>
              <w:t>Присово</w:t>
            </w:r>
          </w:p>
        </w:tc>
      </w:tr>
      <w:tr w:rsidR="00D16A76" w:rsidRPr="00807C04" w:rsidTr="00D16A76">
        <w:tc>
          <w:tcPr>
            <w:tcW w:w="321" w:type="pct"/>
          </w:tcPr>
          <w:p w:rsidR="00D16A76" w:rsidRPr="00807C04" w:rsidRDefault="00D16A76" w:rsidP="00807C04">
            <w:r>
              <w:t>2.</w:t>
            </w:r>
          </w:p>
        </w:tc>
        <w:tc>
          <w:tcPr>
            <w:tcW w:w="2089" w:type="pct"/>
          </w:tcPr>
          <w:p w:rsidR="00D16A76" w:rsidRPr="00807C04" w:rsidRDefault="00D16A76" w:rsidP="00807C04">
            <w:pPr>
              <w:rPr>
                <w:sz w:val="22"/>
                <w:szCs w:val="22"/>
              </w:rPr>
            </w:pPr>
            <w:r>
              <w:rPr>
                <w:sz w:val="22"/>
              </w:rPr>
              <w:t>Георги Стефанов ГАНЧЕВ</w:t>
            </w:r>
          </w:p>
        </w:tc>
        <w:tc>
          <w:tcPr>
            <w:tcW w:w="749" w:type="pct"/>
          </w:tcPr>
          <w:p w:rsidR="00D16A76" w:rsidRPr="00807C04" w:rsidRDefault="00D16A76" w:rsidP="00807C04">
            <w:r>
              <w:t>1976 г.</w:t>
            </w:r>
          </w:p>
        </w:tc>
        <w:tc>
          <w:tcPr>
            <w:tcW w:w="937" w:type="pct"/>
          </w:tcPr>
          <w:p w:rsidR="00D16A76" w:rsidRPr="00807C04" w:rsidRDefault="00D16A76" w:rsidP="00807C04">
            <w:r>
              <w:t>българско</w:t>
            </w:r>
          </w:p>
        </w:tc>
        <w:tc>
          <w:tcPr>
            <w:tcW w:w="904" w:type="pct"/>
          </w:tcPr>
          <w:p w:rsidR="00D16A76" w:rsidRPr="00807C04" w:rsidRDefault="00EE15EB" w:rsidP="00807C04">
            <w:r>
              <w:t>Присово</w:t>
            </w:r>
          </w:p>
        </w:tc>
      </w:tr>
    </w:tbl>
    <w:p w:rsidR="00876F03" w:rsidRPr="00807C04" w:rsidRDefault="00876F03" w:rsidP="00807C04">
      <w:pPr>
        <w:pStyle w:val="JuSigned"/>
      </w:pPr>
    </w:p>
    <w:sectPr w:rsidR="00876F03" w:rsidRPr="00807C04">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8F" w:rsidRPr="00E80AF2" w:rsidRDefault="0035268F" w:rsidP="00516B59">
      <w:r w:rsidRPr="00E80AF2">
        <w:separator/>
      </w:r>
    </w:p>
  </w:endnote>
  <w:endnote w:type="continuationSeparator" w:id="0">
    <w:p w:rsidR="0035268F" w:rsidRPr="00E80AF2" w:rsidRDefault="0035268F" w:rsidP="00516B59">
      <w:r w:rsidRPr="00E80A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E80AF2" w:rsidRDefault="00BD7124" w:rsidP="00954AD6">
    <w:pPr>
      <w:pStyle w:val="JuHeader"/>
    </w:pPr>
    <w:r>
      <w:fldChar w:fldCharType="begin"/>
    </w:r>
    <w:r>
      <w:instrText xml:space="preserve"> PAGE </w:instrText>
    </w:r>
    <w:r>
      <w:fldChar w:fldCharType="separate"/>
    </w:r>
    <w:r w:rsidR="002D2376">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150BFA" w:rsidRDefault="00BD7124" w:rsidP="00FD6FA5">
    <w:pPr>
      <w:jc w:val="center"/>
    </w:pPr>
    <w:r>
      <w:rPr>
        <w:noProof/>
        <w:lang w:eastAsia="bg-BG"/>
      </w:rPr>
      <w:drawing>
        <wp:inline distT="0" distB="0" distL="0" distR="0" wp14:anchorId="27091C0C" wp14:editId="2385AFCF">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D7124" w:rsidRPr="00E80AF2" w:rsidRDefault="00BD7124"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150BFA" w:rsidRDefault="00BD7124" w:rsidP="00FD6FA5">
    <w:pPr>
      <w:jc w:val="center"/>
    </w:pPr>
    <w:r>
      <w:rPr>
        <w:noProof/>
        <w:lang w:eastAsia="bg-BG"/>
      </w:rPr>
      <w:drawing>
        <wp:inline distT="0" distB="0" distL="0" distR="0" wp14:anchorId="4E376187" wp14:editId="3DA548F7">
          <wp:extent cx="771525" cy="619125"/>
          <wp:effectExtent l="0" t="0" r="9525" b="9525"/>
          <wp:docPr id="79" name="Picture 7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D7124" w:rsidRPr="00E80AF2" w:rsidRDefault="00BD7124"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D01935" w:rsidRDefault="00BD7124" w:rsidP="00662882">
    <w:pPr>
      <w:pStyle w:val="JuHeader"/>
    </w:pPr>
    <w:r>
      <w:fldChar w:fldCharType="begin"/>
    </w:r>
    <w:r>
      <w:instrText xml:space="preserve"> PAGE </w:instrText>
    </w:r>
    <w:r>
      <w:fldChar w:fldCharType="separate"/>
    </w:r>
    <w:r w:rsidR="002D2376">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8F" w:rsidRPr="00E80AF2" w:rsidRDefault="0035268F" w:rsidP="00516B59">
      <w:r w:rsidRPr="00E80AF2">
        <w:separator/>
      </w:r>
    </w:p>
  </w:footnote>
  <w:footnote w:type="continuationSeparator" w:id="0">
    <w:p w:rsidR="0035268F" w:rsidRPr="00E80AF2" w:rsidRDefault="0035268F" w:rsidP="00516B59">
      <w:r w:rsidRPr="00E80A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97" w:rsidRDefault="00513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A45145" w:rsidRDefault="00BD7124" w:rsidP="00FD6FA5">
    <w:pPr>
      <w:jc w:val="center"/>
    </w:pPr>
    <w:r>
      <w:rPr>
        <w:noProof/>
        <w:lang w:eastAsia="bg-BG"/>
      </w:rPr>
      <w:drawing>
        <wp:inline distT="0" distB="0" distL="0" distR="0" wp14:anchorId="1E143F65" wp14:editId="09D0B6FF">
          <wp:extent cx="2962275" cy="1219200"/>
          <wp:effectExtent l="0" t="0" r="9525" b="0"/>
          <wp:docPr id="81" name="Picture 8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D7124" w:rsidRPr="00E80AF2" w:rsidRDefault="00BD7124" w:rsidP="00FD6F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A45145" w:rsidRDefault="00BD7124" w:rsidP="00FD6FA5">
    <w:pPr>
      <w:jc w:val="center"/>
    </w:pPr>
    <w:r>
      <w:rPr>
        <w:noProof/>
        <w:lang w:eastAsia="bg-BG"/>
      </w:rPr>
      <w:drawing>
        <wp:inline distT="0" distB="0" distL="0" distR="0" wp14:anchorId="5AB65B8F" wp14:editId="20E3621B">
          <wp:extent cx="2962275" cy="1219200"/>
          <wp:effectExtent l="0" t="0" r="9525" b="0"/>
          <wp:docPr id="67" name="Picture 6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D7124" w:rsidRPr="00E80AF2" w:rsidRDefault="00BD7124"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E80AF2" w:rsidRDefault="00BD7124" w:rsidP="00A21624">
    <w:pPr>
      <w:pStyle w:val="JuHeader"/>
    </w:pPr>
    <w:r>
      <w:t xml:space="preserve">РЕШЕНИЕ по делото ИЛИЕВИ И ГАНЧЕВИ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24" w:rsidRPr="00662882" w:rsidRDefault="00BD7124" w:rsidP="00662882">
    <w:pPr>
      <w:pStyle w:val="JuHeader"/>
    </w:pPr>
    <w:r>
      <w:t xml:space="preserve">РЕШЕНИЕ по делото ИЛИЕВИ И ГАНЧЕВИ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D8668044"/>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5E6A40"/>
    <w:multiLevelType w:val="multilevel"/>
    <w:tmpl w:val="C36EE3E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7"/>
  </w:num>
  <w:num w:numId="2">
    <w:abstractNumId w:val="13"/>
  </w:num>
  <w:num w:numId="3">
    <w:abstractNumId w:val="12"/>
    <w:lvlOverride w:ilvl="0">
      <w:lvl w:ilvl="0">
        <w:start w:val="1"/>
        <w:numFmt w:val="decimal"/>
        <w:pStyle w:val="JuList"/>
        <w:lvlText w:val="%1."/>
        <w:lvlJc w:val="left"/>
        <w:pPr>
          <w:tabs>
            <w:tab w:val="num" w:pos="340"/>
          </w:tabs>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9"/>
  </w:num>
  <w:num w:numId="5">
    <w:abstractNumId w:val="14"/>
  </w:num>
  <w:num w:numId="6">
    <w:abstractNumId w:val="11"/>
  </w:num>
  <w:num w:numId="7">
    <w:abstractNumId w:val="10"/>
  </w:num>
  <w:num w:numId="8">
    <w:abstractNumId w:val="15"/>
  </w:num>
  <w:num w:numId="9">
    <w:abstractNumId w:val="12"/>
  </w:num>
  <w:num w:numId="10">
    <w:abstractNumId w:val="16"/>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2"/>
    <w:docVar w:name="EMM" w:val="0"/>
    <w:docVar w:name="NBEMMDOC" w:val="0"/>
  </w:docVars>
  <w:rsids>
    <w:rsidRoot w:val="00E80AF2"/>
    <w:rsid w:val="000041F8"/>
    <w:rsid w:val="000042A8"/>
    <w:rsid w:val="00004308"/>
    <w:rsid w:val="00005BF0"/>
    <w:rsid w:val="00007154"/>
    <w:rsid w:val="000103AE"/>
    <w:rsid w:val="00011D69"/>
    <w:rsid w:val="00012AD3"/>
    <w:rsid w:val="00012E44"/>
    <w:rsid w:val="00015C2D"/>
    <w:rsid w:val="00015F00"/>
    <w:rsid w:val="00016A0A"/>
    <w:rsid w:val="00022C1D"/>
    <w:rsid w:val="00034987"/>
    <w:rsid w:val="000435FF"/>
    <w:rsid w:val="00051015"/>
    <w:rsid w:val="00053300"/>
    <w:rsid w:val="00053D36"/>
    <w:rsid w:val="000602DF"/>
    <w:rsid w:val="00061B05"/>
    <w:rsid w:val="000632D5"/>
    <w:rsid w:val="000644EE"/>
    <w:rsid w:val="00080ECE"/>
    <w:rsid w:val="0009057B"/>
    <w:rsid w:val="000925AD"/>
    <w:rsid w:val="000A20EB"/>
    <w:rsid w:val="000A24EB"/>
    <w:rsid w:val="000B5D17"/>
    <w:rsid w:val="000B6923"/>
    <w:rsid w:val="000B7DF3"/>
    <w:rsid w:val="000C5F3C"/>
    <w:rsid w:val="000C6DCC"/>
    <w:rsid w:val="000D04C2"/>
    <w:rsid w:val="000D47AA"/>
    <w:rsid w:val="000D721F"/>
    <w:rsid w:val="000D7B2C"/>
    <w:rsid w:val="000E069B"/>
    <w:rsid w:val="000E0E82"/>
    <w:rsid w:val="000E1DC5"/>
    <w:rsid w:val="000E223F"/>
    <w:rsid w:val="000E4AC8"/>
    <w:rsid w:val="000E7D45"/>
    <w:rsid w:val="000F1305"/>
    <w:rsid w:val="000F19D8"/>
    <w:rsid w:val="000F7851"/>
    <w:rsid w:val="00104E23"/>
    <w:rsid w:val="00111B0C"/>
    <w:rsid w:val="00111E33"/>
    <w:rsid w:val="00117CD2"/>
    <w:rsid w:val="00120D6C"/>
    <w:rsid w:val="001257EC"/>
    <w:rsid w:val="00133D33"/>
    <w:rsid w:val="00134D64"/>
    <w:rsid w:val="00135A30"/>
    <w:rsid w:val="0013612C"/>
    <w:rsid w:val="00137FF6"/>
    <w:rsid w:val="00141650"/>
    <w:rsid w:val="001504D8"/>
    <w:rsid w:val="001625AD"/>
    <w:rsid w:val="00162967"/>
    <w:rsid w:val="00162A12"/>
    <w:rsid w:val="00166530"/>
    <w:rsid w:val="00173472"/>
    <w:rsid w:val="00181508"/>
    <w:rsid w:val="001832BD"/>
    <w:rsid w:val="00184525"/>
    <w:rsid w:val="0018554A"/>
    <w:rsid w:val="001943B5"/>
    <w:rsid w:val="00194C5B"/>
    <w:rsid w:val="00195134"/>
    <w:rsid w:val="001A145B"/>
    <w:rsid w:val="001A674C"/>
    <w:rsid w:val="001B1CF9"/>
    <w:rsid w:val="001B3B24"/>
    <w:rsid w:val="001C0F98"/>
    <w:rsid w:val="001C2A42"/>
    <w:rsid w:val="001C2B5C"/>
    <w:rsid w:val="001D5721"/>
    <w:rsid w:val="001D63ED"/>
    <w:rsid w:val="001D7348"/>
    <w:rsid w:val="001E035B"/>
    <w:rsid w:val="001E0961"/>
    <w:rsid w:val="001E3EAE"/>
    <w:rsid w:val="001E6F32"/>
    <w:rsid w:val="001F2145"/>
    <w:rsid w:val="001F39F4"/>
    <w:rsid w:val="001F6262"/>
    <w:rsid w:val="001F67B0"/>
    <w:rsid w:val="001F7B3D"/>
    <w:rsid w:val="00204F24"/>
    <w:rsid w:val="00205F9F"/>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5123"/>
    <w:rsid w:val="00282240"/>
    <w:rsid w:val="002840BD"/>
    <w:rsid w:val="002948AD"/>
    <w:rsid w:val="0029739C"/>
    <w:rsid w:val="002A01CC"/>
    <w:rsid w:val="002A61B1"/>
    <w:rsid w:val="002A663C"/>
    <w:rsid w:val="002B444B"/>
    <w:rsid w:val="002B5887"/>
    <w:rsid w:val="002B7E83"/>
    <w:rsid w:val="002C0E27"/>
    <w:rsid w:val="002C3040"/>
    <w:rsid w:val="002D022D"/>
    <w:rsid w:val="002D2376"/>
    <w:rsid w:val="002D24BB"/>
    <w:rsid w:val="002D41DF"/>
    <w:rsid w:val="002F0690"/>
    <w:rsid w:val="002F29AA"/>
    <w:rsid w:val="002F2AF7"/>
    <w:rsid w:val="002F7423"/>
    <w:rsid w:val="002F7E1C"/>
    <w:rsid w:val="0030024B"/>
    <w:rsid w:val="00301A75"/>
    <w:rsid w:val="00302F70"/>
    <w:rsid w:val="0030336F"/>
    <w:rsid w:val="0030375E"/>
    <w:rsid w:val="0030660C"/>
    <w:rsid w:val="00312853"/>
    <w:rsid w:val="00312A30"/>
    <w:rsid w:val="00316323"/>
    <w:rsid w:val="00320F72"/>
    <w:rsid w:val="003213BE"/>
    <w:rsid w:val="0032463E"/>
    <w:rsid w:val="00326224"/>
    <w:rsid w:val="00337EE4"/>
    <w:rsid w:val="00340FFD"/>
    <w:rsid w:val="003506B1"/>
    <w:rsid w:val="0035268F"/>
    <w:rsid w:val="00356AC7"/>
    <w:rsid w:val="00356F8E"/>
    <w:rsid w:val="003609FA"/>
    <w:rsid w:val="00361D45"/>
    <w:rsid w:val="00367B4F"/>
    <w:rsid w:val="003710C8"/>
    <w:rsid w:val="003722CE"/>
    <w:rsid w:val="003750BE"/>
    <w:rsid w:val="00387B9D"/>
    <w:rsid w:val="0039364F"/>
    <w:rsid w:val="00396686"/>
    <w:rsid w:val="0039778E"/>
    <w:rsid w:val="003A37B8"/>
    <w:rsid w:val="003B4941"/>
    <w:rsid w:val="003B6A2E"/>
    <w:rsid w:val="003C5714"/>
    <w:rsid w:val="003C6B9F"/>
    <w:rsid w:val="003C6E2A"/>
    <w:rsid w:val="003D0299"/>
    <w:rsid w:val="003D32BE"/>
    <w:rsid w:val="003E3FE3"/>
    <w:rsid w:val="003E47E4"/>
    <w:rsid w:val="003E6D80"/>
    <w:rsid w:val="003E7A9C"/>
    <w:rsid w:val="003F05FA"/>
    <w:rsid w:val="003F244A"/>
    <w:rsid w:val="003F30B8"/>
    <w:rsid w:val="003F4C45"/>
    <w:rsid w:val="003F4F6E"/>
    <w:rsid w:val="003F5F7B"/>
    <w:rsid w:val="003F7D64"/>
    <w:rsid w:val="00401F7D"/>
    <w:rsid w:val="0041177B"/>
    <w:rsid w:val="00414300"/>
    <w:rsid w:val="00425C67"/>
    <w:rsid w:val="00427E7A"/>
    <w:rsid w:val="00431C07"/>
    <w:rsid w:val="004344E6"/>
    <w:rsid w:val="00436C49"/>
    <w:rsid w:val="004401AF"/>
    <w:rsid w:val="00445366"/>
    <w:rsid w:val="00447F5B"/>
    <w:rsid w:val="00456549"/>
    <w:rsid w:val="004604A0"/>
    <w:rsid w:val="00461DB0"/>
    <w:rsid w:val="00463926"/>
    <w:rsid w:val="00464C9A"/>
    <w:rsid w:val="00474F3D"/>
    <w:rsid w:val="004752B3"/>
    <w:rsid w:val="00477E3A"/>
    <w:rsid w:val="00483E5F"/>
    <w:rsid w:val="00485FF9"/>
    <w:rsid w:val="004907F0"/>
    <w:rsid w:val="0049140B"/>
    <w:rsid w:val="004923A5"/>
    <w:rsid w:val="004946DB"/>
    <w:rsid w:val="00496197"/>
    <w:rsid w:val="00496BFB"/>
    <w:rsid w:val="004A15C7"/>
    <w:rsid w:val="004B013B"/>
    <w:rsid w:val="004B112B"/>
    <w:rsid w:val="004B41D2"/>
    <w:rsid w:val="004C01E4"/>
    <w:rsid w:val="004C086C"/>
    <w:rsid w:val="004C1A3F"/>
    <w:rsid w:val="004C1F56"/>
    <w:rsid w:val="004C27BC"/>
    <w:rsid w:val="004C2EB7"/>
    <w:rsid w:val="004D15F3"/>
    <w:rsid w:val="004D5311"/>
    <w:rsid w:val="004D5DCC"/>
    <w:rsid w:val="004E22F1"/>
    <w:rsid w:val="004F10AF"/>
    <w:rsid w:val="004F11A4"/>
    <w:rsid w:val="004F2389"/>
    <w:rsid w:val="004F304D"/>
    <w:rsid w:val="004F61BE"/>
    <w:rsid w:val="004F66B1"/>
    <w:rsid w:val="00511C07"/>
    <w:rsid w:val="00513897"/>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8348D"/>
    <w:rsid w:val="00592772"/>
    <w:rsid w:val="00592C8D"/>
    <w:rsid w:val="0059574A"/>
    <w:rsid w:val="005A1B9B"/>
    <w:rsid w:val="005A6751"/>
    <w:rsid w:val="005B092E"/>
    <w:rsid w:val="005B152C"/>
    <w:rsid w:val="005B1EE0"/>
    <w:rsid w:val="005B2B24"/>
    <w:rsid w:val="005B4425"/>
    <w:rsid w:val="005B4B94"/>
    <w:rsid w:val="005C353F"/>
    <w:rsid w:val="005C3EE8"/>
    <w:rsid w:val="005C50DF"/>
    <w:rsid w:val="005D34F9"/>
    <w:rsid w:val="005D4190"/>
    <w:rsid w:val="005D67A3"/>
    <w:rsid w:val="005E2988"/>
    <w:rsid w:val="005E3085"/>
    <w:rsid w:val="005F51E1"/>
    <w:rsid w:val="00604DD1"/>
    <w:rsid w:val="00606CAE"/>
    <w:rsid w:val="00611C80"/>
    <w:rsid w:val="00613B21"/>
    <w:rsid w:val="00620692"/>
    <w:rsid w:val="006242CA"/>
    <w:rsid w:val="00627507"/>
    <w:rsid w:val="00633717"/>
    <w:rsid w:val="006344E1"/>
    <w:rsid w:val="006361FD"/>
    <w:rsid w:val="006362F9"/>
    <w:rsid w:val="006545C4"/>
    <w:rsid w:val="00654B7E"/>
    <w:rsid w:val="00661971"/>
    <w:rsid w:val="00661CE8"/>
    <w:rsid w:val="006623D9"/>
    <w:rsid w:val="00662882"/>
    <w:rsid w:val="0066359F"/>
    <w:rsid w:val="0066550C"/>
    <w:rsid w:val="006716F2"/>
    <w:rsid w:val="00682BF2"/>
    <w:rsid w:val="006859CE"/>
    <w:rsid w:val="00691270"/>
    <w:rsid w:val="00694BA8"/>
    <w:rsid w:val="006A037C"/>
    <w:rsid w:val="006A36F4"/>
    <w:rsid w:val="006A406F"/>
    <w:rsid w:val="006A5D3A"/>
    <w:rsid w:val="006C23D4"/>
    <w:rsid w:val="006C475E"/>
    <w:rsid w:val="006C7BB0"/>
    <w:rsid w:val="006D3237"/>
    <w:rsid w:val="006D661E"/>
    <w:rsid w:val="006E2E37"/>
    <w:rsid w:val="006E3CF1"/>
    <w:rsid w:val="006E7E80"/>
    <w:rsid w:val="006F48CA"/>
    <w:rsid w:val="006F64DD"/>
    <w:rsid w:val="00715127"/>
    <w:rsid w:val="00715E8E"/>
    <w:rsid w:val="007172B0"/>
    <w:rsid w:val="00723580"/>
    <w:rsid w:val="00723755"/>
    <w:rsid w:val="00724AE2"/>
    <w:rsid w:val="007306EA"/>
    <w:rsid w:val="0073136C"/>
    <w:rsid w:val="00731F0F"/>
    <w:rsid w:val="00733250"/>
    <w:rsid w:val="00735951"/>
    <w:rsid w:val="00741404"/>
    <w:rsid w:val="007449E5"/>
    <w:rsid w:val="00747FF0"/>
    <w:rsid w:val="007612E2"/>
    <w:rsid w:val="00764D4E"/>
    <w:rsid w:val="00765A1F"/>
    <w:rsid w:val="007716AC"/>
    <w:rsid w:val="00775B6D"/>
    <w:rsid w:val="00776D68"/>
    <w:rsid w:val="007850EE"/>
    <w:rsid w:val="00785B95"/>
    <w:rsid w:val="00790AAD"/>
    <w:rsid w:val="00790E96"/>
    <w:rsid w:val="00793366"/>
    <w:rsid w:val="00793FA2"/>
    <w:rsid w:val="007971FF"/>
    <w:rsid w:val="007A3B68"/>
    <w:rsid w:val="007A4070"/>
    <w:rsid w:val="007A716F"/>
    <w:rsid w:val="007B270A"/>
    <w:rsid w:val="007C0695"/>
    <w:rsid w:val="007C419A"/>
    <w:rsid w:val="007C4CC8"/>
    <w:rsid w:val="007C5426"/>
    <w:rsid w:val="007C5798"/>
    <w:rsid w:val="007D4832"/>
    <w:rsid w:val="007D7398"/>
    <w:rsid w:val="007D7D72"/>
    <w:rsid w:val="007E21B2"/>
    <w:rsid w:val="007E2C4E"/>
    <w:rsid w:val="007F1905"/>
    <w:rsid w:val="00801300"/>
    <w:rsid w:val="00802C64"/>
    <w:rsid w:val="0080523A"/>
    <w:rsid w:val="00805E52"/>
    <w:rsid w:val="008061D0"/>
    <w:rsid w:val="00807C04"/>
    <w:rsid w:val="00810B38"/>
    <w:rsid w:val="00817829"/>
    <w:rsid w:val="008204C7"/>
    <w:rsid w:val="00820992"/>
    <w:rsid w:val="00822A48"/>
    <w:rsid w:val="00823602"/>
    <w:rsid w:val="008255F5"/>
    <w:rsid w:val="0083014E"/>
    <w:rsid w:val="0083214A"/>
    <w:rsid w:val="00834220"/>
    <w:rsid w:val="00845723"/>
    <w:rsid w:val="008514DE"/>
    <w:rsid w:val="00851EF9"/>
    <w:rsid w:val="008577FD"/>
    <w:rsid w:val="00860B03"/>
    <w:rsid w:val="0086497A"/>
    <w:rsid w:val="008713A1"/>
    <w:rsid w:val="00873D9C"/>
    <w:rsid w:val="008748BE"/>
    <w:rsid w:val="008754AB"/>
    <w:rsid w:val="00876A02"/>
    <w:rsid w:val="00876F03"/>
    <w:rsid w:val="0088060C"/>
    <w:rsid w:val="00891107"/>
    <w:rsid w:val="00893576"/>
    <w:rsid w:val="00893E73"/>
    <w:rsid w:val="00893F30"/>
    <w:rsid w:val="00895F5B"/>
    <w:rsid w:val="008A4ACE"/>
    <w:rsid w:val="008B02DC"/>
    <w:rsid w:val="008B2698"/>
    <w:rsid w:val="008B57CE"/>
    <w:rsid w:val="008C26DE"/>
    <w:rsid w:val="008C7573"/>
    <w:rsid w:val="008D2225"/>
    <w:rsid w:val="008D4752"/>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155CC"/>
    <w:rsid w:val="009259AC"/>
    <w:rsid w:val="00926F38"/>
    <w:rsid w:val="009310B0"/>
    <w:rsid w:val="00934301"/>
    <w:rsid w:val="00936CD1"/>
    <w:rsid w:val="009375A5"/>
    <w:rsid w:val="00941747"/>
    <w:rsid w:val="00941EFB"/>
    <w:rsid w:val="00947AFB"/>
    <w:rsid w:val="00951D7D"/>
    <w:rsid w:val="00954AD6"/>
    <w:rsid w:val="009630C7"/>
    <w:rsid w:val="00972B55"/>
    <w:rsid w:val="009743B7"/>
    <w:rsid w:val="009744D3"/>
    <w:rsid w:val="00975039"/>
    <w:rsid w:val="00977227"/>
    <w:rsid w:val="0098228B"/>
    <w:rsid w:val="009828DA"/>
    <w:rsid w:val="00985BAB"/>
    <w:rsid w:val="009B1B5F"/>
    <w:rsid w:val="009B6673"/>
    <w:rsid w:val="009C191B"/>
    <w:rsid w:val="009C2BD6"/>
    <w:rsid w:val="009D2F52"/>
    <w:rsid w:val="009E16D2"/>
    <w:rsid w:val="009E1F32"/>
    <w:rsid w:val="009E776C"/>
    <w:rsid w:val="00A00672"/>
    <w:rsid w:val="00A132AD"/>
    <w:rsid w:val="00A1726E"/>
    <w:rsid w:val="00A204CF"/>
    <w:rsid w:val="00A21624"/>
    <w:rsid w:val="00A23D49"/>
    <w:rsid w:val="00A27004"/>
    <w:rsid w:val="00A30C29"/>
    <w:rsid w:val="00A34DD6"/>
    <w:rsid w:val="00A36819"/>
    <w:rsid w:val="00A36989"/>
    <w:rsid w:val="00A43628"/>
    <w:rsid w:val="00A43AA3"/>
    <w:rsid w:val="00A4783F"/>
    <w:rsid w:val="00A506FC"/>
    <w:rsid w:val="00A54192"/>
    <w:rsid w:val="00A6035E"/>
    <w:rsid w:val="00A6144C"/>
    <w:rsid w:val="00A6463A"/>
    <w:rsid w:val="00A65190"/>
    <w:rsid w:val="00A66617"/>
    <w:rsid w:val="00A671F8"/>
    <w:rsid w:val="00A673A4"/>
    <w:rsid w:val="00A724AE"/>
    <w:rsid w:val="00A73329"/>
    <w:rsid w:val="00A742B3"/>
    <w:rsid w:val="00A75785"/>
    <w:rsid w:val="00A82359"/>
    <w:rsid w:val="00A865D2"/>
    <w:rsid w:val="00A86C73"/>
    <w:rsid w:val="00A94C20"/>
    <w:rsid w:val="00A956BC"/>
    <w:rsid w:val="00AA227F"/>
    <w:rsid w:val="00AA3891"/>
    <w:rsid w:val="00AA3BC7"/>
    <w:rsid w:val="00AA754A"/>
    <w:rsid w:val="00AB099E"/>
    <w:rsid w:val="00AB4328"/>
    <w:rsid w:val="00AB5628"/>
    <w:rsid w:val="00AB7898"/>
    <w:rsid w:val="00AC00C2"/>
    <w:rsid w:val="00AC1F39"/>
    <w:rsid w:val="00AC5872"/>
    <w:rsid w:val="00AE0A2E"/>
    <w:rsid w:val="00AE354C"/>
    <w:rsid w:val="00AE42E6"/>
    <w:rsid w:val="00AE546E"/>
    <w:rsid w:val="00AF4B07"/>
    <w:rsid w:val="00AF6186"/>
    <w:rsid w:val="00AF7A3A"/>
    <w:rsid w:val="00B00632"/>
    <w:rsid w:val="00B009F4"/>
    <w:rsid w:val="00B10085"/>
    <w:rsid w:val="00B117B2"/>
    <w:rsid w:val="00B160DB"/>
    <w:rsid w:val="00B20836"/>
    <w:rsid w:val="00B235BB"/>
    <w:rsid w:val="00B25320"/>
    <w:rsid w:val="00B25943"/>
    <w:rsid w:val="00B25D3B"/>
    <w:rsid w:val="00B27A44"/>
    <w:rsid w:val="00B30BBF"/>
    <w:rsid w:val="00B33C03"/>
    <w:rsid w:val="00B44E56"/>
    <w:rsid w:val="00B46543"/>
    <w:rsid w:val="00B47D33"/>
    <w:rsid w:val="00B52BE0"/>
    <w:rsid w:val="00B54133"/>
    <w:rsid w:val="00B544D6"/>
    <w:rsid w:val="00B57D42"/>
    <w:rsid w:val="00B65406"/>
    <w:rsid w:val="00B701ED"/>
    <w:rsid w:val="00B71659"/>
    <w:rsid w:val="00B751F4"/>
    <w:rsid w:val="00B8086C"/>
    <w:rsid w:val="00B840F7"/>
    <w:rsid w:val="00B861B4"/>
    <w:rsid w:val="00B86DFE"/>
    <w:rsid w:val="00B90990"/>
    <w:rsid w:val="00B922FF"/>
    <w:rsid w:val="00B9281E"/>
    <w:rsid w:val="00B93925"/>
    <w:rsid w:val="00B95187"/>
    <w:rsid w:val="00BA2D55"/>
    <w:rsid w:val="00BA71B1"/>
    <w:rsid w:val="00BB0637"/>
    <w:rsid w:val="00BB1671"/>
    <w:rsid w:val="00BB345F"/>
    <w:rsid w:val="00BB68EA"/>
    <w:rsid w:val="00BC1C27"/>
    <w:rsid w:val="00BC1F03"/>
    <w:rsid w:val="00BC6BBF"/>
    <w:rsid w:val="00BD1572"/>
    <w:rsid w:val="00BD3956"/>
    <w:rsid w:val="00BD7124"/>
    <w:rsid w:val="00BE14E3"/>
    <w:rsid w:val="00BE3774"/>
    <w:rsid w:val="00BE41E5"/>
    <w:rsid w:val="00BF4109"/>
    <w:rsid w:val="00BF4B9C"/>
    <w:rsid w:val="00BF4CC3"/>
    <w:rsid w:val="00BF7EBF"/>
    <w:rsid w:val="00C00E59"/>
    <w:rsid w:val="00C054C7"/>
    <w:rsid w:val="00C057B5"/>
    <w:rsid w:val="00C073D0"/>
    <w:rsid w:val="00C149F0"/>
    <w:rsid w:val="00C22687"/>
    <w:rsid w:val="00C25983"/>
    <w:rsid w:val="00C32E4D"/>
    <w:rsid w:val="00C333A0"/>
    <w:rsid w:val="00C36408"/>
    <w:rsid w:val="00C36A81"/>
    <w:rsid w:val="00C41974"/>
    <w:rsid w:val="00C4226B"/>
    <w:rsid w:val="00C45616"/>
    <w:rsid w:val="00C53F4A"/>
    <w:rsid w:val="00C54125"/>
    <w:rsid w:val="00C55B54"/>
    <w:rsid w:val="00C6098E"/>
    <w:rsid w:val="00C6152C"/>
    <w:rsid w:val="00C74810"/>
    <w:rsid w:val="00C81ACF"/>
    <w:rsid w:val="00C90D68"/>
    <w:rsid w:val="00C939FE"/>
    <w:rsid w:val="00CA4BDA"/>
    <w:rsid w:val="00CA7C61"/>
    <w:rsid w:val="00CB12A0"/>
    <w:rsid w:val="00CB1F66"/>
    <w:rsid w:val="00CB2951"/>
    <w:rsid w:val="00CC4112"/>
    <w:rsid w:val="00CD2677"/>
    <w:rsid w:val="00CD282B"/>
    <w:rsid w:val="00CD4C35"/>
    <w:rsid w:val="00CD7369"/>
    <w:rsid w:val="00CE0B0E"/>
    <w:rsid w:val="00CE0E02"/>
    <w:rsid w:val="00CE3831"/>
    <w:rsid w:val="00CF710C"/>
    <w:rsid w:val="00D00ABB"/>
    <w:rsid w:val="00D02781"/>
    <w:rsid w:val="00D02EEC"/>
    <w:rsid w:val="00D03551"/>
    <w:rsid w:val="00D05018"/>
    <w:rsid w:val="00D06A63"/>
    <w:rsid w:val="00D07E0E"/>
    <w:rsid w:val="00D11478"/>
    <w:rsid w:val="00D15ED0"/>
    <w:rsid w:val="00D16A76"/>
    <w:rsid w:val="00D21B3E"/>
    <w:rsid w:val="00D21C26"/>
    <w:rsid w:val="00D21FED"/>
    <w:rsid w:val="00D24251"/>
    <w:rsid w:val="00D3022C"/>
    <w:rsid w:val="00D332C7"/>
    <w:rsid w:val="00D343E2"/>
    <w:rsid w:val="00D361A2"/>
    <w:rsid w:val="00D367D2"/>
    <w:rsid w:val="00D44C2E"/>
    <w:rsid w:val="00D45414"/>
    <w:rsid w:val="00D5330B"/>
    <w:rsid w:val="00D54FF1"/>
    <w:rsid w:val="00D55E2C"/>
    <w:rsid w:val="00D566BD"/>
    <w:rsid w:val="00D57A4D"/>
    <w:rsid w:val="00D60AA7"/>
    <w:rsid w:val="00D62A67"/>
    <w:rsid w:val="00D63B35"/>
    <w:rsid w:val="00D63EC0"/>
    <w:rsid w:val="00D6435F"/>
    <w:rsid w:val="00D75E28"/>
    <w:rsid w:val="00D772C2"/>
    <w:rsid w:val="00D8008E"/>
    <w:rsid w:val="00D82C45"/>
    <w:rsid w:val="00D908A8"/>
    <w:rsid w:val="00D977B6"/>
    <w:rsid w:val="00DA3634"/>
    <w:rsid w:val="00DA4A31"/>
    <w:rsid w:val="00DA7B04"/>
    <w:rsid w:val="00DB36C2"/>
    <w:rsid w:val="00DB5CBD"/>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DA1"/>
    <w:rsid w:val="00E107B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0AF2"/>
    <w:rsid w:val="00E849D8"/>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15EB"/>
    <w:rsid w:val="00EE3E00"/>
    <w:rsid w:val="00EE5DD2"/>
    <w:rsid w:val="00F00A79"/>
    <w:rsid w:val="00F00E86"/>
    <w:rsid w:val="00F07C1E"/>
    <w:rsid w:val="00F105DB"/>
    <w:rsid w:val="00F132BC"/>
    <w:rsid w:val="00F13D80"/>
    <w:rsid w:val="00F16AAA"/>
    <w:rsid w:val="00F21161"/>
    <w:rsid w:val="00F218EF"/>
    <w:rsid w:val="00F21BC7"/>
    <w:rsid w:val="00F266A2"/>
    <w:rsid w:val="00F27D13"/>
    <w:rsid w:val="00F32269"/>
    <w:rsid w:val="00F56A6F"/>
    <w:rsid w:val="00F5709C"/>
    <w:rsid w:val="00F626DA"/>
    <w:rsid w:val="00F64EF1"/>
    <w:rsid w:val="00F659F3"/>
    <w:rsid w:val="00F83589"/>
    <w:rsid w:val="00F8765F"/>
    <w:rsid w:val="00F90767"/>
    <w:rsid w:val="00F912E4"/>
    <w:rsid w:val="00F94531"/>
    <w:rsid w:val="00F9588E"/>
    <w:rsid w:val="00FA685B"/>
    <w:rsid w:val="00FB0C01"/>
    <w:rsid w:val="00FC18F2"/>
    <w:rsid w:val="00FC2EB7"/>
    <w:rsid w:val="00FC39E5"/>
    <w:rsid w:val="00FC3A78"/>
    <w:rsid w:val="00FC5A4F"/>
    <w:rsid w:val="00FD1005"/>
    <w:rsid w:val="00FD61AA"/>
    <w:rsid w:val="00FD6C75"/>
    <w:rsid w:val="00FD6FA5"/>
    <w:rsid w:val="00FD7649"/>
    <w:rsid w:val="00FE71B3"/>
    <w:rsid w:val="00FF1605"/>
    <w:rsid w:val="00FF2E1A"/>
    <w:rsid w:val="00FF2FEC"/>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7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D63B35"/>
    <w:rPr>
      <w:sz w:val="24"/>
      <w:szCs w:val="24"/>
    </w:rPr>
  </w:style>
  <w:style w:type="paragraph" w:styleId="Heading1">
    <w:name w:val="heading 1"/>
    <w:basedOn w:val="Normal"/>
    <w:next w:val="Normal"/>
    <w:link w:val="Heading1Char"/>
    <w:uiPriority w:val="98"/>
    <w:semiHidden/>
    <w:rsid w:val="00D63B3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D63B3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D63B3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D63B3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D63B3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D63B3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D63B3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D63B3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D63B3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D63B35"/>
    <w:rPr>
      <w:rFonts w:ascii="Tahoma" w:hAnsi="Tahoma" w:cs="Tahoma"/>
      <w:sz w:val="16"/>
      <w:szCs w:val="16"/>
    </w:rPr>
  </w:style>
  <w:style w:type="character" w:customStyle="1" w:styleId="BalloonTextChar">
    <w:name w:val="Balloon Text Char"/>
    <w:basedOn w:val="DefaultParagraphFont"/>
    <w:link w:val="BalloonText"/>
    <w:uiPriority w:val="98"/>
    <w:semiHidden/>
    <w:rsid w:val="00D63B35"/>
    <w:rPr>
      <w:rFonts w:ascii="Tahoma" w:hAnsi="Tahoma" w:cs="Tahoma"/>
      <w:sz w:val="16"/>
      <w:szCs w:val="16"/>
      <w:lang w:val="bg-BG"/>
    </w:rPr>
  </w:style>
  <w:style w:type="character" w:styleId="BookTitle">
    <w:name w:val="Book Title"/>
    <w:uiPriority w:val="98"/>
    <w:semiHidden/>
    <w:qFormat/>
    <w:rsid w:val="00D63B35"/>
    <w:rPr>
      <w:i/>
      <w:iCs/>
      <w:smallCaps/>
      <w:spacing w:val="5"/>
    </w:rPr>
  </w:style>
  <w:style w:type="paragraph" w:customStyle="1" w:styleId="JuHeader">
    <w:name w:val="Ju_Header"/>
    <w:aliases w:val="_Header"/>
    <w:basedOn w:val="Header"/>
    <w:uiPriority w:val="29"/>
    <w:qFormat/>
    <w:rsid w:val="00D63B35"/>
    <w:pPr>
      <w:tabs>
        <w:tab w:val="clear" w:pos="4536"/>
        <w:tab w:val="clear" w:pos="9072"/>
      </w:tabs>
      <w:jc w:val="center"/>
    </w:pPr>
    <w:rPr>
      <w:sz w:val="18"/>
    </w:rPr>
  </w:style>
  <w:style w:type="paragraph" w:customStyle="1" w:styleId="DummyStyle">
    <w:name w:val="Dummy_Style"/>
    <w:aliases w:val="_Dummy"/>
    <w:basedOn w:val="Normal"/>
    <w:semiHidden/>
    <w:qFormat/>
    <w:rsid w:val="00D63B35"/>
    <w:rPr>
      <w:color w:val="00B050"/>
      <w:sz w:val="22"/>
    </w:rPr>
  </w:style>
  <w:style w:type="character" w:styleId="Strong">
    <w:name w:val="Strong"/>
    <w:uiPriority w:val="98"/>
    <w:semiHidden/>
    <w:qFormat/>
    <w:rsid w:val="00D63B35"/>
    <w:rPr>
      <w:b/>
      <w:bCs/>
    </w:rPr>
  </w:style>
  <w:style w:type="paragraph" w:styleId="NoSpacing">
    <w:name w:val="No Spacing"/>
    <w:basedOn w:val="Normal"/>
    <w:link w:val="NoSpacingChar"/>
    <w:uiPriority w:val="98"/>
    <w:semiHidden/>
    <w:qFormat/>
    <w:rsid w:val="00D63B35"/>
  </w:style>
  <w:style w:type="character" w:customStyle="1" w:styleId="NoSpacingChar">
    <w:name w:val="No Spacing Char"/>
    <w:basedOn w:val="DefaultParagraphFont"/>
    <w:link w:val="NoSpacing"/>
    <w:uiPriority w:val="98"/>
    <w:semiHidden/>
    <w:rsid w:val="00D63B35"/>
    <w:rPr>
      <w:sz w:val="24"/>
      <w:szCs w:val="24"/>
      <w:lang w:val="bg-BG"/>
    </w:rPr>
  </w:style>
  <w:style w:type="paragraph" w:customStyle="1" w:styleId="JuQuot">
    <w:name w:val="Ju_Quot"/>
    <w:aliases w:val="_Quote"/>
    <w:basedOn w:val="NormalJustified"/>
    <w:uiPriority w:val="20"/>
    <w:qFormat/>
    <w:rsid w:val="00D63B35"/>
    <w:pPr>
      <w:spacing w:before="120" w:after="120"/>
      <w:ind w:left="425" w:firstLine="142"/>
    </w:pPr>
    <w:rPr>
      <w:sz w:val="20"/>
    </w:rPr>
  </w:style>
  <w:style w:type="paragraph" w:customStyle="1" w:styleId="JuList">
    <w:name w:val="Ju_List"/>
    <w:aliases w:val="_List_1"/>
    <w:basedOn w:val="NormalJustified"/>
    <w:uiPriority w:val="23"/>
    <w:qFormat/>
    <w:rsid w:val="00D63B35"/>
    <w:pPr>
      <w:numPr>
        <w:numId w:val="9"/>
      </w:numPr>
      <w:spacing w:before="280" w:after="60"/>
    </w:pPr>
  </w:style>
  <w:style w:type="paragraph" w:customStyle="1" w:styleId="JuLista">
    <w:name w:val="Ju_List_a"/>
    <w:aliases w:val="_List_2"/>
    <w:basedOn w:val="NormalJustified"/>
    <w:uiPriority w:val="23"/>
    <w:rsid w:val="00D63B35"/>
    <w:pPr>
      <w:numPr>
        <w:ilvl w:val="1"/>
        <w:numId w:val="9"/>
      </w:numPr>
    </w:pPr>
  </w:style>
  <w:style w:type="paragraph" w:customStyle="1" w:styleId="JuListi">
    <w:name w:val="Ju_List_i"/>
    <w:aliases w:val="_List_3"/>
    <w:basedOn w:val="NormalJustified"/>
    <w:uiPriority w:val="23"/>
    <w:rsid w:val="00D63B35"/>
    <w:pPr>
      <w:numPr>
        <w:ilvl w:val="2"/>
        <w:numId w:val="9"/>
      </w:numPr>
    </w:pPr>
  </w:style>
  <w:style w:type="paragraph" w:customStyle="1" w:styleId="DecHTitle">
    <w:name w:val="Dec_H_Title"/>
    <w:aliases w:val="_Title_1"/>
    <w:basedOn w:val="JuPara"/>
    <w:next w:val="JuPara"/>
    <w:uiPriority w:val="38"/>
    <w:qFormat/>
    <w:rsid w:val="00D63B35"/>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D63B35"/>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D63B35"/>
    <w:pPr>
      <w:keepNext/>
      <w:keepLines/>
      <w:tabs>
        <w:tab w:val="right" w:pos="7938"/>
      </w:tabs>
      <w:ind w:firstLine="0"/>
      <w:jc w:val="center"/>
    </w:pPr>
    <w:rPr>
      <w:i/>
    </w:rPr>
  </w:style>
  <w:style w:type="numbering" w:customStyle="1" w:styleId="ECHRA1StyleBulletedSquare">
    <w:name w:val="ECHR_A1_Style_Bulleted_Square"/>
    <w:basedOn w:val="NoList"/>
    <w:rsid w:val="00D63B35"/>
    <w:pPr>
      <w:numPr>
        <w:numId w:val="8"/>
      </w:numPr>
    </w:pPr>
  </w:style>
  <w:style w:type="paragraph" w:customStyle="1" w:styleId="JuHHead">
    <w:name w:val="Ju_H_Head"/>
    <w:aliases w:val="_Head_1"/>
    <w:basedOn w:val="Heading1"/>
    <w:next w:val="JuPara"/>
    <w:uiPriority w:val="17"/>
    <w:qFormat/>
    <w:rsid w:val="00D63B35"/>
    <w:pPr>
      <w:keepNext/>
      <w:keepLines/>
      <w:numPr>
        <w:numId w:val="4"/>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D63B35"/>
    <w:pPr>
      <w:numPr>
        <w:numId w:val="9"/>
      </w:numPr>
    </w:pPr>
  </w:style>
  <w:style w:type="paragraph" w:customStyle="1" w:styleId="JuSigned">
    <w:name w:val="Ju_Signed"/>
    <w:aliases w:val="_Signature"/>
    <w:basedOn w:val="Normal"/>
    <w:next w:val="JuPara"/>
    <w:uiPriority w:val="31"/>
    <w:qFormat/>
    <w:rsid w:val="00D63B35"/>
    <w:pPr>
      <w:tabs>
        <w:tab w:val="center" w:pos="851"/>
        <w:tab w:val="center" w:pos="6407"/>
      </w:tabs>
      <w:spacing w:before="720"/>
    </w:pPr>
  </w:style>
  <w:style w:type="paragraph" w:styleId="Title">
    <w:name w:val="Title"/>
    <w:basedOn w:val="Normal"/>
    <w:next w:val="Normal"/>
    <w:link w:val="TitleChar"/>
    <w:uiPriority w:val="98"/>
    <w:semiHidden/>
    <w:qFormat/>
    <w:rsid w:val="00D63B3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D63B35"/>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D63B35"/>
    <w:pPr>
      <w:numPr>
        <w:numId w:val="10"/>
      </w:numPr>
    </w:pPr>
  </w:style>
  <w:style w:type="table" w:customStyle="1" w:styleId="ECHRTable2019">
    <w:name w:val="ECHR_Table_2019"/>
    <w:basedOn w:val="TableNormal"/>
    <w:uiPriority w:val="99"/>
    <w:rsid w:val="00D63B3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D63B35"/>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D63B35"/>
    <w:pPr>
      <w:tabs>
        <w:tab w:val="center" w:pos="6407"/>
      </w:tabs>
      <w:spacing w:before="720"/>
      <w:jc w:val="right"/>
    </w:pPr>
  </w:style>
  <w:style w:type="paragraph" w:customStyle="1" w:styleId="JuHIRoman">
    <w:name w:val="Ju_H_I_Roman"/>
    <w:aliases w:val="_Head_2"/>
    <w:basedOn w:val="Heading2"/>
    <w:next w:val="JuPara"/>
    <w:uiPriority w:val="17"/>
    <w:qFormat/>
    <w:rsid w:val="00D63B35"/>
    <w:pPr>
      <w:keepNext/>
      <w:keepLines/>
      <w:numPr>
        <w:ilvl w:val="1"/>
        <w:numId w:val="4"/>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D63B35"/>
    <w:pPr>
      <w:keepNext/>
      <w:keepLines/>
      <w:numPr>
        <w:ilvl w:val="2"/>
        <w:numId w:val="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D63B35"/>
    <w:pPr>
      <w:keepNext/>
      <w:keepLines/>
      <w:numPr>
        <w:ilvl w:val="3"/>
        <w:numId w:val="4"/>
      </w:numPr>
      <w:spacing w:before="100" w:beforeAutospacing="1" w:after="120"/>
      <w:jc w:val="both"/>
    </w:pPr>
    <w:rPr>
      <w:b w:val="0"/>
      <w:color w:val="auto"/>
      <w:sz w:val="24"/>
    </w:rPr>
  </w:style>
  <w:style w:type="paragraph" w:styleId="Header">
    <w:name w:val="header"/>
    <w:basedOn w:val="Normal"/>
    <w:link w:val="HeaderChar"/>
    <w:uiPriority w:val="98"/>
    <w:semiHidden/>
    <w:rsid w:val="00D63B35"/>
    <w:pPr>
      <w:tabs>
        <w:tab w:val="center" w:pos="4536"/>
        <w:tab w:val="right" w:pos="9072"/>
      </w:tabs>
    </w:pPr>
  </w:style>
  <w:style w:type="character" w:customStyle="1" w:styleId="HeaderChar">
    <w:name w:val="Header Char"/>
    <w:basedOn w:val="DefaultParagraphFont"/>
    <w:link w:val="Header"/>
    <w:uiPriority w:val="98"/>
    <w:semiHidden/>
    <w:rsid w:val="00D63B35"/>
    <w:rPr>
      <w:sz w:val="24"/>
      <w:szCs w:val="24"/>
      <w:lang w:val="bg-BG"/>
    </w:rPr>
  </w:style>
  <w:style w:type="character" w:customStyle="1" w:styleId="Heading1Char">
    <w:name w:val="Heading 1 Char"/>
    <w:basedOn w:val="DefaultParagraphFont"/>
    <w:link w:val="Heading1"/>
    <w:uiPriority w:val="98"/>
    <w:semiHidden/>
    <w:rsid w:val="00D63B35"/>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D63B35"/>
    <w:pPr>
      <w:keepNext/>
      <w:keepLines/>
      <w:numPr>
        <w:ilvl w:val="4"/>
        <w:numId w:val="4"/>
      </w:numPr>
      <w:spacing w:before="100" w:beforeAutospacing="1" w:after="120"/>
      <w:jc w:val="both"/>
    </w:pPr>
    <w:rPr>
      <w:color w:val="auto"/>
      <w:sz w:val="20"/>
    </w:rPr>
  </w:style>
  <w:style w:type="paragraph" w:customStyle="1" w:styleId="JuHi">
    <w:name w:val="Ju_H_i"/>
    <w:aliases w:val="_Head_6"/>
    <w:basedOn w:val="Heading6"/>
    <w:next w:val="JuPara"/>
    <w:uiPriority w:val="17"/>
    <w:rsid w:val="00D63B35"/>
    <w:pPr>
      <w:keepNext/>
      <w:keepLines/>
      <w:numPr>
        <w:ilvl w:val="5"/>
        <w:numId w:val="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D63B35"/>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D63B35"/>
    <w:pPr>
      <w:keepNext/>
      <w:keepLines/>
      <w:numPr>
        <w:ilvl w:val="6"/>
        <w:numId w:val="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D63B35"/>
    <w:pPr>
      <w:keepNext/>
      <w:keepLines/>
      <w:numPr>
        <w:ilvl w:val="7"/>
        <w:numId w:val="4"/>
      </w:numPr>
      <w:spacing w:before="100" w:beforeAutospacing="1" w:after="120"/>
      <w:jc w:val="both"/>
    </w:pPr>
    <w:rPr>
      <w:i/>
    </w:rPr>
  </w:style>
  <w:style w:type="character" w:customStyle="1" w:styleId="Heading3Char">
    <w:name w:val="Heading 3 Char"/>
    <w:basedOn w:val="DefaultParagraphFont"/>
    <w:link w:val="Heading3"/>
    <w:uiPriority w:val="98"/>
    <w:semiHidden/>
    <w:rsid w:val="00D63B35"/>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D63B35"/>
    <w:pPr>
      <w:keepNext/>
      <w:keepLines/>
      <w:spacing w:before="240" w:after="240"/>
      <w:ind w:firstLine="284"/>
    </w:pPr>
  </w:style>
  <w:style w:type="paragraph" w:customStyle="1" w:styleId="JuJudges">
    <w:name w:val="Ju_Judges"/>
    <w:aliases w:val="_Judges"/>
    <w:basedOn w:val="Normal"/>
    <w:uiPriority w:val="32"/>
    <w:qFormat/>
    <w:rsid w:val="00D63B35"/>
    <w:pPr>
      <w:tabs>
        <w:tab w:val="left" w:pos="567"/>
        <w:tab w:val="left" w:pos="1134"/>
      </w:tabs>
    </w:pPr>
  </w:style>
  <w:style w:type="character" w:customStyle="1" w:styleId="Heading4Char">
    <w:name w:val="Heading 4 Char"/>
    <w:basedOn w:val="DefaultParagraphFont"/>
    <w:link w:val="Heading4"/>
    <w:uiPriority w:val="98"/>
    <w:semiHidden/>
    <w:rsid w:val="00D63B35"/>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D63B35"/>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D63B35"/>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D63B35"/>
    <w:rPr>
      <w:caps w:val="0"/>
      <w:smallCaps/>
    </w:rPr>
  </w:style>
  <w:style w:type="paragraph" w:customStyle="1" w:styleId="NormalJustified">
    <w:name w:val="Normal_Justified"/>
    <w:basedOn w:val="Normal"/>
    <w:semiHidden/>
    <w:rsid w:val="00D63B35"/>
    <w:pPr>
      <w:jc w:val="both"/>
    </w:pPr>
  </w:style>
  <w:style w:type="character" w:styleId="SubtleEmphasis">
    <w:name w:val="Subtle Emphasis"/>
    <w:uiPriority w:val="98"/>
    <w:semiHidden/>
    <w:qFormat/>
    <w:rsid w:val="00D63B35"/>
    <w:rPr>
      <w:i/>
      <w:iCs/>
    </w:rPr>
  </w:style>
  <w:style w:type="table" w:customStyle="1" w:styleId="ECHRTable">
    <w:name w:val="ECHR_Table"/>
    <w:basedOn w:val="TableNormal"/>
    <w:rsid w:val="00D63B35"/>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D63B35"/>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D63B35"/>
    <w:rPr>
      <w:b/>
      <w:bCs/>
      <w:i/>
      <w:iCs/>
      <w:spacing w:val="10"/>
      <w:bdr w:val="none" w:sz="0" w:space="0" w:color="auto"/>
      <w:shd w:val="clear" w:color="auto" w:fill="auto"/>
    </w:rPr>
  </w:style>
  <w:style w:type="paragraph" w:styleId="Footer0">
    <w:name w:val="footer"/>
    <w:basedOn w:val="Normal"/>
    <w:link w:val="FooterChar"/>
    <w:uiPriority w:val="98"/>
    <w:semiHidden/>
    <w:rsid w:val="00D63B35"/>
    <w:pPr>
      <w:tabs>
        <w:tab w:val="center" w:pos="3686"/>
        <w:tab w:val="right" w:pos="7371"/>
      </w:tabs>
    </w:pPr>
  </w:style>
  <w:style w:type="character" w:customStyle="1" w:styleId="FooterChar">
    <w:name w:val="Footer Char"/>
    <w:basedOn w:val="DefaultParagraphFont"/>
    <w:link w:val="Footer0"/>
    <w:uiPriority w:val="98"/>
    <w:semiHidden/>
    <w:rsid w:val="00D63B35"/>
    <w:rPr>
      <w:sz w:val="24"/>
      <w:szCs w:val="24"/>
      <w:lang w:val="bg-BG"/>
    </w:rPr>
  </w:style>
  <w:style w:type="character" w:styleId="FootnoteReference">
    <w:name w:val="footnote reference"/>
    <w:basedOn w:val="DefaultParagraphFont"/>
    <w:uiPriority w:val="98"/>
    <w:semiHidden/>
    <w:rsid w:val="00D63B35"/>
    <w:rPr>
      <w:vertAlign w:val="superscript"/>
    </w:rPr>
  </w:style>
  <w:style w:type="paragraph" w:styleId="FootnoteText">
    <w:name w:val="footnote text"/>
    <w:basedOn w:val="Normal"/>
    <w:link w:val="FootnoteTextChar"/>
    <w:uiPriority w:val="98"/>
    <w:semiHidden/>
    <w:rsid w:val="00D63B35"/>
    <w:rPr>
      <w:sz w:val="20"/>
      <w:szCs w:val="20"/>
    </w:rPr>
  </w:style>
  <w:style w:type="character" w:customStyle="1" w:styleId="FootnoteTextChar">
    <w:name w:val="Footnote Text Char"/>
    <w:basedOn w:val="DefaultParagraphFont"/>
    <w:link w:val="FootnoteText"/>
    <w:uiPriority w:val="98"/>
    <w:semiHidden/>
    <w:rsid w:val="00D63B35"/>
    <w:rPr>
      <w:sz w:val="20"/>
      <w:szCs w:val="20"/>
      <w:lang w:val="bg-BG"/>
    </w:rPr>
  </w:style>
  <w:style w:type="character" w:customStyle="1" w:styleId="Heading6Char">
    <w:name w:val="Heading 6 Char"/>
    <w:basedOn w:val="DefaultParagraphFont"/>
    <w:link w:val="Heading6"/>
    <w:uiPriority w:val="98"/>
    <w:semiHidden/>
    <w:rsid w:val="00D63B35"/>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D63B35"/>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D63B35"/>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D63B35"/>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D63B35"/>
    <w:rPr>
      <w:color w:val="0072BC" w:themeColor="hyperlink"/>
      <w:u w:val="single"/>
    </w:rPr>
  </w:style>
  <w:style w:type="character" w:styleId="IntenseEmphasis">
    <w:name w:val="Intense Emphasis"/>
    <w:uiPriority w:val="98"/>
    <w:semiHidden/>
    <w:qFormat/>
    <w:rsid w:val="00D63B35"/>
    <w:rPr>
      <w:b/>
      <w:bCs/>
    </w:rPr>
  </w:style>
  <w:style w:type="paragraph" w:styleId="IntenseQuote">
    <w:name w:val="Intense Quote"/>
    <w:basedOn w:val="Normal"/>
    <w:next w:val="Normal"/>
    <w:link w:val="IntenseQuoteChar"/>
    <w:uiPriority w:val="98"/>
    <w:semiHidden/>
    <w:qFormat/>
    <w:rsid w:val="00D63B3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D63B35"/>
    <w:rPr>
      <w:b/>
      <w:bCs/>
      <w:i/>
      <w:iCs/>
      <w:sz w:val="24"/>
      <w:szCs w:val="24"/>
      <w:lang w:val="bg-BG" w:bidi="en-US"/>
    </w:rPr>
  </w:style>
  <w:style w:type="character" w:styleId="IntenseReference">
    <w:name w:val="Intense Reference"/>
    <w:uiPriority w:val="98"/>
    <w:semiHidden/>
    <w:qFormat/>
    <w:rsid w:val="00D63B35"/>
    <w:rPr>
      <w:smallCaps/>
      <w:spacing w:val="5"/>
      <w:u w:val="single"/>
    </w:rPr>
  </w:style>
  <w:style w:type="paragraph" w:styleId="ListParagraph">
    <w:name w:val="List Paragraph"/>
    <w:basedOn w:val="Normal"/>
    <w:uiPriority w:val="98"/>
    <w:semiHidden/>
    <w:qFormat/>
    <w:rsid w:val="00D63B35"/>
    <w:pPr>
      <w:ind w:left="720"/>
      <w:contextualSpacing/>
    </w:pPr>
  </w:style>
  <w:style w:type="table" w:customStyle="1" w:styleId="LtrTableAddress">
    <w:name w:val="Ltr_Table_Address"/>
    <w:aliases w:val="ECHR_Ltr_Table_Address"/>
    <w:basedOn w:val="TableNormal"/>
    <w:uiPriority w:val="99"/>
    <w:rsid w:val="00D63B35"/>
    <w:rPr>
      <w:sz w:val="24"/>
      <w:szCs w:val="24"/>
    </w:rPr>
    <w:tblPr>
      <w:tblInd w:w="5103" w:type="dxa"/>
    </w:tblPr>
  </w:style>
  <w:style w:type="paragraph" w:styleId="Quote">
    <w:name w:val="Quote"/>
    <w:basedOn w:val="Normal"/>
    <w:next w:val="Normal"/>
    <w:link w:val="QuoteChar"/>
    <w:uiPriority w:val="98"/>
    <w:semiHidden/>
    <w:qFormat/>
    <w:rsid w:val="00D63B35"/>
    <w:pPr>
      <w:spacing w:before="200"/>
      <w:ind w:left="360" w:right="360"/>
    </w:pPr>
    <w:rPr>
      <w:i/>
      <w:iCs/>
      <w:lang w:bidi="en-US"/>
    </w:rPr>
  </w:style>
  <w:style w:type="character" w:customStyle="1" w:styleId="QuoteChar">
    <w:name w:val="Quote Char"/>
    <w:basedOn w:val="DefaultParagraphFont"/>
    <w:link w:val="Quote"/>
    <w:uiPriority w:val="98"/>
    <w:semiHidden/>
    <w:rsid w:val="00D63B35"/>
    <w:rPr>
      <w:i/>
      <w:iCs/>
      <w:sz w:val="24"/>
      <w:szCs w:val="24"/>
      <w:lang w:val="bg-BG" w:bidi="en-US"/>
    </w:rPr>
  </w:style>
  <w:style w:type="character" w:styleId="SubtleReference">
    <w:name w:val="Subtle Reference"/>
    <w:uiPriority w:val="98"/>
    <w:semiHidden/>
    <w:qFormat/>
    <w:rsid w:val="00D63B35"/>
    <w:rPr>
      <w:smallCaps/>
    </w:rPr>
  </w:style>
  <w:style w:type="table" w:styleId="TableGrid">
    <w:name w:val="Table Grid"/>
    <w:basedOn w:val="TableNormal"/>
    <w:uiPriority w:val="59"/>
    <w:semiHidden/>
    <w:rsid w:val="00D63B3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D63B3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D63B3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D63B3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D63B3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D63B3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D63B3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D63B35"/>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D63B35"/>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D63B3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D63B3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D63B3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D63B3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D63B3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D63B3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D63B35"/>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D63B35"/>
    <w:pPr>
      <w:numPr>
        <w:numId w:val="5"/>
      </w:numPr>
    </w:pPr>
  </w:style>
  <w:style w:type="paragraph" w:customStyle="1" w:styleId="JuPara">
    <w:name w:val="Ju_Para"/>
    <w:aliases w:val="_Para,ECHR_Para"/>
    <w:basedOn w:val="NormalJustified"/>
    <w:link w:val="JuParaChar"/>
    <w:uiPriority w:val="4"/>
    <w:qFormat/>
    <w:rsid w:val="00D63B35"/>
    <w:pPr>
      <w:ind w:firstLine="284"/>
    </w:pPr>
  </w:style>
  <w:style w:type="numbering" w:styleId="1ai">
    <w:name w:val="Outline List 1"/>
    <w:basedOn w:val="NoList"/>
    <w:uiPriority w:val="99"/>
    <w:semiHidden/>
    <w:unhideWhenUsed/>
    <w:rsid w:val="00D63B35"/>
    <w:pPr>
      <w:numPr>
        <w:numId w:val="6"/>
      </w:numPr>
    </w:pPr>
  </w:style>
  <w:style w:type="table" w:customStyle="1" w:styleId="ECHRTableSimpleBox">
    <w:name w:val="ECHR_Table_Simple_Box"/>
    <w:basedOn w:val="TableNormal"/>
    <w:uiPriority w:val="99"/>
    <w:rsid w:val="00D63B3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D63B3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D63B35"/>
    <w:pPr>
      <w:numPr>
        <w:numId w:val="7"/>
      </w:numPr>
    </w:pPr>
  </w:style>
  <w:style w:type="table" w:customStyle="1" w:styleId="ECHRTableForInternalUse">
    <w:name w:val="ECHR_Table_For_Internal_Use"/>
    <w:basedOn w:val="TableNormal"/>
    <w:uiPriority w:val="99"/>
    <w:rsid w:val="00D63B3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D63B3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D63B35"/>
  </w:style>
  <w:style w:type="paragraph" w:styleId="BlockText">
    <w:name w:val="Block Text"/>
    <w:basedOn w:val="Normal"/>
    <w:uiPriority w:val="98"/>
    <w:semiHidden/>
    <w:rsid w:val="00D63B3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D63B3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D63B35"/>
    <w:pPr>
      <w:spacing w:after="120"/>
    </w:pPr>
  </w:style>
  <w:style w:type="character" w:customStyle="1" w:styleId="BodyTextChar">
    <w:name w:val="Body Text Char"/>
    <w:basedOn w:val="DefaultParagraphFont"/>
    <w:link w:val="BodyText"/>
    <w:uiPriority w:val="98"/>
    <w:semiHidden/>
    <w:rsid w:val="00D63B35"/>
    <w:rPr>
      <w:sz w:val="24"/>
      <w:szCs w:val="24"/>
      <w:lang w:val="bg-BG"/>
    </w:rPr>
  </w:style>
  <w:style w:type="table" w:customStyle="1" w:styleId="ECHRTableOddBanded">
    <w:name w:val="ECHR_Table_Odd_Banded"/>
    <w:basedOn w:val="TableNormal"/>
    <w:uiPriority w:val="99"/>
    <w:rsid w:val="00D63B3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D63B35"/>
    <w:pPr>
      <w:spacing w:after="120" w:line="480" w:lineRule="auto"/>
    </w:pPr>
  </w:style>
  <w:style w:type="table" w:customStyle="1" w:styleId="ECHRHeaderTableReduced">
    <w:name w:val="ECHR_Header_Table_Reduced"/>
    <w:basedOn w:val="TableNormal"/>
    <w:uiPriority w:val="99"/>
    <w:rsid w:val="00D63B3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D63B35"/>
    <w:pPr>
      <w:ind w:firstLine="284"/>
    </w:pPr>
    <w:rPr>
      <w:b/>
    </w:rPr>
  </w:style>
  <w:style w:type="character" w:styleId="PageNumber">
    <w:name w:val="page number"/>
    <w:uiPriority w:val="98"/>
    <w:semiHidden/>
    <w:rsid w:val="00D63B35"/>
    <w:rPr>
      <w:sz w:val="18"/>
    </w:rPr>
  </w:style>
  <w:style w:type="paragraph" w:styleId="ListBullet2">
    <w:name w:val="List Bullet 2"/>
    <w:basedOn w:val="Normal"/>
    <w:uiPriority w:val="98"/>
    <w:semiHidden/>
    <w:rsid w:val="00D63B35"/>
    <w:pPr>
      <w:numPr>
        <w:numId w:val="12"/>
      </w:numPr>
      <w:contextualSpacing/>
    </w:pPr>
  </w:style>
  <w:style w:type="character" w:customStyle="1" w:styleId="BodyText2Char">
    <w:name w:val="Body Text 2 Char"/>
    <w:basedOn w:val="DefaultParagraphFont"/>
    <w:link w:val="BodyText2"/>
    <w:uiPriority w:val="98"/>
    <w:semiHidden/>
    <w:rsid w:val="00D63B35"/>
    <w:rPr>
      <w:sz w:val="24"/>
      <w:szCs w:val="24"/>
      <w:lang w:val="bg-BG"/>
    </w:rPr>
  </w:style>
  <w:style w:type="paragraph" w:styleId="BodyText3">
    <w:name w:val="Body Text 3"/>
    <w:basedOn w:val="Normal"/>
    <w:link w:val="BodyText3Char"/>
    <w:uiPriority w:val="98"/>
    <w:semiHidden/>
    <w:rsid w:val="00D63B35"/>
    <w:pPr>
      <w:spacing w:after="120"/>
    </w:pPr>
    <w:rPr>
      <w:sz w:val="16"/>
      <w:szCs w:val="16"/>
    </w:rPr>
  </w:style>
  <w:style w:type="character" w:customStyle="1" w:styleId="BodyText3Char">
    <w:name w:val="Body Text 3 Char"/>
    <w:basedOn w:val="DefaultParagraphFont"/>
    <w:link w:val="BodyText3"/>
    <w:uiPriority w:val="98"/>
    <w:semiHidden/>
    <w:rsid w:val="00D63B35"/>
    <w:rPr>
      <w:sz w:val="16"/>
      <w:szCs w:val="16"/>
      <w:lang w:val="bg-BG"/>
    </w:rPr>
  </w:style>
  <w:style w:type="paragraph" w:styleId="BodyTextFirstIndent">
    <w:name w:val="Body Text First Indent"/>
    <w:basedOn w:val="BodyText"/>
    <w:link w:val="BodyTextFirstIndentChar"/>
    <w:uiPriority w:val="98"/>
    <w:semiHidden/>
    <w:rsid w:val="00D63B35"/>
    <w:pPr>
      <w:spacing w:after="0"/>
      <w:ind w:firstLine="360"/>
    </w:pPr>
  </w:style>
  <w:style w:type="character" w:customStyle="1" w:styleId="BodyTextFirstIndentChar">
    <w:name w:val="Body Text First Indent Char"/>
    <w:basedOn w:val="BodyTextChar"/>
    <w:link w:val="BodyTextFirstIndent"/>
    <w:uiPriority w:val="98"/>
    <w:semiHidden/>
    <w:rsid w:val="00D63B35"/>
    <w:rPr>
      <w:sz w:val="24"/>
      <w:szCs w:val="24"/>
      <w:lang w:val="bg-BG"/>
    </w:rPr>
  </w:style>
  <w:style w:type="paragraph" w:styleId="BodyTextIndent">
    <w:name w:val="Body Text Indent"/>
    <w:basedOn w:val="Normal"/>
    <w:link w:val="BodyTextIndentChar"/>
    <w:uiPriority w:val="98"/>
    <w:semiHidden/>
    <w:rsid w:val="00D63B35"/>
    <w:pPr>
      <w:spacing w:after="120"/>
      <w:ind w:left="283"/>
    </w:pPr>
  </w:style>
  <w:style w:type="character" w:customStyle="1" w:styleId="BodyTextIndentChar">
    <w:name w:val="Body Text Indent Char"/>
    <w:basedOn w:val="DefaultParagraphFont"/>
    <w:link w:val="BodyTextIndent"/>
    <w:uiPriority w:val="98"/>
    <w:semiHidden/>
    <w:rsid w:val="00D63B35"/>
    <w:rPr>
      <w:sz w:val="24"/>
      <w:szCs w:val="24"/>
      <w:lang w:val="bg-BG"/>
    </w:rPr>
  </w:style>
  <w:style w:type="paragraph" w:styleId="BodyTextFirstIndent2">
    <w:name w:val="Body Text First Indent 2"/>
    <w:basedOn w:val="BodyTextIndent"/>
    <w:link w:val="BodyTextFirstIndent2Char"/>
    <w:uiPriority w:val="98"/>
    <w:semiHidden/>
    <w:rsid w:val="00D63B35"/>
    <w:pPr>
      <w:spacing w:after="0"/>
      <w:ind w:left="360" w:firstLine="360"/>
    </w:pPr>
  </w:style>
  <w:style w:type="character" w:customStyle="1" w:styleId="BodyTextFirstIndent2Char">
    <w:name w:val="Body Text First Indent 2 Char"/>
    <w:basedOn w:val="BodyTextIndentChar"/>
    <w:link w:val="BodyTextFirstIndent2"/>
    <w:uiPriority w:val="98"/>
    <w:semiHidden/>
    <w:rsid w:val="00D63B35"/>
    <w:rPr>
      <w:sz w:val="24"/>
      <w:szCs w:val="24"/>
      <w:lang w:val="bg-BG"/>
    </w:rPr>
  </w:style>
  <w:style w:type="paragraph" w:styleId="BodyTextIndent2">
    <w:name w:val="Body Text Indent 2"/>
    <w:basedOn w:val="Normal"/>
    <w:link w:val="BodyTextIndent2Char"/>
    <w:uiPriority w:val="98"/>
    <w:semiHidden/>
    <w:rsid w:val="00D63B35"/>
    <w:pPr>
      <w:spacing w:after="120" w:line="480" w:lineRule="auto"/>
      <w:ind w:left="283"/>
    </w:pPr>
  </w:style>
  <w:style w:type="character" w:customStyle="1" w:styleId="BodyTextIndent2Char">
    <w:name w:val="Body Text Indent 2 Char"/>
    <w:basedOn w:val="DefaultParagraphFont"/>
    <w:link w:val="BodyTextIndent2"/>
    <w:uiPriority w:val="98"/>
    <w:semiHidden/>
    <w:rsid w:val="00D63B35"/>
    <w:rPr>
      <w:sz w:val="24"/>
      <w:szCs w:val="24"/>
      <w:lang w:val="bg-BG"/>
    </w:rPr>
  </w:style>
  <w:style w:type="paragraph" w:styleId="BodyTextIndent3">
    <w:name w:val="Body Text Indent 3"/>
    <w:basedOn w:val="Normal"/>
    <w:link w:val="BodyTextIndent3Char"/>
    <w:uiPriority w:val="98"/>
    <w:semiHidden/>
    <w:rsid w:val="00D63B3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D63B35"/>
    <w:rPr>
      <w:sz w:val="16"/>
      <w:szCs w:val="16"/>
      <w:lang w:val="bg-BG"/>
    </w:rPr>
  </w:style>
  <w:style w:type="paragraph" w:styleId="Caption">
    <w:name w:val="caption"/>
    <w:basedOn w:val="Normal"/>
    <w:next w:val="Normal"/>
    <w:uiPriority w:val="98"/>
    <w:semiHidden/>
    <w:qFormat/>
    <w:rsid w:val="00D63B35"/>
    <w:pPr>
      <w:spacing w:after="200"/>
    </w:pPr>
    <w:rPr>
      <w:b/>
      <w:bCs/>
      <w:color w:val="0072BC" w:themeColor="accent1"/>
      <w:sz w:val="18"/>
      <w:szCs w:val="18"/>
    </w:rPr>
  </w:style>
  <w:style w:type="paragraph" w:styleId="Closing">
    <w:name w:val="Closing"/>
    <w:basedOn w:val="Normal"/>
    <w:link w:val="ClosingChar"/>
    <w:uiPriority w:val="98"/>
    <w:semiHidden/>
    <w:rsid w:val="00D63B35"/>
    <w:pPr>
      <w:ind w:left="4252"/>
    </w:pPr>
  </w:style>
  <w:style w:type="character" w:customStyle="1" w:styleId="ClosingChar">
    <w:name w:val="Closing Char"/>
    <w:basedOn w:val="DefaultParagraphFont"/>
    <w:link w:val="Closing"/>
    <w:uiPriority w:val="98"/>
    <w:semiHidden/>
    <w:rsid w:val="00D63B35"/>
    <w:rPr>
      <w:sz w:val="24"/>
      <w:szCs w:val="24"/>
      <w:lang w:val="bg-BG"/>
    </w:rPr>
  </w:style>
  <w:style w:type="table" w:styleId="ColorfulGrid">
    <w:name w:val="Colorful Grid"/>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D63B3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D63B3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63B3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D63B3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D63B3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D63B3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D63B3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D63B3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D63B3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63B3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63B3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63B3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D63B3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63B3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63B3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D63B35"/>
    <w:rPr>
      <w:sz w:val="16"/>
      <w:szCs w:val="16"/>
    </w:rPr>
  </w:style>
  <w:style w:type="paragraph" w:styleId="CommentText">
    <w:name w:val="annotation text"/>
    <w:basedOn w:val="Normal"/>
    <w:link w:val="CommentTextChar"/>
    <w:uiPriority w:val="98"/>
    <w:semiHidden/>
    <w:rsid w:val="00D63B35"/>
    <w:rPr>
      <w:sz w:val="20"/>
      <w:szCs w:val="20"/>
    </w:rPr>
  </w:style>
  <w:style w:type="character" w:customStyle="1" w:styleId="CommentTextChar">
    <w:name w:val="Comment Text Char"/>
    <w:basedOn w:val="DefaultParagraphFont"/>
    <w:link w:val="CommentText"/>
    <w:uiPriority w:val="98"/>
    <w:semiHidden/>
    <w:rsid w:val="00D63B35"/>
    <w:rPr>
      <w:sz w:val="20"/>
      <w:szCs w:val="20"/>
      <w:lang w:val="bg-BG"/>
    </w:rPr>
  </w:style>
  <w:style w:type="paragraph" w:styleId="CommentSubject">
    <w:name w:val="annotation subject"/>
    <w:basedOn w:val="CommentText"/>
    <w:next w:val="CommentText"/>
    <w:link w:val="CommentSubjectChar"/>
    <w:uiPriority w:val="98"/>
    <w:semiHidden/>
    <w:rsid w:val="00D63B35"/>
    <w:rPr>
      <w:b/>
      <w:bCs/>
    </w:rPr>
  </w:style>
  <w:style w:type="character" w:customStyle="1" w:styleId="CommentSubjectChar">
    <w:name w:val="Comment Subject Char"/>
    <w:basedOn w:val="CommentTextChar"/>
    <w:link w:val="CommentSubject"/>
    <w:uiPriority w:val="98"/>
    <w:semiHidden/>
    <w:rsid w:val="00D63B35"/>
    <w:rPr>
      <w:b/>
      <w:bCs/>
      <w:sz w:val="20"/>
      <w:szCs w:val="20"/>
      <w:lang w:val="bg-BG"/>
    </w:rPr>
  </w:style>
  <w:style w:type="table" w:styleId="DarkList">
    <w:name w:val="Dark List"/>
    <w:basedOn w:val="TableNormal"/>
    <w:uiPriority w:val="70"/>
    <w:semiHidden/>
    <w:rsid w:val="00D63B3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63B3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D63B3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D63B3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D63B3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D63B3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D63B3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D63B35"/>
  </w:style>
  <w:style w:type="character" w:customStyle="1" w:styleId="DateChar">
    <w:name w:val="Date Char"/>
    <w:basedOn w:val="DefaultParagraphFont"/>
    <w:link w:val="Date"/>
    <w:uiPriority w:val="98"/>
    <w:semiHidden/>
    <w:rsid w:val="00D63B35"/>
    <w:rPr>
      <w:sz w:val="24"/>
      <w:szCs w:val="24"/>
      <w:lang w:val="bg-BG"/>
    </w:rPr>
  </w:style>
  <w:style w:type="paragraph" w:styleId="DocumentMap">
    <w:name w:val="Document Map"/>
    <w:basedOn w:val="Normal"/>
    <w:link w:val="DocumentMapChar"/>
    <w:uiPriority w:val="98"/>
    <w:semiHidden/>
    <w:rsid w:val="00D63B35"/>
    <w:rPr>
      <w:rFonts w:ascii="Tahoma" w:hAnsi="Tahoma" w:cs="Tahoma"/>
      <w:sz w:val="16"/>
      <w:szCs w:val="16"/>
    </w:rPr>
  </w:style>
  <w:style w:type="character" w:customStyle="1" w:styleId="DocumentMapChar">
    <w:name w:val="Document Map Char"/>
    <w:basedOn w:val="DefaultParagraphFont"/>
    <w:link w:val="DocumentMap"/>
    <w:uiPriority w:val="98"/>
    <w:semiHidden/>
    <w:rsid w:val="00D63B35"/>
    <w:rPr>
      <w:rFonts w:ascii="Tahoma" w:hAnsi="Tahoma" w:cs="Tahoma"/>
      <w:sz w:val="16"/>
      <w:szCs w:val="16"/>
      <w:lang w:val="bg-BG"/>
    </w:rPr>
  </w:style>
  <w:style w:type="paragraph" w:styleId="E-mailSignature">
    <w:name w:val="E-mail Signature"/>
    <w:basedOn w:val="Normal"/>
    <w:link w:val="E-mailSignatureChar"/>
    <w:uiPriority w:val="98"/>
    <w:semiHidden/>
    <w:rsid w:val="00D63B35"/>
  </w:style>
  <w:style w:type="character" w:customStyle="1" w:styleId="E-mailSignatureChar">
    <w:name w:val="E-mail Signature Char"/>
    <w:basedOn w:val="DefaultParagraphFont"/>
    <w:link w:val="E-mailSignature"/>
    <w:uiPriority w:val="98"/>
    <w:semiHidden/>
    <w:rsid w:val="00D63B35"/>
    <w:rPr>
      <w:sz w:val="24"/>
      <w:szCs w:val="24"/>
      <w:lang w:val="bg-BG"/>
    </w:rPr>
  </w:style>
  <w:style w:type="character" w:styleId="EndnoteReference">
    <w:name w:val="endnote reference"/>
    <w:basedOn w:val="DefaultParagraphFont"/>
    <w:uiPriority w:val="98"/>
    <w:semiHidden/>
    <w:rsid w:val="00D63B35"/>
    <w:rPr>
      <w:vertAlign w:val="superscript"/>
    </w:rPr>
  </w:style>
  <w:style w:type="paragraph" w:styleId="EndnoteText">
    <w:name w:val="endnote text"/>
    <w:basedOn w:val="Normal"/>
    <w:link w:val="EndnoteTextChar"/>
    <w:uiPriority w:val="98"/>
    <w:semiHidden/>
    <w:rsid w:val="00D63B35"/>
    <w:rPr>
      <w:sz w:val="20"/>
      <w:szCs w:val="20"/>
    </w:rPr>
  </w:style>
  <w:style w:type="character" w:customStyle="1" w:styleId="EndnoteTextChar">
    <w:name w:val="Endnote Text Char"/>
    <w:basedOn w:val="DefaultParagraphFont"/>
    <w:link w:val="EndnoteText"/>
    <w:uiPriority w:val="98"/>
    <w:semiHidden/>
    <w:rsid w:val="00D63B35"/>
    <w:rPr>
      <w:sz w:val="20"/>
      <w:szCs w:val="20"/>
      <w:lang w:val="bg-BG"/>
    </w:rPr>
  </w:style>
  <w:style w:type="paragraph" w:styleId="EnvelopeAddress">
    <w:name w:val="envelope address"/>
    <w:basedOn w:val="Normal"/>
    <w:uiPriority w:val="98"/>
    <w:semiHidden/>
    <w:rsid w:val="00D63B3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D63B3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D63B35"/>
    <w:rPr>
      <w:color w:val="7030A0" w:themeColor="followedHyperlink"/>
      <w:u w:val="single"/>
    </w:rPr>
  </w:style>
  <w:style w:type="character" w:styleId="HTMLAcronym">
    <w:name w:val="HTML Acronym"/>
    <w:basedOn w:val="DefaultParagraphFont"/>
    <w:uiPriority w:val="98"/>
    <w:semiHidden/>
    <w:rsid w:val="00D63B35"/>
  </w:style>
  <w:style w:type="paragraph" w:styleId="HTMLAddress">
    <w:name w:val="HTML Address"/>
    <w:basedOn w:val="Normal"/>
    <w:link w:val="HTMLAddressChar"/>
    <w:uiPriority w:val="98"/>
    <w:semiHidden/>
    <w:rsid w:val="00D63B35"/>
    <w:rPr>
      <w:i/>
      <w:iCs/>
    </w:rPr>
  </w:style>
  <w:style w:type="character" w:customStyle="1" w:styleId="HTMLAddressChar">
    <w:name w:val="HTML Address Char"/>
    <w:basedOn w:val="DefaultParagraphFont"/>
    <w:link w:val="HTMLAddress"/>
    <w:uiPriority w:val="98"/>
    <w:semiHidden/>
    <w:rsid w:val="00D63B35"/>
    <w:rPr>
      <w:i/>
      <w:iCs/>
      <w:sz w:val="24"/>
      <w:szCs w:val="24"/>
      <w:lang w:val="bg-BG"/>
    </w:rPr>
  </w:style>
  <w:style w:type="character" w:styleId="HTMLCite">
    <w:name w:val="HTML Cite"/>
    <w:basedOn w:val="DefaultParagraphFont"/>
    <w:uiPriority w:val="98"/>
    <w:semiHidden/>
    <w:rsid w:val="00D63B35"/>
    <w:rPr>
      <w:i/>
      <w:iCs/>
    </w:rPr>
  </w:style>
  <w:style w:type="character" w:styleId="HTMLCode">
    <w:name w:val="HTML Code"/>
    <w:basedOn w:val="DefaultParagraphFont"/>
    <w:uiPriority w:val="98"/>
    <w:semiHidden/>
    <w:rsid w:val="00D63B35"/>
    <w:rPr>
      <w:rFonts w:ascii="Consolas" w:hAnsi="Consolas" w:cs="Consolas"/>
      <w:sz w:val="20"/>
      <w:szCs w:val="20"/>
    </w:rPr>
  </w:style>
  <w:style w:type="character" w:styleId="HTMLDefinition">
    <w:name w:val="HTML Definition"/>
    <w:basedOn w:val="DefaultParagraphFont"/>
    <w:uiPriority w:val="98"/>
    <w:semiHidden/>
    <w:rsid w:val="00D63B35"/>
    <w:rPr>
      <w:i/>
      <w:iCs/>
    </w:rPr>
  </w:style>
  <w:style w:type="character" w:styleId="HTMLKeyboard">
    <w:name w:val="HTML Keyboard"/>
    <w:basedOn w:val="DefaultParagraphFont"/>
    <w:uiPriority w:val="98"/>
    <w:semiHidden/>
    <w:rsid w:val="00D63B35"/>
    <w:rPr>
      <w:rFonts w:ascii="Consolas" w:hAnsi="Consolas" w:cs="Consolas"/>
      <w:sz w:val="20"/>
      <w:szCs w:val="20"/>
    </w:rPr>
  </w:style>
  <w:style w:type="paragraph" w:styleId="HTMLPreformatted">
    <w:name w:val="HTML Preformatted"/>
    <w:basedOn w:val="Normal"/>
    <w:link w:val="HTMLPreformattedChar"/>
    <w:uiPriority w:val="98"/>
    <w:semiHidden/>
    <w:rsid w:val="00D63B3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D63B35"/>
    <w:rPr>
      <w:rFonts w:ascii="Consolas" w:hAnsi="Consolas" w:cs="Consolas"/>
      <w:sz w:val="20"/>
      <w:szCs w:val="20"/>
      <w:lang w:val="bg-BG"/>
    </w:rPr>
  </w:style>
  <w:style w:type="character" w:styleId="HTMLSample">
    <w:name w:val="HTML Sample"/>
    <w:basedOn w:val="DefaultParagraphFont"/>
    <w:uiPriority w:val="98"/>
    <w:semiHidden/>
    <w:rsid w:val="00D63B35"/>
    <w:rPr>
      <w:rFonts w:ascii="Consolas" w:hAnsi="Consolas" w:cs="Consolas"/>
      <w:sz w:val="24"/>
      <w:szCs w:val="24"/>
    </w:rPr>
  </w:style>
  <w:style w:type="character" w:styleId="HTMLTypewriter">
    <w:name w:val="HTML Typewriter"/>
    <w:basedOn w:val="DefaultParagraphFont"/>
    <w:uiPriority w:val="98"/>
    <w:semiHidden/>
    <w:rsid w:val="00D63B35"/>
    <w:rPr>
      <w:rFonts w:ascii="Consolas" w:hAnsi="Consolas" w:cs="Consolas"/>
      <w:sz w:val="20"/>
      <w:szCs w:val="20"/>
    </w:rPr>
  </w:style>
  <w:style w:type="character" w:styleId="HTMLVariable">
    <w:name w:val="HTML Variable"/>
    <w:basedOn w:val="DefaultParagraphFont"/>
    <w:uiPriority w:val="98"/>
    <w:semiHidden/>
    <w:rsid w:val="00D63B35"/>
    <w:rPr>
      <w:i/>
      <w:iCs/>
    </w:rPr>
  </w:style>
  <w:style w:type="paragraph" w:styleId="Index1">
    <w:name w:val="index 1"/>
    <w:basedOn w:val="Normal"/>
    <w:next w:val="Normal"/>
    <w:autoRedefine/>
    <w:uiPriority w:val="98"/>
    <w:semiHidden/>
    <w:rsid w:val="00D63B35"/>
    <w:pPr>
      <w:ind w:left="240" w:hanging="240"/>
    </w:pPr>
  </w:style>
  <w:style w:type="paragraph" w:styleId="Index2">
    <w:name w:val="index 2"/>
    <w:basedOn w:val="Normal"/>
    <w:next w:val="Normal"/>
    <w:autoRedefine/>
    <w:uiPriority w:val="98"/>
    <w:semiHidden/>
    <w:rsid w:val="00D63B35"/>
    <w:pPr>
      <w:ind w:left="480" w:hanging="240"/>
    </w:pPr>
  </w:style>
  <w:style w:type="paragraph" w:styleId="Index3">
    <w:name w:val="index 3"/>
    <w:basedOn w:val="Normal"/>
    <w:next w:val="Normal"/>
    <w:autoRedefine/>
    <w:uiPriority w:val="98"/>
    <w:semiHidden/>
    <w:rsid w:val="00D63B35"/>
    <w:pPr>
      <w:ind w:left="720" w:hanging="240"/>
    </w:pPr>
  </w:style>
  <w:style w:type="paragraph" w:styleId="Index4">
    <w:name w:val="index 4"/>
    <w:basedOn w:val="Normal"/>
    <w:next w:val="Normal"/>
    <w:autoRedefine/>
    <w:uiPriority w:val="98"/>
    <w:semiHidden/>
    <w:rsid w:val="00D63B35"/>
    <w:pPr>
      <w:ind w:left="960" w:hanging="240"/>
    </w:pPr>
  </w:style>
  <w:style w:type="paragraph" w:styleId="Index5">
    <w:name w:val="index 5"/>
    <w:basedOn w:val="Normal"/>
    <w:next w:val="Normal"/>
    <w:autoRedefine/>
    <w:uiPriority w:val="98"/>
    <w:semiHidden/>
    <w:rsid w:val="00D63B35"/>
    <w:pPr>
      <w:ind w:left="1200" w:hanging="240"/>
    </w:pPr>
  </w:style>
  <w:style w:type="paragraph" w:styleId="Index6">
    <w:name w:val="index 6"/>
    <w:basedOn w:val="Normal"/>
    <w:next w:val="Normal"/>
    <w:autoRedefine/>
    <w:uiPriority w:val="98"/>
    <w:semiHidden/>
    <w:rsid w:val="00D63B35"/>
    <w:pPr>
      <w:ind w:left="1440" w:hanging="240"/>
    </w:pPr>
  </w:style>
  <w:style w:type="paragraph" w:styleId="Index7">
    <w:name w:val="index 7"/>
    <w:basedOn w:val="Normal"/>
    <w:next w:val="Normal"/>
    <w:autoRedefine/>
    <w:uiPriority w:val="98"/>
    <w:semiHidden/>
    <w:rsid w:val="00D63B35"/>
    <w:pPr>
      <w:ind w:left="1680" w:hanging="240"/>
    </w:pPr>
  </w:style>
  <w:style w:type="paragraph" w:styleId="Index8">
    <w:name w:val="index 8"/>
    <w:basedOn w:val="Normal"/>
    <w:next w:val="Normal"/>
    <w:autoRedefine/>
    <w:uiPriority w:val="98"/>
    <w:semiHidden/>
    <w:rsid w:val="00D63B35"/>
    <w:pPr>
      <w:ind w:left="1920" w:hanging="240"/>
    </w:pPr>
  </w:style>
  <w:style w:type="paragraph" w:styleId="Index9">
    <w:name w:val="index 9"/>
    <w:basedOn w:val="Normal"/>
    <w:next w:val="Normal"/>
    <w:autoRedefine/>
    <w:uiPriority w:val="98"/>
    <w:semiHidden/>
    <w:rsid w:val="00D63B35"/>
    <w:pPr>
      <w:ind w:left="2160" w:hanging="240"/>
    </w:pPr>
  </w:style>
  <w:style w:type="paragraph" w:styleId="IndexHeading">
    <w:name w:val="index heading"/>
    <w:basedOn w:val="Normal"/>
    <w:next w:val="Index1"/>
    <w:uiPriority w:val="98"/>
    <w:semiHidden/>
    <w:rsid w:val="00D63B35"/>
    <w:rPr>
      <w:rFonts w:asciiTheme="majorHAnsi" w:eastAsiaTheme="majorEastAsia" w:hAnsiTheme="majorHAnsi" w:cstheme="majorBidi"/>
      <w:b/>
      <w:bCs/>
    </w:rPr>
  </w:style>
  <w:style w:type="table" w:styleId="LightGrid">
    <w:name w:val="Light Grid"/>
    <w:basedOn w:val="TableNormal"/>
    <w:uiPriority w:val="62"/>
    <w:semiHidden/>
    <w:rsid w:val="00D63B3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63B3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D63B3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D63B3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D63B3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D63B3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D63B3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D63B3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63B3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D63B3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D63B3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D63B3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D63B3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D63B3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D63B3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63B3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D63B3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D63B3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D63B3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D63B3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D63B3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D63B35"/>
  </w:style>
  <w:style w:type="paragraph" w:styleId="List">
    <w:name w:val="List"/>
    <w:basedOn w:val="Normal"/>
    <w:uiPriority w:val="98"/>
    <w:semiHidden/>
    <w:rsid w:val="00D63B35"/>
    <w:pPr>
      <w:ind w:left="283" w:hanging="283"/>
      <w:contextualSpacing/>
    </w:pPr>
  </w:style>
  <w:style w:type="paragraph" w:styleId="List2">
    <w:name w:val="List 2"/>
    <w:basedOn w:val="Normal"/>
    <w:uiPriority w:val="98"/>
    <w:semiHidden/>
    <w:rsid w:val="00D63B35"/>
    <w:pPr>
      <w:ind w:left="566" w:hanging="283"/>
      <w:contextualSpacing/>
    </w:pPr>
  </w:style>
  <w:style w:type="paragraph" w:styleId="List3">
    <w:name w:val="List 3"/>
    <w:basedOn w:val="Normal"/>
    <w:uiPriority w:val="98"/>
    <w:semiHidden/>
    <w:rsid w:val="00D63B35"/>
    <w:pPr>
      <w:ind w:left="849" w:hanging="283"/>
      <w:contextualSpacing/>
    </w:pPr>
  </w:style>
  <w:style w:type="paragraph" w:styleId="List4">
    <w:name w:val="List 4"/>
    <w:basedOn w:val="Normal"/>
    <w:uiPriority w:val="98"/>
    <w:semiHidden/>
    <w:rsid w:val="00D63B35"/>
    <w:pPr>
      <w:ind w:left="1132" w:hanging="283"/>
      <w:contextualSpacing/>
    </w:pPr>
  </w:style>
  <w:style w:type="paragraph" w:styleId="List5">
    <w:name w:val="List 5"/>
    <w:basedOn w:val="Normal"/>
    <w:uiPriority w:val="98"/>
    <w:semiHidden/>
    <w:rsid w:val="00D63B35"/>
    <w:pPr>
      <w:ind w:left="1415" w:hanging="283"/>
      <w:contextualSpacing/>
    </w:pPr>
  </w:style>
  <w:style w:type="paragraph" w:styleId="ListBullet">
    <w:name w:val="List Bullet"/>
    <w:basedOn w:val="Normal"/>
    <w:uiPriority w:val="98"/>
    <w:semiHidden/>
    <w:rsid w:val="00D63B35"/>
    <w:pPr>
      <w:numPr>
        <w:numId w:val="11"/>
      </w:numPr>
    </w:pPr>
  </w:style>
  <w:style w:type="paragraph" w:styleId="ListBullet3">
    <w:name w:val="List Bullet 3"/>
    <w:basedOn w:val="Normal"/>
    <w:uiPriority w:val="98"/>
    <w:semiHidden/>
    <w:rsid w:val="00D63B35"/>
    <w:pPr>
      <w:numPr>
        <w:numId w:val="13"/>
      </w:numPr>
      <w:contextualSpacing/>
    </w:pPr>
  </w:style>
  <w:style w:type="paragraph" w:styleId="ListBullet4">
    <w:name w:val="List Bullet 4"/>
    <w:basedOn w:val="Normal"/>
    <w:uiPriority w:val="98"/>
    <w:semiHidden/>
    <w:rsid w:val="00D63B35"/>
    <w:pPr>
      <w:numPr>
        <w:numId w:val="14"/>
      </w:numPr>
      <w:contextualSpacing/>
    </w:pPr>
  </w:style>
  <w:style w:type="paragraph" w:styleId="ListBullet5">
    <w:name w:val="List Bullet 5"/>
    <w:basedOn w:val="Normal"/>
    <w:uiPriority w:val="98"/>
    <w:semiHidden/>
    <w:rsid w:val="00D63B35"/>
    <w:pPr>
      <w:numPr>
        <w:numId w:val="15"/>
      </w:numPr>
      <w:contextualSpacing/>
    </w:pPr>
  </w:style>
  <w:style w:type="paragraph" w:styleId="ListContinue">
    <w:name w:val="List Continue"/>
    <w:basedOn w:val="Normal"/>
    <w:uiPriority w:val="98"/>
    <w:semiHidden/>
    <w:rsid w:val="00D63B35"/>
    <w:pPr>
      <w:spacing w:after="120"/>
      <w:ind w:left="283"/>
      <w:contextualSpacing/>
    </w:pPr>
  </w:style>
  <w:style w:type="paragraph" w:styleId="ListContinue2">
    <w:name w:val="List Continue 2"/>
    <w:basedOn w:val="Normal"/>
    <w:uiPriority w:val="98"/>
    <w:semiHidden/>
    <w:rsid w:val="00D63B35"/>
    <w:pPr>
      <w:spacing w:after="120"/>
      <w:ind w:left="566"/>
      <w:contextualSpacing/>
    </w:pPr>
  </w:style>
  <w:style w:type="paragraph" w:styleId="ListContinue3">
    <w:name w:val="List Continue 3"/>
    <w:basedOn w:val="Normal"/>
    <w:uiPriority w:val="98"/>
    <w:semiHidden/>
    <w:rsid w:val="00D63B35"/>
    <w:pPr>
      <w:spacing w:after="120"/>
      <w:ind w:left="849"/>
      <w:contextualSpacing/>
    </w:pPr>
  </w:style>
  <w:style w:type="paragraph" w:styleId="ListContinue4">
    <w:name w:val="List Continue 4"/>
    <w:basedOn w:val="Normal"/>
    <w:uiPriority w:val="98"/>
    <w:semiHidden/>
    <w:rsid w:val="00D63B35"/>
    <w:pPr>
      <w:spacing w:after="120"/>
      <w:ind w:left="1132"/>
      <w:contextualSpacing/>
    </w:pPr>
  </w:style>
  <w:style w:type="paragraph" w:styleId="ListContinue5">
    <w:name w:val="List Continue 5"/>
    <w:basedOn w:val="Normal"/>
    <w:uiPriority w:val="98"/>
    <w:semiHidden/>
    <w:rsid w:val="00D63B35"/>
    <w:pPr>
      <w:spacing w:after="120"/>
      <w:ind w:left="1415"/>
      <w:contextualSpacing/>
    </w:pPr>
  </w:style>
  <w:style w:type="paragraph" w:styleId="ListNumber">
    <w:name w:val="List Number"/>
    <w:basedOn w:val="Normal"/>
    <w:uiPriority w:val="98"/>
    <w:semiHidden/>
    <w:rsid w:val="00D63B35"/>
    <w:pPr>
      <w:numPr>
        <w:numId w:val="16"/>
      </w:numPr>
      <w:contextualSpacing/>
    </w:pPr>
  </w:style>
  <w:style w:type="paragraph" w:styleId="ListNumber2">
    <w:name w:val="List Number 2"/>
    <w:basedOn w:val="Normal"/>
    <w:uiPriority w:val="98"/>
    <w:semiHidden/>
    <w:rsid w:val="00D63B35"/>
    <w:pPr>
      <w:numPr>
        <w:numId w:val="17"/>
      </w:numPr>
      <w:contextualSpacing/>
    </w:pPr>
  </w:style>
  <w:style w:type="paragraph" w:styleId="ListNumber3">
    <w:name w:val="List Number 3"/>
    <w:basedOn w:val="Normal"/>
    <w:uiPriority w:val="98"/>
    <w:semiHidden/>
    <w:rsid w:val="00D63B35"/>
    <w:pPr>
      <w:numPr>
        <w:numId w:val="18"/>
      </w:numPr>
      <w:contextualSpacing/>
    </w:pPr>
  </w:style>
  <w:style w:type="paragraph" w:styleId="ListNumber4">
    <w:name w:val="List Number 4"/>
    <w:basedOn w:val="Normal"/>
    <w:uiPriority w:val="98"/>
    <w:semiHidden/>
    <w:rsid w:val="00D63B35"/>
    <w:pPr>
      <w:numPr>
        <w:numId w:val="19"/>
      </w:numPr>
      <w:contextualSpacing/>
    </w:pPr>
  </w:style>
  <w:style w:type="paragraph" w:styleId="ListNumber5">
    <w:name w:val="List Number 5"/>
    <w:basedOn w:val="Normal"/>
    <w:uiPriority w:val="98"/>
    <w:semiHidden/>
    <w:rsid w:val="00D63B35"/>
    <w:pPr>
      <w:numPr>
        <w:numId w:val="20"/>
      </w:numPr>
      <w:contextualSpacing/>
    </w:pPr>
  </w:style>
  <w:style w:type="paragraph" w:styleId="MacroText">
    <w:name w:val="macro"/>
    <w:link w:val="MacroTextChar"/>
    <w:uiPriority w:val="98"/>
    <w:semiHidden/>
    <w:rsid w:val="00D63B3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D63B35"/>
    <w:rPr>
      <w:rFonts w:ascii="Consolas" w:eastAsiaTheme="minorEastAsia" w:hAnsi="Consolas" w:cs="Consolas"/>
      <w:sz w:val="20"/>
      <w:szCs w:val="20"/>
    </w:rPr>
  </w:style>
  <w:style w:type="table" w:styleId="MediumGrid1">
    <w:name w:val="Medium Grid 1"/>
    <w:basedOn w:val="TableNormal"/>
    <w:uiPriority w:val="67"/>
    <w:semiHidden/>
    <w:rsid w:val="00D63B3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63B3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D63B3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D63B3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D63B3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D63B3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D63B3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D63B3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D63B3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63B3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D63B3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D63B3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D63B3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D63B3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D63B3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63B3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D63B3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63B3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63B3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63B3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63B3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63B3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63B3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63B3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D63B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D63B35"/>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D63B35"/>
    <w:rPr>
      <w:rFonts w:ascii="Times New Roman" w:hAnsi="Times New Roman" w:cs="Times New Roman"/>
    </w:rPr>
  </w:style>
  <w:style w:type="paragraph" w:styleId="NormalIndent">
    <w:name w:val="Normal Indent"/>
    <w:basedOn w:val="Normal"/>
    <w:uiPriority w:val="98"/>
    <w:semiHidden/>
    <w:rsid w:val="00D63B35"/>
    <w:pPr>
      <w:ind w:left="720"/>
    </w:pPr>
  </w:style>
  <w:style w:type="paragraph" w:styleId="NoteHeading">
    <w:name w:val="Note Heading"/>
    <w:basedOn w:val="Normal"/>
    <w:next w:val="Normal"/>
    <w:link w:val="NoteHeadingChar"/>
    <w:uiPriority w:val="98"/>
    <w:semiHidden/>
    <w:rsid w:val="00D63B35"/>
  </w:style>
  <w:style w:type="character" w:customStyle="1" w:styleId="NoteHeadingChar">
    <w:name w:val="Note Heading Char"/>
    <w:basedOn w:val="DefaultParagraphFont"/>
    <w:link w:val="NoteHeading"/>
    <w:uiPriority w:val="98"/>
    <w:semiHidden/>
    <w:rsid w:val="00D63B35"/>
    <w:rPr>
      <w:sz w:val="24"/>
      <w:szCs w:val="24"/>
      <w:lang w:val="bg-BG"/>
    </w:rPr>
  </w:style>
  <w:style w:type="character" w:styleId="PlaceholderText">
    <w:name w:val="Placeholder Text"/>
    <w:basedOn w:val="DefaultParagraphFont"/>
    <w:uiPriority w:val="98"/>
    <w:semiHidden/>
    <w:rsid w:val="00D63B3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D63B35"/>
    <w:rPr>
      <w:rFonts w:ascii="Consolas" w:hAnsi="Consolas" w:cs="Consolas"/>
      <w:sz w:val="21"/>
      <w:szCs w:val="21"/>
    </w:rPr>
  </w:style>
  <w:style w:type="character" w:customStyle="1" w:styleId="PlainTextChar">
    <w:name w:val="Plain Text Char"/>
    <w:basedOn w:val="DefaultParagraphFont"/>
    <w:link w:val="PlainText"/>
    <w:uiPriority w:val="98"/>
    <w:semiHidden/>
    <w:rsid w:val="00D63B35"/>
    <w:rPr>
      <w:rFonts w:ascii="Consolas" w:hAnsi="Consolas" w:cs="Consolas"/>
      <w:sz w:val="21"/>
      <w:szCs w:val="21"/>
      <w:lang w:val="bg-BG"/>
    </w:rPr>
  </w:style>
  <w:style w:type="paragraph" w:styleId="Salutation">
    <w:name w:val="Salutation"/>
    <w:basedOn w:val="Normal"/>
    <w:next w:val="Normal"/>
    <w:link w:val="SalutationChar"/>
    <w:uiPriority w:val="98"/>
    <w:semiHidden/>
    <w:rsid w:val="00D63B35"/>
  </w:style>
  <w:style w:type="character" w:customStyle="1" w:styleId="SalutationChar">
    <w:name w:val="Salutation Char"/>
    <w:basedOn w:val="DefaultParagraphFont"/>
    <w:link w:val="Salutation"/>
    <w:uiPriority w:val="98"/>
    <w:semiHidden/>
    <w:rsid w:val="00D63B35"/>
    <w:rPr>
      <w:sz w:val="24"/>
      <w:szCs w:val="24"/>
      <w:lang w:val="bg-BG"/>
    </w:rPr>
  </w:style>
  <w:style w:type="paragraph" w:styleId="Signature">
    <w:name w:val="Signature"/>
    <w:basedOn w:val="Normal"/>
    <w:link w:val="SignatureChar"/>
    <w:uiPriority w:val="98"/>
    <w:semiHidden/>
    <w:rsid w:val="00D63B35"/>
    <w:pPr>
      <w:ind w:left="4252"/>
    </w:pPr>
  </w:style>
  <w:style w:type="character" w:customStyle="1" w:styleId="SignatureChar">
    <w:name w:val="Signature Char"/>
    <w:basedOn w:val="DefaultParagraphFont"/>
    <w:link w:val="Signature"/>
    <w:uiPriority w:val="98"/>
    <w:semiHidden/>
    <w:rsid w:val="00D63B35"/>
    <w:rPr>
      <w:sz w:val="24"/>
      <w:szCs w:val="24"/>
      <w:lang w:val="bg-BG"/>
    </w:rPr>
  </w:style>
  <w:style w:type="table" w:styleId="Table3Deffects1">
    <w:name w:val="Table 3D effects 1"/>
    <w:basedOn w:val="TableNormal"/>
    <w:uiPriority w:val="99"/>
    <w:semiHidden/>
    <w:unhideWhenUsed/>
    <w:rsid w:val="00D63B3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3B3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3B3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3B3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3B3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3B3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3B3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3B3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3B3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3B3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3B3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3B3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3B3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3B3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3B3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3B3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3B3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3B3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3B3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3B3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3B3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3B3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3B3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3B3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3B3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63B3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3B3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3B3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3B3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3B3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3B3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3B3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3B3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D63B35"/>
    <w:pPr>
      <w:ind w:left="240" w:hanging="240"/>
    </w:pPr>
  </w:style>
  <w:style w:type="paragraph" w:styleId="TableofFigures">
    <w:name w:val="table of figures"/>
    <w:basedOn w:val="Normal"/>
    <w:next w:val="Normal"/>
    <w:uiPriority w:val="98"/>
    <w:semiHidden/>
    <w:rsid w:val="00D63B35"/>
  </w:style>
  <w:style w:type="table" w:styleId="TableProfessional">
    <w:name w:val="Table Professional"/>
    <w:basedOn w:val="TableNormal"/>
    <w:uiPriority w:val="99"/>
    <w:semiHidden/>
    <w:unhideWhenUsed/>
    <w:rsid w:val="00D63B3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3B3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3B3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3B3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3B3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3B3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3B3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3B3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3B3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3B3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D63B3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D63B3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D63B35"/>
    <w:pPr>
      <w:spacing w:after="100"/>
      <w:ind w:left="1680"/>
    </w:pPr>
  </w:style>
  <w:style w:type="paragraph" w:styleId="TOC9">
    <w:name w:val="toc 9"/>
    <w:basedOn w:val="Normal"/>
    <w:next w:val="Normal"/>
    <w:autoRedefine/>
    <w:uiPriority w:val="98"/>
    <w:semiHidden/>
    <w:rsid w:val="00D63B35"/>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D63B3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D63B35"/>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D63B35"/>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D63B35"/>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D63B35"/>
    <w:pPr>
      <w:numPr>
        <w:numId w:val="8"/>
      </w:numPr>
      <w:spacing w:before="60" w:after="60"/>
    </w:pPr>
  </w:style>
  <w:style w:type="paragraph" w:customStyle="1" w:styleId="ECHRBullet2">
    <w:name w:val="ECHR_Bullet_2"/>
    <w:aliases w:val="_Bul_2"/>
    <w:basedOn w:val="ECHRBullet1"/>
    <w:uiPriority w:val="23"/>
    <w:semiHidden/>
    <w:rsid w:val="00D63B35"/>
    <w:pPr>
      <w:numPr>
        <w:ilvl w:val="1"/>
      </w:numPr>
    </w:pPr>
  </w:style>
  <w:style w:type="paragraph" w:customStyle="1" w:styleId="ECHRBullet3">
    <w:name w:val="ECHR_Bullet_3"/>
    <w:aliases w:val="_Bul_3"/>
    <w:basedOn w:val="ECHRBullet2"/>
    <w:uiPriority w:val="23"/>
    <w:semiHidden/>
    <w:rsid w:val="00D63B35"/>
    <w:pPr>
      <w:numPr>
        <w:ilvl w:val="2"/>
      </w:numPr>
    </w:pPr>
  </w:style>
  <w:style w:type="paragraph" w:customStyle="1" w:styleId="ECHRBullet4">
    <w:name w:val="ECHR_Bullet_4"/>
    <w:aliases w:val="_Bul_4"/>
    <w:basedOn w:val="ECHRBullet3"/>
    <w:uiPriority w:val="23"/>
    <w:semiHidden/>
    <w:rsid w:val="00D63B35"/>
    <w:pPr>
      <w:numPr>
        <w:ilvl w:val="3"/>
      </w:numPr>
    </w:pPr>
  </w:style>
  <w:style w:type="paragraph" w:customStyle="1" w:styleId="ECHRConfidential">
    <w:name w:val="ECHR_Confidential"/>
    <w:aliases w:val="_Confidential"/>
    <w:basedOn w:val="Normal"/>
    <w:next w:val="Normal"/>
    <w:uiPriority w:val="42"/>
    <w:semiHidden/>
    <w:qFormat/>
    <w:rsid w:val="00D63B35"/>
    <w:pPr>
      <w:jc w:val="right"/>
    </w:pPr>
    <w:rPr>
      <w:color w:val="C00000"/>
      <w:sz w:val="20"/>
    </w:rPr>
  </w:style>
  <w:style w:type="paragraph" w:customStyle="1" w:styleId="ECHRDecisionBody">
    <w:name w:val="ECHR_Decision_Body"/>
    <w:aliases w:val="_Decision_Body"/>
    <w:basedOn w:val="NormalJustified"/>
    <w:uiPriority w:val="54"/>
    <w:semiHidden/>
    <w:rsid w:val="00D63B35"/>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D63B35"/>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D63B35"/>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D63B35"/>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D63B35"/>
    <w:pPr>
      <w:jc w:val="right"/>
    </w:pPr>
    <w:rPr>
      <w:sz w:val="20"/>
    </w:rPr>
  </w:style>
  <w:style w:type="paragraph" w:customStyle="1" w:styleId="ECHRHeaderRefIt">
    <w:name w:val="ECHR_Header_Ref_It"/>
    <w:aliases w:val="_Ref_Ital"/>
    <w:basedOn w:val="Normal"/>
    <w:next w:val="ECHRHeaderDate"/>
    <w:uiPriority w:val="43"/>
    <w:qFormat/>
    <w:rsid w:val="00D63B35"/>
    <w:pPr>
      <w:jc w:val="right"/>
    </w:pPr>
    <w:rPr>
      <w:i/>
      <w:sz w:val="20"/>
    </w:rPr>
  </w:style>
  <w:style w:type="paragraph" w:customStyle="1" w:styleId="ECHRHeading9">
    <w:name w:val="ECHR_Heading_9"/>
    <w:aliases w:val="_Head_9"/>
    <w:basedOn w:val="Heading9"/>
    <w:uiPriority w:val="17"/>
    <w:semiHidden/>
    <w:rsid w:val="00D63B35"/>
    <w:pPr>
      <w:keepNext/>
      <w:keepLines/>
      <w:numPr>
        <w:ilvl w:val="8"/>
        <w:numId w:val="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D63B35"/>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D63B35"/>
    <w:pPr>
      <w:numPr>
        <w:numId w:val="10"/>
      </w:numPr>
      <w:spacing w:before="60" w:after="60"/>
    </w:pPr>
  </w:style>
  <w:style w:type="paragraph" w:customStyle="1" w:styleId="ECHRNumberedList2">
    <w:name w:val="ECHR_Numbered_List_2"/>
    <w:aliases w:val="_Num_2"/>
    <w:basedOn w:val="ECHRNumberedList1"/>
    <w:uiPriority w:val="23"/>
    <w:semiHidden/>
    <w:rsid w:val="00D63B35"/>
    <w:pPr>
      <w:numPr>
        <w:ilvl w:val="1"/>
      </w:numPr>
    </w:pPr>
  </w:style>
  <w:style w:type="paragraph" w:customStyle="1" w:styleId="ECHRNumberedList3">
    <w:name w:val="ECHR_Numbered_List_3"/>
    <w:aliases w:val="_Num_3"/>
    <w:basedOn w:val="ECHRNumberedList2"/>
    <w:uiPriority w:val="23"/>
    <w:semiHidden/>
    <w:rsid w:val="00D63B35"/>
    <w:pPr>
      <w:numPr>
        <w:ilvl w:val="2"/>
      </w:numPr>
    </w:pPr>
  </w:style>
  <w:style w:type="paragraph" w:customStyle="1" w:styleId="ECHRParaHanging">
    <w:name w:val="ECHR_Para_Hanging"/>
    <w:aliases w:val="_Hanging"/>
    <w:basedOn w:val="Normal"/>
    <w:uiPriority w:val="8"/>
    <w:semiHidden/>
    <w:qFormat/>
    <w:rsid w:val="00D63B35"/>
    <w:pPr>
      <w:ind w:left="567" w:hanging="567"/>
      <w:jc w:val="both"/>
    </w:pPr>
  </w:style>
  <w:style w:type="paragraph" w:customStyle="1" w:styleId="ECHRParaIndent">
    <w:name w:val="ECHR_Para_Indent"/>
    <w:aliases w:val="_Indent"/>
    <w:basedOn w:val="Normal"/>
    <w:uiPriority w:val="7"/>
    <w:semiHidden/>
    <w:qFormat/>
    <w:rsid w:val="00D63B35"/>
    <w:pPr>
      <w:spacing w:before="120" w:after="120"/>
      <w:ind w:left="567"/>
      <w:jc w:val="both"/>
    </w:pPr>
  </w:style>
  <w:style w:type="character" w:customStyle="1" w:styleId="ECHRRed">
    <w:name w:val="ECHR_Red"/>
    <w:aliases w:val="_Red"/>
    <w:basedOn w:val="DefaultParagraphFont"/>
    <w:uiPriority w:val="15"/>
    <w:semiHidden/>
    <w:qFormat/>
    <w:rsid w:val="00D63B35"/>
    <w:rPr>
      <w:color w:val="C00000" w:themeColor="accent2"/>
    </w:rPr>
  </w:style>
  <w:style w:type="paragraph" w:customStyle="1" w:styleId="DecList">
    <w:name w:val="Dec_List"/>
    <w:aliases w:val="_List"/>
    <w:basedOn w:val="JuList"/>
    <w:uiPriority w:val="22"/>
    <w:rsid w:val="00D63B35"/>
    <w:pPr>
      <w:numPr>
        <w:numId w:val="0"/>
      </w:numPr>
      <w:ind w:left="284"/>
    </w:pPr>
  </w:style>
  <w:style w:type="table" w:customStyle="1" w:styleId="ECHRTable2">
    <w:name w:val="ECHR_Table_2"/>
    <w:basedOn w:val="TableNormal"/>
    <w:uiPriority w:val="99"/>
    <w:rsid w:val="00D63B3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D63B3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D63B3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D63B3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D63B35"/>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D63B3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D63B3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D63B35"/>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D63B35"/>
    <w:pPr>
      <w:outlineLvl w:val="0"/>
    </w:pPr>
  </w:style>
  <w:style w:type="paragraph" w:customStyle="1" w:styleId="ECHRTitleTOC1">
    <w:name w:val="ECHR_Title_TOC_1"/>
    <w:aliases w:val="_Title_L_TOC"/>
    <w:basedOn w:val="ECHRTitle1"/>
    <w:next w:val="Normal"/>
    <w:uiPriority w:val="27"/>
    <w:semiHidden/>
    <w:qFormat/>
    <w:rsid w:val="00D63B35"/>
    <w:pPr>
      <w:outlineLvl w:val="0"/>
    </w:pPr>
  </w:style>
  <w:style w:type="paragraph" w:customStyle="1" w:styleId="ECHRPlaceholder">
    <w:name w:val="ECHR_Placeholder"/>
    <w:aliases w:val="_Placeholder"/>
    <w:basedOn w:val="JuSigned"/>
    <w:uiPriority w:val="31"/>
    <w:rsid w:val="00D63B35"/>
    <w:rPr>
      <w:color w:val="FFFFFF"/>
    </w:rPr>
  </w:style>
  <w:style w:type="paragraph" w:customStyle="1" w:styleId="ECHRSpacer">
    <w:name w:val="ECHR_Spacer"/>
    <w:aliases w:val="_Spacer"/>
    <w:basedOn w:val="Normal"/>
    <w:uiPriority w:val="45"/>
    <w:semiHidden/>
    <w:rsid w:val="00D63B35"/>
    <w:rPr>
      <w:sz w:val="4"/>
    </w:rPr>
  </w:style>
  <w:style w:type="table" w:customStyle="1" w:styleId="ECHRTableGrey">
    <w:name w:val="ECHR_Table_Grey"/>
    <w:basedOn w:val="TableNormal"/>
    <w:uiPriority w:val="99"/>
    <w:rsid w:val="00D63B3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ECHR_Para Char"/>
    <w:link w:val="JuPara"/>
    <w:uiPriority w:val="12"/>
    <w:rsid w:val="00E80AF2"/>
    <w:rPr>
      <w:sz w:val="24"/>
      <w:szCs w:val="24"/>
      <w:lang w:val="bg-BG"/>
    </w:rPr>
  </w:style>
  <w:style w:type="character" w:customStyle="1" w:styleId="JuNames0">
    <w:name w:val="Ju_Names"/>
    <w:rsid w:val="00E80AF2"/>
    <w:rPr>
      <w:smallCaps/>
    </w:rPr>
  </w:style>
  <w:style w:type="paragraph" w:customStyle="1" w:styleId="JuList4">
    <w:name w:val="Ju_List_4"/>
    <w:aliases w:val="N_Bul_4"/>
    <w:basedOn w:val="JuListi"/>
    <w:uiPriority w:val="19"/>
    <w:rsid w:val="00E80AF2"/>
    <w:pPr>
      <w:numPr>
        <w:ilvl w:val="0"/>
        <w:numId w:val="0"/>
      </w:numPr>
      <w:tabs>
        <w:tab w:val="num" w:pos="1701"/>
      </w:tabs>
      <w:spacing w:before="60" w:after="60" w:line="240" w:lineRule="exact"/>
      <w:ind w:left="1703" w:hanging="284"/>
      <w:contextualSpacing/>
    </w:pPr>
    <w:rPr>
      <w:sz w:val="22"/>
      <w:lang w:eastAsia="fr-FR"/>
    </w:rPr>
  </w:style>
  <w:style w:type="numbering" w:customStyle="1" w:styleId="ECHRA1StyleList1">
    <w:name w:val="ECHR_A1_Style_List1"/>
    <w:basedOn w:val="NoList"/>
    <w:uiPriority w:val="99"/>
    <w:rsid w:val="00E80AF2"/>
  </w:style>
  <w:style w:type="numbering" w:customStyle="1" w:styleId="ECHRA1StyleNumberedList1">
    <w:name w:val="ECHR_A1_Style_Numbered_List1"/>
    <w:basedOn w:val="NoList"/>
    <w:rsid w:val="00E80AF2"/>
  </w:style>
  <w:style w:type="character" w:customStyle="1" w:styleId="UnresolvedMention1">
    <w:name w:val="Unresolved Mention1"/>
    <w:basedOn w:val="DefaultParagraphFont"/>
    <w:uiPriority w:val="99"/>
    <w:semiHidden/>
    <w:unhideWhenUsed/>
    <w:rsid w:val="00E80AF2"/>
    <w:rPr>
      <w:color w:val="605E5C"/>
      <w:shd w:val="clear" w:color="auto" w:fill="E1DFDD"/>
    </w:rPr>
  </w:style>
  <w:style w:type="table" w:styleId="GridTable1Light">
    <w:name w:val="Grid Table 1 Light"/>
    <w:basedOn w:val="TableNormal"/>
    <w:uiPriority w:val="46"/>
    <w:semiHidden/>
    <w:rsid w:val="005C50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C50DF"/>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C50DF"/>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C50DF"/>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C50DF"/>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C50DF"/>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C50DF"/>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C50D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C50DF"/>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5C50DF"/>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5C50DF"/>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5C50DF"/>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5C50DF"/>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5C50DF"/>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5C50D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C50D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5C50D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5C50D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5C50D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5C50D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5C50D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5C50D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C50D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5C50D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5C50D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5C50D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5C50D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5C50D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5C50D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5C50D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C50D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5C50D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5C50D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5C50D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5C50D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5C50D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5C50D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C50D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5C50D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5C50D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5C50D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5C50D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5C50D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5C50DF"/>
    <w:rPr>
      <w:color w:val="2B579A"/>
      <w:shd w:val="clear" w:color="auto" w:fill="E1DFDD"/>
    </w:rPr>
  </w:style>
  <w:style w:type="table" w:styleId="ListTable1Light">
    <w:name w:val="List Table 1 Light"/>
    <w:basedOn w:val="TableNormal"/>
    <w:uiPriority w:val="46"/>
    <w:semiHidden/>
    <w:rsid w:val="005C50D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C50DF"/>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5C50DF"/>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5C50DF"/>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5C50DF"/>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5C50DF"/>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5C50DF"/>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5C50D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C50DF"/>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5C50DF"/>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5C50DF"/>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5C50DF"/>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5C50DF"/>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5C50DF"/>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5C50D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C50DF"/>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5C50DF"/>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5C50DF"/>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5C50DF"/>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5C50DF"/>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5C50DF"/>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5C50D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C50D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5C50D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5C50D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5C50D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5C50D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5C50D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5C50DF"/>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C50DF"/>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C50DF"/>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C50DF"/>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C50DF"/>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C50DF"/>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C50DF"/>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C50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C50DF"/>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5C50DF"/>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5C50DF"/>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5C50DF"/>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5C50DF"/>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5C50DF"/>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5C50D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C50DF"/>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C50DF"/>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C50DF"/>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C50DF"/>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C50DF"/>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C50DF"/>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5C50DF"/>
    <w:rPr>
      <w:color w:val="2B579A"/>
      <w:shd w:val="clear" w:color="auto" w:fill="E1DFDD"/>
    </w:rPr>
  </w:style>
  <w:style w:type="table" w:styleId="PlainTable1">
    <w:name w:val="Plain Table 1"/>
    <w:basedOn w:val="TableNormal"/>
    <w:uiPriority w:val="41"/>
    <w:semiHidden/>
    <w:rsid w:val="005C50DF"/>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5C50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5C50D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C50D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5C50D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5C50DF"/>
    <w:rPr>
      <w:u w:val="dotted"/>
    </w:rPr>
  </w:style>
  <w:style w:type="character" w:customStyle="1" w:styleId="SmartLink1">
    <w:name w:val="SmartLink1"/>
    <w:basedOn w:val="DefaultParagraphFont"/>
    <w:uiPriority w:val="99"/>
    <w:semiHidden/>
    <w:unhideWhenUsed/>
    <w:rsid w:val="005C50DF"/>
    <w:rPr>
      <w:color w:val="0000FF"/>
      <w:u w:val="single"/>
      <w:shd w:val="clear" w:color="auto" w:fill="F3F2F1"/>
    </w:rPr>
  </w:style>
  <w:style w:type="table" w:styleId="TableGridLight">
    <w:name w:val="Grid Table Light"/>
    <w:basedOn w:val="TableNormal"/>
    <w:uiPriority w:val="40"/>
    <w:semiHidden/>
    <w:rsid w:val="005C50DF"/>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numbering" w:customStyle="1" w:styleId="ECHRA1StyleNumberedList2">
    <w:name w:val="ECHR_A1_Style_Numbered_List2"/>
    <w:basedOn w:val="NoList"/>
    <w:rsid w:val="00D16A76"/>
  </w:style>
  <w:style w:type="table" w:customStyle="1" w:styleId="ECHRListTable1">
    <w:name w:val="ECHR_List_Table1"/>
    <w:basedOn w:val="TableNormal"/>
    <w:uiPriority w:val="99"/>
    <w:rsid w:val="00D16A76"/>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8B00-934E-4411-97EE-44F17A87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5605</Words>
  <Characters>31952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2021-08-17T12:47:00Z</dcterms:created>
  <dcterms:modified xsi:type="dcterms:W3CDTF">2021-08-17T13:04:00Z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