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10D" w:rsidRPr="00701932" w:rsidRDefault="0098410D" w:rsidP="00AE3E4D">
      <w:pPr>
        <w:jc w:val="center"/>
        <w:rPr>
          <w:lang w:val="en-US"/>
        </w:rPr>
      </w:pPr>
      <w:bookmarkStart w:id="0" w:name="_GoBack"/>
      <w:bookmarkEnd w:id="0"/>
    </w:p>
    <w:p w:rsidR="0098410D" w:rsidRPr="00357ADB" w:rsidRDefault="008330EE" w:rsidP="00AE3E4D">
      <w:pPr>
        <w:pStyle w:val="DecHCase"/>
      </w:pPr>
      <w:r w:rsidRPr="00357ADB">
        <w:t>ПЕТО ОТДЕЛЕНИЕ</w:t>
      </w:r>
    </w:p>
    <w:p w:rsidR="008E6217" w:rsidRPr="00357ADB" w:rsidRDefault="00951490" w:rsidP="009D3337">
      <w:pPr>
        <w:pStyle w:val="JuTitle"/>
        <w:spacing w:before="840"/>
      </w:pPr>
      <w:bookmarkStart w:id="1" w:name="To"/>
      <w:r w:rsidRPr="00357ADB">
        <w:rPr>
          <w:color w:val="000000" w:themeColor="text1"/>
        </w:rPr>
        <w:t>ДЕЛО З СРЕЩУ БЪЛГАРИЯ</w:t>
      </w:r>
      <w:bookmarkEnd w:id="1"/>
    </w:p>
    <w:p w:rsidR="00D74888" w:rsidRPr="00357ADB" w:rsidRDefault="008E6217" w:rsidP="00AE3E4D">
      <w:pPr>
        <w:pStyle w:val="ECHRCoverTitle4"/>
      </w:pPr>
      <w:r w:rsidRPr="00357ADB">
        <w:t>(Жалба № 39257/17)</w:t>
      </w:r>
    </w:p>
    <w:p w:rsidR="0098410D" w:rsidRPr="00357ADB" w:rsidRDefault="0098410D" w:rsidP="00AE3E4D">
      <w:pPr>
        <w:pStyle w:val="DecHCase"/>
      </w:pPr>
    </w:p>
    <w:p w:rsidR="0098410D" w:rsidRPr="00357ADB" w:rsidRDefault="0098410D" w:rsidP="009D3337">
      <w:pPr>
        <w:pStyle w:val="DecHCase"/>
        <w:spacing w:after="120"/>
      </w:pPr>
      <w:r w:rsidRPr="00357ADB">
        <w:t>РЕШЕНИЕ</w:t>
      </w:r>
      <w:r w:rsidRPr="00357ADB">
        <w:br/>
      </w:r>
    </w:p>
    <w:p w:rsidR="00AE3E4D" w:rsidRPr="00357ADB" w:rsidRDefault="00C754ED" w:rsidP="00AE3E4D">
      <w:pPr>
        <w:pStyle w:val="JuPara"/>
        <w:pBdr>
          <w:top w:val="single" w:sz="4" w:space="1" w:color="auto"/>
          <w:left w:val="single" w:sz="4" w:space="4" w:color="auto"/>
          <w:bottom w:val="single" w:sz="4" w:space="1" w:color="auto"/>
          <w:right w:val="single" w:sz="4" w:space="4" w:color="auto"/>
        </w:pBdr>
        <w:ind w:firstLine="0"/>
      </w:pPr>
      <w:r>
        <w:t>Чл. 3 и чл. 8 (процедурно</w:t>
      </w:r>
      <w:r w:rsidR="00951490" w:rsidRPr="00357ADB">
        <w:t xml:space="preserve">) • </w:t>
      </w:r>
      <w:r w:rsidR="00417104">
        <w:t>Позитивни</w:t>
      </w:r>
      <w:r w:rsidR="00417104" w:rsidRPr="00357ADB">
        <w:t xml:space="preserve"> </w:t>
      </w:r>
      <w:r>
        <w:t>задължения • Наказателно преследване</w:t>
      </w:r>
      <w:r w:rsidR="00951490" w:rsidRPr="00357ADB">
        <w:t xml:space="preserve"> за </w:t>
      </w:r>
      <w:r>
        <w:t>съвкупление с малолетно лице</w:t>
      </w:r>
      <w:r w:rsidR="00951490" w:rsidRPr="00357ADB">
        <w:t xml:space="preserve"> въпреки молбата на жалбоподателката и първо</w:t>
      </w:r>
      <w:r>
        <w:t>началната препоръка на прокурор</w:t>
      </w:r>
      <w:r w:rsidR="00951490" w:rsidRPr="00357ADB">
        <w:t xml:space="preserve"> от по-долната инстанция да бъде разгледано за изнасилване • </w:t>
      </w:r>
      <w:r w:rsidR="00951490" w:rsidRPr="00414D6C">
        <w:t>Неразглеждане от страна на прокурора</w:t>
      </w:r>
      <w:r w:rsidR="00951490" w:rsidRPr="00357ADB">
        <w:t xml:space="preserve"> дали действията на жалбоподателката и цялостният контекст показват липса на съгласие от нейна страна и дали действията на извършителя може да бъдат квалифицирани като изнасилване • </w:t>
      </w:r>
      <w:r>
        <w:t>По случая е било необходимо да се разследва</w:t>
      </w:r>
      <w:r w:rsidR="00951490" w:rsidRPr="00357ADB">
        <w:t xml:space="preserve"> </w:t>
      </w:r>
      <w:r w:rsidR="00951490" w:rsidRPr="00414D6C">
        <w:t xml:space="preserve">дали да бъдат повдигнати обвинения за изнасилване • </w:t>
      </w:r>
      <w:r>
        <w:t>Пропуск да се преценят доказателства</w:t>
      </w:r>
      <w:r w:rsidR="00951490" w:rsidRPr="00357ADB">
        <w:t xml:space="preserve"> за липса на съгласие • Обстоятелства</w:t>
      </w:r>
      <w:r>
        <w:t>та по делото не са анализирани от гледна точка на това, че участва дете • Не е при</w:t>
      </w:r>
      <w:r w:rsidR="000467B7" w:rsidRPr="00357ADB">
        <w:t>дадена нужната тежест на уязви</w:t>
      </w:r>
      <w:r w:rsidR="00951490" w:rsidRPr="00357ADB">
        <w:t>мостта</w:t>
      </w:r>
      <w:r>
        <w:t xml:space="preserve"> на жалбоподателката като млад човек</w:t>
      </w:r>
      <w:r w:rsidR="00951490" w:rsidRPr="00357ADB">
        <w:t xml:space="preserve"> и на специалните психологичес</w:t>
      </w:r>
      <w:r w:rsidR="000467B7" w:rsidRPr="00357ADB">
        <w:t>к</w:t>
      </w:r>
      <w:r w:rsidR="00951490" w:rsidRPr="00357ADB">
        <w:t>и фактори по дела за изнасилване</w:t>
      </w:r>
    </w:p>
    <w:p w:rsidR="00AE3E4D" w:rsidRPr="00357ADB" w:rsidRDefault="00AE3E4D" w:rsidP="00AE3E4D">
      <w:pPr>
        <w:pStyle w:val="JuPara"/>
      </w:pPr>
    </w:p>
    <w:p w:rsidR="0098410D" w:rsidRPr="00357ADB" w:rsidRDefault="0098410D" w:rsidP="00AE3E4D">
      <w:pPr>
        <w:pStyle w:val="DecHCase"/>
      </w:pPr>
      <w:r w:rsidRPr="00357ADB">
        <w:lastRenderedPageBreak/>
        <w:t>СТРАСБУРГ</w:t>
      </w:r>
    </w:p>
    <w:p w:rsidR="0098410D" w:rsidRPr="00357ADB" w:rsidRDefault="008330EE" w:rsidP="009D3337">
      <w:pPr>
        <w:pStyle w:val="DecHCase"/>
        <w:spacing w:after="120"/>
      </w:pPr>
      <w:r w:rsidRPr="00357ADB">
        <w:rPr>
          <w:rFonts w:ascii="Times New Roman" w:hAnsi="Times New Roman"/>
        </w:rPr>
        <w:t>28 май 2020 г.</w:t>
      </w:r>
    </w:p>
    <w:p w:rsidR="006F603D" w:rsidRPr="00357ADB" w:rsidRDefault="006F603D" w:rsidP="00AE3E4D">
      <w:pPr>
        <w:pStyle w:val="JuPara"/>
      </w:pPr>
    </w:p>
    <w:p w:rsidR="009D3337" w:rsidRPr="00357ADB" w:rsidRDefault="009D3337" w:rsidP="009D3337">
      <w:pPr>
        <w:pStyle w:val="jucase0"/>
        <w:ind w:firstLine="0"/>
        <w:jc w:val="center"/>
        <w:rPr>
          <w:color w:val="FF0000"/>
          <w:sz w:val="28"/>
          <w:szCs w:val="28"/>
          <w:u w:val="single"/>
        </w:rPr>
      </w:pPr>
      <w:r w:rsidRPr="00357ADB">
        <w:rPr>
          <w:color w:val="FF0000"/>
          <w:sz w:val="28"/>
          <w:szCs w:val="28"/>
          <w:u w:val="single"/>
        </w:rPr>
        <w:t>ОКОНЧАТЕЛНО</w:t>
      </w:r>
    </w:p>
    <w:p w:rsidR="009D3337" w:rsidRPr="00357ADB" w:rsidRDefault="009D3337" w:rsidP="009D3337">
      <w:pPr>
        <w:pStyle w:val="jucase0"/>
        <w:ind w:firstLine="0"/>
        <w:jc w:val="center"/>
        <w:rPr>
          <w:color w:val="FF0000"/>
          <w:sz w:val="22"/>
          <w:szCs w:val="22"/>
          <w:u w:val="single"/>
        </w:rPr>
      </w:pPr>
    </w:p>
    <w:p w:rsidR="009D3337" w:rsidRPr="00357ADB" w:rsidRDefault="009D3337" w:rsidP="009D3337">
      <w:pPr>
        <w:pStyle w:val="jucase0"/>
        <w:ind w:firstLine="0"/>
        <w:jc w:val="center"/>
        <w:rPr>
          <w:b w:val="0"/>
          <w:color w:val="FF0000"/>
          <w:sz w:val="28"/>
          <w:szCs w:val="28"/>
        </w:rPr>
      </w:pPr>
      <w:r w:rsidRPr="00357ADB">
        <w:rPr>
          <w:b w:val="0"/>
          <w:color w:val="FF0000"/>
          <w:sz w:val="28"/>
          <w:szCs w:val="28"/>
        </w:rPr>
        <w:t>12/10/2020</w:t>
      </w:r>
    </w:p>
    <w:p w:rsidR="009D3337" w:rsidRPr="00357ADB" w:rsidRDefault="009D3337" w:rsidP="009D3337">
      <w:pPr>
        <w:pStyle w:val="jupara0"/>
        <w:ind w:firstLine="0"/>
        <w:jc w:val="center"/>
      </w:pPr>
    </w:p>
    <w:p w:rsidR="0098410D" w:rsidRPr="00357ADB" w:rsidRDefault="009D3337" w:rsidP="009D3337">
      <w:pPr>
        <w:jc w:val="both"/>
      </w:pPr>
      <w:r w:rsidRPr="00357ADB">
        <w:rPr>
          <w:i/>
          <w:iCs/>
          <w:sz w:val="22"/>
          <w:szCs w:val="22"/>
        </w:rPr>
        <w:t>Това решение е станало окончателно при условията на чл. 44, ал. 2 от Конвенцията. Може да бъде предмет на редакционни промени.</w:t>
      </w:r>
    </w:p>
    <w:p w:rsidR="006F603D" w:rsidRPr="00357ADB" w:rsidRDefault="006F603D" w:rsidP="00AE3E4D">
      <w:pPr>
        <w:sectPr w:rsidR="006F603D" w:rsidRPr="00357ADB" w:rsidSect="00D6647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98410D" w:rsidRPr="00357ADB" w:rsidRDefault="0098410D" w:rsidP="00AE3E4D">
      <w:pPr>
        <w:pStyle w:val="JuCase"/>
      </w:pPr>
      <w:r w:rsidRPr="00357ADB">
        <w:lastRenderedPageBreak/>
        <w:t>По делото З срещу България,</w:t>
      </w:r>
    </w:p>
    <w:p w:rsidR="009F4C8F" w:rsidRPr="00357ADB" w:rsidRDefault="009F4C8F" w:rsidP="00AE3E4D">
      <w:pPr>
        <w:pStyle w:val="JuPara"/>
      </w:pPr>
      <w:r w:rsidRPr="00357ADB">
        <w:t>Европейският съд по правата на човека (Пето отделение), заседаващ като камара в състав:</w:t>
      </w:r>
    </w:p>
    <w:p w:rsidR="00B07861" w:rsidRPr="00357ADB" w:rsidRDefault="00C56AB8" w:rsidP="00B07861">
      <w:pPr>
        <w:pStyle w:val="JuJudges"/>
      </w:pPr>
      <w:r w:rsidRPr="00357ADB">
        <w:tab/>
      </w:r>
      <w:proofErr w:type="spellStart"/>
      <w:r w:rsidR="00B07861" w:rsidRPr="00357ADB">
        <w:t>Шифра</w:t>
      </w:r>
      <w:proofErr w:type="spellEnd"/>
      <w:r w:rsidR="00B07861" w:rsidRPr="00357ADB">
        <w:t xml:space="preserve"> </w:t>
      </w:r>
      <w:proofErr w:type="spellStart"/>
      <w:r w:rsidR="00B07861" w:rsidRPr="00357ADB">
        <w:t>О’Лиъри</w:t>
      </w:r>
      <w:proofErr w:type="spellEnd"/>
      <w:r w:rsidR="00B07861" w:rsidRPr="00357ADB">
        <w:t xml:space="preserve"> [</w:t>
      </w:r>
      <w:proofErr w:type="spellStart"/>
      <w:r w:rsidR="00B07861" w:rsidRPr="00357ADB">
        <w:t>Síofra</w:t>
      </w:r>
      <w:proofErr w:type="spellEnd"/>
      <w:r w:rsidR="00B07861" w:rsidRPr="00357ADB">
        <w:t xml:space="preserve"> </w:t>
      </w:r>
      <w:proofErr w:type="spellStart"/>
      <w:r w:rsidR="00B07861" w:rsidRPr="00357ADB">
        <w:t>O’Leary</w:t>
      </w:r>
      <w:proofErr w:type="spellEnd"/>
      <w:r w:rsidR="00B07861" w:rsidRPr="00357ADB">
        <w:t>],</w:t>
      </w:r>
      <w:r w:rsidR="00B07861" w:rsidRPr="00357ADB">
        <w:rPr>
          <w:i/>
        </w:rPr>
        <w:t xml:space="preserve"> председател,</w:t>
      </w:r>
      <w:r w:rsidR="00B07861" w:rsidRPr="00357ADB">
        <w:rPr>
          <w:i/>
        </w:rPr>
        <w:br/>
      </w:r>
      <w:r w:rsidR="00B07861" w:rsidRPr="00357ADB">
        <w:tab/>
      </w:r>
      <w:r w:rsidR="00417104" w:rsidRPr="00417104">
        <w:t xml:space="preserve">Габриеле </w:t>
      </w:r>
      <w:proofErr w:type="spellStart"/>
      <w:r w:rsidR="00417104" w:rsidRPr="00417104">
        <w:t>Куцко-Щадлмайер</w:t>
      </w:r>
      <w:proofErr w:type="spellEnd"/>
      <w:r w:rsidR="00417104" w:rsidRPr="00414D6C" w:rsidDel="00417104">
        <w:t xml:space="preserve"> </w:t>
      </w:r>
      <w:r w:rsidR="00B07861" w:rsidRPr="00357ADB">
        <w:t>[</w:t>
      </w:r>
      <w:proofErr w:type="spellStart"/>
      <w:r w:rsidR="00B07861" w:rsidRPr="00357ADB">
        <w:t>Gabriele</w:t>
      </w:r>
      <w:proofErr w:type="spellEnd"/>
      <w:r w:rsidR="00B07861" w:rsidRPr="00357ADB">
        <w:t xml:space="preserve"> </w:t>
      </w:r>
      <w:proofErr w:type="spellStart"/>
      <w:r w:rsidR="00B07861" w:rsidRPr="00357ADB">
        <w:t>Kucsko-Stadlmayer</w:t>
      </w:r>
      <w:proofErr w:type="spellEnd"/>
      <w:r w:rsidR="00B07861" w:rsidRPr="00357ADB">
        <w:t>],</w:t>
      </w:r>
      <w:r w:rsidR="00B07861" w:rsidRPr="00357ADB">
        <w:rPr>
          <w:i/>
        </w:rPr>
        <w:br/>
      </w:r>
      <w:r w:rsidR="00B07861" w:rsidRPr="00357ADB">
        <w:tab/>
        <w:t xml:space="preserve">Андре </w:t>
      </w:r>
      <w:proofErr w:type="spellStart"/>
      <w:r w:rsidR="00B07861" w:rsidRPr="00357ADB">
        <w:t>Поточки</w:t>
      </w:r>
      <w:proofErr w:type="spellEnd"/>
      <w:r w:rsidR="00B07861" w:rsidRPr="00357ADB">
        <w:t xml:space="preserve"> [</w:t>
      </w:r>
      <w:proofErr w:type="spellStart"/>
      <w:r w:rsidR="00B07861" w:rsidRPr="00357ADB">
        <w:t>André</w:t>
      </w:r>
      <w:proofErr w:type="spellEnd"/>
      <w:r w:rsidR="00B07861" w:rsidRPr="00357ADB">
        <w:t xml:space="preserve"> </w:t>
      </w:r>
      <w:proofErr w:type="spellStart"/>
      <w:r w:rsidR="00B07861" w:rsidRPr="00357ADB">
        <w:t>Potocki</w:t>
      </w:r>
      <w:proofErr w:type="spellEnd"/>
      <w:r w:rsidR="00B07861" w:rsidRPr="00357ADB">
        <w:t>],</w:t>
      </w:r>
      <w:r w:rsidR="00B07861" w:rsidRPr="00357ADB">
        <w:rPr>
          <w:i/>
        </w:rPr>
        <w:br/>
      </w:r>
      <w:r w:rsidR="00B07861" w:rsidRPr="00357ADB">
        <w:tab/>
        <w:t>Йонко Грозев,</w:t>
      </w:r>
      <w:r w:rsidR="00B07861" w:rsidRPr="00357ADB">
        <w:rPr>
          <w:i/>
        </w:rPr>
        <w:br/>
      </w:r>
      <w:r w:rsidR="00B07861" w:rsidRPr="00357ADB">
        <w:tab/>
      </w:r>
      <w:proofErr w:type="spellStart"/>
      <w:r w:rsidR="00B07861" w:rsidRPr="00357ADB">
        <w:t>Мартин</w:t>
      </w:r>
      <w:r w:rsidR="004F1556">
        <w:t>ш</w:t>
      </w:r>
      <w:proofErr w:type="spellEnd"/>
      <w:r w:rsidR="00B07861" w:rsidRPr="00357ADB">
        <w:t xml:space="preserve"> </w:t>
      </w:r>
      <w:proofErr w:type="spellStart"/>
      <w:r w:rsidR="00B07861" w:rsidRPr="00357ADB">
        <w:t>Митс</w:t>
      </w:r>
      <w:proofErr w:type="spellEnd"/>
      <w:r w:rsidR="00B07861" w:rsidRPr="00357ADB">
        <w:t xml:space="preserve"> [</w:t>
      </w:r>
      <w:proofErr w:type="spellStart"/>
      <w:r w:rsidR="00B07861" w:rsidRPr="00357ADB">
        <w:t>Mārtiņš</w:t>
      </w:r>
      <w:proofErr w:type="spellEnd"/>
      <w:r w:rsidR="00B07861" w:rsidRPr="00357ADB">
        <w:t xml:space="preserve"> </w:t>
      </w:r>
      <w:proofErr w:type="spellStart"/>
      <w:r w:rsidR="00B07861" w:rsidRPr="00357ADB">
        <w:t>Mits</w:t>
      </w:r>
      <w:proofErr w:type="spellEnd"/>
      <w:r w:rsidR="00B07861" w:rsidRPr="00357ADB">
        <w:t>],</w:t>
      </w:r>
      <w:r w:rsidR="00B07861" w:rsidRPr="00357ADB">
        <w:rPr>
          <w:i/>
        </w:rPr>
        <w:br/>
      </w:r>
      <w:r w:rsidR="00B07861" w:rsidRPr="00357ADB">
        <w:tab/>
      </w:r>
      <w:r w:rsidR="00417104" w:rsidRPr="00417104">
        <w:t>Летиф Хюсеинов</w:t>
      </w:r>
      <w:r w:rsidR="00417104" w:rsidRPr="00414D6C" w:rsidDel="00417104">
        <w:t xml:space="preserve"> </w:t>
      </w:r>
      <w:r w:rsidR="00B07861" w:rsidRPr="00357ADB">
        <w:t>[</w:t>
      </w:r>
      <w:proofErr w:type="spellStart"/>
      <w:r w:rsidR="00B07861" w:rsidRPr="00357ADB">
        <w:t>Lәtif</w:t>
      </w:r>
      <w:proofErr w:type="spellEnd"/>
      <w:r w:rsidR="00B07861" w:rsidRPr="00357ADB">
        <w:t xml:space="preserve"> </w:t>
      </w:r>
      <w:proofErr w:type="spellStart"/>
      <w:r w:rsidR="00B07861" w:rsidRPr="00357ADB">
        <w:t>Hüseynov</w:t>
      </w:r>
      <w:proofErr w:type="spellEnd"/>
      <w:r w:rsidR="00B07861" w:rsidRPr="00357ADB">
        <w:t>],</w:t>
      </w:r>
      <w:r w:rsidR="00B07861" w:rsidRPr="00357ADB">
        <w:rPr>
          <w:i/>
        </w:rPr>
        <w:br/>
      </w:r>
      <w:r w:rsidR="00B07861" w:rsidRPr="00357ADB">
        <w:tab/>
      </w:r>
      <w:proofErr w:type="spellStart"/>
      <w:r w:rsidR="00B07861" w:rsidRPr="00357ADB">
        <w:t>Ладо</w:t>
      </w:r>
      <w:proofErr w:type="spellEnd"/>
      <w:r w:rsidR="00B07861" w:rsidRPr="00357ADB">
        <w:t xml:space="preserve"> </w:t>
      </w:r>
      <w:proofErr w:type="spellStart"/>
      <w:r w:rsidR="00B07861" w:rsidRPr="00357ADB">
        <w:t>Чантурия</w:t>
      </w:r>
      <w:proofErr w:type="spellEnd"/>
      <w:r w:rsidR="00B07861" w:rsidRPr="00357ADB">
        <w:t xml:space="preserve"> [</w:t>
      </w:r>
      <w:proofErr w:type="spellStart"/>
      <w:r w:rsidR="00B07861" w:rsidRPr="00357ADB">
        <w:t>Lado</w:t>
      </w:r>
      <w:proofErr w:type="spellEnd"/>
      <w:r w:rsidR="00B07861" w:rsidRPr="00357ADB">
        <w:t xml:space="preserve"> </w:t>
      </w:r>
      <w:proofErr w:type="spellStart"/>
      <w:r w:rsidR="00B07861" w:rsidRPr="00357ADB">
        <w:t>Chanturia</w:t>
      </w:r>
      <w:proofErr w:type="spellEnd"/>
      <w:r w:rsidR="00B07861" w:rsidRPr="00357ADB">
        <w:t>],</w:t>
      </w:r>
      <w:r w:rsidR="00B07861" w:rsidRPr="00357ADB">
        <w:rPr>
          <w:i/>
        </w:rPr>
        <w:t xml:space="preserve"> съдии,</w:t>
      </w:r>
      <w:r w:rsidR="00B07861" w:rsidRPr="00357ADB">
        <w:br/>
        <w:t xml:space="preserve">и Виктор </w:t>
      </w:r>
      <w:proofErr w:type="spellStart"/>
      <w:r w:rsidR="00B07861" w:rsidRPr="00357ADB">
        <w:t>Соловейчик</w:t>
      </w:r>
      <w:proofErr w:type="spellEnd"/>
      <w:r w:rsidR="00B07861" w:rsidRPr="00357ADB">
        <w:t xml:space="preserve"> [</w:t>
      </w:r>
      <w:proofErr w:type="spellStart"/>
      <w:r w:rsidR="00B07861" w:rsidRPr="00357ADB">
        <w:t>Victor</w:t>
      </w:r>
      <w:proofErr w:type="spellEnd"/>
      <w:r w:rsidR="00B07861" w:rsidRPr="00357ADB">
        <w:t xml:space="preserve"> </w:t>
      </w:r>
      <w:proofErr w:type="spellStart"/>
      <w:r w:rsidR="00B07861" w:rsidRPr="00357ADB">
        <w:t>Soloveytchik</w:t>
      </w:r>
      <w:proofErr w:type="spellEnd"/>
      <w:r w:rsidR="00B07861" w:rsidRPr="00357ADB">
        <w:t xml:space="preserve">], </w:t>
      </w:r>
      <w:r w:rsidR="00B07861" w:rsidRPr="00357ADB">
        <w:rPr>
          <w:i/>
        </w:rPr>
        <w:t>заместник-секретар на отделението,</w:t>
      </w:r>
    </w:p>
    <w:p w:rsidR="008330EE" w:rsidRPr="00357ADB" w:rsidRDefault="00B07861" w:rsidP="00B07861">
      <w:pPr>
        <w:pStyle w:val="JuJudges"/>
      </w:pPr>
      <w:bookmarkStart w:id="2" w:name="ITMARKHavingStart"/>
      <w:bookmarkEnd w:id="2"/>
      <w:r w:rsidRPr="00357ADB">
        <w:t>като има предвид следното</w:t>
      </w:r>
      <w:r w:rsidR="008330EE" w:rsidRPr="00357ADB">
        <w:t>:</w:t>
      </w:r>
    </w:p>
    <w:p w:rsidR="00C93BEF" w:rsidRPr="00357ADB" w:rsidRDefault="00C93BEF" w:rsidP="00C93BEF">
      <w:pPr>
        <w:pStyle w:val="JuPara"/>
      </w:pPr>
      <w:r w:rsidRPr="00357ADB">
        <w:t>жалбата срещу Република България, подадена до Съда по чл. 34 от Конвенцията за защита правата на човека и основните свободи („Конвен</w:t>
      </w:r>
      <w:r w:rsidR="008458C7" w:rsidRPr="00357ADB">
        <w:t>ц</w:t>
      </w:r>
      <w:r w:rsidRPr="00357ADB">
        <w:t>ията“) от британска гражданка, г-ца З („жалбоподателка</w:t>
      </w:r>
      <w:r w:rsidR="00C754ED">
        <w:t>та</w:t>
      </w:r>
      <w:r w:rsidRPr="00357ADB">
        <w:t>“), на 20 май 2017 г.;</w:t>
      </w:r>
    </w:p>
    <w:p w:rsidR="00C93BEF" w:rsidRPr="00357ADB" w:rsidRDefault="00C93BEF" w:rsidP="00C93BEF">
      <w:pPr>
        <w:pStyle w:val="JuPara"/>
      </w:pPr>
      <w:r w:rsidRPr="00357ADB">
        <w:t xml:space="preserve">решението за уведомяване на </w:t>
      </w:r>
      <w:r w:rsidR="00C754ED">
        <w:t>б</w:t>
      </w:r>
      <w:r w:rsidRPr="00357ADB">
        <w:t xml:space="preserve">ългарското правителство („Правителството“) за жалбата, която засяга липсата на ефективно разследване </w:t>
      </w:r>
      <w:r w:rsidR="00C754ED">
        <w:t>на оплакването</w:t>
      </w:r>
      <w:r w:rsidRPr="00357ADB">
        <w:t xml:space="preserve"> на жалбоподателката, че е изнасилена, и за обявяване на останалата част от жалбата за недопустима;</w:t>
      </w:r>
    </w:p>
    <w:p w:rsidR="00C93BEF" w:rsidRPr="00357ADB" w:rsidRDefault="00C93BEF" w:rsidP="00C93BEF">
      <w:pPr>
        <w:pStyle w:val="JuPara"/>
      </w:pPr>
      <w:r w:rsidRPr="00357ADB">
        <w:t>факта, че Правителството на Обединеното кралство не се възползва от възможността да представи писмени коментари с оглед британското гражданство на жалбоподателката;</w:t>
      </w:r>
    </w:p>
    <w:p w:rsidR="00C93BEF" w:rsidRPr="00357ADB" w:rsidRDefault="00C93BEF" w:rsidP="00C93BEF">
      <w:pPr>
        <w:pStyle w:val="JuPara"/>
      </w:pPr>
      <w:r w:rsidRPr="00357ADB">
        <w:t>решението името на жалбоподателката да не бъде оповестено;</w:t>
      </w:r>
    </w:p>
    <w:p w:rsidR="00C93BEF" w:rsidRPr="00357ADB" w:rsidRDefault="00C93BEF" w:rsidP="00C93BEF">
      <w:pPr>
        <w:pStyle w:val="JuPara"/>
      </w:pPr>
      <w:r w:rsidRPr="00357ADB">
        <w:lastRenderedPageBreak/>
        <w:t xml:space="preserve">становището, подадено от </w:t>
      </w:r>
      <w:r w:rsidR="0038666F">
        <w:t>П</w:t>
      </w:r>
      <w:r w:rsidRPr="00357ADB">
        <w:t>равителството</w:t>
      </w:r>
      <w:r w:rsidR="00C754ED">
        <w:t>-</w:t>
      </w:r>
      <w:r w:rsidRPr="00357ADB">
        <w:t>ответник, и становището в отговор, подадено от жалбоподателката;</w:t>
      </w:r>
    </w:p>
    <w:p w:rsidR="00C93BEF" w:rsidRPr="00357ADB" w:rsidRDefault="00C93BEF" w:rsidP="00C93BEF">
      <w:pPr>
        <w:pStyle w:val="JuPara"/>
      </w:pPr>
      <w:r w:rsidRPr="00357ADB">
        <w:t xml:space="preserve">коментарите, представени от Фондация „Асоциация Анимус“, </w:t>
      </w:r>
      <w:r w:rsidR="00C754ED">
        <w:t>която</w:t>
      </w:r>
      <w:r w:rsidRPr="00357ADB">
        <w:t xml:space="preserve"> се </w:t>
      </w:r>
      <w:r w:rsidR="00252B73">
        <w:t>присъедин</w:t>
      </w:r>
      <w:r w:rsidR="00C754ED">
        <w:t>и по делото след разрешение</w:t>
      </w:r>
      <w:r w:rsidR="00252B73" w:rsidRPr="00357ADB">
        <w:t xml:space="preserve"> </w:t>
      </w:r>
      <w:r w:rsidRPr="00357ADB">
        <w:t xml:space="preserve">от председателя на </w:t>
      </w:r>
      <w:r w:rsidR="00C754ED">
        <w:t>секцията</w:t>
      </w:r>
      <w:r w:rsidRPr="00357ADB">
        <w:t>;</w:t>
      </w:r>
    </w:p>
    <w:p w:rsidR="00C93BEF" w:rsidRPr="00357ADB" w:rsidRDefault="00C93BEF" w:rsidP="00C93BEF">
      <w:pPr>
        <w:pStyle w:val="JuPara"/>
      </w:pPr>
      <w:r w:rsidRPr="00357ADB">
        <w:t>след закрито заседание, проведено на 5 май 2020 г.,</w:t>
      </w:r>
    </w:p>
    <w:p w:rsidR="009F4C8F" w:rsidRPr="00357ADB" w:rsidRDefault="00C93BEF" w:rsidP="00C93BEF">
      <w:pPr>
        <w:pStyle w:val="JuPara"/>
      </w:pPr>
      <w:r w:rsidRPr="00357ADB">
        <w:t>постановява следното решение, прието на същата дата</w:t>
      </w:r>
      <w:r w:rsidR="009F4C8F" w:rsidRPr="00357ADB">
        <w:t>:</w:t>
      </w:r>
    </w:p>
    <w:p w:rsidR="008330EE" w:rsidRPr="00357ADB" w:rsidRDefault="00DF4F39" w:rsidP="00AE3E4D">
      <w:pPr>
        <w:pStyle w:val="JuHHead"/>
        <w:numPr>
          <w:ilvl w:val="0"/>
          <w:numId w:val="0"/>
        </w:numPr>
      </w:pPr>
      <w:r w:rsidRPr="00357ADB">
        <w:t>ВЪВЕДЕНИЕ</w:t>
      </w:r>
    </w:p>
    <w:p w:rsidR="008330EE" w:rsidRPr="00357ADB" w:rsidRDefault="00CC5A97" w:rsidP="00AE3E4D">
      <w:pPr>
        <w:pStyle w:val="JuPara"/>
      </w:pPr>
      <w:r>
        <w:t>1</w:t>
      </w:r>
      <w:r w:rsidR="008330EE" w:rsidRPr="00357ADB">
        <w:t>.  </w:t>
      </w:r>
      <w:r w:rsidR="00DF4F39" w:rsidRPr="00357ADB">
        <w:t xml:space="preserve">Делото засяга оплакване по чл. 3 и чл. 8 от Конвенцията относно неефективно разследване и наказателно преследване </w:t>
      </w:r>
      <w:r w:rsidR="00C754ED">
        <w:t>на</w:t>
      </w:r>
      <w:r w:rsidR="00DF4F39" w:rsidRPr="00357ADB">
        <w:t xml:space="preserve"> твърденията на жалбоподателката, че е изнасилена, и относно неадекватното наказание на извършителя</w:t>
      </w:r>
      <w:r w:rsidR="008330EE" w:rsidRPr="00357ADB">
        <w:t>.</w:t>
      </w:r>
    </w:p>
    <w:p w:rsidR="008330EE" w:rsidRPr="00357ADB" w:rsidRDefault="008330EE" w:rsidP="00AE3E4D">
      <w:pPr>
        <w:pStyle w:val="JuHHead"/>
        <w:numPr>
          <w:ilvl w:val="0"/>
          <w:numId w:val="22"/>
        </w:numPr>
        <w:jc w:val="left"/>
      </w:pPr>
      <w:r w:rsidRPr="00357ADB">
        <w:t>ФАКТИТЕ</w:t>
      </w:r>
    </w:p>
    <w:p w:rsidR="008330EE" w:rsidRPr="00357ADB" w:rsidRDefault="00701932" w:rsidP="00AE3E4D">
      <w:pPr>
        <w:pStyle w:val="JuPara"/>
      </w:pPr>
      <w:fldSimple w:instr=" SEQ level0 \*arabic ">
        <w:r w:rsidR="00A5720B">
          <w:rPr>
            <w:noProof/>
          </w:rPr>
          <w:t>1</w:t>
        </w:r>
      </w:fldSimple>
      <w:r w:rsidR="00902034" w:rsidRPr="00357ADB">
        <w:t>. </w:t>
      </w:r>
      <w:r w:rsidR="008330EE" w:rsidRPr="00357ADB">
        <w:t>Фактите по делото, както са представени от страните, могат да бъдат обобщени по следния начин.</w:t>
      </w:r>
    </w:p>
    <w:p w:rsidR="008330EE" w:rsidRPr="00357ADB" w:rsidRDefault="00740AA3" w:rsidP="00AE3E4D">
      <w:pPr>
        <w:pStyle w:val="JuHIRoman"/>
        <w:numPr>
          <w:ilvl w:val="1"/>
          <w:numId w:val="22"/>
        </w:numPr>
        <w:jc w:val="left"/>
      </w:pPr>
      <w:r w:rsidRPr="00357ADB">
        <w:t xml:space="preserve">СЪБИТИЯТА </w:t>
      </w:r>
      <w:r w:rsidR="00252B73">
        <w:t xml:space="preserve">ОТ </w:t>
      </w:r>
      <w:r w:rsidRPr="00357ADB">
        <w:t>ВЕЧЕРТА НА 25 СРЕЩУ 26 ФЕВРУАРИ 2015 г.</w:t>
      </w:r>
    </w:p>
    <w:p w:rsidR="008330EE" w:rsidRPr="00357ADB" w:rsidRDefault="00CC5A97" w:rsidP="00AE3E4D">
      <w:pPr>
        <w:pStyle w:val="JuPara"/>
      </w:pPr>
      <w:r>
        <w:t>3</w:t>
      </w:r>
      <w:r w:rsidR="008330EE" w:rsidRPr="00357ADB">
        <w:t>. </w:t>
      </w:r>
      <w:r w:rsidR="00DC2F5B" w:rsidRPr="00357ADB">
        <w:t>Жалбоподателката, г-ца З</w:t>
      </w:r>
      <w:r w:rsidR="00252B73">
        <w:t>.</w:t>
      </w:r>
      <w:r w:rsidR="00DC2F5B" w:rsidRPr="00357ADB">
        <w:t>, е родена през 2001 г. и живее в малко село в област Ямбол</w:t>
      </w:r>
      <w:r w:rsidR="008330EE" w:rsidRPr="00357ADB">
        <w:t>.</w:t>
      </w:r>
    </w:p>
    <w:p w:rsidR="008330EE" w:rsidRPr="00357ADB" w:rsidRDefault="00CC5A97" w:rsidP="00AE3E4D">
      <w:pPr>
        <w:pStyle w:val="JuPara"/>
      </w:pPr>
      <w:r>
        <w:t>4</w:t>
      </w:r>
      <w:r w:rsidR="008330EE" w:rsidRPr="00357ADB">
        <w:t>. </w:t>
      </w:r>
      <w:r w:rsidR="00DC2F5B" w:rsidRPr="00357ADB">
        <w:t xml:space="preserve">На 25 февруари 2015 г. жалбоподателката, на възраст 13 години и 4 месеца, приема покана от приятелка, С., британско момиче, да прекара нощта в семейния дом на последната. Към този момент С. е на 16 години и живее със семейството си в </w:t>
      </w:r>
      <w:r w:rsidR="00DC2F5B" w:rsidRPr="00357ADB">
        <w:lastRenderedPageBreak/>
        <w:t>близко село. Нейният 23-годишен приятел Г.С. също е поканен да прекара нощта в къщата. Освен това родителите на С. също ще спят в къщата тази нощ. Жалбоподателката познава добре както С., така и Г.С., тъй като често прекарва време с тях като двойка</w:t>
      </w:r>
      <w:r w:rsidR="008330EE" w:rsidRPr="00357ADB">
        <w:t>.</w:t>
      </w:r>
    </w:p>
    <w:p w:rsidR="008330EE" w:rsidRPr="00357ADB" w:rsidRDefault="00CC5A97" w:rsidP="00AE3E4D">
      <w:pPr>
        <w:pStyle w:val="JuPara"/>
      </w:pPr>
      <w:r>
        <w:t>5</w:t>
      </w:r>
      <w:r w:rsidR="008330EE" w:rsidRPr="00357ADB">
        <w:t>. </w:t>
      </w:r>
      <w:r w:rsidR="00DC2F5B" w:rsidRPr="00357ADB">
        <w:t>Вечерта на 25 февруари 2015 г., обсъждайки подредбата на местата за спане, С. предлага жалбоподателката да вземе единичното легло в спалнята ѝ, а тя и Г.С. да спят на пода в същата стая. Г.С. отказва да спи на пода и вместо това отива в съседната стая. С. отказва да го последва. Жалбоподателката и С. остават в същата стая, където жалбоподателката ляга да спи на леглото, а С.</w:t>
      </w:r>
      <w:r w:rsidR="008B24D1">
        <w:t xml:space="preserve"> ляга </w:t>
      </w:r>
      <w:r w:rsidR="00DC2F5B" w:rsidRPr="00357ADB">
        <w:t xml:space="preserve"> на пода</w:t>
      </w:r>
      <w:r w:rsidR="008330EE" w:rsidRPr="00357ADB">
        <w:t>.</w:t>
      </w:r>
    </w:p>
    <w:p w:rsidR="008330EE" w:rsidRPr="00357ADB" w:rsidRDefault="00CC5A97" w:rsidP="00AE3E4D">
      <w:pPr>
        <w:pStyle w:val="JuPara"/>
      </w:pPr>
      <w:r>
        <w:t>6</w:t>
      </w:r>
      <w:r w:rsidR="008330EE" w:rsidRPr="00357ADB">
        <w:t>. </w:t>
      </w:r>
      <w:r w:rsidR="00C01AEC" w:rsidRPr="00357ADB">
        <w:t>Около 4 часа сутринта на 26 февруари 2015 г. жалбоподателката усещ</w:t>
      </w:r>
      <w:r w:rsidR="00D011FB">
        <w:t>а, че някой се качва в леглото й</w:t>
      </w:r>
      <w:r w:rsidR="00C01AEC" w:rsidRPr="00357ADB">
        <w:t>. Вижда, че това е Г.С. и се обръща към стената, възнамерявайки да заспи отново. Тогава Г.С. я хваща и започ</w:t>
      </w:r>
      <w:r w:rsidR="008B24D1">
        <w:t>в</w:t>
      </w:r>
      <w:r w:rsidR="00C01AEC" w:rsidRPr="00357ADB">
        <w:t>а да опипва тялото ѝ с ръце. Жалбоподателката се от</w:t>
      </w:r>
      <w:r w:rsidR="008B24D1">
        <w:t>дръпва</w:t>
      </w:r>
      <w:r w:rsidR="00C01AEC" w:rsidRPr="00357ADB">
        <w:t xml:space="preserve"> от него</w:t>
      </w:r>
      <w:r w:rsidR="008B24D1">
        <w:t>,</w:t>
      </w:r>
      <w:r w:rsidR="00C01AEC" w:rsidRPr="00357ADB">
        <w:t xml:space="preserve"> приближава</w:t>
      </w:r>
      <w:r w:rsidR="008B24D1">
        <w:t xml:space="preserve"> се</w:t>
      </w:r>
      <w:r w:rsidR="00C01AEC" w:rsidRPr="00357ADB">
        <w:t xml:space="preserve"> до стената и избутва ръцете му от себе си, но той не спира. </w:t>
      </w:r>
      <w:r w:rsidR="008B24D1">
        <w:t>Решава</w:t>
      </w:r>
      <w:r w:rsidR="00C01AEC" w:rsidRPr="00357ADB">
        <w:t>, че ако се престори</w:t>
      </w:r>
      <w:r w:rsidR="008B24D1">
        <w:t xml:space="preserve"> на</w:t>
      </w:r>
      <w:r w:rsidR="00C01AEC" w:rsidRPr="00357ADB">
        <w:t xml:space="preserve"> заспала, той ще я остави на мира. Вместо това Г.С</w:t>
      </w:r>
      <w:r w:rsidR="00D011FB">
        <w:t>. сваля бельото й до глезените</w:t>
      </w:r>
      <w:r w:rsidR="00C01AEC" w:rsidRPr="00357ADB">
        <w:t>. Жалбоподателката е шокирана и уплашена. Тя не може да реагира и не знае какво да прави</w:t>
      </w:r>
      <w:r w:rsidR="008330EE" w:rsidRPr="00357ADB">
        <w:t>.</w:t>
      </w:r>
    </w:p>
    <w:p w:rsidR="008330EE" w:rsidRPr="00357ADB" w:rsidRDefault="00CC5A97" w:rsidP="00AE3E4D">
      <w:pPr>
        <w:pStyle w:val="JuPara"/>
      </w:pPr>
      <w:r>
        <w:t>7</w:t>
      </w:r>
      <w:r w:rsidR="008330EE" w:rsidRPr="00357ADB">
        <w:t>. </w:t>
      </w:r>
      <w:r w:rsidR="00C01AEC" w:rsidRPr="00357ADB">
        <w:t>Г.С. се качв</w:t>
      </w:r>
      <w:r w:rsidR="00D011FB">
        <w:t>а върху нея и разтваря краката й</w:t>
      </w:r>
      <w:r w:rsidR="00C01AEC" w:rsidRPr="00357ADB">
        <w:t xml:space="preserve">, които тя държи събрани здраво, като слага коляно между тях. След това той прониква в нея и продължава със сексуалния акт. Жалбоподателката изпитва болка и отвращение. Казва му да се махне от нея. Той прави това, но преди тя да успее да вдигне бельото си, той отново се качва върху нея. Жалбоподателката повтаря, че той трябва да я остави на мира. Той пита дали тя ще каже на </w:t>
      </w:r>
      <w:r w:rsidR="00C01AEC" w:rsidRPr="00357ADB">
        <w:lastRenderedPageBreak/>
        <w:t>някого за това. Когато казва, че няма, той отива при приятелката си на пода</w:t>
      </w:r>
      <w:r w:rsidR="008330EE" w:rsidRPr="00357ADB">
        <w:t>.</w:t>
      </w:r>
    </w:p>
    <w:p w:rsidR="008330EE" w:rsidRPr="00357ADB" w:rsidRDefault="00CC5A97" w:rsidP="00AE3E4D">
      <w:pPr>
        <w:pStyle w:val="JuPara"/>
      </w:pPr>
      <w:r>
        <w:t>8</w:t>
      </w:r>
      <w:r w:rsidR="008330EE" w:rsidRPr="00357ADB">
        <w:t>. </w:t>
      </w:r>
      <w:r w:rsidR="00186983">
        <w:t>С</w:t>
      </w:r>
      <w:r w:rsidR="00595E12" w:rsidRPr="00357ADB">
        <w:t xml:space="preserve">утринта на 26 февруари 2015 г., когато жалбоподателката отива на училище, </w:t>
      </w:r>
      <w:r w:rsidR="008B24D1">
        <w:t>неин</w:t>
      </w:r>
      <w:r w:rsidR="00595E12" w:rsidRPr="00357ADB">
        <w:t xml:space="preserve"> приятел забелязва, че е разстроена, и я пита за причината. Жалбоподателката отначало не казва нищо, но скоро след това</w:t>
      </w:r>
      <w:r w:rsidR="00186983">
        <w:t xml:space="preserve"> му</w:t>
      </w:r>
      <w:r w:rsidR="00595E12" w:rsidRPr="00357ADB">
        <w:t xml:space="preserve"> споделя, че мъж е имал сексуален контакт с нея </w:t>
      </w:r>
      <w:r w:rsidR="00186983">
        <w:t>против</w:t>
      </w:r>
      <w:r w:rsidR="00186983" w:rsidRPr="00357ADB">
        <w:t xml:space="preserve"> </w:t>
      </w:r>
      <w:r w:rsidR="00595E12" w:rsidRPr="00357ADB">
        <w:t>воля</w:t>
      </w:r>
      <w:r w:rsidR="00186983">
        <w:t>та й</w:t>
      </w:r>
      <w:r w:rsidR="00595E12" w:rsidRPr="00357ADB">
        <w:t>. Приятелят съветва жалбоподателката да съобщи за това. Жалбоподателката първо казва на С., приятелката, в чийто дом е станал инцидентът, какво се е случило. Двете решават да кажат на директора на училището. По пътя към директора те се сблъскват с портиера на училището и казват на него и на учител защо търсят директора. Друг учител, който се намира наблизо, също чува историята на жалбоподателката</w:t>
      </w:r>
      <w:r w:rsidR="008330EE" w:rsidRPr="00357ADB">
        <w:t>.</w:t>
      </w:r>
    </w:p>
    <w:p w:rsidR="008330EE" w:rsidRPr="00357ADB" w:rsidRDefault="008330EE" w:rsidP="00AE3E4D">
      <w:pPr>
        <w:pStyle w:val="JuHIRoman"/>
        <w:numPr>
          <w:ilvl w:val="1"/>
          <w:numId w:val="22"/>
        </w:numPr>
        <w:jc w:val="left"/>
      </w:pPr>
      <w:r w:rsidRPr="00357ADB">
        <w:t>Разследването</w:t>
      </w:r>
    </w:p>
    <w:p w:rsidR="008330EE" w:rsidRPr="00357ADB" w:rsidRDefault="00CC5A97" w:rsidP="00AE3E4D">
      <w:pPr>
        <w:pStyle w:val="JuPara"/>
      </w:pPr>
      <w:r>
        <w:t>9</w:t>
      </w:r>
      <w:r w:rsidR="008330EE" w:rsidRPr="00357ADB">
        <w:t>. </w:t>
      </w:r>
      <w:r w:rsidR="003360FC" w:rsidRPr="00357ADB">
        <w:t xml:space="preserve">По-късно на същия ден жалбоподателката съобщава за инцидента в полицията и </w:t>
      </w:r>
      <w:r w:rsidR="00186983" w:rsidRPr="00357ADB">
        <w:t xml:space="preserve">местната </w:t>
      </w:r>
      <w:r w:rsidR="00186983">
        <w:t>районна</w:t>
      </w:r>
      <w:r w:rsidR="00186983" w:rsidRPr="00357ADB">
        <w:t xml:space="preserve"> прокуратура </w:t>
      </w:r>
      <w:r w:rsidR="003360FC" w:rsidRPr="00357ADB">
        <w:t xml:space="preserve">веднага </w:t>
      </w:r>
      <w:r w:rsidR="00186983">
        <w:t>образува</w:t>
      </w:r>
      <w:r w:rsidR="003360FC" w:rsidRPr="00357ADB">
        <w:t xml:space="preserve"> наказателно </w:t>
      </w:r>
      <w:r w:rsidR="00186983">
        <w:t>производство</w:t>
      </w:r>
      <w:r w:rsidR="003360FC" w:rsidRPr="00357ADB">
        <w:t xml:space="preserve">. Както тя, така и Г.С. са разпитани  същия ден и са уведомени за правата им в наказателния процес. В показанията си той твърди, че жалбоподателката не </w:t>
      </w:r>
      <w:r w:rsidR="00186983">
        <w:t xml:space="preserve">е </w:t>
      </w:r>
      <w:r w:rsidR="003360FC" w:rsidRPr="00357ADB">
        <w:t>възраз</w:t>
      </w:r>
      <w:r w:rsidR="00186983">
        <w:t>ила</w:t>
      </w:r>
      <w:r w:rsidR="003360FC" w:rsidRPr="00357ADB">
        <w:t xml:space="preserve"> срещу това да я прегръща и че когато </w:t>
      </w:r>
      <w:r w:rsidR="00186983">
        <w:t>й</w:t>
      </w:r>
      <w:r w:rsidR="003360FC" w:rsidRPr="00357ADB">
        <w:t xml:space="preserve"> </w:t>
      </w:r>
      <w:r w:rsidR="00186983">
        <w:t xml:space="preserve">е </w:t>
      </w:r>
      <w:r w:rsidR="003360FC" w:rsidRPr="00357ADB">
        <w:t>предл</w:t>
      </w:r>
      <w:r w:rsidR="00186983">
        <w:t>ожил</w:t>
      </w:r>
      <w:r w:rsidR="003360FC" w:rsidRPr="00357ADB">
        <w:t xml:space="preserve"> да свали бельото си, тя с готовност го </w:t>
      </w:r>
      <w:r w:rsidR="00186983">
        <w:t>е на</w:t>
      </w:r>
      <w:r w:rsidR="003360FC" w:rsidRPr="00357ADB">
        <w:t>прави</w:t>
      </w:r>
      <w:r w:rsidR="00186983">
        <w:t>ла</w:t>
      </w:r>
      <w:r w:rsidR="003360FC" w:rsidRPr="00357ADB">
        <w:t>. После заявява, че е прониквал в нея „в продължение на две минути“ и е прекъснал акта, тъй като тя му е казала, че я боли. Той добавя, че мотивацията за действията му е, че е чул, че тя не е девствена</w:t>
      </w:r>
      <w:r w:rsidR="008330EE" w:rsidRPr="00357ADB">
        <w:t>.</w:t>
      </w:r>
    </w:p>
    <w:p w:rsidR="008330EE" w:rsidRPr="00357ADB" w:rsidRDefault="00CC5A97" w:rsidP="00AE3E4D">
      <w:pPr>
        <w:pStyle w:val="JuPara"/>
      </w:pPr>
      <w:r>
        <w:t>10</w:t>
      </w:r>
      <w:r w:rsidR="008330EE" w:rsidRPr="00357ADB">
        <w:t>. </w:t>
      </w:r>
      <w:r w:rsidR="003360FC" w:rsidRPr="00357ADB">
        <w:t xml:space="preserve">На следващия ден Г.С. е обвинен в </w:t>
      </w:r>
      <w:r w:rsidR="00186983">
        <w:t>съвкупление</w:t>
      </w:r>
      <w:r w:rsidR="003360FC" w:rsidRPr="00357ADB">
        <w:t xml:space="preserve"> с </w:t>
      </w:r>
      <w:r w:rsidR="003360FC" w:rsidRPr="00414D6C">
        <w:t xml:space="preserve">лице на възраст под четиринадесет години, престъпление по чл. 151, ал. </w:t>
      </w:r>
      <w:r w:rsidR="003360FC" w:rsidRPr="00414D6C">
        <w:lastRenderedPageBreak/>
        <w:t>1 от Наказателния кодекс. (вж. параграф 38 по-долу). На следващия ден полицията разпитва отново Г.С., тоз</w:t>
      </w:r>
      <w:r w:rsidR="003360FC" w:rsidRPr="003B4DED">
        <w:t>и път в качеството му на обвиняем, в полицейското управление и в присъствието на неговия адвокат. Тогава той заявява, че около 5 часа в нощ</w:t>
      </w:r>
      <w:r w:rsidR="00186983">
        <w:t>та на събитията</w:t>
      </w:r>
      <w:r w:rsidR="003360FC" w:rsidRPr="003B4DED">
        <w:t xml:space="preserve"> жалбоподателката го</w:t>
      </w:r>
      <w:r w:rsidR="00186983">
        <w:t xml:space="preserve"> е</w:t>
      </w:r>
      <w:r w:rsidR="003360FC" w:rsidRPr="003B4DED">
        <w:t xml:space="preserve"> събу</w:t>
      </w:r>
      <w:r w:rsidR="00186983">
        <w:t>дила</w:t>
      </w:r>
      <w:r w:rsidR="003360FC" w:rsidRPr="003B4DED">
        <w:t xml:space="preserve">, като е галила стомаха и пениса му. Той </w:t>
      </w:r>
      <w:r w:rsidR="00186983">
        <w:t>се изненадал</w:t>
      </w:r>
      <w:r w:rsidR="003360FC" w:rsidRPr="003B4DED">
        <w:t xml:space="preserve"> и </w:t>
      </w:r>
      <w:r w:rsidR="00186983">
        <w:t>й</w:t>
      </w:r>
      <w:r w:rsidR="003360FC" w:rsidRPr="003B4DED">
        <w:t xml:space="preserve"> е казал да спре, тъй като приятелката му </w:t>
      </w:r>
      <w:r w:rsidR="00186983">
        <w:t>била</w:t>
      </w:r>
      <w:r w:rsidR="003360FC" w:rsidRPr="003B4DED">
        <w:t xml:space="preserve"> в стаята. Жалбоподателката отговор</w:t>
      </w:r>
      <w:r w:rsidR="00186983">
        <w:t>ила</w:t>
      </w:r>
      <w:r w:rsidR="003360FC" w:rsidRPr="003B4DED">
        <w:t>, че не я интересува, и му каза</w:t>
      </w:r>
      <w:r w:rsidR="00186983">
        <w:t>ла</w:t>
      </w:r>
      <w:r w:rsidR="003360FC" w:rsidRPr="003B4DED">
        <w:t>, че ако не се съгласи да прави секс с нея, ще го обвини в изнасилване. Той отказа</w:t>
      </w:r>
      <w:r w:rsidR="00186983">
        <w:t>л</w:t>
      </w:r>
      <w:r w:rsidR="003360FC" w:rsidRPr="003B4DED">
        <w:t>, но тя се събл</w:t>
      </w:r>
      <w:r w:rsidR="00186983">
        <w:t>якла</w:t>
      </w:r>
      <w:r w:rsidR="003360FC" w:rsidRPr="003B4DED">
        <w:t xml:space="preserve"> с думите „Хайде да правим секс“. </w:t>
      </w:r>
      <w:r w:rsidR="00186983">
        <w:t>Т</w:t>
      </w:r>
      <w:r w:rsidR="003360FC" w:rsidRPr="003B4DED">
        <w:t>ой</w:t>
      </w:r>
      <w:r w:rsidR="00186983">
        <w:t xml:space="preserve"> отново</w:t>
      </w:r>
      <w:r w:rsidR="003360FC" w:rsidRPr="003B4DED">
        <w:t xml:space="preserve"> отказал  и не </w:t>
      </w:r>
      <w:r w:rsidR="00186983">
        <w:t>извършил</w:t>
      </w:r>
      <w:r w:rsidR="003360FC" w:rsidRPr="003B4DED">
        <w:t xml:space="preserve"> съвкупление с </w:t>
      </w:r>
      <w:r w:rsidR="00186983">
        <w:t>нея</w:t>
      </w:r>
      <w:r w:rsidR="008330EE" w:rsidRPr="00357ADB">
        <w:t>.</w:t>
      </w:r>
    </w:p>
    <w:p w:rsidR="008330EE" w:rsidRPr="00357ADB" w:rsidRDefault="00CC5A97" w:rsidP="00AE3E4D">
      <w:pPr>
        <w:pStyle w:val="JuPara"/>
      </w:pPr>
      <w:r>
        <w:t>11</w:t>
      </w:r>
      <w:r w:rsidR="008330EE" w:rsidRPr="00357ADB">
        <w:t>. </w:t>
      </w:r>
      <w:r w:rsidR="00270032" w:rsidRPr="00357ADB">
        <w:t xml:space="preserve">На 6 март 2015 г. Г.С. е задържан под стража </w:t>
      </w:r>
      <w:r w:rsidR="000C540D">
        <w:t>с</w:t>
      </w:r>
      <w:r w:rsidR="000C540D" w:rsidRPr="00357ADB">
        <w:t xml:space="preserve"> </w:t>
      </w:r>
      <w:r w:rsidR="00270032" w:rsidRPr="00357ADB">
        <w:t>решение на  районн</w:t>
      </w:r>
      <w:r w:rsidR="00186983">
        <w:t>ия</w:t>
      </w:r>
      <w:r w:rsidR="00270032" w:rsidRPr="00357ADB">
        <w:t xml:space="preserve"> съд. На 11 март 2015 г. </w:t>
      </w:r>
      <w:r w:rsidR="00186983">
        <w:t>горната инстанция</w:t>
      </w:r>
      <w:r w:rsidR="00270032" w:rsidRPr="00357ADB">
        <w:t xml:space="preserve"> го поставя под домашен арест</w:t>
      </w:r>
      <w:r w:rsidR="008330EE" w:rsidRPr="00357ADB">
        <w:t>.</w:t>
      </w:r>
    </w:p>
    <w:p w:rsidR="008330EE" w:rsidRPr="00357ADB" w:rsidRDefault="00CC5A97" w:rsidP="00AE3E4D">
      <w:pPr>
        <w:pStyle w:val="JuPara"/>
      </w:pPr>
      <w:r>
        <w:t>12</w:t>
      </w:r>
      <w:r w:rsidR="008330EE" w:rsidRPr="00357ADB">
        <w:t>. </w:t>
      </w:r>
      <w:r w:rsidR="00270032" w:rsidRPr="00357ADB">
        <w:t xml:space="preserve">На 11 април 2015 г. майката на жалбоподателката писмено информира разследващите органи, че жалбоподателката се самонаранява, като </w:t>
      </w:r>
      <w:r w:rsidR="00186983">
        <w:t>прави разрези по</w:t>
      </w:r>
      <w:r w:rsidR="00270032" w:rsidRPr="00357ADB">
        <w:t xml:space="preserve"> ръцете и краката си. В последващо писмо от 21 август 2015 г. майката съобщава, че е намерила бележка сред вещите на дъщеря си, които гласи: „Да се самоубия ли, да или не. Да, защото не си струва“. Майката на жалбоподателката изразява притесненията си за благополучието на дъщеря си и за последиците от инцидента върху психическото ѝ състояние</w:t>
      </w:r>
      <w:r w:rsidR="008330EE" w:rsidRPr="00357ADB">
        <w:t>.</w:t>
      </w:r>
    </w:p>
    <w:p w:rsidR="008330EE" w:rsidRPr="00357ADB" w:rsidRDefault="00701932" w:rsidP="00AE3E4D">
      <w:pPr>
        <w:pStyle w:val="JuPara"/>
      </w:pPr>
      <w:fldSimple w:instr=" SEQ level0 \*arabic ">
        <w:r w:rsidR="00A5720B">
          <w:rPr>
            <w:noProof/>
          </w:rPr>
          <w:t>2</w:t>
        </w:r>
      </w:fldSimple>
      <w:r w:rsidR="008330EE" w:rsidRPr="00357ADB">
        <w:t>. </w:t>
      </w:r>
      <w:r w:rsidR="00270032" w:rsidRPr="00357ADB">
        <w:t xml:space="preserve">В хода на разследването се провеждат редица </w:t>
      </w:r>
      <w:r w:rsidR="00186983">
        <w:t>процесуално-</w:t>
      </w:r>
      <w:r w:rsidR="00270032" w:rsidRPr="00357ADB">
        <w:t xml:space="preserve">следствени </w:t>
      </w:r>
      <w:r w:rsidR="00186983">
        <w:t>действия</w:t>
      </w:r>
      <w:r w:rsidR="00270032" w:rsidRPr="00357ADB">
        <w:t>. Те включват разпити на свидетели (</w:t>
      </w:r>
      <w:r w:rsidR="00186983">
        <w:t>в</w:t>
      </w:r>
      <w:r w:rsidR="00270032" w:rsidRPr="00357ADB">
        <w:t xml:space="preserve"> деня след събитията и след това), оглед на мястото на деянието (на 26 февруари 2015 г.), психологическо-психиатрична експертиза на жалбоподателката (на 28 април 2015 г.) и съдебно-медицинска експертиза на жалбоподателката и Г.С. (на 26 февруари </w:t>
      </w:r>
      <w:r w:rsidR="00270032" w:rsidRPr="00357ADB">
        <w:lastRenderedPageBreak/>
        <w:t>2015 г.). По-конкретно са разпитани следните свидетели: майката на З</w:t>
      </w:r>
      <w:r w:rsidR="00890209">
        <w:t>.</w:t>
      </w:r>
      <w:r w:rsidR="00270032" w:rsidRPr="00357ADB">
        <w:t>; С., в чиято къща З</w:t>
      </w:r>
      <w:r w:rsidR="00890209">
        <w:t>.</w:t>
      </w:r>
      <w:r w:rsidR="00270032" w:rsidRPr="00357ADB">
        <w:t xml:space="preserve"> прекар</w:t>
      </w:r>
      <w:r w:rsidR="00890209">
        <w:t>в</w:t>
      </w:r>
      <w:r w:rsidR="00270032" w:rsidRPr="00357ADB">
        <w:t>а нощта на 25 срещу 26 февруари 2015 г.; майката на С. и нейния</w:t>
      </w:r>
      <w:r w:rsidR="00AB4A83">
        <w:t>т</w:t>
      </w:r>
      <w:r w:rsidR="00270032" w:rsidRPr="00357ADB">
        <w:t xml:space="preserve"> съпруг; приятеля</w:t>
      </w:r>
      <w:r w:rsidR="00186983">
        <w:t>т</w:t>
      </w:r>
      <w:r w:rsidR="00270032" w:rsidRPr="00357ADB">
        <w:t>, на когото З</w:t>
      </w:r>
      <w:r w:rsidR="00890209">
        <w:t>.</w:t>
      </w:r>
      <w:r w:rsidR="004C2429" w:rsidRPr="00357ADB">
        <w:t xml:space="preserve"> споделя на сутринта на 26 фев</w:t>
      </w:r>
      <w:r w:rsidR="00270032" w:rsidRPr="00357ADB">
        <w:t>р</w:t>
      </w:r>
      <w:r w:rsidR="004C2429" w:rsidRPr="00357ADB">
        <w:t>у</w:t>
      </w:r>
      <w:r w:rsidR="00270032" w:rsidRPr="00357ADB">
        <w:t>ари 2015 г. в училище; български и британски познати на семействата на З</w:t>
      </w:r>
      <w:r w:rsidR="00890209">
        <w:t>.</w:t>
      </w:r>
      <w:r w:rsidR="00270032" w:rsidRPr="00357ADB">
        <w:t xml:space="preserve"> и С.; полицейски служител, който след устно оплакване от майката на З</w:t>
      </w:r>
      <w:r w:rsidR="00890209">
        <w:t>.</w:t>
      </w:r>
      <w:r w:rsidR="00270032" w:rsidRPr="00357ADB">
        <w:t xml:space="preserve"> на 27 февруари 2015 г. отива на същия ден до дома на Г.С. да го предупреди да не доближава жертвата</w:t>
      </w:r>
      <w:r w:rsidR="008330EE" w:rsidRPr="00357ADB">
        <w:t>.</w:t>
      </w:r>
    </w:p>
    <w:p w:rsidR="008330EE" w:rsidRPr="00357ADB" w:rsidRDefault="00701932" w:rsidP="00AE3E4D">
      <w:pPr>
        <w:pStyle w:val="JuPara"/>
      </w:pPr>
      <w:fldSimple w:instr=" SEQ level0 \*arabic ">
        <w:r w:rsidR="00A5720B">
          <w:rPr>
            <w:noProof/>
          </w:rPr>
          <w:t>3</w:t>
        </w:r>
      </w:fldSimple>
      <w:r w:rsidR="008330EE" w:rsidRPr="00357ADB">
        <w:t>. </w:t>
      </w:r>
      <w:r w:rsidR="00270032" w:rsidRPr="00357ADB">
        <w:t xml:space="preserve">Психологическо-психиатричната експертиза установява, че жалбоподателката е била в съзнание по време на деянието и го помни добре. Тя е изпитала силен страх и уплаха, които </w:t>
      </w:r>
      <w:r w:rsidR="004A3C30">
        <w:t>са били в състояние</w:t>
      </w:r>
      <w:r w:rsidR="00BD3216">
        <w:t xml:space="preserve"> </w:t>
      </w:r>
      <w:r w:rsidR="00270032" w:rsidRPr="00357ADB">
        <w:t>временно да блокират реакциите й, но след това</w:t>
      </w:r>
      <w:r w:rsidR="00C23725">
        <w:t xml:space="preserve"> </w:t>
      </w:r>
      <w:r w:rsidR="00270032" w:rsidRPr="00357ADB">
        <w:t>е мо</w:t>
      </w:r>
      <w:r w:rsidR="004A3C30">
        <w:t>г</w:t>
      </w:r>
      <w:r w:rsidR="00270032" w:rsidRPr="00357ADB">
        <w:t xml:space="preserve">ла да се противопостави на това, което й се случва. </w:t>
      </w:r>
      <w:r w:rsidR="004A3C30">
        <w:t>Била е в състояние</w:t>
      </w:r>
      <w:r w:rsidR="00BD3216">
        <w:t xml:space="preserve"> </w:t>
      </w:r>
      <w:r w:rsidR="00270032" w:rsidRPr="00357ADB">
        <w:t xml:space="preserve">да направи избор, но не е имала достатъчно разбиране. Тя е избрала да замълчи, тъй като чувствата й за страх и срам </w:t>
      </w:r>
      <w:r w:rsidR="004A3C30">
        <w:t xml:space="preserve">са </w:t>
      </w:r>
      <w:r w:rsidR="00270032" w:rsidRPr="00357ADB">
        <w:t>доминира</w:t>
      </w:r>
      <w:r w:rsidR="004A3C30">
        <w:t>ли</w:t>
      </w:r>
      <w:r w:rsidR="00270032" w:rsidRPr="00357ADB">
        <w:t xml:space="preserve"> по време на събитията</w:t>
      </w:r>
      <w:r w:rsidR="008330EE" w:rsidRPr="00357ADB">
        <w:t>.</w:t>
      </w:r>
    </w:p>
    <w:p w:rsidR="008330EE" w:rsidRPr="00357ADB" w:rsidRDefault="00701932" w:rsidP="00AE3E4D">
      <w:pPr>
        <w:pStyle w:val="JuPara"/>
      </w:pPr>
      <w:fldSimple w:instr=" SEQ level0 \*arabic ">
        <w:r w:rsidR="00A5720B">
          <w:rPr>
            <w:noProof/>
          </w:rPr>
          <w:t>4</w:t>
        </w:r>
      </w:fldSimple>
      <w:r w:rsidR="008330EE" w:rsidRPr="00357ADB">
        <w:t>. </w:t>
      </w:r>
      <w:r w:rsidR="00270032" w:rsidRPr="00357ADB">
        <w:t xml:space="preserve">Съдебно-медицинската експертиза установява, че е напълно възможно жалбоподателката да е </w:t>
      </w:r>
      <w:r w:rsidR="004A3C30">
        <w:t xml:space="preserve">била </w:t>
      </w:r>
      <w:r w:rsidR="00270032" w:rsidRPr="00357ADB">
        <w:t>подложена на действията, които описва, въпреки липсата на травматични увреждания на гениталиите й към момента на прегледа. В допълнение, експертизата стига до заключението, че тя все още не разбира напълно въпросите, свързани със секса и неговите проявления</w:t>
      </w:r>
      <w:r w:rsidR="008330EE" w:rsidRPr="00357ADB">
        <w:t>.</w:t>
      </w:r>
    </w:p>
    <w:p w:rsidR="008330EE" w:rsidRPr="00357ADB" w:rsidRDefault="00FB1E11" w:rsidP="00AE3E4D">
      <w:pPr>
        <w:pStyle w:val="JuHa0"/>
      </w:pPr>
      <w:r w:rsidRPr="00357ADB">
        <w:t>Предложение за наказателно преследване за изнасилване</w:t>
      </w:r>
    </w:p>
    <w:p w:rsidR="008330EE" w:rsidRPr="00357ADB" w:rsidRDefault="00701932" w:rsidP="00AE3E4D">
      <w:pPr>
        <w:pStyle w:val="JuPara"/>
      </w:pPr>
      <w:fldSimple w:instr=" SEQ level0 \*arabic ">
        <w:r w:rsidR="00A5720B">
          <w:rPr>
            <w:noProof/>
          </w:rPr>
          <w:t>5</w:t>
        </w:r>
      </w:fldSimple>
      <w:r w:rsidR="008330EE" w:rsidRPr="00357ADB">
        <w:t>. </w:t>
      </w:r>
      <w:r w:rsidR="00FB1E11" w:rsidRPr="00357ADB">
        <w:t>На 26 август 2015 г. районният прокурор стига до заключението, че събраните по случая доказателства сочат, че е извършено престъплението изнасилване, което се наказва съгласно чл. 152 от Наказателния ко</w:t>
      </w:r>
      <w:r w:rsidR="00BD3216">
        <w:t>декс (вж. параграф 39 по-</w:t>
      </w:r>
      <w:r w:rsidR="00BD3216">
        <w:lastRenderedPageBreak/>
        <w:t xml:space="preserve">долу). </w:t>
      </w:r>
      <w:r w:rsidR="00FB1E11" w:rsidRPr="00357ADB">
        <w:t xml:space="preserve">Той изпраща преписката на компетентния висшестоящ орган, </w:t>
      </w:r>
      <w:r w:rsidR="00414D6C">
        <w:t>Окръжна прокуратура</w:t>
      </w:r>
      <w:r w:rsidR="00BD3216">
        <w:t>-</w:t>
      </w:r>
      <w:r w:rsidR="00FB1E11" w:rsidRPr="00357ADB">
        <w:t xml:space="preserve">Ямбол, за </w:t>
      </w:r>
      <w:r w:rsidR="004A3C30">
        <w:t>продължаване на про</w:t>
      </w:r>
      <w:r w:rsidR="0037596A">
        <w:t>ц</w:t>
      </w:r>
      <w:r w:rsidR="004A3C30">
        <w:t>е</w:t>
      </w:r>
      <w:r w:rsidR="0037596A">
        <w:t>с</w:t>
      </w:r>
      <w:r w:rsidR="004A3C30">
        <w:t>уално-</w:t>
      </w:r>
      <w:r w:rsidR="00FB1E11" w:rsidRPr="00357ADB">
        <w:t>следствените действия</w:t>
      </w:r>
      <w:r w:rsidR="008330EE" w:rsidRPr="00357ADB">
        <w:t>.</w:t>
      </w:r>
    </w:p>
    <w:p w:rsidR="008330EE" w:rsidRPr="00357ADB" w:rsidRDefault="00FB1E11" w:rsidP="00AE3E4D">
      <w:pPr>
        <w:pStyle w:val="JuHa0"/>
      </w:pPr>
      <w:r w:rsidRPr="00357ADB">
        <w:t>Отказ за наказателно преследване за изнасилване</w:t>
      </w:r>
    </w:p>
    <w:p w:rsidR="008330EE" w:rsidRPr="00357ADB" w:rsidRDefault="00701932" w:rsidP="00AE3E4D">
      <w:pPr>
        <w:pStyle w:val="JuPara"/>
      </w:pPr>
      <w:fldSimple w:instr=" SEQ level0 \*arabic ">
        <w:r w:rsidR="00A5720B">
          <w:rPr>
            <w:noProof/>
          </w:rPr>
          <w:t>6</w:t>
        </w:r>
      </w:fldSimple>
      <w:r w:rsidR="008330EE" w:rsidRPr="00357ADB">
        <w:t>. </w:t>
      </w:r>
      <w:r w:rsidR="008E3C46" w:rsidRPr="00357ADB">
        <w:t>На 4 септември 2015 г. окръж</w:t>
      </w:r>
      <w:r w:rsidR="00414D6C">
        <w:t>ният</w:t>
      </w:r>
      <w:r w:rsidR="008E3C46" w:rsidRPr="00357ADB">
        <w:t xml:space="preserve"> прокурор</w:t>
      </w:r>
      <w:r w:rsidR="00414D6C">
        <w:t xml:space="preserve"> на Ямбол</w:t>
      </w:r>
      <w:r w:rsidR="008E3C46" w:rsidRPr="00357ADB">
        <w:t xml:space="preserve">, на когото </w:t>
      </w:r>
      <w:r w:rsidR="00C67C1A">
        <w:t xml:space="preserve">е </w:t>
      </w:r>
      <w:r w:rsidR="004A3C30">
        <w:t>разпределено</w:t>
      </w:r>
      <w:r w:rsidR="00C67C1A">
        <w:t xml:space="preserve"> делото</w:t>
      </w:r>
      <w:r w:rsidR="008E3C46" w:rsidRPr="00357ADB">
        <w:t>, отказва да поеме случая и да се съобрази с препоръката за наказателно преследване за изнасилване. Според него с</w:t>
      </w:r>
      <w:r w:rsidR="004A3C30">
        <w:t>ъбраните</w:t>
      </w:r>
      <w:r w:rsidR="008E3C46" w:rsidRPr="00357ADB">
        <w:t xml:space="preserve"> материали и по-</w:t>
      </w:r>
      <w:r w:rsidR="0097184D">
        <w:t>конкретно</w:t>
      </w:r>
      <w:r w:rsidR="0097184D" w:rsidRPr="00357ADB">
        <w:t xml:space="preserve"> </w:t>
      </w:r>
      <w:r w:rsidR="008E3C46" w:rsidRPr="00357ADB">
        <w:t>показанията на самата жертва не съдържат доказателства, които да отговарят на правн</w:t>
      </w:r>
      <w:r w:rsidR="004A3C30">
        <w:t>ата квалификация на</w:t>
      </w:r>
      <w:r w:rsidR="00BD3216">
        <w:t xml:space="preserve"> </w:t>
      </w:r>
      <w:r w:rsidR="008E3C46" w:rsidRPr="00357ADB">
        <w:t>изнасилване. По-конкретно прокурорът отбелязва, че нито една от трите хипотези, изброени в чл. 152 от Наказателния кодекс, не е изпълнена: жертвата не е била лишена от възможността за самоотбрана, не е използвана сила или заплахи срещу нея и тя не е била приведена в безпомощно състояние преди инцидента</w:t>
      </w:r>
      <w:r w:rsidR="008330EE" w:rsidRPr="00357ADB">
        <w:t>.</w:t>
      </w:r>
    </w:p>
    <w:p w:rsidR="008330EE" w:rsidRPr="00357ADB" w:rsidRDefault="00701932" w:rsidP="00AE3E4D">
      <w:pPr>
        <w:pStyle w:val="JuPara"/>
      </w:pPr>
      <w:fldSimple w:instr=" SEQ level0 \*arabic ">
        <w:r w:rsidR="00A5720B">
          <w:rPr>
            <w:noProof/>
          </w:rPr>
          <w:t>7</w:t>
        </w:r>
      </w:fldSimple>
      <w:r w:rsidR="008330EE" w:rsidRPr="00357ADB">
        <w:t>. </w:t>
      </w:r>
      <w:r w:rsidR="004A3C30">
        <w:t>Преписката</w:t>
      </w:r>
      <w:r w:rsidR="000A1CE7" w:rsidRPr="00357ADB">
        <w:t xml:space="preserve"> е върнат</w:t>
      </w:r>
      <w:r w:rsidR="004A3C30">
        <w:t>а</w:t>
      </w:r>
      <w:r w:rsidR="000A1CE7" w:rsidRPr="00357ADB">
        <w:t xml:space="preserve"> на районната прокуратура </w:t>
      </w:r>
      <w:r w:rsidR="004A3C30">
        <w:t xml:space="preserve">и </w:t>
      </w:r>
      <w:r w:rsidR="008F117B">
        <w:t xml:space="preserve">делото </w:t>
      </w:r>
      <w:r w:rsidR="004A3C30">
        <w:t>продължава с обвинение за съвкупление с малолетна</w:t>
      </w:r>
      <w:r w:rsidR="000A1CE7" w:rsidRPr="00357ADB">
        <w:t xml:space="preserve"> съгласно чл. 151 от Наказателния кодекс</w:t>
      </w:r>
      <w:r w:rsidR="008330EE" w:rsidRPr="00357ADB">
        <w:t>.</w:t>
      </w:r>
    </w:p>
    <w:p w:rsidR="008330EE" w:rsidRPr="00357ADB" w:rsidRDefault="00701932" w:rsidP="00AE3E4D">
      <w:pPr>
        <w:pStyle w:val="JuPara"/>
      </w:pPr>
      <w:fldSimple w:instr=" SEQ level0 \*arabic ">
        <w:r w:rsidR="00A5720B">
          <w:rPr>
            <w:noProof/>
          </w:rPr>
          <w:t>8</w:t>
        </w:r>
      </w:fldSimple>
      <w:r w:rsidR="008330EE" w:rsidRPr="00357ADB">
        <w:t>. </w:t>
      </w:r>
      <w:r w:rsidR="004A3C30">
        <w:t>След приключване на разследването събраните</w:t>
      </w:r>
      <w:r w:rsidR="000A1CE7" w:rsidRPr="00357ADB">
        <w:t xml:space="preserve"> материали са пред</w:t>
      </w:r>
      <w:r w:rsidR="004A3C30">
        <w:t>явени</w:t>
      </w:r>
      <w:r w:rsidR="000A1CE7" w:rsidRPr="00357ADB">
        <w:t xml:space="preserve"> на майката на жалбоподателката и нейния адвокат на 12 октомври 2015 г. След като се запознават с материалите, те искат да бъдат предприети допълнителни </w:t>
      </w:r>
      <w:r w:rsidR="004A3C30">
        <w:t>про</w:t>
      </w:r>
      <w:r w:rsidR="008F117B">
        <w:t>ц</w:t>
      </w:r>
      <w:r w:rsidR="004A3C30">
        <w:t>е</w:t>
      </w:r>
      <w:r w:rsidR="008F117B">
        <w:t>с</w:t>
      </w:r>
      <w:r w:rsidR="004A3C30">
        <w:t>уално-</w:t>
      </w:r>
      <w:r w:rsidR="000A1CE7" w:rsidRPr="00357ADB">
        <w:t xml:space="preserve">следствени действия, включително преглед на дясната ръка на жалбоподателката за следи от често и интензивно самонараняване и </w:t>
      </w:r>
      <w:r w:rsidR="004A3C30">
        <w:t>изслушване на</w:t>
      </w:r>
      <w:r w:rsidR="000A1CE7" w:rsidRPr="00357ADB">
        <w:t xml:space="preserve"> </w:t>
      </w:r>
      <w:proofErr w:type="spellStart"/>
      <w:r w:rsidR="000A1CE7" w:rsidRPr="00357ADB">
        <w:t>на</w:t>
      </w:r>
      <w:proofErr w:type="spellEnd"/>
      <w:r w:rsidR="000A1CE7" w:rsidRPr="00357ADB">
        <w:t xml:space="preserve"> свидетелски показания относно характера на обвиняемия и състоянието на жалбоподателката сутринта след инцидента, когато тя отива на училище</w:t>
      </w:r>
      <w:r w:rsidR="008330EE" w:rsidRPr="00357ADB">
        <w:t>.</w:t>
      </w:r>
    </w:p>
    <w:p w:rsidR="008330EE" w:rsidRPr="00357ADB" w:rsidRDefault="00701932" w:rsidP="00AE3E4D">
      <w:pPr>
        <w:pStyle w:val="JuPara"/>
      </w:pPr>
      <w:fldSimple w:instr=" SEQ level0 \*arabic ">
        <w:r w:rsidR="00A5720B">
          <w:rPr>
            <w:noProof/>
          </w:rPr>
          <w:t>9</w:t>
        </w:r>
      </w:fldSimple>
      <w:r w:rsidR="008330EE" w:rsidRPr="00357ADB">
        <w:t>. </w:t>
      </w:r>
      <w:r w:rsidR="000A1CE7" w:rsidRPr="00357ADB">
        <w:t xml:space="preserve">Майката на жалбоподателката и нейният адвокат също така изрично </w:t>
      </w:r>
      <w:r w:rsidR="004A3C30">
        <w:t>правят искане</w:t>
      </w:r>
      <w:r w:rsidR="000A1CE7" w:rsidRPr="00357ADB">
        <w:t xml:space="preserve"> да бъдат повдигнати обвинения за изнасилване </w:t>
      </w:r>
      <w:r w:rsidR="004A3C30">
        <w:t>по</w:t>
      </w:r>
      <w:r w:rsidR="000A1CE7" w:rsidRPr="00357ADB">
        <w:t xml:space="preserve"> чл. 152, ал. 1 от Наказателния кодекс. Адвокатът на жалбоподателката подчертава обстоятелствата,</w:t>
      </w:r>
      <w:r w:rsidR="00BD3216">
        <w:t xml:space="preserve"> при които е извършено посегателството</w:t>
      </w:r>
      <w:r w:rsidR="000A1CE7" w:rsidRPr="00357ADB">
        <w:t xml:space="preserve">, и безочието на действията на Г.С., което е шокирало жалбоподателката. В резултат на това тя се е чувствала безпомощна, предадена и засрамена и всичко това </w:t>
      </w:r>
      <w:r w:rsidR="008325B5">
        <w:t>е довело до временна</w:t>
      </w:r>
      <w:r w:rsidR="000A1CE7" w:rsidRPr="00357ADB">
        <w:t xml:space="preserve"> неспособн</w:t>
      </w:r>
      <w:r w:rsidR="008325B5">
        <w:t>ост</w:t>
      </w:r>
      <w:r w:rsidR="000A1CE7" w:rsidRPr="00357ADB">
        <w:t xml:space="preserve"> да се защити </w:t>
      </w:r>
      <w:r w:rsidR="008325B5">
        <w:t xml:space="preserve">в </w:t>
      </w:r>
      <w:r w:rsidR="000A1CE7" w:rsidRPr="00357ADB">
        <w:t>достатъчн</w:t>
      </w:r>
      <w:r w:rsidR="008325B5">
        <w:t>а степен</w:t>
      </w:r>
      <w:r w:rsidR="008330EE" w:rsidRPr="00357ADB">
        <w:t>.</w:t>
      </w:r>
    </w:p>
    <w:p w:rsidR="008330EE" w:rsidRPr="00357ADB" w:rsidRDefault="00701932" w:rsidP="00AE3E4D">
      <w:pPr>
        <w:pStyle w:val="JuPara"/>
      </w:pPr>
      <w:fldSimple w:instr=" SEQ level0 \*arabic ">
        <w:r w:rsidR="00A5720B">
          <w:rPr>
            <w:noProof/>
          </w:rPr>
          <w:t>10</w:t>
        </w:r>
      </w:fldSimple>
      <w:r w:rsidR="008330EE" w:rsidRPr="00357ADB">
        <w:t>. </w:t>
      </w:r>
      <w:r w:rsidR="000A1CE7" w:rsidRPr="00357ADB">
        <w:t xml:space="preserve">На 27 октомври 2015 г. прокуратурата отхвърля  </w:t>
      </w:r>
      <w:r w:rsidR="008325B5">
        <w:t>горе</w:t>
      </w:r>
      <w:r w:rsidR="000A1CE7" w:rsidRPr="00357ADB">
        <w:t xml:space="preserve">посочените искания на жалбоподателката. </w:t>
      </w:r>
      <w:r w:rsidR="008325B5">
        <w:t>Материалите по разследването са предявени</w:t>
      </w:r>
      <w:r w:rsidR="000A1CE7" w:rsidRPr="00357ADB">
        <w:t xml:space="preserve"> на жалбоподателката за втори път на 21 декември 2015 г. и с това </w:t>
      </w:r>
      <w:r w:rsidR="008325B5">
        <w:t>разследването на досъдебна фаза</w:t>
      </w:r>
      <w:r w:rsidR="000A1CE7" w:rsidRPr="00357ADB">
        <w:t xml:space="preserve"> приключ</w:t>
      </w:r>
      <w:r w:rsidR="008325B5">
        <w:t>ва</w:t>
      </w:r>
      <w:r w:rsidR="008330EE" w:rsidRPr="00357ADB">
        <w:t>.</w:t>
      </w:r>
    </w:p>
    <w:p w:rsidR="008330EE" w:rsidRPr="00357ADB" w:rsidRDefault="00AD2265" w:rsidP="00AE3E4D">
      <w:pPr>
        <w:pStyle w:val="JuHa0"/>
      </w:pPr>
      <w:r w:rsidRPr="00357ADB">
        <w:t>Обвинителен акт</w:t>
      </w:r>
    </w:p>
    <w:p w:rsidR="008330EE" w:rsidRPr="00357ADB" w:rsidRDefault="00701932" w:rsidP="00AE3E4D">
      <w:pPr>
        <w:pStyle w:val="JuPara"/>
      </w:pPr>
      <w:fldSimple w:instr=" SEQ level0 \*arabic ">
        <w:r w:rsidR="00A5720B">
          <w:rPr>
            <w:noProof/>
          </w:rPr>
          <w:t>11</w:t>
        </w:r>
      </w:fldSimple>
      <w:r w:rsidR="008330EE" w:rsidRPr="00357ADB">
        <w:t>. </w:t>
      </w:r>
      <w:r w:rsidR="00AD2265" w:rsidRPr="00357ADB">
        <w:t xml:space="preserve">Обвинителният акт е </w:t>
      </w:r>
      <w:r w:rsidR="00721299">
        <w:t>внесен</w:t>
      </w:r>
      <w:r w:rsidR="00721299" w:rsidRPr="00357ADB">
        <w:t xml:space="preserve"> </w:t>
      </w:r>
      <w:r w:rsidR="00AD2265" w:rsidRPr="00357ADB">
        <w:t xml:space="preserve">на 29 януари 2016 г. Той съдържа следните факти, приети от прокуратурата. Жалбоподателката </w:t>
      </w:r>
      <w:r w:rsidR="00721299">
        <w:t xml:space="preserve">е </w:t>
      </w:r>
      <w:r w:rsidR="00AD2265" w:rsidRPr="00357ADB">
        <w:t>засп</w:t>
      </w:r>
      <w:r w:rsidR="00721299">
        <w:t>ала</w:t>
      </w:r>
      <w:r w:rsidR="00AD2265" w:rsidRPr="00357ADB">
        <w:t xml:space="preserve"> сама </w:t>
      </w:r>
      <w:r w:rsidR="00721299">
        <w:t>в</w:t>
      </w:r>
      <w:r w:rsidR="00AD2265" w:rsidRPr="00357ADB">
        <w:t xml:space="preserve"> леглото в спалнята на своята приятелка. В ранните часове на утрото се събужда и вижда Г.С. в леглото до нея. Имайки предвид, че Г.С. е гадже на приятелката й С. и че тримата често прекарва</w:t>
      </w:r>
      <w:r w:rsidR="00D33273">
        <w:t>т</w:t>
      </w:r>
      <w:r w:rsidR="00AD2265" w:rsidRPr="00357ADB">
        <w:t xml:space="preserve"> време заедно, жалбоподателката не </w:t>
      </w:r>
      <w:r w:rsidR="00721299">
        <w:t>е допускала</w:t>
      </w:r>
      <w:r w:rsidR="00AD2265" w:rsidRPr="00357ADB">
        <w:t>, че той ще й направи нещо и се обръща към стената. Тогава Г.С. я обгръща с ръце. Жалбоподателката се отдръп</w:t>
      </w:r>
      <w:r w:rsidR="00721299">
        <w:t>н</w:t>
      </w:r>
      <w:r w:rsidR="00AD2265" w:rsidRPr="00357ADB">
        <w:t>а</w:t>
      </w:r>
      <w:r w:rsidR="00721299">
        <w:t>ла</w:t>
      </w:r>
      <w:r w:rsidR="00AD2265" w:rsidRPr="00357ADB">
        <w:t>, но Г.С. се приближ</w:t>
      </w:r>
      <w:r w:rsidR="00721299">
        <w:t>ил</w:t>
      </w:r>
      <w:r w:rsidR="00AD2265" w:rsidRPr="00357ADB">
        <w:t xml:space="preserve"> към нея и започ</w:t>
      </w:r>
      <w:r w:rsidR="00721299">
        <w:t>нал</w:t>
      </w:r>
      <w:r w:rsidR="00AD2265" w:rsidRPr="00357ADB">
        <w:t xml:space="preserve"> да опипва тялото й. Въпреки опитите й да</w:t>
      </w:r>
      <w:r w:rsidR="00721299">
        <w:t xml:space="preserve"> му</w:t>
      </w:r>
      <w:r w:rsidR="00AD2265" w:rsidRPr="00357ADB">
        <w:t xml:space="preserve"> попречи първо като се преструва</w:t>
      </w:r>
      <w:r w:rsidR="00721299">
        <w:t>ла</w:t>
      </w:r>
      <w:r w:rsidR="00AD2265" w:rsidRPr="00357ADB">
        <w:t>, че спи, и след това като избута</w:t>
      </w:r>
      <w:r w:rsidR="00721299">
        <w:t>ла</w:t>
      </w:r>
      <w:r w:rsidR="00AD2265" w:rsidRPr="00357ADB">
        <w:t xml:space="preserve"> ръцете му от тялото си, той не сп</w:t>
      </w:r>
      <w:r w:rsidR="00721299">
        <w:t>рял</w:t>
      </w:r>
      <w:r w:rsidR="00AD2265" w:rsidRPr="00357ADB">
        <w:t>, а вместо това продълж</w:t>
      </w:r>
      <w:r w:rsidR="00721299">
        <w:t>ил</w:t>
      </w:r>
      <w:r w:rsidR="00AD2265" w:rsidRPr="00357ADB">
        <w:t xml:space="preserve"> да я опипва сексуално. След </w:t>
      </w:r>
      <w:r w:rsidR="00AD2265" w:rsidRPr="00357ADB">
        <w:lastRenderedPageBreak/>
        <w:t xml:space="preserve">това </w:t>
      </w:r>
      <w:r w:rsidR="00721299">
        <w:t>смъкнал</w:t>
      </w:r>
      <w:r w:rsidR="00AD2265" w:rsidRPr="00357ADB">
        <w:t xml:space="preserve"> бельото й, кач</w:t>
      </w:r>
      <w:r w:rsidR="00721299">
        <w:t>ил</w:t>
      </w:r>
      <w:r w:rsidR="00AD2265" w:rsidRPr="00357ADB">
        <w:t xml:space="preserve"> се върху нея, с крак раздел</w:t>
      </w:r>
      <w:r w:rsidR="00721299">
        <w:t>ил</w:t>
      </w:r>
      <w:r w:rsidR="00AD2265" w:rsidRPr="00357ADB">
        <w:t xml:space="preserve"> краката й, които тя стиска</w:t>
      </w:r>
      <w:r w:rsidR="00721299">
        <w:t>ла</w:t>
      </w:r>
      <w:r w:rsidR="00AD2265" w:rsidRPr="00357ADB">
        <w:t>, и проник</w:t>
      </w:r>
      <w:r w:rsidR="00721299">
        <w:t>нал</w:t>
      </w:r>
      <w:r w:rsidR="00AD2265" w:rsidRPr="00357ADB">
        <w:t xml:space="preserve"> в нея. Актът </w:t>
      </w:r>
      <w:r w:rsidR="00721299">
        <w:t>бил</w:t>
      </w:r>
      <w:r w:rsidR="00AD2265" w:rsidRPr="00357ADB">
        <w:t xml:space="preserve"> прекъснат от жалбоподателката, която изпит</w:t>
      </w:r>
      <w:r w:rsidR="00721299">
        <w:t>ала</w:t>
      </w:r>
      <w:r w:rsidR="00AD2265" w:rsidRPr="00357ADB">
        <w:t xml:space="preserve"> болка. Г.С. се  опитал да го възобнови, но жалбоподателката отказа</w:t>
      </w:r>
      <w:r w:rsidR="00721299">
        <w:t>ла</w:t>
      </w:r>
      <w:r w:rsidR="00AD2265" w:rsidRPr="00357ADB">
        <w:t xml:space="preserve">, след което Г.С. </w:t>
      </w:r>
      <w:r w:rsidR="00721299">
        <w:t>се преместил</w:t>
      </w:r>
      <w:r w:rsidR="00AD2265" w:rsidRPr="00357ADB">
        <w:t xml:space="preserve"> при приятелката си на пода. По време на разпита след инцидента жалбоподателката казва, че не</w:t>
      </w:r>
      <w:r w:rsidR="00721299">
        <w:t xml:space="preserve"> е</w:t>
      </w:r>
      <w:r w:rsidR="00AD2265" w:rsidRPr="00357ADB">
        <w:t xml:space="preserve"> </w:t>
      </w:r>
      <w:r w:rsidR="00721299">
        <w:t>по</w:t>
      </w:r>
      <w:r w:rsidR="00AD2265" w:rsidRPr="00357ADB">
        <w:t>вика</w:t>
      </w:r>
      <w:r w:rsidR="00721299">
        <w:t>ла</w:t>
      </w:r>
      <w:r w:rsidR="00AD2265" w:rsidRPr="00357ADB">
        <w:t xml:space="preserve"> приятелката си С., защото се </w:t>
      </w:r>
      <w:r w:rsidR="00721299">
        <w:t xml:space="preserve">е </w:t>
      </w:r>
      <w:r w:rsidR="00AD2265" w:rsidRPr="00357ADB">
        <w:t>страхува</w:t>
      </w:r>
      <w:r w:rsidR="00721299">
        <w:t>ла</w:t>
      </w:r>
      <w:r w:rsidR="00AD2265" w:rsidRPr="00357ADB">
        <w:t xml:space="preserve"> от Г.С</w:t>
      </w:r>
      <w:r w:rsidR="008330EE" w:rsidRPr="00357ADB">
        <w:t>.</w:t>
      </w:r>
    </w:p>
    <w:p w:rsidR="008330EE" w:rsidRPr="00357ADB" w:rsidRDefault="00701932" w:rsidP="00AE3E4D">
      <w:pPr>
        <w:pStyle w:val="JuPara"/>
      </w:pPr>
      <w:fldSimple w:instr=" SEQ level0 \*arabic ">
        <w:r w:rsidR="00A5720B">
          <w:rPr>
            <w:noProof/>
          </w:rPr>
          <w:t>12</w:t>
        </w:r>
      </w:fldSimple>
      <w:r w:rsidR="008330EE" w:rsidRPr="00357ADB">
        <w:t>. </w:t>
      </w:r>
      <w:r w:rsidR="00130215" w:rsidRPr="00357ADB">
        <w:t xml:space="preserve">По-нататък в обвинителния акт се посочва, че според психологическо-психиатричната експертиза на жалбоподателката, тя е </w:t>
      </w:r>
      <w:r w:rsidR="00FA14FB">
        <w:t>била способна</w:t>
      </w:r>
      <w:r w:rsidR="00FA14FB" w:rsidRPr="00357ADB">
        <w:t xml:space="preserve"> </w:t>
      </w:r>
      <w:r w:rsidR="00130215" w:rsidRPr="00357ADB">
        <w:t xml:space="preserve">да </w:t>
      </w:r>
      <w:r w:rsidR="00AC6B8D" w:rsidRPr="00357ADB">
        <w:t>съ</w:t>
      </w:r>
      <w:r w:rsidR="00130215" w:rsidRPr="00357ADB">
        <w:t xml:space="preserve">знава действията си по време на инцидента и да прецени правилно ситуацията. Стига се до заключението, че въз основа на установените по-горе факти Г.С. е извършил престъплението </w:t>
      </w:r>
      <w:r w:rsidR="00721299">
        <w:t>съвкупление с малолетна</w:t>
      </w:r>
      <w:r w:rsidR="00130215" w:rsidRPr="00357ADB">
        <w:t xml:space="preserve"> съгласно чл. 151 от Наказателния кодекс. Г.С., който вече е осъждан за престъпление, е действал </w:t>
      </w:r>
      <w:r w:rsidR="00721299">
        <w:t>умишлено</w:t>
      </w:r>
      <w:r w:rsidR="00130215" w:rsidRPr="00357ADB">
        <w:t>, съзнава</w:t>
      </w:r>
      <w:r w:rsidR="00C70E2B">
        <w:t>йки</w:t>
      </w:r>
      <w:r w:rsidR="00130215" w:rsidRPr="00357ADB">
        <w:t xml:space="preserve"> </w:t>
      </w:r>
      <w:r w:rsidR="00721299">
        <w:t>високата обществена опасност</w:t>
      </w:r>
      <w:r w:rsidR="00130215" w:rsidRPr="00357ADB">
        <w:t xml:space="preserve"> на </w:t>
      </w:r>
      <w:proofErr w:type="spellStart"/>
      <w:r w:rsidR="00130215" w:rsidRPr="00357ADB">
        <w:t>де</w:t>
      </w:r>
      <w:r w:rsidR="00721299">
        <w:t>янито</w:t>
      </w:r>
      <w:proofErr w:type="spellEnd"/>
      <w:r w:rsidR="00130215" w:rsidRPr="00357ADB">
        <w:t>. Въпреки че отрича вината си по време на следствието, събраните доказателства – свидетелски показания, оглед на местопрестъпление</w:t>
      </w:r>
      <w:r w:rsidR="00AC6B8D" w:rsidRPr="00357ADB">
        <w:t>то</w:t>
      </w:r>
      <w:r w:rsidR="00130215" w:rsidRPr="00357ADB">
        <w:t>, съдебно-медицинска експертиза и психологическо-психиатрична експертиза, други материали – сочат вината му</w:t>
      </w:r>
      <w:r w:rsidR="008330EE" w:rsidRPr="00357ADB">
        <w:t>.</w:t>
      </w:r>
    </w:p>
    <w:p w:rsidR="008330EE" w:rsidRPr="00357ADB" w:rsidRDefault="00130215" w:rsidP="00AE3E4D">
      <w:pPr>
        <w:pStyle w:val="JuHIRoman"/>
        <w:numPr>
          <w:ilvl w:val="1"/>
          <w:numId w:val="22"/>
        </w:numPr>
        <w:jc w:val="left"/>
      </w:pPr>
      <w:r w:rsidRPr="00357ADB">
        <w:t>ДРУГИ РАЗВИТИЯ</w:t>
      </w:r>
    </w:p>
    <w:p w:rsidR="008330EE" w:rsidRPr="00357ADB" w:rsidRDefault="00701932" w:rsidP="00AE3E4D">
      <w:pPr>
        <w:pStyle w:val="JuPara"/>
      </w:pPr>
      <w:fldSimple w:instr=" SEQ level0 \*arabic ">
        <w:r w:rsidR="00A5720B">
          <w:rPr>
            <w:noProof/>
          </w:rPr>
          <w:t>13</w:t>
        </w:r>
      </w:fldSimple>
      <w:r w:rsidR="008330EE" w:rsidRPr="00357ADB">
        <w:t>. </w:t>
      </w:r>
      <w:r w:rsidR="00130215" w:rsidRPr="00357ADB">
        <w:t xml:space="preserve">През февруари 2016 г. полицията отива в къщата на семейството на жалбоподателката, за да търси наркотици по друг случай, който не е свързан с </w:t>
      </w:r>
      <w:r w:rsidR="0060643A">
        <w:t>престъплението срещу жалбоподателката от предишната година</w:t>
      </w:r>
      <w:r w:rsidR="00130215" w:rsidRPr="00357ADB">
        <w:t>.</w:t>
      </w:r>
      <w:r w:rsidR="0060643A">
        <w:t xml:space="preserve"> Тъй като не е представено разрешение,</w:t>
      </w:r>
      <w:r w:rsidR="00130215" w:rsidRPr="00357ADB">
        <w:t xml:space="preserve"> майката на жалбоподателката отказва да пусне поли</w:t>
      </w:r>
      <w:r w:rsidR="00130215" w:rsidRPr="00357ADB">
        <w:lastRenderedPageBreak/>
        <w:t xml:space="preserve">цията вътре. </w:t>
      </w:r>
      <w:r w:rsidR="0060643A">
        <w:t>Полицейски служители</w:t>
      </w:r>
      <w:r w:rsidR="00130215" w:rsidRPr="00357ADB">
        <w:t xml:space="preserve"> остават пред къщата, докато прокурорът не им указва да си тръгнат известно време след това. Жалбоподателката и нейната осемгодишна сестра са в къщата по това време</w:t>
      </w:r>
      <w:r w:rsidR="008330EE" w:rsidRPr="00357ADB">
        <w:t>.</w:t>
      </w:r>
    </w:p>
    <w:p w:rsidR="008330EE" w:rsidRPr="00357ADB" w:rsidRDefault="00701932" w:rsidP="00AE3E4D">
      <w:pPr>
        <w:pStyle w:val="JuPara"/>
      </w:pPr>
      <w:fldSimple w:instr=" SEQ level0 \*arabic ">
        <w:r w:rsidR="00A5720B">
          <w:rPr>
            <w:noProof/>
          </w:rPr>
          <w:t>14</w:t>
        </w:r>
      </w:fldSimple>
      <w:r w:rsidR="008330EE" w:rsidRPr="00357ADB">
        <w:t>. </w:t>
      </w:r>
      <w:r w:rsidR="00130215" w:rsidRPr="00357ADB">
        <w:t xml:space="preserve">На следващия ден жалбоподателката е извикана в </w:t>
      </w:r>
      <w:r w:rsidR="0060643A">
        <w:t>местното полицейско управление</w:t>
      </w:r>
      <w:r w:rsidR="00130215" w:rsidRPr="00357ADB">
        <w:t>, където е попитана дали продава или купува наркотици от заподозрения, трета страна, като тя отрича и двете твърдения</w:t>
      </w:r>
      <w:r w:rsidR="008330EE" w:rsidRPr="00357ADB">
        <w:t>.</w:t>
      </w:r>
    </w:p>
    <w:p w:rsidR="008330EE" w:rsidRPr="00357ADB" w:rsidRDefault="00701932" w:rsidP="00AE3E4D">
      <w:pPr>
        <w:pStyle w:val="JuPara"/>
      </w:pPr>
      <w:fldSimple w:instr=" SEQ level0 \*arabic ">
        <w:r w:rsidR="00A5720B">
          <w:rPr>
            <w:noProof/>
          </w:rPr>
          <w:t>15</w:t>
        </w:r>
      </w:fldSimple>
      <w:r w:rsidR="008330EE" w:rsidRPr="00357ADB">
        <w:t>. </w:t>
      </w:r>
      <w:r w:rsidR="00130215" w:rsidRPr="00357ADB">
        <w:t>Скоро след това жалбоподателката показва на майка си извадки от социалните медии, в които 26-годишен мъж, приятел на обвиняемия по негово собствено признание, я тормози вербално и я заплашва във връзка с това, че е съобщила за инцидента от февруари 2015 г. и накрая я пита дали употребява марихуана</w:t>
      </w:r>
      <w:r w:rsidR="008330EE" w:rsidRPr="00357ADB">
        <w:t>.</w:t>
      </w:r>
    </w:p>
    <w:p w:rsidR="008330EE" w:rsidRPr="00357ADB" w:rsidRDefault="008330EE" w:rsidP="00AE3E4D">
      <w:pPr>
        <w:pStyle w:val="JuHIRoman"/>
        <w:numPr>
          <w:ilvl w:val="1"/>
          <w:numId w:val="22"/>
        </w:numPr>
        <w:jc w:val="left"/>
      </w:pPr>
      <w:r w:rsidRPr="00357ADB">
        <w:t>Съдебно производство</w:t>
      </w:r>
    </w:p>
    <w:p w:rsidR="008330EE" w:rsidRPr="00357ADB" w:rsidRDefault="00701932" w:rsidP="00AE3E4D">
      <w:pPr>
        <w:pStyle w:val="JuPara"/>
      </w:pPr>
      <w:fldSimple w:instr=" SEQ level0 \*arabic ">
        <w:r w:rsidR="00A5720B">
          <w:rPr>
            <w:noProof/>
          </w:rPr>
          <w:t>16</w:t>
        </w:r>
      </w:fldSimple>
      <w:r w:rsidR="008330EE" w:rsidRPr="00357ADB">
        <w:t>. </w:t>
      </w:r>
      <w:r w:rsidR="00A92825" w:rsidRPr="00357ADB">
        <w:t>След образуването на производство</w:t>
      </w:r>
      <w:r w:rsidR="00CE2629">
        <w:t>то</w:t>
      </w:r>
      <w:r w:rsidR="00A92825" w:rsidRPr="00357ADB">
        <w:t xml:space="preserve"> пред </w:t>
      </w:r>
      <w:r w:rsidR="00961F18">
        <w:t xml:space="preserve">Районен съд </w:t>
      </w:r>
      <w:r w:rsidR="00A92825" w:rsidRPr="00357ADB">
        <w:t>Ямбол, на 23 март 2016 г. съдията</w:t>
      </w:r>
      <w:r w:rsidR="00CE2629">
        <w:t>-докладчик</w:t>
      </w:r>
      <w:r w:rsidR="00A92825" w:rsidRPr="00357ADB">
        <w:t xml:space="preserve"> решава да разгледа делото при закрити врати и насрочва съдебно заседание </w:t>
      </w:r>
      <w:r w:rsidR="00961F18">
        <w:t>за</w:t>
      </w:r>
      <w:r w:rsidR="00961F18" w:rsidRPr="00357ADB">
        <w:t xml:space="preserve"> </w:t>
      </w:r>
      <w:r w:rsidR="00A92825" w:rsidRPr="00357ADB">
        <w:t>16 май 2016 г</w:t>
      </w:r>
      <w:r w:rsidR="008330EE" w:rsidRPr="00357ADB">
        <w:t>.</w:t>
      </w:r>
    </w:p>
    <w:p w:rsidR="008330EE" w:rsidRPr="00357ADB" w:rsidRDefault="00701932" w:rsidP="00AE3E4D">
      <w:pPr>
        <w:pStyle w:val="JuPara"/>
      </w:pPr>
      <w:fldSimple w:instr=" SEQ level0 \*arabic ">
        <w:r w:rsidR="00A5720B">
          <w:rPr>
            <w:noProof/>
          </w:rPr>
          <w:t>17</w:t>
        </w:r>
      </w:fldSimple>
      <w:r w:rsidR="008330EE" w:rsidRPr="00357ADB">
        <w:t>. </w:t>
      </w:r>
      <w:r w:rsidR="00902034" w:rsidRPr="00357ADB">
        <w:t xml:space="preserve">На 8 април </w:t>
      </w:r>
      <w:r w:rsidR="008330EE" w:rsidRPr="00357ADB">
        <w:t>2016</w:t>
      </w:r>
      <w:r w:rsidR="00902034" w:rsidRPr="00357ADB">
        <w:t xml:space="preserve"> г. </w:t>
      </w:r>
      <w:r w:rsidR="000C2464" w:rsidRPr="00357ADB">
        <w:t>адвокатът на жалбоподателката моли съд</w:t>
      </w:r>
      <w:r w:rsidR="005B1849">
        <w:t>а</w:t>
      </w:r>
      <w:r w:rsidR="000C2464" w:rsidRPr="00357ADB">
        <w:t xml:space="preserve"> </w:t>
      </w:r>
      <w:r w:rsidR="00527E6F" w:rsidRPr="00357ADB">
        <w:t xml:space="preserve">за целите на съдебното производство </w:t>
      </w:r>
      <w:r w:rsidR="000C2464" w:rsidRPr="00357ADB">
        <w:t xml:space="preserve">жалбоподателката да бъде разпитана в „синя стая“ – специално помещение, където </w:t>
      </w:r>
      <w:r w:rsidR="00C75B5B" w:rsidRPr="00357ADB">
        <w:t>в</w:t>
      </w:r>
      <w:r w:rsidR="00961F18">
        <w:t xml:space="preserve"> защитена</w:t>
      </w:r>
      <w:r w:rsidR="00961F18" w:rsidRPr="00357ADB">
        <w:t xml:space="preserve"> </w:t>
      </w:r>
      <w:r w:rsidR="00C75B5B" w:rsidRPr="00357ADB">
        <w:t>среда деца</w:t>
      </w:r>
      <w:r w:rsidR="005B1849">
        <w:t>-</w:t>
      </w:r>
      <w:r w:rsidR="000C2464" w:rsidRPr="00357ADB">
        <w:t>жертви или свидетели на насилие</w:t>
      </w:r>
      <w:r w:rsidR="00961F18">
        <w:t>,</w:t>
      </w:r>
      <w:r w:rsidR="000C2464" w:rsidRPr="00357ADB">
        <w:t xml:space="preserve"> </w:t>
      </w:r>
      <w:r w:rsidR="005B1849">
        <w:t>са</w:t>
      </w:r>
      <w:r w:rsidR="00C75B5B" w:rsidRPr="00357ADB">
        <w:t xml:space="preserve"> разпитвани от </w:t>
      </w:r>
      <w:r w:rsidR="000C2464" w:rsidRPr="00357ADB">
        <w:t>специално обучени професионалисти</w:t>
      </w:r>
      <w:r w:rsidR="00961F18">
        <w:t>,</w:t>
      </w:r>
      <w:r w:rsidR="000C2464" w:rsidRPr="00357ADB">
        <w:t xml:space="preserve"> без контакт с предполагаемия извършител</w:t>
      </w:r>
      <w:r w:rsidR="008330EE" w:rsidRPr="00357ADB">
        <w:t>.</w:t>
      </w:r>
    </w:p>
    <w:p w:rsidR="008330EE" w:rsidRPr="00357ADB" w:rsidRDefault="008330EE" w:rsidP="00AE3E4D">
      <w:pPr>
        <w:pStyle w:val="JuPara"/>
      </w:pPr>
      <w:r w:rsidRPr="00357ADB">
        <w:rPr>
          <w:sz w:val="23"/>
          <w:szCs w:val="23"/>
        </w:rPr>
        <w:fldChar w:fldCharType="begin"/>
      </w:r>
      <w:r w:rsidRPr="00357ADB">
        <w:rPr>
          <w:sz w:val="23"/>
          <w:szCs w:val="23"/>
        </w:rPr>
        <w:instrText xml:space="preserve"> SEQ level0 \*arabic </w:instrText>
      </w:r>
      <w:r w:rsidRPr="00357ADB">
        <w:rPr>
          <w:sz w:val="23"/>
          <w:szCs w:val="23"/>
        </w:rPr>
        <w:fldChar w:fldCharType="separate"/>
      </w:r>
      <w:r w:rsidR="00A5720B">
        <w:rPr>
          <w:noProof/>
          <w:sz w:val="23"/>
          <w:szCs w:val="23"/>
        </w:rPr>
        <w:t>18</w:t>
      </w:r>
      <w:r w:rsidRPr="00357ADB">
        <w:rPr>
          <w:sz w:val="23"/>
          <w:szCs w:val="23"/>
        </w:rPr>
        <w:fldChar w:fldCharType="end"/>
      </w:r>
      <w:r w:rsidRPr="00357ADB">
        <w:rPr>
          <w:sz w:val="23"/>
          <w:szCs w:val="23"/>
        </w:rPr>
        <w:t>.  </w:t>
      </w:r>
      <w:r w:rsidR="005C03BD" w:rsidRPr="00357ADB">
        <w:t>На</w:t>
      </w:r>
      <w:r w:rsidRPr="00357ADB">
        <w:t xml:space="preserve"> 13</w:t>
      </w:r>
      <w:r w:rsidR="005C03BD" w:rsidRPr="00357ADB">
        <w:t xml:space="preserve"> април </w:t>
      </w:r>
      <w:r w:rsidRPr="00357ADB">
        <w:t>2016</w:t>
      </w:r>
      <w:r w:rsidR="005C03BD" w:rsidRPr="00357ADB">
        <w:t> г.</w:t>
      </w:r>
      <w:r w:rsidR="00480E7C" w:rsidRPr="00357ADB">
        <w:t xml:space="preserve"> съдията разпорежда адвокатът да бъде уведомен за разглеждането при </w:t>
      </w:r>
      <w:r w:rsidR="00C30CC1" w:rsidRPr="00357ADB">
        <w:t>закрити</w:t>
      </w:r>
      <w:r w:rsidR="00480E7C" w:rsidRPr="00357ADB">
        <w:t xml:space="preserve"> врати</w:t>
      </w:r>
      <w:r w:rsidRPr="00357ADB">
        <w:t>.</w:t>
      </w:r>
      <w:r w:rsidR="00480E7C" w:rsidRPr="00357ADB">
        <w:t xml:space="preserve"> Със същото </w:t>
      </w:r>
      <w:r w:rsidR="00480E7C" w:rsidRPr="00357ADB">
        <w:lastRenderedPageBreak/>
        <w:t xml:space="preserve">разпореждане съдията отлага разглеждането на </w:t>
      </w:r>
      <w:r w:rsidR="000016EF">
        <w:t xml:space="preserve">молбата на </w:t>
      </w:r>
      <w:r w:rsidR="00480E7C" w:rsidRPr="00357ADB">
        <w:t xml:space="preserve">жалбоподателката от 8 април </w:t>
      </w:r>
      <w:r w:rsidRPr="00357ADB">
        <w:t>2016</w:t>
      </w:r>
      <w:r w:rsidR="00480E7C" w:rsidRPr="00357ADB">
        <w:t> г. до заседанието по същество</w:t>
      </w:r>
      <w:r w:rsidRPr="00357ADB">
        <w:t>.</w:t>
      </w:r>
    </w:p>
    <w:p w:rsidR="008330EE" w:rsidRPr="00357ADB" w:rsidRDefault="00701932" w:rsidP="00AE3E4D">
      <w:pPr>
        <w:pStyle w:val="JuPara"/>
      </w:pPr>
      <w:fldSimple w:instr=" SEQ level0 \*arabic ">
        <w:r w:rsidR="00A5720B">
          <w:rPr>
            <w:noProof/>
          </w:rPr>
          <w:t>19</w:t>
        </w:r>
      </w:fldSimple>
      <w:r w:rsidR="008330EE" w:rsidRPr="00357ADB">
        <w:t>.  </w:t>
      </w:r>
      <w:r w:rsidR="00480E7C" w:rsidRPr="00357ADB">
        <w:t>На</w:t>
      </w:r>
      <w:r w:rsidR="008330EE" w:rsidRPr="00357ADB">
        <w:t xml:space="preserve"> 9</w:t>
      </w:r>
      <w:r w:rsidR="00480E7C" w:rsidRPr="00357ADB">
        <w:t xml:space="preserve"> май </w:t>
      </w:r>
      <w:r w:rsidR="008330EE" w:rsidRPr="00357ADB">
        <w:t>2016</w:t>
      </w:r>
      <w:r w:rsidR="00480E7C" w:rsidRPr="00357ADB">
        <w:t> г. адвокатът на жалбоподателката</w:t>
      </w:r>
      <w:r w:rsidR="00E52933" w:rsidRPr="00357ADB">
        <w:t xml:space="preserve"> моли съда да разреши на жалбоподателката да не присъства на съдебното заседание, докато не бъде разгледана молбата й за разпит в „синя стая“, тъй като тя жела</w:t>
      </w:r>
      <w:r w:rsidR="000016EF">
        <w:t>е</w:t>
      </w:r>
      <w:r w:rsidR="00E52933" w:rsidRPr="00357ADB">
        <w:t xml:space="preserve"> да избегне </w:t>
      </w:r>
      <w:r w:rsidR="000016EF">
        <w:t>всякакъв</w:t>
      </w:r>
      <w:r w:rsidR="000016EF" w:rsidRPr="00357ADB">
        <w:t xml:space="preserve"> </w:t>
      </w:r>
      <w:r w:rsidR="00E52933" w:rsidRPr="00357ADB">
        <w:t>контакт с Г.С</w:t>
      </w:r>
      <w:r w:rsidR="008330EE" w:rsidRPr="00357ADB">
        <w:t>.</w:t>
      </w:r>
      <w:r w:rsidR="00E52933" w:rsidRPr="00357ADB">
        <w:t xml:space="preserve"> На </w:t>
      </w:r>
      <w:r w:rsidR="008330EE" w:rsidRPr="00357ADB">
        <w:t xml:space="preserve">11 </w:t>
      </w:r>
      <w:r w:rsidR="00E52933" w:rsidRPr="00357ADB">
        <w:t xml:space="preserve">май </w:t>
      </w:r>
      <w:r w:rsidR="008330EE" w:rsidRPr="00357ADB">
        <w:t>2016</w:t>
      </w:r>
      <w:r w:rsidR="00E52933" w:rsidRPr="00357ADB">
        <w:t> г. съдът одобрява молбата</w:t>
      </w:r>
      <w:r w:rsidR="008330EE" w:rsidRPr="00357ADB">
        <w:t>.</w:t>
      </w:r>
    </w:p>
    <w:p w:rsidR="008330EE" w:rsidRPr="00357ADB" w:rsidRDefault="00701932" w:rsidP="00AE3E4D">
      <w:pPr>
        <w:pStyle w:val="JuPara"/>
      </w:pPr>
      <w:fldSimple w:instr=" SEQ level0 \*arabic ">
        <w:r w:rsidR="00A5720B">
          <w:rPr>
            <w:noProof/>
          </w:rPr>
          <w:t>20</w:t>
        </w:r>
      </w:fldSimple>
      <w:r w:rsidR="008330EE" w:rsidRPr="00357ADB">
        <w:t>.  </w:t>
      </w:r>
      <w:r w:rsidR="00E52933" w:rsidRPr="00357ADB">
        <w:t>На</w:t>
      </w:r>
      <w:r w:rsidR="008330EE" w:rsidRPr="00357ADB">
        <w:t xml:space="preserve"> 16</w:t>
      </w:r>
      <w:r w:rsidR="00E52933" w:rsidRPr="00357ADB">
        <w:t xml:space="preserve"> май </w:t>
      </w:r>
      <w:r w:rsidR="008330EE" w:rsidRPr="00357ADB">
        <w:t>2016</w:t>
      </w:r>
      <w:r w:rsidR="00E52933" w:rsidRPr="00357ADB">
        <w:t> г. съдът провежда заседание по делото</w:t>
      </w:r>
      <w:r w:rsidR="008330EE" w:rsidRPr="00357ADB">
        <w:t>.</w:t>
      </w:r>
      <w:r w:rsidR="00E52933" w:rsidRPr="00357ADB">
        <w:t xml:space="preserve"> Жалбоподателката не присъства, </w:t>
      </w:r>
      <w:r w:rsidR="005B1849">
        <w:t>но</w:t>
      </w:r>
      <w:r w:rsidR="00E52933" w:rsidRPr="00357ADB">
        <w:t xml:space="preserve"> </w:t>
      </w:r>
      <w:r w:rsidR="000016EF">
        <w:t>с</w:t>
      </w:r>
      <w:r w:rsidR="00E52933" w:rsidRPr="00357ADB">
        <w:t>е представлява от адвокат</w:t>
      </w:r>
      <w:r w:rsidR="008330EE" w:rsidRPr="00357ADB">
        <w:t>.</w:t>
      </w:r>
      <w:r w:rsidR="00E52933" w:rsidRPr="00357ADB">
        <w:t xml:space="preserve"> Присъства майката на жалбоподателката в качеството на свидетел</w:t>
      </w:r>
      <w:r w:rsidR="008330EE" w:rsidRPr="00357ADB">
        <w:t>.</w:t>
      </w:r>
      <w:r w:rsidR="00E52933" w:rsidRPr="00357ADB">
        <w:t xml:space="preserve"> В началото на заседанието адвокатът </w:t>
      </w:r>
      <w:r w:rsidR="00AE52E3" w:rsidRPr="00357ADB">
        <w:t>представя молба, подписана от майката на жалбоподателката, с която моли съда да разреши на жалбоподателката да встъпи в производството като граждански ищец</w:t>
      </w:r>
      <w:r w:rsidR="008330EE" w:rsidRPr="00357ADB">
        <w:t>.</w:t>
      </w:r>
      <w:r w:rsidR="00AE52E3" w:rsidRPr="00357ADB">
        <w:t xml:space="preserve"> Молбата е отправена от майката в качеството й на законен пре</w:t>
      </w:r>
      <w:r w:rsidR="00915E86" w:rsidRPr="00357ADB">
        <w:t>д</w:t>
      </w:r>
      <w:r w:rsidR="00AE52E3" w:rsidRPr="00357ADB">
        <w:t>ставител на жалбоподателката</w:t>
      </w:r>
      <w:r w:rsidR="008330EE" w:rsidRPr="00357ADB">
        <w:t xml:space="preserve">. </w:t>
      </w:r>
      <w:r w:rsidR="00915E86" w:rsidRPr="00357ADB">
        <w:t xml:space="preserve">Според протокола от заседанието, съдът намира, че майката на жалбоподателката няма </w:t>
      </w:r>
      <w:r w:rsidR="007960AE">
        <w:t>процесуална легитимация</w:t>
      </w:r>
      <w:r w:rsidR="00915E86" w:rsidRPr="00357ADB">
        <w:t xml:space="preserve"> да подаде граждански иск от името на дъщеря си, тъй като по времето на заседанието жалбоподателката е навършила четиринадесет години</w:t>
      </w:r>
      <w:r w:rsidR="008330EE" w:rsidRPr="00357ADB">
        <w:t>.</w:t>
      </w:r>
      <w:r w:rsidR="00D87C75" w:rsidRPr="00357ADB">
        <w:t xml:space="preserve"> Следователно</w:t>
      </w:r>
      <w:r w:rsidR="007960AE">
        <w:t xml:space="preserve">, </w:t>
      </w:r>
      <w:r w:rsidR="00D87C75" w:rsidRPr="00357ADB">
        <w:t xml:space="preserve">граждански иск трябва да </w:t>
      </w:r>
      <w:r w:rsidR="007960AE">
        <w:t>се</w:t>
      </w:r>
      <w:r w:rsidR="007960AE" w:rsidRPr="00357ADB">
        <w:t xml:space="preserve"> </w:t>
      </w:r>
      <w:r w:rsidR="00D87C75" w:rsidRPr="00357ADB">
        <w:t>подаде от жалбоподателката със съгласието на майка й</w:t>
      </w:r>
      <w:r w:rsidR="008330EE" w:rsidRPr="00357ADB">
        <w:t>.</w:t>
      </w:r>
    </w:p>
    <w:p w:rsidR="008330EE" w:rsidRPr="00357ADB" w:rsidRDefault="00701932" w:rsidP="00AE3E4D">
      <w:pPr>
        <w:pStyle w:val="JuPara"/>
      </w:pPr>
      <w:fldSimple w:instr=" SEQ level0 \*arabic ">
        <w:r w:rsidR="00A5720B">
          <w:rPr>
            <w:noProof/>
          </w:rPr>
          <w:t>21</w:t>
        </w:r>
      </w:fldSimple>
      <w:r w:rsidR="008330EE" w:rsidRPr="00357ADB">
        <w:t>.  </w:t>
      </w:r>
      <w:r w:rsidR="00D87C75" w:rsidRPr="00357ADB">
        <w:t xml:space="preserve">Жалбоподателката не </w:t>
      </w:r>
      <w:r w:rsidR="005B1849">
        <w:t>прави искане</w:t>
      </w:r>
      <w:r w:rsidR="00D87C75" w:rsidRPr="00357ADB">
        <w:t xml:space="preserve"> да участва в производството като частен обвинител</w:t>
      </w:r>
      <w:r w:rsidR="008330EE" w:rsidRPr="00357ADB">
        <w:t>.</w:t>
      </w:r>
      <w:r w:rsidR="00D87C75" w:rsidRPr="00357ADB">
        <w:t xml:space="preserve"> Тъй като тя вече не е страна по  производството, защото молбата на майка й тя да участва като граждански ищец е отхвърлена, адвокатът й е освободен от съдебното заседание</w:t>
      </w:r>
      <w:r w:rsidR="008330EE" w:rsidRPr="00357ADB">
        <w:t>.</w:t>
      </w:r>
    </w:p>
    <w:p w:rsidR="008330EE" w:rsidRPr="00357ADB" w:rsidRDefault="00701932" w:rsidP="00AE3E4D">
      <w:pPr>
        <w:pStyle w:val="JuPara"/>
      </w:pPr>
      <w:fldSimple w:instr=" SEQ level0 \*arabic ">
        <w:r w:rsidR="00A5720B">
          <w:rPr>
            <w:noProof/>
          </w:rPr>
          <w:t>22</w:t>
        </w:r>
      </w:fldSimple>
      <w:r w:rsidR="008330EE" w:rsidRPr="00357ADB">
        <w:t>.  </w:t>
      </w:r>
      <w:r w:rsidR="00D87C75" w:rsidRPr="00357ADB">
        <w:t>По време на същото съдебно заседание и след подадена молба за това от обвиняемия, съдът решава да проведе съкратено съдебно следствие съгласно чл. </w:t>
      </w:r>
      <w:r w:rsidR="008330EE" w:rsidRPr="00357ADB">
        <w:t>370</w:t>
      </w:r>
      <w:r w:rsidR="005B1849">
        <w:t>-</w:t>
      </w:r>
      <w:r w:rsidR="008330EE" w:rsidRPr="00357ADB">
        <w:t>374</w:t>
      </w:r>
      <w:r w:rsidR="00D87C75" w:rsidRPr="00357ADB">
        <w:t xml:space="preserve"> от Наказателн</w:t>
      </w:r>
      <w:r w:rsidR="005B1849">
        <w:t>о-</w:t>
      </w:r>
      <w:r w:rsidR="00D87C75" w:rsidRPr="00357ADB">
        <w:lastRenderedPageBreak/>
        <w:t>процесуалн</w:t>
      </w:r>
      <w:r w:rsidR="005B1849">
        <w:t>ия</w:t>
      </w:r>
      <w:r w:rsidR="00D87C75" w:rsidRPr="00357ADB">
        <w:t xml:space="preserve"> кодекс (НПК). </w:t>
      </w:r>
      <w:r w:rsidR="005B1849">
        <w:t>Съгласно</w:t>
      </w:r>
      <w:r w:rsidR="00D87C75" w:rsidRPr="00357ADB">
        <w:t xml:space="preserve"> тази процедура на съдебната фаза не се събират доказателства</w:t>
      </w:r>
      <w:r w:rsidR="00A14F47" w:rsidRPr="00357ADB">
        <w:t xml:space="preserve">, като </w:t>
      </w:r>
      <w:r w:rsidR="00D87C75" w:rsidRPr="00357ADB">
        <w:t>съдът разчита единствено на доказателствата, събрани в досъдебното производство</w:t>
      </w:r>
      <w:r w:rsidR="008330EE" w:rsidRPr="00357ADB">
        <w:t>.</w:t>
      </w:r>
    </w:p>
    <w:p w:rsidR="008330EE" w:rsidRPr="00357ADB" w:rsidRDefault="00701932" w:rsidP="00AE3E4D">
      <w:pPr>
        <w:pStyle w:val="JuPara"/>
      </w:pPr>
      <w:fldSimple w:instr=" SEQ level0 \*arabic ">
        <w:r w:rsidR="00A5720B">
          <w:rPr>
            <w:noProof/>
          </w:rPr>
          <w:t>23</w:t>
        </w:r>
      </w:fldSimple>
      <w:r w:rsidR="008330EE" w:rsidRPr="00357ADB">
        <w:t>.  </w:t>
      </w:r>
      <w:r w:rsidR="009376EB" w:rsidRPr="00357ADB">
        <w:t>Г.С. признава изцяло фактите, представени в обвинителния акт</w:t>
      </w:r>
      <w:r w:rsidR="008330EE" w:rsidRPr="00357ADB">
        <w:t>.</w:t>
      </w:r>
      <w:r w:rsidR="00BF48FD" w:rsidRPr="00357ADB">
        <w:t xml:space="preserve"> Съдът стига до заключението, че изявлението на обвиняемия се подкрепя от доказателствата, събрани в досъдебното производство, и решава да не събира повече доказателства</w:t>
      </w:r>
      <w:r w:rsidR="008330EE" w:rsidRPr="00357ADB">
        <w:t xml:space="preserve">. </w:t>
      </w:r>
      <w:r w:rsidR="00BF48FD" w:rsidRPr="00357ADB">
        <w:t xml:space="preserve">По тази причина съдът </w:t>
      </w:r>
      <w:r w:rsidR="00E52896">
        <w:t>счита</w:t>
      </w:r>
      <w:r w:rsidR="00BF48FD" w:rsidRPr="00357ADB">
        <w:t>, че вече не е необходимо да разглежда молбата на жалбоподателката за разпит в „синя стая“ (вж. параграф </w:t>
      </w:r>
      <w:r w:rsidR="008330EE" w:rsidRPr="00357ADB">
        <w:t>28</w:t>
      </w:r>
      <w:r w:rsidR="00BF48FD" w:rsidRPr="00357ADB">
        <w:t xml:space="preserve"> по-горе</w:t>
      </w:r>
      <w:r w:rsidR="008330EE" w:rsidRPr="00357ADB">
        <w:t>).</w:t>
      </w:r>
    </w:p>
    <w:p w:rsidR="008330EE" w:rsidRPr="00357ADB" w:rsidRDefault="00701932" w:rsidP="00AE3E4D">
      <w:pPr>
        <w:pStyle w:val="JuPara"/>
      </w:pPr>
      <w:fldSimple w:instr=" SEQ level0 \*arabic ">
        <w:r w:rsidR="00A5720B">
          <w:rPr>
            <w:noProof/>
          </w:rPr>
          <w:t>24</w:t>
        </w:r>
      </w:fldSimple>
      <w:r w:rsidR="008330EE" w:rsidRPr="00357ADB">
        <w:t>.  </w:t>
      </w:r>
      <w:r w:rsidR="00E7215A" w:rsidRPr="00357ADB">
        <w:t>На същия ден</w:t>
      </w:r>
      <w:r w:rsidR="00E52896">
        <w:t>,</w:t>
      </w:r>
      <w:r w:rsidR="00E7215A" w:rsidRPr="00357ADB">
        <w:t xml:space="preserve"> 16 май </w:t>
      </w:r>
      <w:r w:rsidR="008330EE" w:rsidRPr="00357ADB">
        <w:t>2016</w:t>
      </w:r>
      <w:r w:rsidR="00E7215A" w:rsidRPr="00357ADB">
        <w:t> г.</w:t>
      </w:r>
      <w:r w:rsidR="00E52896">
        <w:t>,</w:t>
      </w:r>
      <w:r w:rsidR="00E7215A" w:rsidRPr="00357ADB">
        <w:t xml:space="preserve"> съдът намира Г.С. за виновен за </w:t>
      </w:r>
      <w:r w:rsidR="005B1849">
        <w:t>съвкупление с малолетна</w:t>
      </w:r>
      <w:r w:rsidR="00E7215A" w:rsidRPr="00357ADB">
        <w:t xml:space="preserve"> съгласно чл. </w:t>
      </w:r>
      <w:r w:rsidR="008330EE" w:rsidRPr="00357ADB">
        <w:t>151</w:t>
      </w:r>
      <w:r w:rsidR="00E7215A" w:rsidRPr="00357ADB">
        <w:t>, ал. </w:t>
      </w:r>
      <w:r w:rsidR="008330EE" w:rsidRPr="00357ADB">
        <w:t xml:space="preserve">1 </w:t>
      </w:r>
      <w:r w:rsidR="00E7215A" w:rsidRPr="00357ADB">
        <w:t>от Наказателния кодекс</w:t>
      </w:r>
      <w:r w:rsidR="008330EE" w:rsidRPr="00357ADB">
        <w:t xml:space="preserve">. </w:t>
      </w:r>
      <w:r w:rsidR="005B1849">
        <w:t>По отношение на наказанието</w:t>
      </w:r>
      <w:r w:rsidR="007073B1" w:rsidRPr="00357ADB">
        <w:t xml:space="preserve">, съдът отбелязва, че </w:t>
      </w:r>
      <w:r w:rsidR="005B1849">
        <w:t>законът предвижда</w:t>
      </w:r>
      <w:r w:rsidR="007073B1" w:rsidRPr="00357ADB">
        <w:t xml:space="preserve"> лишаване от свобода от две до шест години</w:t>
      </w:r>
      <w:r w:rsidR="008330EE" w:rsidRPr="00357ADB">
        <w:t xml:space="preserve">. </w:t>
      </w:r>
      <w:r w:rsidR="005B1849">
        <w:t>П</w:t>
      </w:r>
      <w:r w:rsidR="00DF2CB3" w:rsidRPr="00357ADB">
        <w:t>редвид</w:t>
      </w:r>
      <w:r w:rsidR="005B1849">
        <w:t xml:space="preserve"> това</w:t>
      </w:r>
      <w:r w:rsidR="00DF2CB3" w:rsidRPr="00357ADB">
        <w:t>, че по делото е проведено съкратено съдебно следствие</w:t>
      </w:r>
      <w:r w:rsidR="00947738">
        <w:t>,</w:t>
      </w:r>
      <w:r w:rsidR="00DF2CB3" w:rsidRPr="00357ADB">
        <w:t xml:space="preserve"> съдът намалява присъдата с една трета (вж. параграф </w:t>
      </w:r>
      <w:r w:rsidR="008330EE" w:rsidRPr="00357ADB">
        <w:t>44</w:t>
      </w:r>
      <w:r w:rsidR="00DF2CB3" w:rsidRPr="00357ADB">
        <w:t xml:space="preserve"> по-долу</w:t>
      </w:r>
      <w:r w:rsidR="008330EE" w:rsidRPr="00357ADB">
        <w:t>)</w:t>
      </w:r>
      <w:r w:rsidR="00DF2CB3" w:rsidRPr="00357ADB">
        <w:t xml:space="preserve"> и осъжда</w:t>
      </w:r>
      <w:r w:rsidR="00B21949">
        <w:t xml:space="preserve"> подсъдимия</w:t>
      </w:r>
      <w:r w:rsidR="00DF2CB3" w:rsidRPr="00357ADB">
        <w:t xml:space="preserve"> на лишаване от свобода от една година и четири месеца</w:t>
      </w:r>
      <w:r w:rsidR="008330EE" w:rsidRPr="00357ADB">
        <w:t>.</w:t>
      </w:r>
      <w:r w:rsidR="00DF2CB3" w:rsidRPr="00357ADB">
        <w:t xml:space="preserve"> Съдът отлага изпълнението на </w:t>
      </w:r>
      <w:r w:rsidR="00B21949">
        <w:t>наказанието</w:t>
      </w:r>
      <w:r w:rsidR="00DF2CB3" w:rsidRPr="00357ADB">
        <w:t xml:space="preserve"> с три години (вж. параграф </w:t>
      </w:r>
      <w:r w:rsidR="008330EE" w:rsidRPr="00357ADB">
        <w:t>45</w:t>
      </w:r>
      <w:r w:rsidR="00DF2CB3" w:rsidRPr="00357ADB">
        <w:t xml:space="preserve"> по-долу</w:t>
      </w:r>
      <w:r w:rsidR="008330EE" w:rsidRPr="00357ADB">
        <w:t>).</w:t>
      </w:r>
      <w:r w:rsidR="00DF2CB3" w:rsidRPr="00357ADB">
        <w:t xml:space="preserve"> Мотивите на съдебното решение са обявени на 27 май </w:t>
      </w:r>
      <w:r w:rsidR="008330EE" w:rsidRPr="00357ADB">
        <w:t>2016</w:t>
      </w:r>
      <w:r w:rsidR="00DF2CB3" w:rsidRPr="00357ADB">
        <w:t> г</w:t>
      </w:r>
      <w:r w:rsidR="008330EE" w:rsidRPr="00357ADB">
        <w:t>.</w:t>
      </w:r>
      <w:r w:rsidR="00DF2CB3" w:rsidRPr="00357ADB">
        <w:t xml:space="preserve"> Съдът разпорежда </w:t>
      </w:r>
      <w:r w:rsidR="00B21949">
        <w:t>също така</w:t>
      </w:r>
      <w:r w:rsidR="00DF2CB3" w:rsidRPr="00357ADB">
        <w:t xml:space="preserve"> </w:t>
      </w:r>
      <w:r w:rsidR="005E2DE4" w:rsidRPr="00357ADB">
        <w:t>веществените</w:t>
      </w:r>
      <w:r w:rsidR="00DF2CB3" w:rsidRPr="00357ADB">
        <w:t xml:space="preserve"> доказателства – черен анцуг и бельо – да бъдат върнати на собственика им, </w:t>
      </w:r>
      <w:r w:rsidR="00B21949">
        <w:t>по-кон</w:t>
      </w:r>
      <w:r w:rsidR="008F117B">
        <w:t>к</w:t>
      </w:r>
      <w:r w:rsidR="00B21949">
        <w:t xml:space="preserve">ретно на </w:t>
      </w:r>
      <w:r w:rsidR="00DF2CB3" w:rsidRPr="00357ADB">
        <w:t>жалбоподателката</w:t>
      </w:r>
      <w:r w:rsidR="008330EE" w:rsidRPr="00357ADB">
        <w:t>.</w:t>
      </w:r>
    </w:p>
    <w:p w:rsidR="008330EE" w:rsidRPr="00357ADB" w:rsidRDefault="00701932" w:rsidP="00AE3E4D">
      <w:pPr>
        <w:pStyle w:val="JuPara"/>
      </w:pPr>
      <w:fldSimple w:instr=" SEQ level0 \*arabic ">
        <w:r w:rsidR="00A5720B">
          <w:rPr>
            <w:noProof/>
          </w:rPr>
          <w:t>25</w:t>
        </w:r>
      </w:fldSimple>
      <w:r w:rsidR="008330EE" w:rsidRPr="00357ADB">
        <w:t>.  </w:t>
      </w:r>
      <w:r w:rsidR="005E2DE4" w:rsidRPr="00357ADB">
        <w:t>Независимо от признанието си в първоинстанционното съдебно производство, Г.С. обжалва съдебното решение</w:t>
      </w:r>
      <w:r w:rsidR="008330EE" w:rsidRPr="00357ADB">
        <w:t xml:space="preserve">. </w:t>
      </w:r>
      <w:r w:rsidR="005E2DE4" w:rsidRPr="00357ADB">
        <w:t xml:space="preserve">На </w:t>
      </w:r>
      <w:r w:rsidR="008330EE" w:rsidRPr="00357ADB">
        <w:t>6</w:t>
      </w:r>
      <w:r w:rsidR="005E2DE4" w:rsidRPr="00357ADB">
        <w:t xml:space="preserve"> юли </w:t>
      </w:r>
      <w:r w:rsidR="008330EE" w:rsidRPr="00357ADB">
        <w:t>2016</w:t>
      </w:r>
      <w:r w:rsidR="005E2DE4" w:rsidRPr="00357ADB">
        <w:t xml:space="preserve"> г. </w:t>
      </w:r>
      <w:r w:rsidR="003E0C03">
        <w:t xml:space="preserve">Окръжен съд </w:t>
      </w:r>
      <w:r w:rsidR="005E2DE4" w:rsidRPr="00357ADB">
        <w:t xml:space="preserve">Ямбол потвърждава присъдата, наложена от </w:t>
      </w:r>
      <w:r w:rsidR="00B21949">
        <w:t xml:space="preserve">първоинстанционния </w:t>
      </w:r>
      <w:r w:rsidR="005E2DE4" w:rsidRPr="00357ADB">
        <w:t>съд</w:t>
      </w:r>
      <w:r w:rsidR="008330EE" w:rsidRPr="00357ADB">
        <w:t>.</w:t>
      </w:r>
      <w:r w:rsidR="005E2DE4" w:rsidRPr="00357ADB">
        <w:t xml:space="preserve"> Независимо от факта, че няма </w:t>
      </w:r>
      <w:r w:rsidR="003E0C03">
        <w:lastRenderedPageBreak/>
        <w:t>процесуална л</w:t>
      </w:r>
      <w:r w:rsidR="00B21949">
        <w:t>е</w:t>
      </w:r>
      <w:r w:rsidR="003E0C03">
        <w:t>гитимация</w:t>
      </w:r>
      <w:r w:rsidR="005E2DE4" w:rsidRPr="00357ADB">
        <w:t xml:space="preserve"> в съдебното производство, жалбоподателката дава показания </w:t>
      </w:r>
      <w:r w:rsidR="00B21949">
        <w:t>като пострадала</w:t>
      </w:r>
      <w:r w:rsidR="005E2DE4" w:rsidRPr="00357ADB">
        <w:t xml:space="preserve"> пред второинстанционния съд, в които описва преживяването си като жертва на изнасилване</w:t>
      </w:r>
      <w:r w:rsidR="008330EE" w:rsidRPr="00357ADB">
        <w:t xml:space="preserve">. Тя също така изразява разочарованието си от неадекватността на наказателното </w:t>
      </w:r>
      <w:r w:rsidR="00B21949">
        <w:t>разследване</w:t>
      </w:r>
      <w:r w:rsidR="008330EE" w:rsidRPr="00357ADB">
        <w:t xml:space="preserve"> и присъдата и моли съда да вземе предвид показанията </w:t>
      </w:r>
      <w:r w:rsidR="00B21949">
        <w:t>й</w:t>
      </w:r>
      <w:r w:rsidR="008330EE" w:rsidRPr="00357ADB">
        <w:t xml:space="preserve"> при вземането на решение. </w:t>
      </w:r>
      <w:r w:rsidR="00B21949">
        <w:t>Постановеното с</w:t>
      </w:r>
      <w:r w:rsidR="003E6345" w:rsidRPr="00357ADB">
        <w:t>ъдебно решение не подлежи на обжалване и влиза в сила същия ден</w:t>
      </w:r>
      <w:r w:rsidR="008330EE" w:rsidRPr="00357ADB">
        <w:t>.</w:t>
      </w:r>
    </w:p>
    <w:p w:rsidR="008330EE" w:rsidRPr="00357ADB" w:rsidRDefault="00701932" w:rsidP="00AE3E4D">
      <w:pPr>
        <w:pStyle w:val="JuPara"/>
      </w:pPr>
      <w:fldSimple w:instr=" SEQ level0 \*arabic ">
        <w:r w:rsidR="00A5720B">
          <w:rPr>
            <w:noProof/>
          </w:rPr>
          <w:t>26</w:t>
        </w:r>
      </w:fldSimple>
      <w:r w:rsidR="008330EE" w:rsidRPr="00357ADB">
        <w:t>.  </w:t>
      </w:r>
      <w:r w:rsidR="003E6345" w:rsidRPr="00357ADB">
        <w:t>Тъй като жалбоподателката не е ст</w:t>
      </w:r>
      <w:r w:rsidR="00DA6E8F" w:rsidRPr="00357ADB">
        <w:t>р</w:t>
      </w:r>
      <w:r w:rsidR="003E6345" w:rsidRPr="00357ADB">
        <w:t>ана в съдебното производство, властите нямат задължение да я уведомят за окончателното съдебно решение</w:t>
      </w:r>
      <w:r w:rsidR="008330EE" w:rsidRPr="00357ADB">
        <w:t>.</w:t>
      </w:r>
      <w:r w:rsidR="003E6345" w:rsidRPr="00357ADB">
        <w:t xml:space="preserve"> В резултат на това, съдът не уведомява адвоката й за окончателната присъда</w:t>
      </w:r>
      <w:r w:rsidR="008330EE" w:rsidRPr="00357ADB">
        <w:t>.</w:t>
      </w:r>
      <w:r w:rsidR="003E6345" w:rsidRPr="00357ADB">
        <w:t xml:space="preserve"> От друга страна, в изпълнение на разпореждането на съда за връщане на </w:t>
      </w:r>
      <w:r w:rsidR="00641E80" w:rsidRPr="00357ADB">
        <w:t>вещите</w:t>
      </w:r>
      <w:r w:rsidR="003E6345" w:rsidRPr="00357ADB">
        <w:t xml:space="preserve"> й</w:t>
      </w:r>
      <w:r w:rsidR="008330EE" w:rsidRPr="00357ADB">
        <w:t>,</w:t>
      </w:r>
      <w:r w:rsidR="003E6345" w:rsidRPr="00357ADB">
        <w:t xml:space="preserve"> съдът изпраща пет известия до жалбоподателката, с които я уведомява, че е </w:t>
      </w:r>
      <w:r w:rsidR="007A20B3" w:rsidRPr="00357ADB">
        <w:t>постановено</w:t>
      </w:r>
      <w:r w:rsidR="003E6345" w:rsidRPr="00357ADB">
        <w:t xml:space="preserve"> окончателно съдебно решение и я кани в деловодството да получи вещите си</w:t>
      </w:r>
      <w:r w:rsidR="008330EE" w:rsidRPr="00357ADB">
        <w:t>.</w:t>
      </w:r>
      <w:r w:rsidR="003E6345" w:rsidRPr="00357ADB">
        <w:t xml:space="preserve"> На </w:t>
      </w:r>
      <w:r w:rsidR="008330EE" w:rsidRPr="00357ADB">
        <w:t>21</w:t>
      </w:r>
      <w:r w:rsidR="003E6345" w:rsidRPr="00357ADB">
        <w:t xml:space="preserve"> ноември </w:t>
      </w:r>
      <w:r w:rsidR="008330EE" w:rsidRPr="00357ADB">
        <w:t>2016</w:t>
      </w:r>
      <w:r w:rsidR="003E6345" w:rsidRPr="00357ADB">
        <w:t xml:space="preserve"> г. тя е </w:t>
      </w:r>
      <w:r w:rsidR="00EA6D55">
        <w:t>уведомена</w:t>
      </w:r>
      <w:r w:rsidR="00EA6D55" w:rsidRPr="00357ADB">
        <w:t xml:space="preserve"> </w:t>
      </w:r>
      <w:r w:rsidR="003E6345" w:rsidRPr="00357ADB">
        <w:t>за едно от тези известия, явно чрез кметството, като негов представител се обажда по телефона на семейството й и ги уведомява</w:t>
      </w:r>
      <w:r w:rsidR="008330EE" w:rsidRPr="00357ADB">
        <w:t>.</w:t>
      </w:r>
      <w:r w:rsidR="003E6345" w:rsidRPr="00357ADB">
        <w:t xml:space="preserve"> Тъй като тя не се явява пред съда да вземе вещите си, съдът разпорежда те да бъдат унищожени през август </w:t>
      </w:r>
      <w:r w:rsidR="008330EE" w:rsidRPr="00357ADB">
        <w:t>2017</w:t>
      </w:r>
      <w:r w:rsidR="003E6345" w:rsidRPr="00357ADB">
        <w:t> г</w:t>
      </w:r>
      <w:r w:rsidR="008330EE" w:rsidRPr="00357ADB">
        <w:t>.</w:t>
      </w:r>
    </w:p>
    <w:p w:rsidR="008330EE" w:rsidRPr="00357ADB" w:rsidRDefault="00641E80" w:rsidP="00AE3E4D">
      <w:pPr>
        <w:pStyle w:val="JuHHead"/>
        <w:numPr>
          <w:ilvl w:val="0"/>
          <w:numId w:val="22"/>
        </w:numPr>
        <w:jc w:val="left"/>
      </w:pPr>
      <w:r w:rsidRPr="00357ADB">
        <w:lastRenderedPageBreak/>
        <w:t>ПРИЛОЖИМА ПРАВНА РАМКА И ПРАКТИКА</w:t>
      </w:r>
    </w:p>
    <w:p w:rsidR="008330EE" w:rsidRPr="00357ADB" w:rsidRDefault="008330EE" w:rsidP="00AE3E4D">
      <w:pPr>
        <w:pStyle w:val="JuHIRoman"/>
        <w:numPr>
          <w:ilvl w:val="1"/>
          <w:numId w:val="22"/>
        </w:numPr>
        <w:jc w:val="left"/>
      </w:pPr>
      <w:r w:rsidRPr="00357ADB">
        <w:t>Вътрешно право и практика</w:t>
      </w:r>
    </w:p>
    <w:p w:rsidR="008330EE" w:rsidRPr="00357ADB" w:rsidRDefault="00701932" w:rsidP="00AE3E4D">
      <w:pPr>
        <w:pStyle w:val="JuPara"/>
      </w:pPr>
      <w:fldSimple w:instr=" SEQ level0 \*arabic ">
        <w:r w:rsidR="00A5720B">
          <w:rPr>
            <w:noProof/>
          </w:rPr>
          <w:t>27</w:t>
        </w:r>
      </w:fldSimple>
      <w:r w:rsidR="008330EE" w:rsidRPr="00357ADB">
        <w:t>.  Съгласно чл. 151, а</w:t>
      </w:r>
      <w:r w:rsidR="00641E80" w:rsidRPr="00357ADB">
        <w:t xml:space="preserve">л. 1 от Наказателния кодекс </w:t>
      </w:r>
      <w:r w:rsidR="00EA6D55" w:rsidRPr="00EA6D55">
        <w:t xml:space="preserve">съвкуплението </w:t>
      </w:r>
      <w:r w:rsidR="008330EE" w:rsidRPr="00357ADB">
        <w:t>с лице</w:t>
      </w:r>
      <w:r w:rsidR="00A60C9D">
        <w:t>,</w:t>
      </w:r>
      <w:r w:rsidR="008330EE" w:rsidRPr="00357ADB">
        <w:t xml:space="preserve"> ненавършило 14-годишна възраст</w:t>
      </w:r>
      <w:r w:rsidR="00A60C9D">
        <w:t>,</w:t>
      </w:r>
      <w:r w:rsidR="008330EE" w:rsidRPr="00357ADB">
        <w:t xml:space="preserve"> е  престъпление</w:t>
      </w:r>
      <w:r w:rsidR="00A60C9D">
        <w:t>, което се наказва</w:t>
      </w:r>
      <w:r w:rsidR="008330EE" w:rsidRPr="00357ADB">
        <w:t xml:space="preserve"> с между две и шест години лишаване от свобода. Съгласието не е валидна защита в такива случаи.</w:t>
      </w:r>
    </w:p>
    <w:p w:rsidR="008330EE" w:rsidRPr="00357ADB" w:rsidRDefault="00701932" w:rsidP="00AE3E4D">
      <w:pPr>
        <w:pStyle w:val="JuPara"/>
      </w:pPr>
      <w:fldSimple w:instr=" SEQ level0 \*arabic ">
        <w:r w:rsidR="00A5720B">
          <w:rPr>
            <w:noProof/>
          </w:rPr>
          <w:t>28</w:t>
        </w:r>
      </w:fldSimple>
      <w:r w:rsidR="004B5F1C" w:rsidRPr="00357ADB">
        <w:t>.  Чл. </w:t>
      </w:r>
      <w:r w:rsidR="008330EE" w:rsidRPr="00357ADB">
        <w:t>152</w:t>
      </w:r>
      <w:r w:rsidR="004B5F1C" w:rsidRPr="00357ADB">
        <w:t>, ал. </w:t>
      </w:r>
      <w:r w:rsidR="008330EE" w:rsidRPr="00357ADB">
        <w:t>1 от Наказателния кодекс определя изнасилването като:</w:t>
      </w:r>
    </w:p>
    <w:p w:rsidR="008330EE" w:rsidRPr="00357ADB" w:rsidRDefault="004B5F1C" w:rsidP="00AE3E4D">
      <w:pPr>
        <w:pStyle w:val="JuQuot"/>
      </w:pPr>
      <w:r w:rsidRPr="00357ADB">
        <w:t>„</w:t>
      </w:r>
      <w:proofErr w:type="spellStart"/>
      <w:r w:rsidR="002E0097" w:rsidRPr="002E0097">
        <w:t>съвъкупление</w:t>
      </w:r>
      <w:proofErr w:type="spellEnd"/>
      <w:r w:rsidR="002E0097" w:rsidRPr="002E0097">
        <w:t xml:space="preserve"> </w:t>
      </w:r>
      <w:r w:rsidR="008330EE" w:rsidRPr="00357ADB">
        <w:t>с лице от женски пол,</w:t>
      </w:r>
    </w:p>
    <w:p w:rsidR="008330EE" w:rsidRPr="00357ADB" w:rsidRDefault="008330EE" w:rsidP="00AE3E4D">
      <w:pPr>
        <w:pStyle w:val="JuQuot"/>
      </w:pPr>
      <w:r w:rsidRPr="00357ADB">
        <w:t>(1) лишено от възможност за самоотбрана, и то без негово съгласие;</w:t>
      </w:r>
    </w:p>
    <w:p w:rsidR="008330EE" w:rsidRPr="00357ADB" w:rsidRDefault="008330EE" w:rsidP="00AE3E4D">
      <w:pPr>
        <w:pStyle w:val="JuQuot"/>
      </w:pPr>
      <w:r w:rsidRPr="00357ADB">
        <w:t>(2) като го принуди към това със сила или заплашване;</w:t>
      </w:r>
    </w:p>
    <w:p w:rsidR="008330EE" w:rsidRPr="00357ADB" w:rsidRDefault="008330EE" w:rsidP="00AE3E4D">
      <w:pPr>
        <w:pStyle w:val="JuQuot"/>
      </w:pPr>
      <w:r w:rsidRPr="00357ADB">
        <w:t>(3) като го приведе в безпомощно състояние.</w:t>
      </w:r>
      <w:r w:rsidR="00553C97" w:rsidRPr="00357ADB">
        <w:t>“</w:t>
      </w:r>
    </w:p>
    <w:p w:rsidR="008330EE" w:rsidRPr="00357ADB" w:rsidRDefault="008330EE" w:rsidP="00AE3E4D">
      <w:pPr>
        <w:pStyle w:val="JuPara"/>
      </w:pPr>
      <w:r w:rsidRPr="00357ADB">
        <w:t>Макар че липсата на съгласие е посочена изрично само в първата алинея, Върховният съд приема, че това е елемент, присъщ на цялата разпоредба.</w:t>
      </w:r>
    </w:p>
    <w:p w:rsidR="008330EE" w:rsidRPr="00357ADB" w:rsidRDefault="00701932" w:rsidP="00AE3E4D">
      <w:pPr>
        <w:pStyle w:val="JuPara"/>
      </w:pPr>
      <w:fldSimple w:instr=" SEQ level0 \*arabic ">
        <w:r w:rsidR="00A5720B">
          <w:rPr>
            <w:noProof/>
          </w:rPr>
          <w:t>29</w:t>
        </w:r>
      </w:fldSimple>
      <w:r w:rsidR="00553C97" w:rsidRPr="00357ADB">
        <w:t>.  Съгласно чл. 152, ал. </w:t>
      </w:r>
      <w:r w:rsidR="008330EE" w:rsidRPr="00357ADB">
        <w:t>4, т.</w:t>
      </w:r>
      <w:r w:rsidR="00553C97" w:rsidRPr="00357ADB">
        <w:t> </w:t>
      </w:r>
      <w:r w:rsidR="008330EE" w:rsidRPr="00357ADB">
        <w:t xml:space="preserve">1 от Наказателния кодекс, наказанието за изнасилване </w:t>
      </w:r>
      <w:r w:rsidR="00A60C9D">
        <w:t>е</w:t>
      </w:r>
      <w:r w:rsidR="00A60C9D" w:rsidRPr="00357ADB">
        <w:t xml:space="preserve"> </w:t>
      </w:r>
      <w:r w:rsidR="008330EE" w:rsidRPr="00357ADB">
        <w:t xml:space="preserve">между десет и двадесет години лишаване от свобода ако жертвата не е навършила четиринадесет години. </w:t>
      </w:r>
      <w:r w:rsidR="00553C97" w:rsidRPr="00357ADB">
        <w:t>Опит за самоубийство</w:t>
      </w:r>
      <w:r w:rsidR="00A60C9D">
        <w:t xml:space="preserve"> от страна на жертвата</w:t>
      </w:r>
      <w:r w:rsidR="00553C97" w:rsidRPr="00357ADB">
        <w:t xml:space="preserve"> след изнасилването, независимо от възрастта </w:t>
      </w:r>
      <w:r w:rsidR="00A60C9D">
        <w:t>й</w:t>
      </w:r>
      <w:r w:rsidR="00553C97" w:rsidRPr="00357ADB">
        <w:t xml:space="preserve">, се смята за утежняващо обстоятелство и престъплението се наказва с </w:t>
      </w:r>
      <w:r w:rsidR="00A60C9D">
        <w:t xml:space="preserve">от </w:t>
      </w:r>
      <w:r w:rsidR="00553C97" w:rsidRPr="00357ADB">
        <w:t>пет до петнадесет години лишаване от свобода</w:t>
      </w:r>
      <w:r w:rsidR="008330EE" w:rsidRPr="00357ADB">
        <w:t>.</w:t>
      </w:r>
    </w:p>
    <w:p w:rsidR="008330EE" w:rsidRPr="00357ADB" w:rsidRDefault="00701932" w:rsidP="00AE3E4D">
      <w:pPr>
        <w:pStyle w:val="JuPara"/>
      </w:pPr>
      <w:fldSimple w:instr=" SEQ level0 \*arabic ">
        <w:r w:rsidR="00A5720B">
          <w:rPr>
            <w:noProof/>
          </w:rPr>
          <w:t>30</w:t>
        </w:r>
      </w:fldSimple>
      <w:r w:rsidR="008330EE" w:rsidRPr="00357ADB">
        <w:t>.  </w:t>
      </w:r>
      <w:r w:rsidR="000462CE" w:rsidRPr="00357ADB">
        <w:t>Съответният районен съд е компетентен да разглежда дела за престъпления по чл. </w:t>
      </w:r>
      <w:r w:rsidR="008330EE" w:rsidRPr="00357ADB">
        <w:t>151</w:t>
      </w:r>
      <w:r w:rsidR="000462CE" w:rsidRPr="00357ADB">
        <w:t>, ал. </w:t>
      </w:r>
      <w:r w:rsidR="008330EE" w:rsidRPr="00357ADB">
        <w:t>1</w:t>
      </w:r>
      <w:r w:rsidR="000462CE" w:rsidRPr="00357ADB">
        <w:t xml:space="preserve"> НК </w:t>
      </w:r>
      <w:r w:rsidR="008330EE" w:rsidRPr="00357ADB">
        <w:t>(</w:t>
      </w:r>
      <w:r w:rsidR="000462CE" w:rsidRPr="00357ADB">
        <w:t>чл. </w:t>
      </w:r>
      <w:r w:rsidR="008330EE" w:rsidRPr="00357ADB">
        <w:t>35</w:t>
      </w:r>
      <w:r w:rsidR="000462CE" w:rsidRPr="00357ADB">
        <w:t>, ал. </w:t>
      </w:r>
      <w:r w:rsidR="008330EE" w:rsidRPr="00357ADB">
        <w:t>1</w:t>
      </w:r>
      <w:r w:rsidR="000462CE" w:rsidRPr="00357ADB">
        <w:t xml:space="preserve"> </w:t>
      </w:r>
      <w:r w:rsidR="00C22DC4">
        <w:t xml:space="preserve">от </w:t>
      </w:r>
      <w:r w:rsidR="000462CE" w:rsidRPr="00357ADB">
        <w:t>НПК</w:t>
      </w:r>
      <w:r w:rsidR="008330EE" w:rsidRPr="00357ADB">
        <w:t>),</w:t>
      </w:r>
      <w:r w:rsidR="000462CE" w:rsidRPr="00357ADB">
        <w:t xml:space="preserve"> </w:t>
      </w:r>
      <w:r w:rsidR="00B63426" w:rsidRPr="00357ADB">
        <w:t>а</w:t>
      </w:r>
      <w:r w:rsidR="000462CE" w:rsidRPr="00357ADB">
        <w:t xml:space="preserve"> съответният окръжен съд като първа инстанция е компетентен </w:t>
      </w:r>
      <w:r w:rsidR="000462CE" w:rsidRPr="00357ADB">
        <w:lastRenderedPageBreak/>
        <w:t>да разглежда дела за престъпления по чл. </w:t>
      </w:r>
      <w:r w:rsidR="008330EE" w:rsidRPr="00357ADB">
        <w:t>152</w:t>
      </w:r>
      <w:r w:rsidR="000462CE" w:rsidRPr="00357ADB">
        <w:t>, ал. </w:t>
      </w:r>
      <w:r w:rsidR="008330EE" w:rsidRPr="00357ADB">
        <w:t>4</w:t>
      </w:r>
      <w:r w:rsidR="000462CE" w:rsidRPr="00357ADB">
        <w:t>, т. </w:t>
      </w:r>
      <w:r w:rsidR="008330EE" w:rsidRPr="00357ADB">
        <w:t>1</w:t>
      </w:r>
      <w:r w:rsidR="000462CE" w:rsidRPr="00357ADB">
        <w:t xml:space="preserve"> НК (чл. </w:t>
      </w:r>
      <w:r w:rsidR="008330EE" w:rsidRPr="00357ADB">
        <w:t>35</w:t>
      </w:r>
      <w:r w:rsidR="000462CE" w:rsidRPr="00357ADB">
        <w:t>, ал. </w:t>
      </w:r>
      <w:r w:rsidR="008330EE" w:rsidRPr="00357ADB">
        <w:t>2</w:t>
      </w:r>
      <w:r w:rsidR="000462CE" w:rsidRPr="00357ADB">
        <w:t xml:space="preserve"> </w:t>
      </w:r>
      <w:r w:rsidR="00C22DC4">
        <w:t xml:space="preserve">от </w:t>
      </w:r>
      <w:r w:rsidR="000462CE" w:rsidRPr="00357ADB">
        <w:t>НПК</w:t>
      </w:r>
      <w:r w:rsidR="008330EE" w:rsidRPr="00357ADB">
        <w:t>).</w:t>
      </w:r>
    </w:p>
    <w:p w:rsidR="008330EE" w:rsidRPr="00357ADB" w:rsidRDefault="00701932" w:rsidP="00AE3E4D">
      <w:pPr>
        <w:pStyle w:val="JuPara"/>
      </w:pPr>
      <w:fldSimple w:instr=" SEQ level0 \*arabic ">
        <w:r w:rsidR="00A5720B">
          <w:rPr>
            <w:noProof/>
          </w:rPr>
          <w:t>31</w:t>
        </w:r>
      </w:fldSimple>
      <w:r w:rsidR="008330EE" w:rsidRPr="00357ADB">
        <w:t>.  </w:t>
      </w:r>
      <w:r w:rsidR="005635B4" w:rsidRPr="00357ADB">
        <w:t xml:space="preserve">След завеждането на дело пред първоинстанционния съд, съдията докладчик проверява </w:t>
      </w:r>
      <w:r w:rsidR="00C22DC4">
        <w:t>наред с</w:t>
      </w:r>
      <w:r w:rsidR="00C22DC4" w:rsidRPr="00357ADB">
        <w:t xml:space="preserve"> </w:t>
      </w:r>
      <w:r w:rsidR="005635B4" w:rsidRPr="00357ADB">
        <w:t xml:space="preserve">други неща и дали на досъдебната фаза има нарушения на процесуалните правила, водещи до ограничаване на правата на обвиняемия или жертвата (чл. 248 </w:t>
      </w:r>
      <w:r w:rsidR="00C22DC4">
        <w:t xml:space="preserve">от </w:t>
      </w:r>
      <w:r w:rsidR="00636438" w:rsidRPr="00357ADB">
        <w:t>НПК</w:t>
      </w:r>
      <w:r w:rsidR="005635B4" w:rsidRPr="00357ADB">
        <w:t xml:space="preserve"> съгласно формулировката към съответния момент</w:t>
      </w:r>
      <w:r w:rsidR="008330EE" w:rsidRPr="00357ADB">
        <w:t xml:space="preserve">). </w:t>
      </w:r>
      <w:r w:rsidR="00636438" w:rsidRPr="00357ADB">
        <w:t xml:space="preserve">Ако е така, съдията прекратява съдебното производство и връща делото на прокурора за отстраняване на констатираните нарушения (чл. </w:t>
      </w:r>
      <w:r w:rsidR="008330EE" w:rsidRPr="00357ADB">
        <w:t>249</w:t>
      </w:r>
      <w:r w:rsidR="00C22DC4">
        <w:t xml:space="preserve"> от</w:t>
      </w:r>
      <w:r w:rsidR="00636438" w:rsidRPr="00357ADB">
        <w:t xml:space="preserve"> НПК съгласно формулировката към съответния момент</w:t>
      </w:r>
      <w:r w:rsidR="008330EE" w:rsidRPr="00357ADB">
        <w:t>).</w:t>
      </w:r>
    </w:p>
    <w:p w:rsidR="008330EE" w:rsidRPr="00357ADB" w:rsidRDefault="00701932" w:rsidP="00AE3E4D">
      <w:pPr>
        <w:pStyle w:val="JuPara"/>
      </w:pPr>
      <w:fldSimple w:instr=" SEQ level0 \*arabic ">
        <w:r w:rsidR="00A5720B">
          <w:rPr>
            <w:noProof/>
          </w:rPr>
          <w:t>32</w:t>
        </w:r>
      </w:fldSimple>
      <w:r w:rsidR="008330EE" w:rsidRPr="00357ADB">
        <w:t>.  </w:t>
      </w:r>
      <w:r w:rsidR="00F03F43" w:rsidRPr="00357ADB">
        <w:t xml:space="preserve">Първоинстанционният съд връща дело на съответния прокурор съгласно чл. </w:t>
      </w:r>
      <w:r w:rsidR="008330EE" w:rsidRPr="00357ADB">
        <w:t>288</w:t>
      </w:r>
      <w:r w:rsidR="00C22DC4">
        <w:t xml:space="preserve"> от</w:t>
      </w:r>
      <w:r w:rsidR="00F03F43" w:rsidRPr="00357ADB">
        <w:t xml:space="preserve"> НПК, ако нарушение на процесуалните правила в досъдебното производство </w:t>
      </w:r>
      <w:r w:rsidR="00C22DC4">
        <w:t>води</w:t>
      </w:r>
      <w:r w:rsidR="00F03F43" w:rsidRPr="00357ADB">
        <w:t xml:space="preserve"> до ограничаване на процесуалните права на обвиняеми</w:t>
      </w:r>
      <w:r w:rsidR="00533003" w:rsidRPr="00357ADB">
        <w:t>я</w:t>
      </w:r>
      <w:r w:rsidR="00F03F43" w:rsidRPr="00357ADB">
        <w:t xml:space="preserve"> или ако в съдебно заседание се установи, че наказуемото деяни</w:t>
      </w:r>
      <w:r w:rsidR="00533003" w:rsidRPr="00357ADB">
        <w:t>е</w:t>
      </w:r>
      <w:r w:rsidR="00F03F43" w:rsidRPr="00357ADB">
        <w:t xml:space="preserve"> </w:t>
      </w:r>
      <w:r w:rsidR="00533003" w:rsidRPr="00357ADB">
        <w:t xml:space="preserve">представлява </w:t>
      </w:r>
      <w:r w:rsidR="00F03F43" w:rsidRPr="00357ADB">
        <w:t xml:space="preserve">престъпление, по което компетентен е висшестоящ съд </w:t>
      </w:r>
      <w:r w:rsidR="008330EE" w:rsidRPr="00357ADB">
        <w:t>(</w:t>
      </w:r>
      <w:r w:rsidR="00F03F43" w:rsidRPr="00357ADB">
        <w:rPr>
          <w:rFonts w:ascii="Times New Roman" w:hAnsi="Times New Roman"/>
        </w:rPr>
        <w:t xml:space="preserve">вж. </w:t>
      </w:r>
      <w:r w:rsidR="008330EE" w:rsidRPr="00357ADB">
        <w:rPr>
          <w:rFonts w:ascii="Times New Roman" w:hAnsi="Times New Roman"/>
        </w:rPr>
        <w:t xml:space="preserve">опр. № 2330 от 17.11.2014 г. на РС-Варна по н.ч.х.д. № 2500/ 2014г. </w:t>
      </w:r>
      <w:r w:rsidR="00533003" w:rsidRPr="00357ADB">
        <w:rPr>
          <w:rFonts w:ascii="Times New Roman" w:hAnsi="Times New Roman"/>
        </w:rPr>
        <w:t>и</w:t>
      </w:r>
      <w:r w:rsidR="008330EE" w:rsidRPr="00357ADB">
        <w:rPr>
          <w:rFonts w:ascii="Times New Roman" w:hAnsi="Times New Roman"/>
        </w:rPr>
        <w:t xml:space="preserve"> опр. № 164 от 2.02.2018 г. на РС-Пловдив по н.о.х.д. № 3502/ 2017г.).</w:t>
      </w:r>
      <w:r w:rsidR="008330EE" w:rsidRPr="00357ADB">
        <w:t xml:space="preserve"> </w:t>
      </w:r>
      <w:r w:rsidR="00067ED6" w:rsidRPr="00357ADB">
        <w:t xml:space="preserve">Съдилищата прилагат тази разпоредба, когато установят, че фактическото описание на деянието не отговаря на дадената правна квалификация, като приемат, че това се е отразило отрицателно на процесуалните права на обвиняемия </w:t>
      </w:r>
      <w:r w:rsidR="008330EE" w:rsidRPr="00357ADB">
        <w:t>(</w:t>
      </w:r>
      <w:r w:rsidR="008330EE" w:rsidRPr="00357ADB">
        <w:rPr>
          <w:rFonts w:ascii="Times New Roman" w:hAnsi="Times New Roman"/>
        </w:rPr>
        <w:t>опр. 137 от 28.04.2010 г. на РС-Велинград по н.о.х.д. № 176/ 2010г</w:t>
      </w:r>
      <w:r w:rsidR="008330EE" w:rsidRPr="00357ADB">
        <w:t>.).</w:t>
      </w:r>
    </w:p>
    <w:p w:rsidR="008330EE" w:rsidRPr="00357ADB" w:rsidRDefault="00701932" w:rsidP="00AE3E4D">
      <w:pPr>
        <w:pStyle w:val="JuPara"/>
      </w:pPr>
      <w:fldSimple w:instr=" SEQ level0 \*arabic ">
        <w:r w:rsidR="00A5720B">
          <w:rPr>
            <w:noProof/>
          </w:rPr>
          <w:t>33</w:t>
        </w:r>
      </w:fldSimple>
      <w:r w:rsidR="008330EE" w:rsidRPr="00357ADB">
        <w:t>.  </w:t>
      </w:r>
      <w:r w:rsidR="002E447A" w:rsidRPr="00357ADB">
        <w:t>Принцип на наказателното процесуално право е, че по време на съдебната фаза съдът отново събира доказателства</w:t>
      </w:r>
      <w:r w:rsidR="008330EE" w:rsidRPr="00357ADB">
        <w:t>.</w:t>
      </w:r>
      <w:r w:rsidR="003F4219" w:rsidRPr="00357ADB">
        <w:t xml:space="preserve"> Съкратеното съдебно следствие, предвидено в чл. </w:t>
      </w:r>
      <w:r w:rsidR="008330EE" w:rsidRPr="00357ADB">
        <w:t>370</w:t>
      </w:r>
      <w:r w:rsidR="003F4219" w:rsidRPr="00357ADB">
        <w:t xml:space="preserve"> до чл. </w:t>
      </w:r>
      <w:r w:rsidR="008330EE" w:rsidRPr="00357ADB">
        <w:t>374</w:t>
      </w:r>
      <w:r w:rsidR="003F4219" w:rsidRPr="00357ADB">
        <w:t xml:space="preserve"> </w:t>
      </w:r>
      <w:r w:rsidR="005B4E84">
        <w:t xml:space="preserve">от </w:t>
      </w:r>
      <w:r w:rsidR="003F4219" w:rsidRPr="00357ADB">
        <w:t>НПК, представлява изключение от това правило</w:t>
      </w:r>
      <w:r w:rsidR="008330EE" w:rsidRPr="00357ADB">
        <w:t>.</w:t>
      </w:r>
      <w:r w:rsidR="003F4219" w:rsidRPr="00357ADB">
        <w:t xml:space="preserve"> То </w:t>
      </w:r>
      <w:r w:rsidR="003F4219" w:rsidRPr="00357ADB">
        <w:lastRenderedPageBreak/>
        <w:t xml:space="preserve">може да бъде поискано от обвиняемия в първото съдебно заседание или от съда </w:t>
      </w:r>
      <w:r w:rsidR="002579CF" w:rsidRPr="00357ADB">
        <w:t>служебно</w:t>
      </w:r>
      <w:r w:rsidR="003F4219" w:rsidRPr="00357ADB">
        <w:t xml:space="preserve"> и се развива по следния начин</w:t>
      </w:r>
      <w:r w:rsidR="008330EE" w:rsidRPr="00357ADB">
        <w:t xml:space="preserve">. </w:t>
      </w:r>
      <w:r w:rsidR="002579CF" w:rsidRPr="00357ADB">
        <w:t>Всички страни в съдебното производство се съгласяват, че не е необходимо съдът да разпитва дадени свидетели или вещи лица</w:t>
      </w:r>
      <w:r w:rsidR="008330EE" w:rsidRPr="00357ADB">
        <w:t xml:space="preserve">. </w:t>
      </w:r>
      <w:r w:rsidR="002579CF" w:rsidRPr="00357ADB">
        <w:t xml:space="preserve">Това означава, че съдът трябва да използва протоколите от разпитите им в досъдебното производство </w:t>
      </w:r>
      <w:r w:rsidR="008330EE" w:rsidRPr="00357ADB">
        <w:t>(</w:t>
      </w:r>
      <w:r w:rsidR="002579CF" w:rsidRPr="00357ADB">
        <w:t xml:space="preserve">чл. </w:t>
      </w:r>
      <w:r w:rsidR="008330EE" w:rsidRPr="00357ADB">
        <w:t>371</w:t>
      </w:r>
      <w:r w:rsidR="002579CF" w:rsidRPr="00357ADB">
        <w:t>, ал. </w:t>
      </w:r>
      <w:r w:rsidR="008330EE" w:rsidRPr="00357ADB">
        <w:t>1</w:t>
      </w:r>
      <w:r w:rsidR="002579CF" w:rsidRPr="00357ADB">
        <w:t xml:space="preserve"> и чл. </w:t>
      </w:r>
      <w:r w:rsidR="008330EE" w:rsidRPr="00357ADB">
        <w:t>373</w:t>
      </w:r>
      <w:r w:rsidR="002579CF" w:rsidRPr="00357ADB">
        <w:t>, ал. </w:t>
      </w:r>
      <w:r w:rsidR="008330EE" w:rsidRPr="00357ADB">
        <w:t>1</w:t>
      </w:r>
      <w:r w:rsidR="002579CF" w:rsidRPr="00357ADB">
        <w:t xml:space="preserve"> </w:t>
      </w:r>
      <w:r w:rsidR="005B4E84">
        <w:t xml:space="preserve">от </w:t>
      </w:r>
      <w:r w:rsidR="002579CF" w:rsidRPr="00357ADB">
        <w:t>НПК</w:t>
      </w:r>
      <w:r w:rsidR="008330EE" w:rsidRPr="00357ADB">
        <w:t xml:space="preserve">). </w:t>
      </w:r>
      <w:r w:rsidR="00626222" w:rsidRPr="00357ADB">
        <w:t xml:space="preserve">Обвиняемият може да признае изцяло фактите, изложени в обвинителния акт, като се съгласи да не се събират допълнителни доказателства </w:t>
      </w:r>
      <w:r w:rsidR="008330EE" w:rsidRPr="00357ADB">
        <w:t>(</w:t>
      </w:r>
      <w:r w:rsidR="00626222" w:rsidRPr="00357ADB">
        <w:t>чл. </w:t>
      </w:r>
      <w:r w:rsidR="008330EE" w:rsidRPr="00357ADB">
        <w:t>371</w:t>
      </w:r>
      <w:r w:rsidR="00626222" w:rsidRPr="00357ADB">
        <w:t>, ал. </w:t>
      </w:r>
      <w:r w:rsidR="008330EE" w:rsidRPr="00357ADB">
        <w:t>2</w:t>
      </w:r>
      <w:r w:rsidR="00626222" w:rsidRPr="00357ADB">
        <w:t xml:space="preserve"> </w:t>
      </w:r>
      <w:r w:rsidR="005B4E84">
        <w:t xml:space="preserve">от </w:t>
      </w:r>
      <w:r w:rsidR="00626222" w:rsidRPr="00357ADB">
        <w:t>НПК</w:t>
      </w:r>
      <w:r w:rsidR="008330EE" w:rsidRPr="00357ADB">
        <w:t>).</w:t>
      </w:r>
      <w:r w:rsidR="00626222" w:rsidRPr="00357ADB">
        <w:t xml:space="preserve"> В този случай, съдът следва да провери дали признанието се подкрепя от доказателствата, събрани в досъдебното производство, и да приеме фактите в обвинителния акт за доказани без да провежда разпити </w:t>
      </w:r>
      <w:r w:rsidR="008330EE" w:rsidRPr="00357ADB">
        <w:t>(</w:t>
      </w:r>
      <w:r w:rsidR="00626222" w:rsidRPr="00357ADB">
        <w:t>чл. </w:t>
      </w:r>
      <w:r w:rsidR="008330EE" w:rsidRPr="00357ADB">
        <w:t>373</w:t>
      </w:r>
      <w:r w:rsidR="00626222" w:rsidRPr="00357ADB">
        <w:t>, ал. </w:t>
      </w:r>
      <w:r w:rsidR="008330EE" w:rsidRPr="00357ADB">
        <w:t>2</w:t>
      </w:r>
      <w:r w:rsidR="00626222" w:rsidRPr="00357ADB">
        <w:t xml:space="preserve"> и </w:t>
      </w:r>
      <w:r w:rsidR="008330EE" w:rsidRPr="00357ADB">
        <w:t>3</w:t>
      </w:r>
      <w:r w:rsidR="00626222" w:rsidRPr="00357ADB">
        <w:t xml:space="preserve"> </w:t>
      </w:r>
      <w:r w:rsidR="003850A7">
        <w:t xml:space="preserve">от </w:t>
      </w:r>
      <w:r w:rsidR="00626222" w:rsidRPr="00357ADB">
        <w:t>НПК</w:t>
      </w:r>
      <w:r w:rsidR="008330EE" w:rsidRPr="00357ADB">
        <w:t>).</w:t>
      </w:r>
      <w:r w:rsidR="00AC4305" w:rsidRPr="00357ADB">
        <w:t xml:space="preserve"> Съгласно чл. </w:t>
      </w:r>
      <w:r w:rsidR="008330EE" w:rsidRPr="00357ADB">
        <w:t>373</w:t>
      </w:r>
      <w:r w:rsidR="00AC4305" w:rsidRPr="00357ADB">
        <w:t>, ал. </w:t>
      </w:r>
      <w:r w:rsidR="008330EE" w:rsidRPr="00357ADB">
        <w:t>2</w:t>
      </w:r>
      <w:r w:rsidR="00AC4305" w:rsidRPr="00357ADB">
        <w:t xml:space="preserve"> </w:t>
      </w:r>
      <w:r w:rsidR="003850A7">
        <w:t xml:space="preserve">от </w:t>
      </w:r>
      <w:r w:rsidR="00AC4305" w:rsidRPr="00357ADB">
        <w:t>НПК, при това положение съдът намалява наказанието с една трета съгласно чл. </w:t>
      </w:r>
      <w:r w:rsidR="008330EE" w:rsidRPr="00357ADB">
        <w:t>58a</w:t>
      </w:r>
      <w:r w:rsidR="00AC4305" w:rsidRPr="00357ADB">
        <w:t> </w:t>
      </w:r>
      <w:r w:rsidR="003850A7">
        <w:t xml:space="preserve">от </w:t>
      </w:r>
      <w:r w:rsidR="00AC4305" w:rsidRPr="00357ADB">
        <w:t>НК</w:t>
      </w:r>
      <w:r w:rsidR="008330EE" w:rsidRPr="00357ADB">
        <w:t>.</w:t>
      </w:r>
    </w:p>
    <w:p w:rsidR="008330EE" w:rsidRPr="00357ADB" w:rsidRDefault="00701932" w:rsidP="00AE3E4D">
      <w:pPr>
        <w:pStyle w:val="JuPara"/>
      </w:pPr>
      <w:fldSimple w:instr=" SEQ level0 \*arabic ">
        <w:r w:rsidR="00A5720B">
          <w:rPr>
            <w:noProof/>
          </w:rPr>
          <w:t>34</w:t>
        </w:r>
      </w:fldSimple>
      <w:r w:rsidR="008330EE" w:rsidRPr="00357ADB">
        <w:t>.  </w:t>
      </w:r>
      <w:r w:rsidR="007A20B3" w:rsidRPr="00357ADB">
        <w:t>Когато</w:t>
      </w:r>
      <w:r w:rsidR="00045E51" w:rsidRPr="00357ADB">
        <w:t xml:space="preserve"> съдът постанови лишаване от свобода до три години, той може да отложи изпълнението </w:t>
      </w:r>
      <w:r w:rsidR="00816457">
        <w:t xml:space="preserve">на наказанието </w:t>
      </w:r>
      <w:r w:rsidR="00045E51" w:rsidRPr="00357ADB">
        <w:t xml:space="preserve">за период от три до пет години, ако лицето не е осъждано  и ако съдът </w:t>
      </w:r>
      <w:r w:rsidR="003850A7">
        <w:t>счита</w:t>
      </w:r>
      <w:r w:rsidR="00045E51" w:rsidRPr="00357ADB">
        <w:t xml:space="preserve">, че действителното изтърпяване на наказанието не е задължително, за да се поправи осъденото лице </w:t>
      </w:r>
      <w:r w:rsidR="008330EE" w:rsidRPr="00357ADB">
        <w:t>(</w:t>
      </w:r>
      <w:r w:rsidR="00045E51" w:rsidRPr="00357ADB">
        <w:t>чл. </w:t>
      </w:r>
      <w:r w:rsidR="008330EE" w:rsidRPr="00357ADB">
        <w:t>66</w:t>
      </w:r>
      <w:r w:rsidR="00045E51" w:rsidRPr="00357ADB">
        <w:t xml:space="preserve"> </w:t>
      </w:r>
      <w:r w:rsidR="004F6A9B">
        <w:t xml:space="preserve">от </w:t>
      </w:r>
      <w:r w:rsidR="00045E51" w:rsidRPr="00357ADB">
        <w:t>НК</w:t>
      </w:r>
      <w:r w:rsidR="008330EE" w:rsidRPr="00357ADB">
        <w:t>).</w:t>
      </w:r>
    </w:p>
    <w:p w:rsidR="008330EE" w:rsidRPr="00357ADB" w:rsidRDefault="008330EE" w:rsidP="00AE3E4D">
      <w:pPr>
        <w:pStyle w:val="JuPara"/>
        <w:rPr>
          <w:rFonts w:ascii="Times New Roman" w:hAnsi="Times New Roman" w:cs="Times New Roman"/>
        </w:rPr>
      </w:pPr>
      <w:r w:rsidRPr="00357ADB">
        <w:rPr>
          <w:rFonts w:ascii="Times New Roman" w:hAnsi="Times New Roman" w:cs="Times New Roman"/>
        </w:rPr>
        <w:fldChar w:fldCharType="begin"/>
      </w:r>
      <w:r w:rsidRPr="00357ADB">
        <w:rPr>
          <w:rFonts w:ascii="Times New Roman" w:hAnsi="Times New Roman" w:cs="Times New Roman"/>
        </w:rPr>
        <w:instrText xml:space="preserve"> SEQ level0 \*arabic </w:instrText>
      </w:r>
      <w:r w:rsidRPr="00357ADB">
        <w:rPr>
          <w:rFonts w:ascii="Times New Roman" w:hAnsi="Times New Roman" w:cs="Times New Roman"/>
        </w:rPr>
        <w:fldChar w:fldCharType="separate"/>
      </w:r>
      <w:r w:rsidR="00A5720B">
        <w:rPr>
          <w:rFonts w:ascii="Times New Roman" w:hAnsi="Times New Roman" w:cs="Times New Roman"/>
          <w:noProof/>
        </w:rPr>
        <w:t>35</w:t>
      </w:r>
      <w:r w:rsidRPr="00357ADB">
        <w:rPr>
          <w:rFonts w:ascii="Times New Roman" w:hAnsi="Times New Roman" w:cs="Times New Roman"/>
        </w:rPr>
        <w:fldChar w:fldCharType="end"/>
      </w:r>
      <w:r w:rsidRPr="00357ADB">
        <w:rPr>
          <w:rFonts w:ascii="Times New Roman" w:hAnsi="Times New Roman"/>
        </w:rPr>
        <w:t>.  </w:t>
      </w:r>
      <w:r w:rsidR="006916F6" w:rsidRPr="00357ADB">
        <w:rPr>
          <w:rFonts w:ascii="Times New Roman" w:hAnsi="Times New Roman"/>
        </w:rPr>
        <w:t xml:space="preserve">Когато в съдебното производство пред първоинстанционния съд прокурорът установи основания за изменение на обстоятелствата по обвинителния акт или за прилагане на закон, който предвижда по-тежко наказание за престъплението, той следва да измени обвинението (чл. </w:t>
      </w:r>
      <w:r w:rsidRPr="00357ADB">
        <w:rPr>
          <w:rFonts w:ascii="Times New Roman" w:hAnsi="Times New Roman"/>
        </w:rPr>
        <w:t>287</w:t>
      </w:r>
      <w:r w:rsidR="006916F6" w:rsidRPr="00357ADB">
        <w:rPr>
          <w:rFonts w:ascii="Times New Roman" w:hAnsi="Times New Roman"/>
        </w:rPr>
        <w:t>, ал. </w:t>
      </w:r>
      <w:r w:rsidRPr="00357ADB">
        <w:rPr>
          <w:sz w:val="23"/>
          <w:szCs w:val="23"/>
        </w:rPr>
        <w:t>1</w:t>
      </w:r>
      <w:r w:rsidR="006916F6" w:rsidRPr="00357ADB">
        <w:rPr>
          <w:sz w:val="23"/>
          <w:szCs w:val="23"/>
        </w:rPr>
        <w:t xml:space="preserve"> </w:t>
      </w:r>
      <w:r w:rsidR="004F6A9B">
        <w:rPr>
          <w:sz w:val="23"/>
          <w:szCs w:val="23"/>
        </w:rPr>
        <w:t xml:space="preserve">от </w:t>
      </w:r>
      <w:r w:rsidR="006916F6" w:rsidRPr="00357ADB">
        <w:rPr>
          <w:sz w:val="23"/>
          <w:szCs w:val="23"/>
        </w:rPr>
        <w:t>НПК</w:t>
      </w:r>
      <w:r w:rsidRPr="00357ADB">
        <w:rPr>
          <w:rFonts w:ascii="Times New Roman" w:hAnsi="Times New Roman"/>
        </w:rPr>
        <w:t xml:space="preserve">). </w:t>
      </w:r>
      <w:r w:rsidR="005347EB" w:rsidRPr="00357ADB">
        <w:rPr>
          <w:rFonts w:ascii="Times New Roman" w:hAnsi="Times New Roman"/>
        </w:rPr>
        <w:t xml:space="preserve">Съдът следва да прекрати съдебното производство и да върне делото на съответния прокурор, ако новото обвинение е за престъпление, което е подсъдно на </w:t>
      </w:r>
      <w:r w:rsidR="00816457">
        <w:rPr>
          <w:rFonts w:ascii="Times New Roman" w:hAnsi="Times New Roman"/>
        </w:rPr>
        <w:t>горе</w:t>
      </w:r>
      <w:r w:rsidR="005347EB" w:rsidRPr="00357ADB">
        <w:rPr>
          <w:rFonts w:ascii="Times New Roman" w:hAnsi="Times New Roman"/>
        </w:rPr>
        <w:t>стоящ съд, военен съд или специализиран наказателен съд (чл. </w:t>
      </w:r>
      <w:r w:rsidRPr="00357ADB">
        <w:rPr>
          <w:rFonts w:ascii="Times New Roman" w:hAnsi="Times New Roman"/>
        </w:rPr>
        <w:t>287</w:t>
      </w:r>
      <w:r w:rsidR="005347EB" w:rsidRPr="00357ADB">
        <w:rPr>
          <w:rFonts w:ascii="Times New Roman" w:hAnsi="Times New Roman"/>
        </w:rPr>
        <w:t>, ал. </w:t>
      </w:r>
      <w:r w:rsidRPr="00357ADB">
        <w:rPr>
          <w:sz w:val="23"/>
          <w:szCs w:val="23"/>
        </w:rPr>
        <w:t>2</w:t>
      </w:r>
      <w:r w:rsidR="005347EB" w:rsidRPr="00357ADB">
        <w:rPr>
          <w:sz w:val="23"/>
          <w:szCs w:val="23"/>
        </w:rPr>
        <w:t xml:space="preserve"> </w:t>
      </w:r>
      <w:r w:rsidR="004F6A9B">
        <w:rPr>
          <w:sz w:val="23"/>
          <w:szCs w:val="23"/>
        </w:rPr>
        <w:t xml:space="preserve">от </w:t>
      </w:r>
      <w:r w:rsidR="005347EB" w:rsidRPr="00357ADB">
        <w:rPr>
          <w:sz w:val="23"/>
          <w:szCs w:val="23"/>
        </w:rPr>
        <w:t>НПК</w:t>
      </w:r>
      <w:r w:rsidRPr="00357ADB">
        <w:rPr>
          <w:rFonts w:ascii="Times New Roman" w:hAnsi="Times New Roman"/>
        </w:rPr>
        <w:t>).</w:t>
      </w:r>
      <w:r w:rsidR="006B690F" w:rsidRPr="00357ADB">
        <w:rPr>
          <w:rFonts w:ascii="Times New Roman" w:hAnsi="Times New Roman"/>
        </w:rPr>
        <w:t xml:space="preserve"> Съдът може да </w:t>
      </w:r>
      <w:r w:rsidR="006B690F" w:rsidRPr="00357ADB">
        <w:rPr>
          <w:rFonts w:ascii="Times New Roman" w:hAnsi="Times New Roman"/>
        </w:rPr>
        <w:lastRenderedPageBreak/>
        <w:t>отложи съдебното заседание, ако страните се нуждаят от повече време да се подготвят за новото обвинение</w:t>
      </w:r>
      <w:r w:rsidRPr="00357ADB">
        <w:rPr>
          <w:rFonts w:ascii="Times New Roman" w:hAnsi="Times New Roman"/>
        </w:rPr>
        <w:t>.</w:t>
      </w:r>
    </w:p>
    <w:p w:rsidR="008330EE" w:rsidRPr="00357ADB" w:rsidRDefault="008330EE" w:rsidP="00AE3E4D">
      <w:pPr>
        <w:pStyle w:val="JuPara"/>
        <w:rPr>
          <w:rFonts w:ascii="Times New Roman" w:hAnsi="Times New Roman" w:cs="Times New Roman"/>
        </w:rPr>
      </w:pPr>
      <w:r w:rsidRPr="00357ADB">
        <w:rPr>
          <w:rFonts w:ascii="Times New Roman" w:hAnsi="Times New Roman" w:cs="Times New Roman"/>
        </w:rPr>
        <w:fldChar w:fldCharType="begin"/>
      </w:r>
      <w:r w:rsidRPr="00357ADB">
        <w:rPr>
          <w:rFonts w:ascii="Times New Roman" w:hAnsi="Times New Roman" w:cs="Times New Roman"/>
        </w:rPr>
        <w:instrText xml:space="preserve"> SEQ level0 \*arabic </w:instrText>
      </w:r>
      <w:r w:rsidRPr="00357ADB">
        <w:rPr>
          <w:rFonts w:ascii="Times New Roman" w:hAnsi="Times New Roman" w:cs="Times New Roman"/>
        </w:rPr>
        <w:fldChar w:fldCharType="separate"/>
      </w:r>
      <w:r w:rsidR="00A5720B">
        <w:rPr>
          <w:rFonts w:ascii="Times New Roman" w:hAnsi="Times New Roman" w:cs="Times New Roman"/>
          <w:noProof/>
        </w:rPr>
        <w:t>36</w:t>
      </w:r>
      <w:r w:rsidRPr="00357ADB">
        <w:rPr>
          <w:rFonts w:ascii="Times New Roman" w:hAnsi="Times New Roman" w:cs="Times New Roman"/>
        </w:rPr>
        <w:fldChar w:fldCharType="end"/>
      </w:r>
      <w:r w:rsidRPr="00357ADB">
        <w:rPr>
          <w:rFonts w:ascii="Times New Roman" w:hAnsi="Times New Roman"/>
        </w:rPr>
        <w:t>.  </w:t>
      </w:r>
      <w:r w:rsidR="005F7C2F" w:rsidRPr="00357ADB">
        <w:rPr>
          <w:rFonts w:ascii="Times New Roman" w:hAnsi="Times New Roman"/>
        </w:rPr>
        <w:t>Второинстанционният съд прави пълна проверка на присъдата на първоинстанционния съд независимо от основанията за обжалване (чл. </w:t>
      </w:r>
      <w:r w:rsidRPr="00357ADB">
        <w:rPr>
          <w:rFonts w:ascii="Times New Roman" w:hAnsi="Times New Roman"/>
        </w:rPr>
        <w:t>314</w:t>
      </w:r>
      <w:r w:rsidR="005F7C2F" w:rsidRPr="00357ADB">
        <w:rPr>
          <w:rFonts w:ascii="Times New Roman" w:hAnsi="Times New Roman"/>
        </w:rPr>
        <w:t>, ал. </w:t>
      </w:r>
      <w:r w:rsidRPr="00357ADB">
        <w:rPr>
          <w:rFonts w:ascii="Times New Roman" w:hAnsi="Times New Roman"/>
        </w:rPr>
        <w:t>1</w:t>
      </w:r>
      <w:r w:rsidR="005F7C2F" w:rsidRPr="00357ADB">
        <w:rPr>
          <w:rFonts w:ascii="Times New Roman" w:hAnsi="Times New Roman"/>
        </w:rPr>
        <w:t xml:space="preserve"> </w:t>
      </w:r>
      <w:r w:rsidR="004F6A9B">
        <w:rPr>
          <w:rFonts w:ascii="Times New Roman" w:hAnsi="Times New Roman"/>
        </w:rPr>
        <w:t xml:space="preserve">от </w:t>
      </w:r>
      <w:r w:rsidR="005F7C2F" w:rsidRPr="00357ADB">
        <w:rPr>
          <w:rFonts w:ascii="Times New Roman" w:hAnsi="Times New Roman"/>
        </w:rPr>
        <w:t>НПК</w:t>
      </w:r>
      <w:r w:rsidRPr="00357ADB">
        <w:rPr>
          <w:rFonts w:ascii="Times New Roman" w:hAnsi="Times New Roman"/>
        </w:rPr>
        <w:t xml:space="preserve">). </w:t>
      </w:r>
      <w:r w:rsidR="005F7C2F" w:rsidRPr="00357ADB">
        <w:rPr>
          <w:rFonts w:ascii="Times New Roman" w:hAnsi="Times New Roman"/>
        </w:rPr>
        <w:t>Второинстанционният съд може да установи нови фактически обстоятелства (чл. </w:t>
      </w:r>
      <w:r w:rsidRPr="00357ADB">
        <w:rPr>
          <w:rFonts w:ascii="Times New Roman" w:hAnsi="Times New Roman"/>
        </w:rPr>
        <w:t>316</w:t>
      </w:r>
      <w:r w:rsidR="005F7C2F" w:rsidRPr="00357ADB">
        <w:rPr>
          <w:rFonts w:ascii="Times New Roman" w:hAnsi="Times New Roman"/>
        </w:rPr>
        <w:t xml:space="preserve"> </w:t>
      </w:r>
      <w:r w:rsidR="004F6A9B">
        <w:rPr>
          <w:rFonts w:ascii="Times New Roman" w:hAnsi="Times New Roman"/>
        </w:rPr>
        <w:t xml:space="preserve">от </w:t>
      </w:r>
      <w:r w:rsidR="005F7C2F" w:rsidRPr="00357ADB">
        <w:rPr>
          <w:rFonts w:ascii="Times New Roman" w:hAnsi="Times New Roman"/>
        </w:rPr>
        <w:t>НПК</w:t>
      </w:r>
      <w:r w:rsidRPr="00357ADB">
        <w:rPr>
          <w:rFonts w:ascii="Times New Roman" w:hAnsi="Times New Roman"/>
        </w:rPr>
        <w:t xml:space="preserve">) </w:t>
      </w:r>
      <w:r w:rsidR="005F7C2F" w:rsidRPr="00357ADB">
        <w:rPr>
          <w:rFonts w:ascii="Times New Roman" w:hAnsi="Times New Roman"/>
        </w:rPr>
        <w:t>и да събира всякакв</w:t>
      </w:r>
      <w:r w:rsidR="00816457">
        <w:rPr>
          <w:rFonts w:ascii="Times New Roman" w:hAnsi="Times New Roman"/>
        </w:rPr>
        <w:t>и</w:t>
      </w:r>
      <w:r w:rsidR="005F7C2F" w:rsidRPr="00357ADB">
        <w:rPr>
          <w:rFonts w:ascii="Times New Roman" w:hAnsi="Times New Roman"/>
        </w:rPr>
        <w:t xml:space="preserve"> доказателства (чл. </w:t>
      </w:r>
      <w:r w:rsidRPr="00357ADB">
        <w:rPr>
          <w:rFonts w:ascii="Times New Roman" w:hAnsi="Times New Roman"/>
        </w:rPr>
        <w:t>315</w:t>
      </w:r>
      <w:r w:rsidR="005F7C2F" w:rsidRPr="00357ADB">
        <w:rPr>
          <w:rFonts w:ascii="Times New Roman" w:hAnsi="Times New Roman"/>
        </w:rPr>
        <w:t xml:space="preserve"> </w:t>
      </w:r>
      <w:r w:rsidR="004F6A9B">
        <w:rPr>
          <w:rFonts w:ascii="Times New Roman" w:hAnsi="Times New Roman"/>
        </w:rPr>
        <w:t xml:space="preserve">от </w:t>
      </w:r>
      <w:r w:rsidR="005F7C2F" w:rsidRPr="00357ADB">
        <w:rPr>
          <w:rFonts w:ascii="Times New Roman" w:hAnsi="Times New Roman"/>
        </w:rPr>
        <w:t>НПК</w:t>
      </w:r>
      <w:r w:rsidRPr="00357ADB">
        <w:rPr>
          <w:rFonts w:ascii="Times New Roman" w:hAnsi="Times New Roman"/>
        </w:rPr>
        <w:t>).</w:t>
      </w:r>
      <w:r w:rsidR="005F7C2F" w:rsidRPr="00357ADB">
        <w:rPr>
          <w:rFonts w:ascii="Times New Roman" w:hAnsi="Times New Roman"/>
        </w:rPr>
        <w:t xml:space="preserve"> Той може да използва всички способи за събиране на доказателства (чл. </w:t>
      </w:r>
      <w:r w:rsidRPr="00357ADB">
        <w:rPr>
          <w:rFonts w:ascii="Times New Roman" w:hAnsi="Times New Roman"/>
        </w:rPr>
        <w:t>332</w:t>
      </w:r>
      <w:r w:rsidR="004F6A9B">
        <w:rPr>
          <w:rFonts w:ascii="Times New Roman" w:hAnsi="Times New Roman"/>
        </w:rPr>
        <w:t xml:space="preserve"> от</w:t>
      </w:r>
      <w:r w:rsidR="005F7C2F" w:rsidRPr="00357ADB">
        <w:rPr>
          <w:rFonts w:ascii="Times New Roman" w:hAnsi="Times New Roman"/>
        </w:rPr>
        <w:t xml:space="preserve"> НПК</w:t>
      </w:r>
      <w:r w:rsidRPr="00357ADB">
        <w:rPr>
          <w:rFonts w:ascii="Times New Roman" w:hAnsi="Times New Roman"/>
        </w:rPr>
        <w:t>).</w:t>
      </w:r>
      <w:r w:rsidR="005F7C2F" w:rsidRPr="00357ADB">
        <w:rPr>
          <w:rFonts w:ascii="Times New Roman" w:hAnsi="Times New Roman"/>
        </w:rPr>
        <w:t xml:space="preserve"> Съдът може още да изслуша свидетелите от първата инстанция, ако сметне за необходимо</w:t>
      </w:r>
      <w:r w:rsidRPr="00357ADB">
        <w:rPr>
          <w:rFonts w:ascii="Times New Roman" w:hAnsi="Times New Roman"/>
        </w:rPr>
        <w:t>,</w:t>
      </w:r>
      <w:r w:rsidR="005F7C2F" w:rsidRPr="00357ADB">
        <w:rPr>
          <w:rFonts w:ascii="Times New Roman" w:hAnsi="Times New Roman"/>
        </w:rPr>
        <w:t xml:space="preserve"> или да допусне нови свидетели, ако сметне, че показанията им са важни за правилното разглеждане на делото (чл. </w:t>
      </w:r>
      <w:r w:rsidRPr="00357ADB">
        <w:rPr>
          <w:rFonts w:ascii="Times New Roman" w:hAnsi="Times New Roman"/>
        </w:rPr>
        <w:t>327</w:t>
      </w:r>
      <w:r w:rsidR="005F7C2F" w:rsidRPr="00357ADB">
        <w:rPr>
          <w:rFonts w:ascii="Times New Roman" w:hAnsi="Times New Roman"/>
        </w:rPr>
        <w:t xml:space="preserve"> </w:t>
      </w:r>
      <w:r w:rsidR="004F6A9B">
        <w:rPr>
          <w:rFonts w:ascii="Times New Roman" w:hAnsi="Times New Roman"/>
        </w:rPr>
        <w:t xml:space="preserve">от </w:t>
      </w:r>
      <w:r w:rsidR="005F7C2F" w:rsidRPr="00357ADB">
        <w:rPr>
          <w:rFonts w:ascii="Times New Roman" w:hAnsi="Times New Roman"/>
        </w:rPr>
        <w:t>НПК</w:t>
      </w:r>
      <w:r w:rsidRPr="00357ADB">
        <w:rPr>
          <w:rFonts w:ascii="Times New Roman" w:hAnsi="Times New Roman"/>
        </w:rPr>
        <w:t xml:space="preserve">). </w:t>
      </w:r>
      <w:r w:rsidR="00057237" w:rsidRPr="00357ADB">
        <w:rPr>
          <w:rFonts w:ascii="Times New Roman" w:hAnsi="Times New Roman"/>
        </w:rPr>
        <w:t xml:space="preserve">Второинстанционният съд може: </w:t>
      </w:r>
      <w:r w:rsidR="00995AA7" w:rsidRPr="00357ADB">
        <w:rPr>
          <w:rFonts w:ascii="Times New Roman" w:hAnsi="Times New Roman"/>
        </w:rPr>
        <w:t>да отмени присъдата и да върне делото на прокуратурата или на първоинстанционния съд за ново разглеждане</w:t>
      </w:r>
      <w:r w:rsidRPr="00357ADB">
        <w:rPr>
          <w:rFonts w:ascii="Times New Roman" w:hAnsi="Times New Roman"/>
        </w:rPr>
        <w:t xml:space="preserve">; </w:t>
      </w:r>
      <w:r w:rsidR="00121BBF" w:rsidRPr="00357ADB">
        <w:rPr>
          <w:rFonts w:ascii="Times New Roman" w:hAnsi="Times New Roman"/>
        </w:rPr>
        <w:t>да отмени присъда</w:t>
      </w:r>
      <w:r w:rsidR="008B0D62" w:rsidRPr="00357ADB">
        <w:rPr>
          <w:rFonts w:ascii="Times New Roman" w:hAnsi="Times New Roman"/>
        </w:rPr>
        <w:t>та</w:t>
      </w:r>
      <w:r w:rsidR="00121BBF" w:rsidRPr="00357ADB">
        <w:rPr>
          <w:rFonts w:ascii="Times New Roman" w:hAnsi="Times New Roman"/>
        </w:rPr>
        <w:t xml:space="preserve"> и да постанови нова </w:t>
      </w:r>
      <w:r w:rsidRPr="00357ADB">
        <w:rPr>
          <w:rFonts w:ascii="Times New Roman" w:hAnsi="Times New Roman"/>
        </w:rPr>
        <w:t>(</w:t>
      </w:r>
      <w:r w:rsidR="00121BBF" w:rsidRPr="00357ADB">
        <w:rPr>
          <w:rFonts w:ascii="Times New Roman" w:hAnsi="Times New Roman"/>
        </w:rPr>
        <w:t xml:space="preserve">когато прилага закон по отношение на престъпление, за което е предвидено по-тежко наказание, ако за това наказание е предявен обвинителен акт пред първата инстанция и ако публичният или частният обвинител </w:t>
      </w:r>
      <w:r w:rsidR="00926EBF" w:rsidRPr="00357ADB">
        <w:rPr>
          <w:rFonts w:ascii="Times New Roman" w:hAnsi="Times New Roman"/>
        </w:rPr>
        <w:t>са</w:t>
      </w:r>
      <w:r w:rsidR="00121BBF" w:rsidRPr="00357ADB">
        <w:rPr>
          <w:rFonts w:ascii="Times New Roman" w:hAnsi="Times New Roman"/>
        </w:rPr>
        <w:t xml:space="preserve"> поискали това</w:t>
      </w:r>
      <w:r w:rsidRPr="00357ADB">
        <w:rPr>
          <w:rFonts w:ascii="Times New Roman" w:hAnsi="Times New Roman"/>
        </w:rPr>
        <w:t xml:space="preserve">); </w:t>
      </w:r>
      <w:r w:rsidR="008B0D62" w:rsidRPr="00357ADB">
        <w:rPr>
          <w:rFonts w:ascii="Times New Roman" w:hAnsi="Times New Roman"/>
        </w:rPr>
        <w:t>да измени присъдата</w:t>
      </w:r>
      <w:r w:rsidRPr="00357ADB">
        <w:rPr>
          <w:rFonts w:ascii="Times New Roman" w:hAnsi="Times New Roman"/>
        </w:rPr>
        <w:t xml:space="preserve">; </w:t>
      </w:r>
      <w:r w:rsidR="008B0D62" w:rsidRPr="00357ADB">
        <w:rPr>
          <w:rFonts w:ascii="Times New Roman" w:hAnsi="Times New Roman"/>
        </w:rPr>
        <w:t>или да потвърди първоинстанционната присъда (чл. </w:t>
      </w:r>
      <w:r w:rsidRPr="00357ADB">
        <w:rPr>
          <w:rFonts w:ascii="Times New Roman" w:hAnsi="Times New Roman"/>
        </w:rPr>
        <w:t>334</w:t>
      </w:r>
      <w:r w:rsidR="008B0D62" w:rsidRPr="00357ADB">
        <w:rPr>
          <w:rFonts w:ascii="Times New Roman" w:hAnsi="Times New Roman"/>
        </w:rPr>
        <w:t xml:space="preserve"> </w:t>
      </w:r>
      <w:r w:rsidR="0074754A">
        <w:rPr>
          <w:rFonts w:ascii="Times New Roman" w:hAnsi="Times New Roman"/>
        </w:rPr>
        <w:t xml:space="preserve">от </w:t>
      </w:r>
      <w:r w:rsidR="008B0D62" w:rsidRPr="00357ADB">
        <w:rPr>
          <w:rFonts w:ascii="Times New Roman" w:hAnsi="Times New Roman"/>
        </w:rPr>
        <w:t>НПК</w:t>
      </w:r>
      <w:r w:rsidR="00586D3A" w:rsidRPr="00357ADB">
        <w:rPr>
          <w:rFonts w:ascii="Times New Roman" w:hAnsi="Times New Roman"/>
        </w:rPr>
        <w:t xml:space="preserve"> </w:t>
      </w:r>
      <w:r w:rsidR="00586D3A" w:rsidRPr="00357ADB">
        <w:t xml:space="preserve">съгласно формулировката към съответния момент </w:t>
      </w:r>
      <w:r w:rsidR="0074754A">
        <w:t xml:space="preserve"> и </w:t>
      </w:r>
      <w:r w:rsidR="00586D3A" w:rsidRPr="00357ADB">
        <w:t>чл. </w:t>
      </w:r>
      <w:r w:rsidRPr="00357ADB">
        <w:rPr>
          <w:rFonts w:ascii="Times New Roman" w:hAnsi="Times New Roman"/>
        </w:rPr>
        <w:t>336</w:t>
      </w:r>
      <w:r w:rsidR="00586D3A" w:rsidRPr="00357ADB">
        <w:rPr>
          <w:rFonts w:ascii="Times New Roman" w:hAnsi="Times New Roman"/>
        </w:rPr>
        <w:t xml:space="preserve"> </w:t>
      </w:r>
      <w:r w:rsidR="0074754A">
        <w:rPr>
          <w:rFonts w:ascii="Times New Roman" w:hAnsi="Times New Roman"/>
        </w:rPr>
        <w:t xml:space="preserve">от </w:t>
      </w:r>
      <w:r w:rsidR="00586D3A" w:rsidRPr="00357ADB">
        <w:rPr>
          <w:rFonts w:ascii="Times New Roman" w:hAnsi="Times New Roman"/>
        </w:rPr>
        <w:t>НПК</w:t>
      </w:r>
      <w:r w:rsidRPr="00357ADB">
        <w:rPr>
          <w:rFonts w:ascii="Times New Roman" w:hAnsi="Times New Roman"/>
        </w:rPr>
        <w:t>).</w:t>
      </w:r>
    </w:p>
    <w:p w:rsidR="008330EE" w:rsidRPr="00357ADB" w:rsidRDefault="008330EE" w:rsidP="00AE3E4D">
      <w:pPr>
        <w:pStyle w:val="JuPara"/>
        <w:rPr>
          <w:rFonts w:ascii="Times New Roman" w:hAnsi="Times New Roman" w:cs="Times New Roman"/>
        </w:rPr>
      </w:pPr>
      <w:r w:rsidRPr="00357ADB">
        <w:rPr>
          <w:rFonts w:ascii="Times New Roman" w:hAnsi="Times New Roman" w:cs="Times New Roman"/>
        </w:rPr>
        <w:fldChar w:fldCharType="begin"/>
      </w:r>
      <w:r w:rsidRPr="00357ADB">
        <w:rPr>
          <w:rFonts w:ascii="Times New Roman" w:hAnsi="Times New Roman" w:cs="Times New Roman"/>
        </w:rPr>
        <w:instrText xml:space="preserve"> SEQ level0 \*arabic </w:instrText>
      </w:r>
      <w:r w:rsidRPr="00357ADB">
        <w:rPr>
          <w:rFonts w:ascii="Times New Roman" w:hAnsi="Times New Roman" w:cs="Times New Roman"/>
        </w:rPr>
        <w:fldChar w:fldCharType="separate"/>
      </w:r>
      <w:r w:rsidR="00A5720B">
        <w:rPr>
          <w:rFonts w:ascii="Times New Roman" w:hAnsi="Times New Roman" w:cs="Times New Roman"/>
          <w:noProof/>
        </w:rPr>
        <w:t>37</w:t>
      </w:r>
      <w:r w:rsidRPr="00357ADB">
        <w:rPr>
          <w:rFonts w:ascii="Times New Roman" w:hAnsi="Times New Roman" w:cs="Times New Roman"/>
        </w:rPr>
        <w:fldChar w:fldCharType="end"/>
      </w:r>
      <w:r w:rsidRPr="00357ADB">
        <w:rPr>
          <w:rFonts w:ascii="Times New Roman" w:hAnsi="Times New Roman"/>
        </w:rPr>
        <w:t>.  </w:t>
      </w:r>
      <w:r w:rsidR="00077491" w:rsidRPr="00357ADB">
        <w:rPr>
          <w:rFonts w:ascii="Times New Roman" w:hAnsi="Times New Roman"/>
        </w:rPr>
        <w:t>Съгласно чл. </w:t>
      </w:r>
      <w:r w:rsidRPr="00357ADB">
        <w:rPr>
          <w:rFonts w:ascii="Times New Roman" w:hAnsi="Times New Roman"/>
        </w:rPr>
        <w:t>335</w:t>
      </w:r>
      <w:r w:rsidR="00077491" w:rsidRPr="00357ADB">
        <w:rPr>
          <w:rFonts w:ascii="Times New Roman" w:hAnsi="Times New Roman"/>
        </w:rPr>
        <w:t>, ал. </w:t>
      </w:r>
      <w:r w:rsidRPr="00357ADB">
        <w:rPr>
          <w:rFonts w:ascii="Times New Roman" w:hAnsi="Times New Roman"/>
        </w:rPr>
        <w:t>4</w:t>
      </w:r>
      <w:r w:rsidR="00077491" w:rsidRPr="00357ADB">
        <w:rPr>
          <w:rFonts w:ascii="Times New Roman" w:hAnsi="Times New Roman"/>
        </w:rPr>
        <w:t xml:space="preserve"> </w:t>
      </w:r>
      <w:r w:rsidR="0074754A">
        <w:rPr>
          <w:rFonts w:ascii="Times New Roman" w:hAnsi="Times New Roman"/>
        </w:rPr>
        <w:t xml:space="preserve">от </w:t>
      </w:r>
      <w:r w:rsidR="00077491" w:rsidRPr="00357ADB">
        <w:rPr>
          <w:rFonts w:ascii="Times New Roman" w:hAnsi="Times New Roman"/>
        </w:rPr>
        <w:t xml:space="preserve">НПК, при липса на протест от прокурора или жалба от частния обвинител, второинстанционният съд не може </w:t>
      </w:r>
      <w:r w:rsidRPr="00357ADB">
        <w:rPr>
          <w:rFonts w:ascii="Times New Roman" w:hAnsi="Times New Roman"/>
        </w:rPr>
        <w:t>(1)</w:t>
      </w:r>
      <w:r w:rsidR="00077491" w:rsidRPr="00357ADB">
        <w:rPr>
          <w:rFonts w:ascii="Times New Roman" w:hAnsi="Times New Roman"/>
        </w:rPr>
        <w:t> да</w:t>
      </w:r>
      <w:r w:rsidRPr="00357ADB">
        <w:rPr>
          <w:rFonts w:ascii="Times New Roman" w:hAnsi="Times New Roman"/>
        </w:rPr>
        <w:t xml:space="preserve"> </w:t>
      </w:r>
      <w:r w:rsidR="00077491" w:rsidRPr="00357ADB">
        <w:rPr>
          <w:rFonts w:ascii="Times New Roman" w:hAnsi="Times New Roman"/>
        </w:rPr>
        <w:t>отмени присъда</w:t>
      </w:r>
      <w:r w:rsidR="0074754A">
        <w:rPr>
          <w:rFonts w:ascii="Times New Roman" w:hAnsi="Times New Roman"/>
        </w:rPr>
        <w:t>, постановена</w:t>
      </w:r>
      <w:r w:rsidR="00077491" w:rsidRPr="00357ADB">
        <w:rPr>
          <w:rFonts w:ascii="Times New Roman" w:hAnsi="Times New Roman"/>
        </w:rPr>
        <w:t xml:space="preserve"> в производство, заведено от частно лице по наказателно дело от общ характер, или </w:t>
      </w:r>
      <w:r w:rsidRPr="00357ADB">
        <w:rPr>
          <w:rFonts w:ascii="Times New Roman" w:hAnsi="Times New Roman"/>
        </w:rPr>
        <w:t>(2)</w:t>
      </w:r>
      <w:r w:rsidR="00077491" w:rsidRPr="00357ADB">
        <w:rPr>
          <w:rFonts w:ascii="Times New Roman" w:hAnsi="Times New Roman"/>
        </w:rPr>
        <w:t> да отмени оправдателна присъда на първоинстанционния съд</w:t>
      </w:r>
      <w:r w:rsidRPr="00357ADB">
        <w:rPr>
          <w:rFonts w:ascii="Times New Roman" w:hAnsi="Times New Roman"/>
        </w:rPr>
        <w:t>.</w:t>
      </w:r>
    </w:p>
    <w:p w:rsidR="008330EE" w:rsidRPr="00357ADB" w:rsidRDefault="00626222" w:rsidP="00AE3E4D">
      <w:pPr>
        <w:pStyle w:val="JuHIRoman"/>
        <w:numPr>
          <w:ilvl w:val="1"/>
          <w:numId w:val="22"/>
        </w:numPr>
        <w:jc w:val="left"/>
      </w:pPr>
      <w:r w:rsidRPr="00357ADB">
        <w:lastRenderedPageBreak/>
        <w:t>МЕЖДУНАРОДНИ СТАНДАРТИ</w:t>
      </w:r>
    </w:p>
    <w:p w:rsidR="008330EE" w:rsidRPr="00357ADB" w:rsidRDefault="00701932" w:rsidP="00AE3E4D">
      <w:pPr>
        <w:pStyle w:val="JuPara"/>
      </w:pPr>
      <w:fldSimple w:instr=" SEQ level0 \*arabic ">
        <w:r w:rsidR="00A5720B">
          <w:rPr>
            <w:noProof/>
          </w:rPr>
          <w:t>38</w:t>
        </w:r>
      </w:fldSimple>
      <w:r w:rsidR="008330EE" w:rsidRPr="00357ADB">
        <w:t>.  </w:t>
      </w:r>
      <w:r w:rsidR="00701CE0" w:rsidRPr="00357ADB">
        <w:t>Приложимите международни правни разпоредби са п</w:t>
      </w:r>
      <w:r w:rsidR="00816457">
        <w:t>осочени</w:t>
      </w:r>
      <w:r w:rsidR="00701CE0" w:rsidRPr="00357ADB">
        <w:t xml:space="preserve"> в скорошното </w:t>
      </w:r>
      <w:r w:rsidR="00816457">
        <w:t xml:space="preserve">решение по </w:t>
      </w:r>
      <w:r w:rsidR="00701CE0" w:rsidRPr="00357ADB">
        <w:t>дело</w:t>
      </w:r>
      <w:r w:rsidR="00816457">
        <w:t>то</w:t>
      </w:r>
      <w:r w:rsidR="00701CE0" w:rsidRPr="00357ADB">
        <w:t xml:space="preserve"> </w:t>
      </w:r>
      <w:r w:rsidR="008330EE" w:rsidRPr="00357ADB">
        <w:rPr>
          <w:i/>
        </w:rPr>
        <w:t xml:space="preserve">A </w:t>
      </w:r>
      <w:proofErr w:type="spellStart"/>
      <w:r w:rsidR="008330EE" w:rsidRPr="00357ADB">
        <w:rPr>
          <w:i/>
        </w:rPr>
        <w:t>and</w:t>
      </w:r>
      <w:proofErr w:type="spellEnd"/>
      <w:r w:rsidR="008330EE" w:rsidRPr="00357ADB">
        <w:rPr>
          <w:i/>
        </w:rPr>
        <w:t xml:space="preserve"> B v. </w:t>
      </w:r>
      <w:proofErr w:type="spellStart"/>
      <w:r w:rsidR="008330EE" w:rsidRPr="00357ADB">
        <w:rPr>
          <w:i/>
        </w:rPr>
        <w:t>Croatia</w:t>
      </w:r>
      <w:proofErr w:type="spellEnd"/>
      <w:r w:rsidR="008330EE" w:rsidRPr="00357ADB">
        <w:t xml:space="preserve">, </w:t>
      </w:r>
      <w:r w:rsidR="00701CE0" w:rsidRPr="00357ADB">
        <w:t>№ </w:t>
      </w:r>
      <w:r w:rsidR="008330EE" w:rsidRPr="00357ADB">
        <w:t xml:space="preserve">7144/15, §§ 76-83, 20 </w:t>
      </w:r>
      <w:r w:rsidR="00701CE0" w:rsidRPr="00357ADB">
        <w:t>юни</w:t>
      </w:r>
      <w:r w:rsidR="008330EE" w:rsidRPr="00357ADB">
        <w:t xml:space="preserve"> 2019</w:t>
      </w:r>
      <w:r w:rsidR="00701CE0" w:rsidRPr="00357ADB">
        <w:t> г</w:t>
      </w:r>
      <w:r w:rsidR="008330EE" w:rsidRPr="00357ADB">
        <w:t>.</w:t>
      </w:r>
    </w:p>
    <w:p w:rsidR="008330EE" w:rsidRPr="00357ADB" w:rsidRDefault="008330EE" w:rsidP="00AE3E4D">
      <w:pPr>
        <w:pStyle w:val="JuHHead"/>
        <w:jc w:val="left"/>
      </w:pPr>
      <w:r w:rsidRPr="00357ADB">
        <w:t>ПРАВОТО</w:t>
      </w:r>
    </w:p>
    <w:p w:rsidR="008330EE" w:rsidRPr="00357ADB" w:rsidRDefault="0006383E" w:rsidP="00AE3E4D">
      <w:pPr>
        <w:pStyle w:val="JuHIRoman"/>
        <w:jc w:val="left"/>
      </w:pPr>
      <w:r w:rsidRPr="00357ADB">
        <w:t xml:space="preserve">ТВЪРДЯНО НАРУШЕНИЕ НА ЧЛ. </w:t>
      </w:r>
      <w:r w:rsidR="008330EE" w:rsidRPr="00357ADB">
        <w:t>3</w:t>
      </w:r>
      <w:r w:rsidRPr="00357ADB">
        <w:t xml:space="preserve"> и ЧЛ. </w:t>
      </w:r>
      <w:r w:rsidR="008330EE" w:rsidRPr="00357ADB">
        <w:t>8</w:t>
      </w:r>
      <w:r w:rsidRPr="00357ADB">
        <w:t xml:space="preserve"> ОТ КОНВЕНЦИЯТА</w:t>
      </w:r>
    </w:p>
    <w:p w:rsidR="008330EE" w:rsidRPr="00357ADB" w:rsidRDefault="00701932" w:rsidP="00AE3E4D">
      <w:pPr>
        <w:pStyle w:val="JuPara"/>
      </w:pPr>
      <w:fldSimple w:instr=" SEQ level0 \*arabic ">
        <w:r w:rsidR="00A5720B">
          <w:rPr>
            <w:noProof/>
          </w:rPr>
          <w:t>39</w:t>
        </w:r>
      </w:fldSimple>
      <w:r w:rsidR="008330EE" w:rsidRPr="00357ADB">
        <w:t>.  </w:t>
      </w:r>
      <w:r w:rsidR="001A2E6E" w:rsidRPr="00357ADB">
        <w:t xml:space="preserve">Жалбоподателката се оплаква, като се позовава на чл. 3 и чл. 8 от Конвенцията, че властите не са провели ефективно </w:t>
      </w:r>
      <w:r w:rsidR="00816457">
        <w:t>разследване</w:t>
      </w:r>
      <w:r w:rsidR="00816457" w:rsidRPr="00357ADB">
        <w:t xml:space="preserve"> </w:t>
      </w:r>
      <w:r w:rsidR="001A2E6E" w:rsidRPr="00357ADB">
        <w:t xml:space="preserve">по нейното оплакване, че е била изнасилена, включително като </w:t>
      </w:r>
      <w:r w:rsidR="0074754A">
        <w:t>не</w:t>
      </w:r>
      <w:r w:rsidR="0074754A" w:rsidRPr="00357ADB">
        <w:t xml:space="preserve"> </w:t>
      </w:r>
      <w:r w:rsidR="00816457">
        <w:t xml:space="preserve">са </w:t>
      </w:r>
      <w:r w:rsidR="001A2E6E" w:rsidRPr="00357ADB">
        <w:t>извърш</w:t>
      </w:r>
      <w:r w:rsidR="00816457">
        <w:t>или</w:t>
      </w:r>
      <w:r w:rsidR="001A2E6E" w:rsidRPr="00357ADB">
        <w:t xml:space="preserve"> определени </w:t>
      </w:r>
      <w:r w:rsidR="00816457">
        <w:t>процесуално-</w:t>
      </w:r>
      <w:r w:rsidR="001A2E6E" w:rsidRPr="00357ADB">
        <w:t xml:space="preserve">следствени действия </w:t>
      </w:r>
      <w:r w:rsidR="008330EE" w:rsidRPr="00357ADB">
        <w:t>(</w:t>
      </w:r>
      <w:r w:rsidR="001A2E6E" w:rsidRPr="00357ADB">
        <w:t xml:space="preserve">вж. параграфи </w:t>
      </w:r>
      <w:r w:rsidR="008330EE" w:rsidRPr="00357ADB">
        <w:t>19</w:t>
      </w:r>
      <w:r w:rsidR="001A2E6E" w:rsidRPr="00357ADB">
        <w:t xml:space="preserve"> и </w:t>
      </w:r>
      <w:r w:rsidR="008330EE" w:rsidRPr="00357ADB">
        <w:t>20</w:t>
      </w:r>
      <w:r w:rsidR="001A2E6E" w:rsidRPr="00357ADB">
        <w:t xml:space="preserve"> по-горе</w:t>
      </w:r>
      <w:r w:rsidR="008330EE" w:rsidRPr="00357ADB">
        <w:t>),</w:t>
      </w:r>
      <w:r w:rsidR="001A2E6E" w:rsidRPr="00357ADB">
        <w:t xml:space="preserve"> както и </w:t>
      </w:r>
      <w:r w:rsidR="00816457">
        <w:t>не са повдигнали обвинение за изнасилване на виновното лице</w:t>
      </w:r>
      <w:r w:rsidR="008330EE" w:rsidRPr="00357ADB">
        <w:t>.</w:t>
      </w:r>
      <w:r w:rsidR="001A2E6E" w:rsidRPr="00357ADB">
        <w:t xml:space="preserve"> По-конкретно, чрез повдигането на обвинени</w:t>
      </w:r>
      <w:r w:rsidR="00816457">
        <w:t>е</w:t>
      </w:r>
      <w:r w:rsidR="001A2E6E" w:rsidRPr="00357ADB">
        <w:t xml:space="preserve"> за </w:t>
      </w:r>
      <w:r w:rsidR="00816457">
        <w:t>съвкупление с малолетна</w:t>
      </w:r>
      <w:r w:rsidR="001A2E6E" w:rsidRPr="00357ADB">
        <w:t>, а не за изнасилване, прокуратурата е пряко отговорна за последвалото неефективно наказание, наложено от съдилищата</w:t>
      </w:r>
      <w:r w:rsidR="008330EE" w:rsidRPr="00357ADB">
        <w:t>.</w:t>
      </w:r>
      <w:r w:rsidR="001A2E6E" w:rsidRPr="00357ADB">
        <w:t xml:space="preserve"> Жалбоподателката се оплаква още, че не е могла да участва в съдебното производство в качество различно от това на свидетел и че </w:t>
      </w:r>
      <w:r w:rsidR="00CB6A1E">
        <w:t>не са й пред</w:t>
      </w:r>
      <w:r w:rsidR="00816457">
        <w:t>о</w:t>
      </w:r>
      <w:r w:rsidR="00CB6A1E">
        <w:t>с</w:t>
      </w:r>
      <w:r w:rsidR="00816457">
        <w:t xml:space="preserve">тавени необходимите възможности за </w:t>
      </w:r>
      <w:r w:rsidR="001A2E6E" w:rsidRPr="00357ADB">
        <w:t xml:space="preserve">участието й като </w:t>
      </w:r>
      <w:r w:rsidR="00816457">
        <w:t>пострадала</w:t>
      </w:r>
      <w:r w:rsidR="008330EE" w:rsidRPr="00357ADB">
        <w:t>.</w:t>
      </w:r>
    </w:p>
    <w:p w:rsidR="008330EE" w:rsidRPr="00357ADB" w:rsidRDefault="00701932" w:rsidP="00AE3E4D">
      <w:pPr>
        <w:pStyle w:val="JuPara"/>
      </w:pPr>
      <w:fldSimple w:instr=" SEQ level0 \*arabic ">
        <w:r w:rsidR="00A5720B">
          <w:rPr>
            <w:noProof/>
          </w:rPr>
          <w:t>40</w:t>
        </w:r>
      </w:fldSimple>
      <w:r w:rsidR="008330EE" w:rsidRPr="00357ADB">
        <w:t>.  </w:t>
      </w:r>
      <w:r w:rsidR="00F02F5E" w:rsidRPr="00357ADB">
        <w:t>Съдът намира, че горните оплаквания следва да бъдат разгледани съгласно чл. 3 и чл. 8 от Конвенцията, които в приложимите си части предвиждат следното</w:t>
      </w:r>
      <w:r w:rsidR="008330EE" w:rsidRPr="00357ADB">
        <w:t>:</w:t>
      </w:r>
    </w:p>
    <w:p w:rsidR="008330EE" w:rsidRPr="00357ADB" w:rsidRDefault="008330EE" w:rsidP="00AE3E4D">
      <w:pPr>
        <w:pStyle w:val="JuHArticle"/>
      </w:pPr>
      <w:r w:rsidRPr="00357ADB">
        <w:lastRenderedPageBreak/>
        <w:t>Член 3</w:t>
      </w:r>
    </w:p>
    <w:p w:rsidR="008330EE" w:rsidRPr="00357ADB" w:rsidRDefault="006C1757" w:rsidP="00BA6FC4">
      <w:pPr>
        <w:pStyle w:val="JuQuot"/>
      </w:pPr>
      <w:r w:rsidRPr="00357ADB">
        <w:t>„</w:t>
      </w:r>
      <w:r w:rsidR="00BA6FC4" w:rsidRPr="00357ADB">
        <w:t>Никой не може да бъде подложен на изтезания или нечовешко или унизително отношение или наказание</w:t>
      </w:r>
      <w:r w:rsidR="008330EE" w:rsidRPr="00357ADB">
        <w:t>.”</w:t>
      </w:r>
    </w:p>
    <w:p w:rsidR="008330EE" w:rsidRPr="00357ADB" w:rsidRDefault="008330EE" w:rsidP="00AE3E4D">
      <w:pPr>
        <w:pStyle w:val="JuHArticle"/>
      </w:pPr>
      <w:r w:rsidRPr="00357ADB">
        <w:t>Член 8</w:t>
      </w:r>
    </w:p>
    <w:p w:rsidR="008330EE" w:rsidRPr="00357ADB" w:rsidRDefault="008330EE" w:rsidP="00AE3E4D">
      <w:pPr>
        <w:pStyle w:val="JuQuot"/>
      </w:pPr>
      <w:proofErr w:type="spellStart"/>
      <w:r w:rsidRPr="00357ADB">
        <w:t>Βсеки</w:t>
      </w:r>
      <w:proofErr w:type="spellEnd"/>
      <w:r w:rsidRPr="00357ADB">
        <w:t xml:space="preserve"> има право на неприкосновеност н</w:t>
      </w:r>
      <w:r w:rsidR="006C1757" w:rsidRPr="00357ADB">
        <w:t>а личния и семейния си живот...“</w:t>
      </w:r>
    </w:p>
    <w:p w:rsidR="008330EE" w:rsidRPr="00357ADB" w:rsidRDefault="008330EE" w:rsidP="00AE3E4D">
      <w:pPr>
        <w:pStyle w:val="JuHA"/>
        <w:jc w:val="left"/>
      </w:pPr>
      <w:r w:rsidRPr="00357ADB">
        <w:t>Допустимост</w:t>
      </w:r>
    </w:p>
    <w:p w:rsidR="007F78FD" w:rsidRPr="00357ADB" w:rsidRDefault="004A716F" w:rsidP="00AE3E4D">
      <w:pPr>
        <w:pStyle w:val="JuH1"/>
        <w:numPr>
          <w:ilvl w:val="3"/>
          <w:numId w:val="22"/>
        </w:numPr>
        <w:jc w:val="left"/>
      </w:pPr>
      <w:r w:rsidRPr="00357ADB">
        <w:t>Становища на страните</w:t>
      </w:r>
    </w:p>
    <w:p w:rsidR="008330EE" w:rsidRPr="00357ADB" w:rsidRDefault="00701932" w:rsidP="00AE3E4D">
      <w:pPr>
        <w:pStyle w:val="JuPara"/>
      </w:pPr>
      <w:fldSimple w:instr=" SEQ level0 \*arabic ">
        <w:r w:rsidR="00A5720B">
          <w:rPr>
            <w:noProof/>
          </w:rPr>
          <w:t>41</w:t>
        </w:r>
      </w:fldSimple>
      <w:r w:rsidR="008330EE" w:rsidRPr="00357ADB">
        <w:t>.  </w:t>
      </w:r>
      <w:r w:rsidR="0028638B" w:rsidRPr="00357ADB">
        <w:t xml:space="preserve">Правителството твърди на първо място, че жалбоподателката не </w:t>
      </w:r>
      <w:r w:rsidR="00816457">
        <w:t xml:space="preserve">е </w:t>
      </w:r>
      <w:r w:rsidR="0028638B" w:rsidRPr="00357ADB">
        <w:t>спаз</w:t>
      </w:r>
      <w:r w:rsidR="00816457">
        <w:t>ила</w:t>
      </w:r>
      <w:r w:rsidR="0028638B" w:rsidRPr="00357ADB">
        <w:t xml:space="preserve"> правилото за шестмесечния срок като </w:t>
      </w:r>
      <w:r w:rsidR="00266ABF">
        <w:t xml:space="preserve">се </w:t>
      </w:r>
      <w:r w:rsidR="0028638B" w:rsidRPr="00357ADB">
        <w:t>има предвид, че срокът започва да тече от датата, на която присъдата срещу извършителя става окончателна</w:t>
      </w:r>
      <w:r w:rsidR="008330EE" w:rsidRPr="00357ADB">
        <w:t xml:space="preserve">. </w:t>
      </w:r>
      <w:r w:rsidR="002A24B7" w:rsidRPr="00357ADB">
        <w:t>Жалбоподателката се обръща към съда едва през м. май 2017 г., което е повече от шест месеца след това</w:t>
      </w:r>
      <w:r w:rsidR="008330EE" w:rsidRPr="00357ADB">
        <w:t>.</w:t>
      </w:r>
    </w:p>
    <w:p w:rsidR="008330EE" w:rsidRPr="00357ADB" w:rsidRDefault="00701932" w:rsidP="00AE3E4D">
      <w:pPr>
        <w:pStyle w:val="JuPara"/>
      </w:pPr>
      <w:fldSimple w:instr=" SEQ level0 \*arabic ">
        <w:r w:rsidR="00A5720B">
          <w:rPr>
            <w:noProof/>
          </w:rPr>
          <w:t>42</w:t>
        </w:r>
      </w:fldSimple>
      <w:r w:rsidR="008330EE" w:rsidRPr="00357ADB">
        <w:t>.  </w:t>
      </w:r>
      <w:r w:rsidR="008F3031" w:rsidRPr="00357ADB">
        <w:t xml:space="preserve">На второ място, Правителството посочва, че жалбоподателката не е изчерпала наличните и ефективни вътрешноправни средства за защита. По-конкретно, тя не е поискала от първоинстанционния съд да я </w:t>
      </w:r>
      <w:r w:rsidR="00172805" w:rsidRPr="00357ADB">
        <w:t>конституира</w:t>
      </w:r>
      <w:r w:rsidR="008F3031" w:rsidRPr="00357ADB">
        <w:t xml:space="preserve"> като частен обвинител, </w:t>
      </w:r>
      <w:r w:rsidR="00816457">
        <w:t>макар</w:t>
      </w:r>
      <w:r w:rsidR="008F3031" w:rsidRPr="00357ADB">
        <w:t xml:space="preserve"> че е предс</w:t>
      </w:r>
      <w:r w:rsidR="00172805" w:rsidRPr="00357ADB">
        <w:t>та</w:t>
      </w:r>
      <w:r w:rsidR="008F3031" w:rsidRPr="00357ADB">
        <w:t>влявана от адвокат</w:t>
      </w:r>
      <w:r w:rsidR="008330EE" w:rsidRPr="00357ADB">
        <w:t xml:space="preserve">. </w:t>
      </w:r>
      <w:r w:rsidR="00172805" w:rsidRPr="00357ADB">
        <w:t xml:space="preserve">Ако </w:t>
      </w:r>
      <w:r w:rsidR="00816457">
        <w:t>е била конституирана</w:t>
      </w:r>
      <w:r w:rsidR="00172805" w:rsidRPr="00357ADB">
        <w:t xml:space="preserve"> в производството като частен обвинител, тя </w:t>
      </w:r>
      <w:r w:rsidR="00816457">
        <w:t>би могла</w:t>
      </w:r>
      <w:r w:rsidR="00172805" w:rsidRPr="00357ADB">
        <w:t xml:space="preserve"> да повдигне оплакванията си за пропуски в </w:t>
      </w:r>
      <w:r w:rsidR="00816457">
        <w:t>разследването</w:t>
      </w:r>
      <w:r w:rsidR="00816457" w:rsidRPr="00357ADB">
        <w:t xml:space="preserve"> </w:t>
      </w:r>
      <w:r w:rsidR="00172805" w:rsidRPr="00357ADB">
        <w:t>пред националния съд, да обжалва присъдата и да претендира за по-тежко наказание. Също така тя не е поискала да участва като граждански ищец в наказателното производство срещу Г.С</w:t>
      </w:r>
      <w:r w:rsidR="008330EE" w:rsidRPr="00357ADB">
        <w:t>.</w:t>
      </w:r>
    </w:p>
    <w:p w:rsidR="008330EE" w:rsidRPr="00357ADB" w:rsidRDefault="00701932" w:rsidP="00AE3E4D">
      <w:pPr>
        <w:pStyle w:val="JuPara"/>
      </w:pPr>
      <w:fldSimple w:instr=" SEQ level0 \*arabic ">
        <w:r w:rsidR="00A5720B">
          <w:rPr>
            <w:noProof/>
          </w:rPr>
          <w:t>43</w:t>
        </w:r>
      </w:fldSimple>
      <w:r w:rsidR="008330EE" w:rsidRPr="00357ADB">
        <w:t>.  </w:t>
      </w:r>
      <w:proofErr w:type="spellStart"/>
      <w:r w:rsidR="00535F3C" w:rsidRPr="00357ADB">
        <w:t>Неизползването</w:t>
      </w:r>
      <w:proofErr w:type="spellEnd"/>
      <w:r w:rsidR="00535F3C" w:rsidRPr="00357ADB">
        <w:t xml:space="preserve"> от жалбоподателката на наличните вътрешноправни </w:t>
      </w:r>
      <w:r w:rsidR="00816457">
        <w:t>средства</w:t>
      </w:r>
      <w:r w:rsidR="00816457" w:rsidRPr="00357ADB">
        <w:t xml:space="preserve"> </w:t>
      </w:r>
      <w:r w:rsidR="00E34415">
        <w:t>води</w:t>
      </w:r>
      <w:r w:rsidR="00535F3C" w:rsidRPr="00357ADB">
        <w:t xml:space="preserve"> до </w:t>
      </w:r>
      <w:r w:rsidR="00357ADB" w:rsidRPr="00357ADB">
        <w:t>невъзможност</w:t>
      </w:r>
      <w:r w:rsidR="00816457">
        <w:t xml:space="preserve"> тя</w:t>
      </w:r>
      <w:r w:rsidR="00535F3C" w:rsidRPr="00357ADB">
        <w:t xml:space="preserve"> да окаже влияние върху съда в съдебното производство срещу Г.С</w:t>
      </w:r>
      <w:r w:rsidR="008330EE" w:rsidRPr="00357ADB">
        <w:t>.</w:t>
      </w:r>
      <w:r w:rsidR="00480D70" w:rsidRPr="00357ADB">
        <w:t xml:space="preserve"> Българското </w:t>
      </w:r>
      <w:r w:rsidR="00E34415">
        <w:t>законодателство</w:t>
      </w:r>
      <w:r w:rsidR="00E34415" w:rsidRPr="00357ADB">
        <w:t xml:space="preserve"> </w:t>
      </w:r>
      <w:r w:rsidR="00480D70" w:rsidRPr="00357ADB">
        <w:t xml:space="preserve">й предоставя достатъчно възможности да участва ефективно </w:t>
      </w:r>
      <w:r w:rsidR="00816457">
        <w:t>в качеството на пострадал</w:t>
      </w:r>
      <w:r w:rsidR="00480D70" w:rsidRPr="00357ADB">
        <w:t xml:space="preserve"> в производството срещу извършителя и тя не може да държи властите отговорни за сво</w:t>
      </w:r>
      <w:r w:rsidR="00816457">
        <w:t>ето бездействие в тази връзка</w:t>
      </w:r>
      <w:r w:rsidR="008330EE" w:rsidRPr="00357ADB">
        <w:t>.</w:t>
      </w:r>
    </w:p>
    <w:p w:rsidR="008330EE" w:rsidRPr="00357ADB" w:rsidRDefault="00701932" w:rsidP="00AE3E4D">
      <w:pPr>
        <w:pStyle w:val="JuPara"/>
      </w:pPr>
      <w:fldSimple w:instr=" SEQ level0 \*arabic ">
        <w:r w:rsidR="00A5720B">
          <w:rPr>
            <w:noProof/>
          </w:rPr>
          <w:t>44</w:t>
        </w:r>
      </w:fldSimple>
      <w:r w:rsidR="008330EE" w:rsidRPr="00357ADB">
        <w:t>.  </w:t>
      </w:r>
      <w:r w:rsidR="00105051" w:rsidRPr="00357ADB">
        <w:t xml:space="preserve">Жалбоподателката </w:t>
      </w:r>
      <w:r w:rsidR="00816457">
        <w:t>оспорва тези твърдения</w:t>
      </w:r>
      <w:r w:rsidR="00105051" w:rsidRPr="00357ADB">
        <w:t xml:space="preserve">. Относно правилото за шестмесечния срок тя посочва, че семейството й </w:t>
      </w:r>
      <w:r w:rsidR="00E34415">
        <w:t>разбира</w:t>
      </w:r>
      <w:r w:rsidR="00105051" w:rsidRPr="00357ADB">
        <w:t xml:space="preserve"> за окончателното съдебно </w:t>
      </w:r>
      <w:r w:rsidR="00357ADB">
        <w:t>р</w:t>
      </w:r>
      <w:r w:rsidR="00105051" w:rsidRPr="00357ADB">
        <w:t xml:space="preserve">ешение едва след като представител на кметството им се </w:t>
      </w:r>
      <w:proofErr w:type="spellStart"/>
      <w:r w:rsidR="00105051" w:rsidRPr="00357ADB">
        <w:t>оба</w:t>
      </w:r>
      <w:r w:rsidR="00E34415">
        <w:t>жа</w:t>
      </w:r>
      <w:proofErr w:type="spellEnd"/>
      <w:r w:rsidR="00105051" w:rsidRPr="00357ADB">
        <w:t xml:space="preserve"> по телефона и ги уведом</w:t>
      </w:r>
      <w:r w:rsidR="00E34415">
        <w:t>ява</w:t>
      </w:r>
      <w:r w:rsidR="00105051" w:rsidRPr="00357ADB">
        <w:t xml:space="preserve">, че в кметството има известие за нея (вж. параграф </w:t>
      </w:r>
      <w:r w:rsidR="008330EE" w:rsidRPr="00357ADB">
        <w:t>37</w:t>
      </w:r>
      <w:r w:rsidR="00105051" w:rsidRPr="00357ADB">
        <w:t xml:space="preserve"> по-горе</w:t>
      </w:r>
      <w:r w:rsidR="008330EE" w:rsidRPr="00357ADB">
        <w:t>).</w:t>
      </w:r>
    </w:p>
    <w:p w:rsidR="008330EE" w:rsidRPr="00357ADB" w:rsidRDefault="00701932" w:rsidP="00AE3E4D">
      <w:pPr>
        <w:pStyle w:val="JuPara"/>
      </w:pPr>
      <w:fldSimple w:instr=" SEQ level0 \*arabic ">
        <w:r w:rsidR="00A5720B">
          <w:rPr>
            <w:noProof/>
          </w:rPr>
          <w:t>45</w:t>
        </w:r>
      </w:fldSimple>
      <w:r w:rsidR="008330EE" w:rsidRPr="00357ADB">
        <w:t>.  </w:t>
      </w:r>
      <w:r w:rsidR="004B298C" w:rsidRPr="00357ADB">
        <w:t>Що се отнася до невъзможността й да встъпи като граждански ищец, жалбоподателката изтъква, че съгласно чл. </w:t>
      </w:r>
      <w:r w:rsidR="008330EE" w:rsidRPr="00357ADB">
        <w:t>15</w:t>
      </w:r>
      <w:r w:rsidR="004B298C" w:rsidRPr="00357ADB">
        <w:t>, ал. </w:t>
      </w:r>
      <w:r w:rsidR="008330EE" w:rsidRPr="00357ADB">
        <w:t>2</w:t>
      </w:r>
      <w:r w:rsidR="004B298C" w:rsidRPr="00357ADB">
        <w:t xml:space="preserve"> и </w:t>
      </w:r>
      <w:r w:rsidR="008330EE" w:rsidRPr="00357ADB">
        <w:t>3</w:t>
      </w:r>
      <w:r w:rsidR="004B298C" w:rsidRPr="00357ADB">
        <w:t xml:space="preserve"> </w:t>
      </w:r>
      <w:r w:rsidR="00E34415">
        <w:t xml:space="preserve">от </w:t>
      </w:r>
      <w:r w:rsidR="004B298C" w:rsidRPr="00357ADB">
        <w:t>НПК съдията е задължен не само да обясни правата на участниците в производството, но и да осигури ефективното упражняване на тези права</w:t>
      </w:r>
      <w:r w:rsidR="008330EE" w:rsidRPr="00357ADB">
        <w:t xml:space="preserve">. </w:t>
      </w:r>
      <w:r w:rsidR="004B298C" w:rsidRPr="00357ADB">
        <w:t>Тъй като жалбоподателката не е могла ефективно да упражни правата си в производството, тя е била лишена от редица други правни възможности и ползи, които обичайно се полагат на страните по дело</w:t>
      </w:r>
      <w:r w:rsidR="008330EE" w:rsidRPr="00357ADB">
        <w:t>.</w:t>
      </w:r>
      <w:r w:rsidR="004B298C" w:rsidRPr="00357ADB">
        <w:t xml:space="preserve"> </w:t>
      </w:r>
      <w:r w:rsidR="00ED646C" w:rsidRPr="00357ADB">
        <w:t>Относно въ</w:t>
      </w:r>
      <w:r w:rsidR="004B298C" w:rsidRPr="00357ADB">
        <w:t>з</w:t>
      </w:r>
      <w:r w:rsidR="00ED646C" w:rsidRPr="00357ADB">
        <w:t>р</w:t>
      </w:r>
      <w:r w:rsidR="004B298C" w:rsidRPr="00357ADB">
        <w:t>ажението на Правителството за това, че не встъп</w:t>
      </w:r>
      <w:r w:rsidR="00781513">
        <w:t>ва</w:t>
      </w:r>
      <w:r w:rsidR="004B298C" w:rsidRPr="00357ADB">
        <w:t xml:space="preserve"> в производството като частен обвинител, жалбоподателката посочва, че като непълнолетно лице от нея не може да се очаква да постигне успех като частен обвинител по дело за престъпление, което налага на властите задължение за ефективно наказателно </w:t>
      </w:r>
      <w:r w:rsidR="00003526">
        <w:t>разследване</w:t>
      </w:r>
      <w:r w:rsidR="004B298C" w:rsidRPr="00357ADB">
        <w:t>, и по което</w:t>
      </w:r>
      <w:r w:rsidR="00003526">
        <w:t xml:space="preserve"> дори</w:t>
      </w:r>
      <w:r w:rsidR="004B298C" w:rsidRPr="00357ADB">
        <w:t xml:space="preserve"> самата държава не е могла да </w:t>
      </w:r>
      <w:r w:rsidR="00003526">
        <w:t>осигури</w:t>
      </w:r>
      <w:r w:rsidR="004B298C" w:rsidRPr="00357ADB">
        <w:t xml:space="preserve"> ефективна присъда</w:t>
      </w:r>
      <w:r w:rsidR="008330EE" w:rsidRPr="00357ADB">
        <w:t>.</w:t>
      </w:r>
    </w:p>
    <w:p w:rsidR="008330EE" w:rsidRPr="00357ADB" w:rsidRDefault="003309B2" w:rsidP="00AE3E4D">
      <w:pPr>
        <w:pStyle w:val="JuH1"/>
        <w:numPr>
          <w:ilvl w:val="3"/>
          <w:numId w:val="22"/>
        </w:numPr>
        <w:jc w:val="left"/>
      </w:pPr>
      <w:r w:rsidRPr="00357ADB">
        <w:lastRenderedPageBreak/>
        <w:t> Преценка</w:t>
      </w:r>
      <w:r w:rsidR="008330EE" w:rsidRPr="00357ADB">
        <w:t xml:space="preserve"> на Съда</w:t>
      </w:r>
    </w:p>
    <w:p w:rsidR="008330EE" w:rsidRPr="00357ADB" w:rsidRDefault="00701932" w:rsidP="00AE3E4D">
      <w:pPr>
        <w:pStyle w:val="JuPara"/>
      </w:pPr>
      <w:fldSimple w:instr=" SEQ level0 \*arabic ">
        <w:r w:rsidR="00A5720B">
          <w:rPr>
            <w:noProof/>
          </w:rPr>
          <w:t>46</w:t>
        </w:r>
      </w:fldSimple>
      <w:r w:rsidR="008330EE" w:rsidRPr="00357ADB">
        <w:t>.  </w:t>
      </w:r>
      <w:r w:rsidR="00ED646C" w:rsidRPr="00357ADB">
        <w:t xml:space="preserve">Относно аргумента на Правителството, че жалбоподателката не </w:t>
      </w:r>
      <w:r w:rsidR="00003526">
        <w:t xml:space="preserve">е </w:t>
      </w:r>
      <w:r w:rsidR="00ED646C" w:rsidRPr="00357ADB">
        <w:t>спаз</w:t>
      </w:r>
      <w:r w:rsidR="00003526">
        <w:t>ил</w:t>
      </w:r>
      <w:r w:rsidR="00781513">
        <w:t>а</w:t>
      </w:r>
      <w:r w:rsidR="00ED646C" w:rsidRPr="00357ADB">
        <w:t xml:space="preserve"> шестмесечния срок, Съдът намира следното</w:t>
      </w:r>
      <w:r w:rsidR="008330EE" w:rsidRPr="00357ADB">
        <w:t xml:space="preserve">. </w:t>
      </w:r>
      <w:r w:rsidR="001A7174" w:rsidRPr="00357ADB">
        <w:t xml:space="preserve">Освен първоначалното й участие в </w:t>
      </w:r>
      <w:r w:rsidR="00003526">
        <w:t>досъдебната фаза</w:t>
      </w:r>
      <w:r w:rsidR="00003526" w:rsidRPr="00357ADB">
        <w:t xml:space="preserve"> </w:t>
      </w:r>
      <w:r w:rsidR="001A7174" w:rsidRPr="00357ADB">
        <w:t xml:space="preserve">преди делото да бъде разгледано от съда, жалбоподателката не е страна </w:t>
      </w:r>
      <w:r w:rsidR="00AE2FB2" w:rsidRPr="00357ADB">
        <w:t>в съдебното производство, което приключва с окончателното решаване на делото</w:t>
      </w:r>
      <w:r w:rsidR="008330EE" w:rsidRPr="00357ADB">
        <w:t>.</w:t>
      </w:r>
      <w:r w:rsidR="00AE2FB2" w:rsidRPr="00357ADB">
        <w:t xml:space="preserve"> Както отбелязва Правителството, нито тя, нито адвокатът й имат право съгласно българското законодателство да бъдат уведомени за развитието на производството</w:t>
      </w:r>
      <w:r w:rsidR="008330EE" w:rsidRPr="00357ADB">
        <w:t>.</w:t>
      </w:r>
    </w:p>
    <w:p w:rsidR="008330EE" w:rsidRPr="00357ADB" w:rsidRDefault="00701932" w:rsidP="00AE3E4D">
      <w:pPr>
        <w:pStyle w:val="JuPara"/>
      </w:pPr>
      <w:fldSimple w:instr=" SEQ level0 \*arabic ">
        <w:r w:rsidR="00A5720B">
          <w:rPr>
            <w:noProof/>
          </w:rPr>
          <w:t>47</w:t>
        </w:r>
      </w:fldSimple>
      <w:r w:rsidR="008330EE" w:rsidRPr="00357ADB">
        <w:t>.  </w:t>
      </w:r>
      <w:r w:rsidR="00AE2FB2" w:rsidRPr="00357ADB">
        <w:t>Следователно, правилата за изчисляване на шестте месеца в ситуации, когато жалбоподателите (или техните адвокати</w:t>
      </w:r>
      <w:r w:rsidR="008330EE" w:rsidRPr="00357ADB">
        <w:t>)</w:t>
      </w:r>
      <w:r w:rsidR="00AE2FB2" w:rsidRPr="00357ADB">
        <w:t xml:space="preserve"> имат право да им бъде връчено окончателното решение (вж. </w:t>
      </w:r>
      <w:proofErr w:type="spellStart"/>
      <w:r w:rsidR="008330EE" w:rsidRPr="00357ADB">
        <w:rPr>
          <w:i/>
        </w:rPr>
        <w:t>Worm</w:t>
      </w:r>
      <w:proofErr w:type="spellEnd"/>
      <w:r w:rsidR="008330EE" w:rsidRPr="00357ADB">
        <w:rPr>
          <w:i/>
        </w:rPr>
        <w:t xml:space="preserve"> v. </w:t>
      </w:r>
      <w:proofErr w:type="spellStart"/>
      <w:r w:rsidR="008330EE" w:rsidRPr="00357ADB">
        <w:rPr>
          <w:i/>
        </w:rPr>
        <w:t>Austria</w:t>
      </w:r>
      <w:proofErr w:type="spellEnd"/>
      <w:r w:rsidR="008330EE" w:rsidRPr="00357ADB">
        <w:t>, 29</w:t>
      </w:r>
      <w:r w:rsidR="00AE2FB2" w:rsidRPr="00357ADB">
        <w:t xml:space="preserve"> август </w:t>
      </w:r>
      <w:r w:rsidR="008330EE" w:rsidRPr="00357ADB">
        <w:t>1997</w:t>
      </w:r>
      <w:r w:rsidR="00AE2FB2" w:rsidRPr="00357ADB">
        <w:t> г.</w:t>
      </w:r>
      <w:r w:rsidR="008330EE" w:rsidRPr="00357ADB">
        <w:t xml:space="preserve">, § 33, </w:t>
      </w:r>
      <w:proofErr w:type="spellStart"/>
      <w:r w:rsidR="008330EE" w:rsidRPr="00357ADB">
        <w:rPr>
          <w:i/>
        </w:rPr>
        <w:t>Reports</w:t>
      </w:r>
      <w:proofErr w:type="spellEnd"/>
      <w:r w:rsidR="008330EE" w:rsidRPr="00357ADB">
        <w:rPr>
          <w:i/>
        </w:rPr>
        <w:t xml:space="preserve"> </w:t>
      </w:r>
      <w:proofErr w:type="spellStart"/>
      <w:r w:rsidR="008330EE" w:rsidRPr="00357ADB">
        <w:rPr>
          <w:i/>
        </w:rPr>
        <w:t>of</w:t>
      </w:r>
      <w:proofErr w:type="spellEnd"/>
      <w:r w:rsidR="008330EE" w:rsidRPr="00357ADB">
        <w:rPr>
          <w:i/>
        </w:rPr>
        <w:t xml:space="preserve"> </w:t>
      </w:r>
      <w:proofErr w:type="spellStart"/>
      <w:r w:rsidR="008330EE" w:rsidRPr="00357ADB">
        <w:rPr>
          <w:i/>
        </w:rPr>
        <w:t>Judgments</w:t>
      </w:r>
      <w:proofErr w:type="spellEnd"/>
      <w:r w:rsidR="008330EE" w:rsidRPr="00357ADB">
        <w:rPr>
          <w:i/>
        </w:rPr>
        <w:t xml:space="preserve"> </w:t>
      </w:r>
      <w:proofErr w:type="spellStart"/>
      <w:r w:rsidR="008330EE" w:rsidRPr="00357ADB">
        <w:rPr>
          <w:i/>
        </w:rPr>
        <w:t>and</w:t>
      </w:r>
      <w:proofErr w:type="spellEnd"/>
      <w:r w:rsidR="008330EE" w:rsidRPr="00357ADB">
        <w:rPr>
          <w:i/>
        </w:rPr>
        <w:t xml:space="preserve"> </w:t>
      </w:r>
      <w:proofErr w:type="spellStart"/>
      <w:r w:rsidR="008330EE" w:rsidRPr="00357ADB">
        <w:rPr>
          <w:i/>
        </w:rPr>
        <w:t>Decisions</w:t>
      </w:r>
      <w:proofErr w:type="spellEnd"/>
      <w:r w:rsidR="008330EE" w:rsidRPr="00357ADB">
        <w:t xml:space="preserve"> 1997</w:t>
      </w:r>
      <w:r w:rsidR="008330EE" w:rsidRPr="00357ADB">
        <w:noBreakHyphen/>
        <w:t>V</w:t>
      </w:r>
      <w:r w:rsidR="00AE2FB2" w:rsidRPr="00357ADB">
        <w:rPr>
          <w:sz w:val="22"/>
        </w:rPr>
        <w:t>)</w:t>
      </w:r>
      <w:r w:rsidR="008330EE" w:rsidRPr="00357ADB">
        <w:t xml:space="preserve"> </w:t>
      </w:r>
      <w:r w:rsidR="00AE2FB2" w:rsidRPr="00357ADB">
        <w:t xml:space="preserve">или когато страните следва да бъдат активни и да проверят в деловодството на съда за окончателното решение (вж. </w:t>
      </w:r>
      <w:proofErr w:type="spellStart"/>
      <w:r w:rsidR="008330EE" w:rsidRPr="00357ADB">
        <w:rPr>
          <w:i/>
        </w:rPr>
        <w:t>Papachelas</w:t>
      </w:r>
      <w:proofErr w:type="spellEnd"/>
      <w:r w:rsidR="008330EE" w:rsidRPr="00357ADB">
        <w:rPr>
          <w:i/>
        </w:rPr>
        <w:t xml:space="preserve"> v. </w:t>
      </w:r>
      <w:proofErr w:type="spellStart"/>
      <w:r w:rsidR="008330EE" w:rsidRPr="00357ADB">
        <w:rPr>
          <w:i/>
        </w:rPr>
        <w:t>Greece</w:t>
      </w:r>
      <w:proofErr w:type="spellEnd"/>
      <w:r w:rsidR="008330EE" w:rsidRPr="00357ADB">
        <w:t xml:space="preserve"> [</w:t>
      </w:r>
      <w:r w:rsidR="00AE2FB2" w:rsidRPr="00357ADB">
        <w:t>ГК</w:t>
      </w:r>
      <w:r w:rsidR="008330EE" w:rsidRPr="00357ADB">
        <w:t xml:space="preserve">], </w:t>
      </w:r>
      <w:r w:rsidR="00AE2FB2" w:rsidRPr="00357ADB">
        <w:t xml:space="preserve">№ </w:t>
      </w:r>
      <w:r w:rsidR="008330EE" w:rsidRPr="00357ADB">
        <w:t xml:space="preserve">31423/96, § 30, </w:t>
      </w:r>
      <w:r w:rsidR="00AE2FB2" w:rsidRPr="00357ADB">
        <w:t>ЕСПЧ</w:t>
      </w:r>
      <w:r w:rsidR="008330EE" w:rsidRPr="00357ADB">
        <w:t xml:space="preserve"> 1999</w:t>
      </w:r>
      <w:r w:rsidR="008330EE" w:rsidRPr="00357ADB">
        <w:noBreakHyphen/>
        <w:t>II)</w:t>
      </w:r>
      <w:r w:rsidR="00AE2FB2" w:rsidRPr="00357ADB">
        <w:t>, са неприложими в настоящия случай, тъй като жалбоподателката не е страна в производството</w:t>
      </w:r>
      <w:r w:rsidR="008330EE" w:rsidRPr="00357ADB">
        <w:t>.</w:t>
      </w:r>
    </w:p>
    <w:p w:rsidR="008330EE" w:rsidRPr="00357ADB" w:rsidRDefault="00701932" w:rsidP="00AE3E4D">
      <w:pPr>
        <w:pStyle w:val="JuPara"/>
      </w:pPr>
      <w:fldSimple w:instr=" SEQ level0 \*arabic ">
        <w:r w:rsidR="00A5720B">
          <w:rPr>
            <w:noProof/>
          </w:rPr>
          <w:t>48</w:t>
        </w:r>
      </w:fldSimple>
      <w:r w:rsidR="008330EE" w:rsidRPr="00357ADB">
        <w:t>.  </w:t>
      </w:r>
      <w:r w:rsidR="00AE2FB2" w:rsidRPr="00357ADB">
        <w:t xml:space="preserve">Следователно, както Съдът намира в </w:t>
      </w:r>
      <w:r w:rsidR="00D673F6" w:rsidRPr="00357ADB">
        <w:t>извънредни</w:t>
      </w:r>
      <w:r w:rsidR="00AE2FB2" w:rsidRPr="00357ADB">
        <w:t xml:space="preserve"> случаи, шестмесечният период започва да тече от датата, на която жалбоподателката или неин представител има достатъчно информация за окончателното решение на националния съд (вж. </w:t>
      </w:r>
      <w:proofErr w:type="spellStart"/>
      <w:r w:rsidR="008330EE" w:rsidRPr="00357ADB">
        <w:rPr>
          <w:i/>
        </w:rPr>
        <w:t>mutatis</w:t>
      </w:r>
      <w:proofErr w:type="spellEnd"/>
      <w:r w:rsidR="008330EE" w:rsidRPr="00357ADB">
        <w:rPr>
          <w:i/>
        </w:rPr>
        <w:t xml:space="preserve"> </w:t>
      </w:r>
      <w:proofErr w:type="spellStart"/>
      <w:r w:rsidR="008330EE" w:rsidRPr="00357ADB">
        <w:rPr>
          <w:i/>
        </w:rPr>
        <w:t>mutandis</w:t>
      </w:r>
      <w:proofErr w:type="spellEnd"/>
      <w:r w:rsidR="008330EE" w:rsidRPr="00357ADB">
        <w:t xml:space="preserve"> </w:t>
      </w:r>
      <w:proofErr w:type="spellStart"/>
      <w:r w:rsidR="008330EE" w:rsidRPr="00357ADB">
        <w:rPr>
          <w:i/>
        </w:rPr>
        <w:t>Koç</w:t>
      </w:r>
      <w:proofErr w:type="spellEnd"/>
      <w:r w:rsidR="008330EE" w:rsidRPr="00357ADB">
        <w:rPr>
          <w:i/>
        </w:rPr>
        <w:t xml:space="preserve"> </w:t>
      </w:r>
      <w:proofErr w:type="spellStart"/>
      <w:r w:rsidR="008330EE" w:rsidRPr="00357ADB">
        <w:rPr>
          <w:i/>
        </w:rPr>
        <w:t>and</w:t>
      </w:r>
      <w:proofErr w:type="spellEnd"/>
      <w:r w:rsidR="008330EE" w:rsidRPr="00357ADB">
        <w:rPr>
          <w:i/>
        </w:rPr>
        <w:t xml:space="preserve"> </w:t>
      </w:r>
      <w:proofErr w:type="spellStart"/>
      <w:r w:rsidR="008330EE" w:rsidRPr="00357ADB">
        <w:rPr>
          <w:i/>
        </w:rPr>
        <w:t>Tosun</w:t>
      </w:r>
      <w:proofErr w:type="spellEnd"/>
      <w:r w:rsidR="008330EE" w:rsidRPr="00357ADB">
        <w:rPr>
          <w:i/>
        </w:rPr>
        <w:t xml:space="preserve"> v. </w:t>
      </w:r>
      <w:proofErr w:type="spellStart"/>
      <w:r w:rsidR="008330EE" w:rsidRPr="00357ADB">
        <w:rPr>
          <w:i/>
        </w:rPr>
        <w:t>Turkey</w:t>
      </w:r>
      <w:proofErr w:type="spellEnd"/>
      <w:r w:rsidR="008330EE" w:rsidRPr="00357ADB">
        <w:t xml:space="preserve"> (</w:t>
      </w:r>
      <w:proofErr w:type="spellStart"/>
      <w:r w:rsidR="008330EE" w:rsidRPr="00357ADB">
        <w:t>dec</w:t>
      </w:r>
      <w:proofErr w:type="spellEnd"/>
      <w:r w:rsidR="008330EE" w:rsidRPr="00357ADB">
        <w:t xml:space="preserve">.), </w:t>
      </w:r>
      <w:r w:rsidR="00AE2FB2" w:rsidRPr="00357ADB">
        <w:t xml:space="preserve">№ </w:t>
      </w:r>
      <w:r w:rsidR="008330EE" w:rsidRPr="00357ADB">
        <w:t>23852/04, 13</w:t>
      </w:r>
      <w:r w:rsidR="00AE2FB2" w:rsidRPr="00357ADB">
        <w:t xml:space="preserve"> ноември </w:t>
      </w:r>
      <w:r w:rsidR="008330EE" w:rsidRPr="00357ADB">
        <w:t>2008</w:t>
      </w:r>
      <w:r w:rsidR="00AE2FB2" w:rsidRPr="00357ADB">
        <w:t xml:space="preserve"> г. и </w:t>
      </w:r>
      <w:proofErr w:type="spellStart"/>
      <w:r w:rsidR="008330EE" w:rsidRPr="00357ADB">
        <w:rPr>
          <w:i/>
        </w:rPr>
        <w:t>Belozorov</w:t>
      </w:r>
      <w:proofErr w:type="spellEnd"/>
      <w:r w:rsidR="008330EE" w:rsidRPr="00357ADB">
        <w:rPr>
          <w:i/>
        </w:rPr>
        <w:t xml:space="preserve"> v. </w:t>
      </w:r>
      <w:proofErr w:type="spellStart"/>
      <w:r w:rsidR="008330EE" w:rsidRPr="00357ADB">
        <w:rPr>
          <w:i/>
        </w:rPr>
        <w:t>Russia</w:t>
      </w:r>
      <w:proofErr w:type="spellEnd"/>
      <w:r w:rsidR="008330EE" w:rsidRPr="00357ADB">
        <w:rPr>
          <w:i/>
        </w:rPr>
        <w:t xml:space="preserve"> </w:t>
      </w:r>
      <w:proofErr w:type="spellStart"/>
      <w:r w:rsidR="008330EE" w:rsidRPr="00357ADB">
        <w:rPr>
          <w:i/>
        </w:rPr>
        <w:t>and</w:t>
      </w:r>
      <w:proofErr w:type="spellEnd"/>
      <w:r w:rsidR="008330EE" w:rsidRPr="00357ADB">
        <w:rPr>
          <w:i/>
        </w:rPr>
        <w:t xml:space="preserve"> </w:t>
      </w:r>
      <w:proofErr w:type="spellStart"/>
      <w:r w:rsidR="008330EE" w:rsidRPr="00357ADB">
        <w:rPr>
          <w:i/>
        </w:rPr>
        <w:t>Ukraine</w:t>
      </w:r>
      <w:proofErr w:type="spellEnd"/>
      <w:r w:rsidR="008330EE" w:rsidRPr="00357ADB">
        <w:t xml:space="preserve">, </w:t>
      </w:r>
      <w:r w:rsidR="00AE2FB2" w:rsidRPr="00357ADB">
        <w:t xml:space="preserve">№ </w:t>
      </w:r>
      <w:r w:rsidR="008330EE" w:rsidRPr="00357ADB">
        <w:t>43611/02, § 93, 15</w:t>
      </w:r>
      <w:r w:rsidR="00AE2FB2" w:rsidRPr="00357ADB">
        <w:t xml:space="preserve"> октомври </w:t>
      </w:r>
      <w:r w:rsidR="008330EE" w:rsidRPr="00357ADB">
        <w:rPr>
          <w:snapToGrid w:val="0"/>
        </w:rPr>
        <w:t>2015</w:t>
      </w:r>
      <w:r w:rsidR="00AE2FB2" w:rsidRPr="00357ADB">
        <w:rPr>
          <w:snapToGrid w:val="0"/>
        </w:rPr>
        <w:t> г.</w:t>
      </w:r>
      <w:r w:rsidR="008330EE" w:rsidRPr="00357ADB">
        <w:t xml:space="preserve">). </w:t>
      </w:r>
      <w:r w:rsidR="001A7A5D" w:rsidRPr="00357ADB">
        <w:t xml:space="preserve">В такива случаи Съдът </w:t>
      </w:r>
      <w:r w:rsidR="00781513">
        <w:t>счита</w:t>
      </w:r>
      <w:r w:rsidR="001A7A5D" w:rsidRPr="00357ADB">
        <w:t xml:space="preserve">, че държавата, която се позовава на несъобразяването с шестмесечния срок, следва да установи датата, на която жалбоподателят </w:t>
      </w:r>
      <w:r w:rsidR="00781513">
        <w:t>узнава</w:t>
      </w:r>
      <w:r w:rsidR="00F85F84" w:rsidRPr="00357ADB">
        <w:t xml:space="preserve"> </w:t>
      </w:r>
      <w:r w:rsidR="001A7A5D" w:rsidRPr="00357ADB">
        <w:t xml:space="preserve">за окончателното решение на </w:t>
      </w:r>
      <w:r w:rsidR="00354F32" w:rsidRPr="00357ADB">
        <w:t>националния</w:t>
      </w:r>
      <w:r w:rsidR="001A7A5D" w:rsidRPr="00357ADB">
        <w:t xml:space="preserve"> съд </w:t>
      </w:r>
      <w:r w:rsidR="008330EE" w:rsidRPr="00357ADB">
        <w:t>(</w:t>
      </w:r>
      <w:r w:rsidR="001A7A5D" w:rsidRPr="00357ADB">
        <w:t xml:space="preserve">вж. </w:t>
      </w:r>
      <w:proofErr w:type="spellStart"/>
      <w:r w:rsidR="008330EE" w:rsidRPr="00357ADB">
        <w:rPr>
          <w:i/>
        </w:rPr>
        <w:t>Şahmo</w:t>
      </w:r>
      <w:proofErr w:type="spellEnd"/>
      <w:r w:rsidR="008330EE" w:rsidRPr="00357ADB">
        <w:rPr>
          <w:i/>
        </w:rPr>
        <w:t xml:space="preserve"> </w:t>
      </w:r>
      <w:r w:rsidR="008330EE" w:rsidRPr="00357ADB">
        <w:rPr>
          <w:i/>
        </w:rPr>
        <w:lastRenderedPageBreak/>
        <w:t xml:space="preserve">v. </w:t>
      </w:r>
      <w:proofErr w:type="spellStart"/>
      <w:r w:rsidR="008330EE" w:rsidRPr="00357ADB">
        <w:rPr>
          <w:i/>
        </w:rPr>
        <w:t>Turkey</w:t>
      </w:r>
      <w:proofErr w:type="spellEnd"/>
      <w:r w:rsidR="008330EE" w:rsidRPr="00357ADB">
        <w:t xml:space="preserve"> (</w:t>
      </w:r>
      <w:proofErr w:type="spellStart"/>
      <w:r w:rsidR="008330EE" w:rsidRPr="00357ADB">
        <w:t>dec</w:t>
      </w:r>
      <w:proofErr w:type="spellEnd"/>
      <w:r w:rsidR="008330EE" w:rsidRPr="00357ADB">
        <w:t xml:space="preserve">.), </w:t>
      </w:r>
      <w:r w:rsidR="001A7A5D" w:rsidRPr="00357ADB">
        <w:t xml:space="preserve">№ </w:t>
      </w:r>
      <w:r w:rsidR="008330EE" w:rsidRPr="00357ADB">
        <w:t xml:space="preserve">37415/97, 1 </w:t>
      </w:r>
      <w:r w:rsidR="001A7A5D" w:rsidRPr="00357ADB">
        <w:t>април</w:t>
      </w:r>
      <w:r w:rsidR="008330EE" w:rsidRPr="00357ADB">
        <w:t xml:space="preserve"> 2003</w:t>
      </w:r>
      <w:r w:rsidR="001A7A5D" w:rsidRPr="00357ADB">
        <w:t xml:space="preserve"> г. и </w:t>
      </w:r>
      <w:proofErr w:type="spellStart"/>
      <w:r w:rsidR="008330EE" w:rsidRPr="00357ADB">
        <w:rPr>
          <w:i/>
        </w:rPr>
        <w:t>Belozorov</w:t>
      </w:r>
      <w:proofErr w:type="spellEnd"/>
      <w:r w:rsidR="008330EE" w:rsidRPr="00357ADB">
        <w:t xml:space="preserve">, </w:t>
      </w:r>
      <w:r w:rsidR="001A7A5D" w:rsidRPr="00357ADB">
        <w:t>цитирано по-горе</w:t>
      </w:r>
      <w:r w:rsidR="008330EE" w:rsidRPr="00357ADB">
        <w:t xml:space="preserve">, § 97). </w:t>
      </w:r>
      <w:r w:rsidR="00522D60" w:rsidRPr="00357ADB">
        <w:t xml:space="preserve">В настоящия случай, при липсата на обяснение от Правителството, различно от </w:t>
      </w:r>
      <w:r w:rsidR="004D60D3" w:rsidRPr="00357ADB">
        <w:t xml:space="preserve">представеното от жалбоподателката </w:t>
      </w:r>
      <w:r w:rsidR="00522D60" w:rsidRPr="00357ADB">
        <w:t xml:space="preserve">относно датата, на която за първи път узнава, че има окончателно </w:t>
      </w:r>
      <w:r w:rsidR="00354F32" w:rsidRPr="00357ADB">
        <w:t>съдебно</w:t>
      </w:r>
      <w:r w:rsidR="00522D60" w:rsidRPr="00357ADB">
        <w:t xml:space="preserve"> решение срещу извършителя, Съдът няма друг избор освен да приеме, че това е 21 ноември </w:t>
      </w:r>
      <w:r w:rsidR="008330EE" w:rsidRPr="00357ADB">
        <w:t>2016</w:t>
      </w:r>
      <w:r w:rsidR="00522D60" w:rsidRPr="00357ADB">
        <w:t> г</w:t>
      </w:r>
      <w:r w:rsidR="008330EE" w:rsidRPr="00357ADB">
        <w:t>.</w:t>
      </w:r>
      <w:r w:rsidR="00522D60" w:rsidRPr="00357ADB">
        <w:t xml:space="preserve"> Следователно не е налице нарушение във връзка с шестмесечния срок</w:t>
      </w:r>
      <w:r w:rsidR="008330EE" w:rsidRPr="00357ADB">
        <w:t>.</w:t>
      </w:r>
    </w:p>
    <w:p w:rsidR="008330EE" w:rsidRPr="00357ADB" w:rsidRDefault="00701932" w:rsidP="00AE3E4D">
      <w:pPr>
        <w:pStyle w:val="JuPara"/>
      </w:pPr>
      <w:fldSimple w:instr=" SEQ level0 \*arabic ">
        <w:r w:rsidR="00A5720B">
          <w:rPr>
            <w:noProof/>
          </w:rPr>
          <w:t>49</w:t>
        </w:r>
      </w:fldSimple>
      <w:r w:rsidR="008330EE" w:rsidRPr="00357ADB">
        <w:t>.  </w:t>
      </w:r>
      <w:r w:rsidR="00330428" w:rsidRPr="00357ADB">
        <w:t xml:space="preserve">Съдът </w:t>
      </w:r>
      <w:r w:rsidR="00D663C0">
        <w:t>счита</w:t>
      </w:r>
      <w:r w:rsidR="00D663C0" w:rsidRPr="00357ADB">
        <w:t xml:space="preserve"> </w:t>
      </w:r>
      <w:r w:rsidR="00330428" w:rsidRPr="00357ADB">
        <w:t xml:space="preserve">още, че въпросът за изчерпването на вътрешноправните средства за защита е тясно свързан със съществото на оплакването на жалбоподателката относно процесуалния аспект на чл. 3 от Конвенцията (за сходен подход вж. </w:t>
      </w:r>
      <w:proofErr w:type="spellStart"/>
      <w:r w:rsidR="008330EE" w:rsidRPr="00357ADB">
        <w:rPr>
          <w:i/>
        </w:rPr>
        <w:t>Mogilat</w:t>
      </w:r>
      <w:proofErr w:type="spellEnd"/>
      <w:r w:rsidR="008330EE" w:rsidRPr="00357ADB">
        <w:rPr>
          <w:i/>
        </w:rPr>
        <w:t xml:space="preserve"> v. </w:t>
      </w:r>
      <w:proofErr w:type="spellStart"/>
      <w:r w:rsidR="008330EE" w:rsidRPr="00357ADB">
        <w:rPr>
          <w:i/>
        </w:rPr>
        <w:t>Russia</w:t>
      </w:r>
      <w:proofErr w:type="spellEnd"/>
      <w:r w:rsidR="008330EE" w:rsidRPr="00357ADB">
        <w:t>,</w:t>
      </w:r>
      <w:r w:rsidR="00330428" w:rsidRPr="00357ADB">
        <w:t xml:space="preserve"> № 8461/03, § 45 с допълнителна препратка, 1</w:t>
      </w:r>
      <w:r w:rsidR="008330EE" w:rsidRPr="00357ADB">
        <w:t xml:space="preserve">3 </w:t>
      </w:r>
      <w:r w:rsidR="00330428" w:rsidRPr="00357ADB">
        <w:t xml:space="preserve">март </w:t>
      </w:r>
      <w:r w:rsidR="008330EE" w:rsidRPr="00357ADB">
        <w:t>2012</w:t>
      </w:r>
      <w:r w:rsidR="00330428" w:rsidRPr="00357ADB">
        <w:t> г.</w:t>
      </w:r>
      <w:r w:rsidR="008330EE" w:rsidRPr="00357ADB">
        <w:t>).</w:t>
      </w:r>
      <w:r w:rsidR="00757ECC" w:rsidRPr="00357ADB">
        <w:t xml:space="preserve"> </w:t>
      </w:r>
      <w:r w:rsidR="00D663C0">
        <w:t>Следователно</w:t>
      </w:r>
      <w:r w:rsidR="00D663C0" w:rsidRPr="00357ADB">
        <w:t xml:space="preserve"> </w:t>
      </w:r>
      <w:r w:rsidR="00757ECC" w:rsidRPr="00357ADB">
        <w:t xml:space="preserve">Съдът </w:t>
      </w:r>
      <w:r w:rsidR="00D663C0">
        <w:t>намира</w:t>
      </w:r>
      <w:r w:rsidR="00757ECC" w:rsidRPr="00357ADB">
        <w:t>, че въпросът следва да бъде разгледан по-долу съгласно материалната разпоредба на Конвенцията</w:t>
      </w:r>
      <w:r w:rsidR="008330EE" w:rsidRPr="00357ADB">
        <w:t>.</w:t>
      </w:r>
    </w:p>
    <w:p w:rsidR="008330EE" w:rsidRPr="00357ADB" w:rsidRDefault="00701932" w:rsidP="00AE3E4D">
      <w:pPr>
        <w:pStyle w:val="JuPara"/>
      </w:pPr>
      <w:fldSimple w:instr=" SEQ level0 \*arabic ">
        <w:r w:rsidR="00A5720B">
          <w:rPr>
            <w:noProof/>
          </w:rPr>
          <w:t>50</w:t>
        </w:r>
      </w:fldSimple>
      <w:r w:rsidR="008330EE" w:rsidRPr="00357ADB">
        <w:t>.  </w:t>
      </w:r>
      <w:r w:rsidR="00757ECC" w:rsidRPr="00357ADB">
        <w:t xml:space="preserve">На последно място Съдът отбелязва, че </w:t>
      </w:r>
      <w:r w:rsidR="00003526">
        <w:t>това оплакване</w:t>
      </w:r>
      <w:r w:rsidR="00757ECC" w:rsidRPr="00357ADB">
        <w:t xml:space="preserve"> не е явно нео</w:t>
      </w:r>
      <w:r w:rsidR="0071270D" w:rsidRPr="00357ADB">
        <w:t>б</w:t>
      </w:r>
      <w:r w:rsidR="00757ECC" w:rsidRPr="00357ADB">
        <w:t>основан</w:t>
      </w:r>
      <w:r w:rsidR="00003526">
        <w:t>о</w:t>
      </w:r>
      <w:r w:rsidR="00757ECC" w:rsidRPr="00357ADB">
        <w:t>, нито недопустим</w:t>
      </w:r>
      <w:r w:rsidR="00003526">
        <w:t>о</w:t>
      </w:r>
      <w:r w:rsidR="00757ECC" w:rsidRPr="00357ADB">
        <w:t xml:space="preserve"> на други основания, предвидени в чл. 35 от Конвенцията</w:t>
      </w:r>
      <w:r w:rsidR="008330EE" w:rsidRPr="00357ADB">
        <w:t>. Следователно тя трябва да бъде обявена за допустима.</w:t>
      </w:r>
    </w:p>
    <w:p w:rsidR="008330EE" w:rsidRPr="00357ADB" w:rsidRDefault="008330EE" w:rsidP="00AE3E4D">
      <w:pPr>
        <w:pStyle w:val="JuHA"/>
        <w:jc w:val="left"/>
      </w:pPr>
      <w:r w:rsidRPr="00357ADB">
        <w:t>По същество</w:t>
      </w:r>
    </w:p>
    <w:p w:rsidR="007F78FD" w:rsidRPr="00357ADB" w:rsidRDefault="003309B2" w:rsidP="00AE3E4D">
      <w:pPr>
        <w:pStyle w:val="JuH1"/>
        <w:jc w:val="left"/>
      </w:pPr>
      <w:r w:rsidRPr="00357ADB">
        <w:t>Становища на страните</w:t>
      </w:r>
    </w:p>
    <w:p w:rsidR="008330EE" w:rsidRPr="00357ADB" w:rsidRDefault="00701932" w:rsidP="00AE3E4D">
      <w:pPr>
        <w:pStyle w:val="JuPara"/>
      </w:pPr>
      <w:fldSimple w:instr=" SEQ level0 \*arabic ">
        <w:r w:rsidR="00A5720B">
          <w:rPr>
            <w:noProof/>
          </w:rPr>
          <w:t>51</w:t>
        </w:r>
      </w:fldSimple>
      <w:r w:rsidR="008330EE" w:rsidRPr="00357ADB">
        <w:t>.  </w:t>
      </w:r>
      <w:r w:rsidR="0071270D" w:rsidRPr="00357ADB">
        <w:t xml:space="preserve">Жалбоподателката посочва по-конкретно, че ефективно наказателно преследване и предшестващо го ефективно </w:t>
      </w:r>
      <w:r w:rsidR="001B668B">
        <w:t>разследване</w:t>
      </w:r>
      <w:r w:rsidR="001B668B" w:rsidRPr="00357ADB">
        <w:t xml:space="preserve"> </w:t>
      </w:r>
      <w:r w:rsidR="0071270D" w:rsidRPr="00357ADB">
        <w:t>не са възможни, когато сексуалното насилие се разглежда съгласно чл. </w:t>
      </w:r>
      <w:r w:rsidR="008330EE" w:rsidRPr="00357ADB">
        <w:t>151</w:t>
      </w:r>
      <w:r w:rsidR="0071270D" w:rsidRPr="00357ADB">
        <w:t>, ал. </w:t>
      </w:r>
      <w:r w:rsidR="008330EE" w:rsidRPr="00357ADB">
        <w:t>1</w:t>
      </w:r>
      <w:r w:rsidR="0071270D" w:rsidRPr="00357ADB">
        <w:t xml:space="preserve"> </w:t>
      </w:r>
      <w:r w:rsidR="0058231B">
        <w:t xml:space="preserve">от </w:t>
      </w:r>
      <w:r w:rsidR="0071270D" w:rsidRPr="00357ADB">
        <w:t>НК, особено когато случаите на изнасилване се разглеждат</w:t>
      </w:r>
      <w:r w:rsidR="00CB6A1E">
        <w:t xml:space="preserve"> като</w:t>
      </w:r>
      <w:r w:rsidR="0071270D" w:rsidRPr="00357ADB">
        <w:t xml:space="preserve"> </w:t>
      </w:r>
      <w:r w:rsidR="001B668B">
        <w:t xml:space="preserve">“съвкупление с малолетно </w:t>
      </w:r>
      <w:r w:rsidR="001B668B">
        <w:lastRenderedPageBreak/>
        <w:t>лице“</w:t>
      </w:r>
      <w:r w:rsidR="008330EE" w:rsidRPr="00357ADB">
        <w:t>.</w:t>
      </w:r>
      <w:r w:rsidR="00636984" w:rsidRPr="00357ADB">
        <w:t xml:space="preserve"> В нейния случай </w:t>
      </w:r>
      <w:r w:rsidR="001B668B">
        <w:t>разследването</w:t>
      </w:r>
      <w:r w:rsidR="00636984" w:rsidRPr="00357ADB">
        <w:t xml:space="preserve"> и наказателното преследване са неефективни, защото не </w:t>
      </w:r>
      <w:r w:rsidR="001B668B">
        <w:t>е проведено разследване</w:t>
      </w:r>
      <w:r w:rsidR="007D64CB" w:rsidRPr="00357ADB">
        <w:t xml:space="preserve"> и наказателно преследване за изнасилване, а крайно смекчената присъда, постановена срещу извършителя за по-леко престъпление, не осигурява ефективно наказание за сексуални престъпления</w:t>
      </w:r>
      <w:r w:rsidR="008330EE" w:rsidRPr="00357ADB">
        <w:t>.</w:t>
      </w:r>
    </w:p>
    <w:p w:rsidR="008330EE" w:rsidRPr="00357ADB" w:rsidRDefault="00701932" w:rsidP="00AE3E4D">
      <w:pPr>
        <w:pStyle w:val="JuPara"/>
      </w:pPr>
      <w:fldSimple w:instr=" SEQ level0 \*arabic ">
        <w:r w:rsidR="00A5720B">
          <w:rPr>
            <w:noProof/>
          </w:rPr>
          <w:t>52</w:t>
        </w:r>
      </w:fldSimple>
      <w:r w:rsidR="008330EE" w:rsidRPr="00357ADB">
        <w:t>.  </w:t>
      </w:r>
      <w:r w:rsidR="00E61CAA" w:rsidRPr="00357ADB">
        <w:t xml:space="preserve">Правителството твърди, че властите не </w:t>
      </w:r>
      <w:r w:rsidR="008171F9">
        <w:t xml:space="preserve">са проявили </w:t>
      </w:r>
      <w:r w:rsidR="00E61CAA" w:rsidRPr="00357ADB">
        <w:t xml:space="preserve"> пасивност, отрицателно отношение или пристрастие </w:t>
      </w:r>
      <w:r w:rsidR="008171F9">
        <w:t>към</w:t>
      </w:r>
      <w:r w:rsidR="00E61CAA" w:rsidRPr="00357ADB">
        <w:t xml:space="preserve"> жалбоподателката</w:t>
      </w:r>
      <w:r w:rsidR="008330EE" w:rsidRPr="00357ADB">
        <w:t>.</w:t>
      </w:r>
      <w:r w:rsidR="00E61CAA" w:rsidRPr="00357ADB">
        <w:t xml:space="preserve"> Точно обратното, те </w:t>
      </w:r>
      <w:r w:rsidR="008171F9">
        <w:t>са се заели със</w:t>
      </w:r>
      <w:r w:rsidR="008171F9" w:rsidRPr="00357ADB">
        <w:t xml:space="preserve"> </w:t>
      </w:r>
      <w:r w:rsidR="00E61CAA" w:rsidRPr="00357ADB">
        <w:t xml:space="preserve">случая експедитивно и </w:t>
      </w:r>
      <w:r w:rsidR="008171F9">
        <w:t xml:space="preserve">са </w:t>
      </w:r>
      <w:r w:rsidR="00E61CAA" w:rsidRPr="00357ADB">
        <w:t>осигур</w:t>
      </w:r>
      <w:r w:rsidR="008171F9">
        <w:t>или</w:t>
      </w:r>
      <w:r w:rsidR="00E61CAA" w:rsidRPr="00357ADB">
        <w:t xml:space="preserve"> закрила на жалбоподателката, като </w:t>
      </w:r>
      <w:r w:rsidR="008171F9">
        <w:t xml:space="preserve">са </w:t>
      </w:r>
      <w:r w:rsidR="00E61CAA" w:rsidRPr="00357ADB">
        <w:t>взе</w:t>
      </w:r>
      <w:r w:rsidR="008171F9">
        <w:t>ли</w:t>
      </w:r>
      <w:r w:rsidR="00E61CAA" w:rsidRPr="00357ADB">
        <w:t xml:space="preserve"> предвид </w:t>
      </w:r>
      <w:r w:rsidR="008171F9">
        <w:t>сериозността</w:t>
      </w:r>
      <w:r w:rsidR="008171F9" w:rsidRPr="00357ADB">
        <w:t xml:space="preserve"> </w:t>
      </w:r>
      <w:r w:rsidR="00E61CAA" w:rsidRPr="00357ADB">
        <w:t>на ситуацията</w:t>
      </w:r>
      <w:r w:rsidR="008330EE" w:rsidRPr="00357ADB">
        <w:t>.</w:t>
      </w:r>
      <w:r w:rsidR="00E61CAA" w:rsidRPr="00357ADB">
        <w:t xml:space="preserve"> Правителството приканва Съда да обяви оплакванията на жалбоподателката в това отношение за явно необосновани или да приеме, че те </w:t>
      </w:r>
      <w:r w:rsidR="0058231B">
        <w:t>не разкриват</w:t>
      </w:r>
      <w:r w:rsidR="00E61CAA" w:rsidRPr="00357ADB">
        <w:t xml:space="preserve"> нарушение на Конвенцията</w:t>
      </w:r>
      <w:r w:rsidR="008330EE" w:rsidRPr="00357ADB">
        <w:t>.</w:t>
      </w:r>
    </w:p>
    <w:p w:rsidR="008330EE" w:rsidRPr="00357ADB" w:rsidRDefault="003309B2" w:rsidP="00AE3E4D">
      <w:pPr>
        <w:pStyle w:val="JuH1"/>
        <w:jc w:val="left"/>
      </w:pPr>
      <w:r w:rsidRPr="00357ADB">
        <w:t>Преценка</w:t>
      </w:r>
      <w:r w:rsidR="0058231B">
        <w:t>та</w:t>
      </w:r>
      <w:r w:rsidR="008330EE" w:rsidRPr="00357ADB">
        <w:t xml:space="preserve"> на Съда</w:t>
      </w:r>
    </w:p>
    <w:p w:rsidR="008330EE" w:rsidRPr="00357ADB" w:rsidRDefault="003309B2" w:rsidP="00AE3E4D">
      <w:pPr>
        <w:pStyle w:val="JuHa0"/>
        <w:numPr>
          <w:ilvl w:val="4"/>
          <w:numId w:val="22"/>
        </w:numPr>
        <w:jc w:val="left"/>
      </w:pPr>
      <w:r w:rsidRPr="00357ADB">
        <w:t>Общи принципи</w:t>
      </w:r>
    </w:p>
    <w:p w:rsidR="008330EE" w:rsidRPr="00357ADB" w:rsidRDefault="00701932" w:rsidP="00AE3E4D">
      <w:pPr>
        <w:pStyle w:val="JuPara"/>
      </w:pPr>
      <w:fldSimple w:instr=" SEQ level0 \*arabic ">
        <w:r w:rsidR="00A5720B">
          <w:rPr>
            <w:noProof/>
          </w:rPr>
          <w:t>53</w:t>
        </w:r>
      </w:fldSimple>
      <w:r w:rsidR="008330EE" w:rsidRPr="00357ADB">
        <w:t>.  </w:t>
      </w:r>
      <w:r w:rsidR="0058231B">
        <w:t>Приложимите</w:t>
      </w:r>
      <w:r w:rsidR="0058231B" w:rsidRPr="00357ADB">
        <w:t xml:space="preserve"> </w:t>
      </w:r>
      <w:r w:rsidR="002B004B" w:rsidRPr="00357ADB">
        <w:t xml:space="preserve">принципи относно задължението на държавата, произтичащо от чл. 3 от Конвенцията, да разследва случаи на </w:t>
      </w:r>
      <w:r w:rsidR="005256C0">
        <w:t>насилие</w:t>
      </w:r>
      <w:r w:rsidR="005256C0" w:rsidRPr="00357ADB">
        <w:t xml:space="preserve"> </w:t>
      </w:r>
      <w:r w:rsidR="00500644" w:rsidRPr="00357ADB">
        <w:t>и по-конкретно се</w:t>
      </w:r>
      <w:r w:rsidR="000F0833" w:rsidRPr="00357ADB">
        <w:t xml:space="preserve">ксуално </w:t>
      </w:r>
      <w:r w:rsidR="005256C0">
        <w:t>насилие</w:t>
      </w:r>
      <w:r w:rsidR="00500644" w:rsidRPr="00357ADB">
        <w:t>, извършен</w:t>
      </w:r>
      <w:r w:rsidR="00B153C2" w:rsidRPr="00357ADB">
        <w:t>о</w:t>
      </w:r>
      <w:r w:rsidR="00500644" w:rsidRPr="00357ADB">
        <w:t xml:space="preserve"> от частни лица, са </w:t>
      </w:r>
      <w:r w:rsidR="005256C0">
        <w:t>посочени</w:t>
      </w:r>
      <w:r w:rsidR="005256C0" w:rsidRPr="00357ADB">
        <w:t xml:space="preserve"> </w:t>
      </w:r>
      <w:r w:rsidR="00500644" w:rsidRPr="00357ADB">
        <w:t xml:space="preserve">в </w:t>
      </w:r>
      <w:r w:rsidR="005256C0">
        <w:t xml:space="preserve">решението </w:t>
      </w:r>
      <w:r w:rsidR="008330EE" w:rsidRPr="00357ADB">
        <w:rPr>
          <w:i/>
        </w:rPr>
        <w:t>M.</w:t>
      </w:r>
      <w:r w:rsidR="00500644" w:rsidRPr="00357ADB">
        <w:rPr>
          <w:i/>
        </w:rPr>
        <w:t>Ч</w:t>
      </w:r>
      <w:r w:rsidR="008330EE" w:rsidRPr="00357ADB">
        <w:rPr>
          <w:i/>
        </w:rPr>
        <w:t>.</w:t>
      </w:r>
      <w:r w:rsidR="00500644" w:rsidRPr="00357ADB">
        <w:rPr>
          <w:i/>
        </w:rPr>
        <w:t xml:space="preserve"> срещу България </w:t>
      </w:r>
      <w:r w:rsidR="008330EE" w:rsidRPr="00357ADB">
        <w:t>(</w:t>
      </w:r>
      <w:r w:rsidR="00500644" w:rsidRPr="00357ADB">
        <w:t xml:space="preserve">№ </w:t>
      </w:r>
      <w:hyperlink r:id="rId14" w:anchor="{&quot;appno&quot;:[&quot;39272/98&quot;]}" w:tgtFrame="_blank" w:history="1">
        <w:r w:rsidR="008330EE" w:rsidRPr="00357ADB">
          <w:t>39272/98</w:t>
        </w:r>
      </w:hyperlink>
      <w:r w:rsidR="008330EE" w:rsidRPr="00357ADB">
        <w:t>, §§</w:t>
      </w:r>
      <w:r w:rsidR="00500644" w:rsidRPr="00357ADB">
        <w:t> </w:t>
      </w:r>
      <w:r w:rsidR="008330EE" w:rsidRPr="00357ADB">
        <w:t>149, 151</w:t>
      </w:r>
      <w:r w:rsidR="00500644" w:rsidRPr="00357ADB">
        <w:t xml:space="preserve"> и </w:t>
      </w:r>
      <w:r w:rsidR="008330EE" w:rsidRPr="00357ADB">
        <w:t>153,</w:t>
      </w:r>
      <w:r w:rsidR="00500644" w:rsidRPr="00357ADB">
        <w:t xml:space="preserve"> ЕСПЧ</w:t>
      </w:r>
      <w:r w:rsidR="008330EE" w:rsidRPr="00357ADB">
        <w:t xml:space="preserve"> 2003</w:t>
      </w:r>
      <w:r w:rsidR="008330EE" w:rsidRPr="00357ADB">
        <w:noBreakHyphen/>
        <w:t>XII).</w:t>
      </w:r>
    </w:p>
    <w:p w:rsidR="008330EE" w:rsidRPr="00357ADB" w:rsidRDefault="00701932" w:rsidP="00AE3E4D">
      <w:pPr>
        <w:pStyle w:val="JuPara"/>
      </w:pPr>
      <w:fldSimple w:instr=" SEQ level0 \*arabic ">
        <w:r w:rsidR="00A5720B">
          <w:rPr>
            <w:noProof/>
          </w:rPr>
          <w:t>54</w:t>
        </w:r>
      </w:fldSimple>
      <w:r w:rsidR="008330EE" w:rsidRPr="00357ADB">
        <w:t>.  </w:t>
      </w:r>
      <w:r w:rsidR="00BA58DA" w:rsidRPr="00357ADB">
        <w:t xml:space="preserve">Що се отнася до изискванията на Конвенцията, свързани с ефективността на </w:t>
      </w:r>
      <w:r w:rsidR="003336AF" w:rsidRPr="00357ADB">
        <w:t>разследването</w:t>
      </w:r>
      <w:r w:rsidR="00BA58DA" w:rsidRPr="00357ADB">
        <w:t>, Съдът</w:t>
      </w:r>
      <w:r w:rsidR="00A81839" w:rsidRPr="00357ADB">
        <w:t xml:space="preserve"> приема, че по принцип всяко </w:t>
      </w:r>
      <w:r w:rsidR="003336AF" w:rsidRPr="00357ADB">
        <w:t xml:space="preserve">разследване </w:t>
      </w:r>
      <w:r w:rsidR="00A81839" w:rsidRPr="00357ADB">
        <w:t>следва да може да доведе до установяване на фактите по делото, както и до установяване и</w:t>
      </w:r>
      <w:r w:rsidR="00CB6A1E">
        <w:t>,</w:t>
      </w:r>
      <w:r w:rsidR="00A81839" w:rsidRPr="00357ADB">
        <w:t xml:space="preserve"> ако е подходящо, наказването на отговорните за </w:t>
      </w:r>
      <w:r w:rsidR="000B0406" w:rsidRPr="00357ADB">
        <w:t>престъплението</w:t>
      </w:r>
      <w:r w:rsidR="008330EE" w:rsidRPr="00357ADB">
        <w:t>.</w:t>
      </w:r>
      <w:r w:rsidR="00A81839" w:rsidRPr="00357ADB">
        <w:t xml:space="preserve"> Това не е задължение за постигане на резултат, а </w:t>
      </w:r>
      <w:r w:rsidR="005256C0">
        <w:t>задължение за начин</w:t>
      </w:r>
      <w:r w:rsidR="008330EE" w:rsidRPr="00357ADB">
        <w:t>.</w:t>
      </w:r>
      <w:r w:rsidR="00A81839" w:rsidRPr="00357ADB">
        <w:t xml:space="preserve"> </w:t>
      </w:r>
      <w:r w:rsidR="00A81839" w:rsidRPr="00357ADB">
        <w:lastRenderedPageBreak/>
        <w:t xml:space="preserve">Властите трябва да са </w:t>
      </w:r>
      <w:r w:rsidR="005256C0">
        <w:t>използвали</w:t>
      </w:r>
      <w:r w:rsidR="000B0406" w:rsidRPr="00357ADB">
        <w:t xml:space="preserve"> разумни</w:t>
      </w:r>
      <w:r w:rsidR="005256C0">
        <w:t xml:space="preserve"> средства</w:t>
      </w:r>
      <w:r w:rsidR="000B0406" w:rsidRPr="00357ADB">
        <w:t xml:space="preserve"> </w:t>
      </w:r>
      <w:r w:rsidR="00A81839" w:rsidRPr="00357ADB">
        <w:t xml:space="preserve">на тяхно разположение, за да осигурят доказателства за инцидента (вж. сред много други </w:t>
      </w:r>
      <w:proofErr w:type="spellStart"/>
      <w:r w:rsidR="008330EE" w:rsidRPr="00357ADB">
        <w:rPr>
          <w:i/>
        </w:rPr>
        <w:t>Denis</w:t>
      </w:r>
      <w:proofErr w:type="spellEnd"/>
      <w:r w:rsidR="008330EE" w:rsidRPr="00357ADB">
        <w:rPr>
          <w:i/>
        </w:rPr>
        <w:t xml:space="preserve"> </w:t>
      </w:r>
      <w:proofErr w:type="spellStart"/>
      <w:r w:rsidR="008330EE" w:rsidRPr="00357ADB">
        <w:rPr>
          <w:i/>
        </w:rPr>
        <w:t>Vasilyev</w:t>
      </w:r>
      <w:proofErr w:type="spellEnd"/>
      <w:r w:rsidR="008330EE" w:rsidRPr="00357ADB">
        <w:rPr>
          <w:i/>
        </w:rPr>
        <w:t xml:space="preserve"> v. </w:t>
      </w:r>
      <w:proofErr w:type="spellStart"/>
      <w:r w:rsidR="008330EE" w:rsidRPr="00357ADB">
        <w:rPr>
          <w:i/>
        </w:rPr>
        <w:t>Russia</w:t>
      </w:r>
      <w:proofErr w:type="spellEnd"/>
      <w:r w:rsidR="008330EE" w:rsidRPr="00357ADB">
        <w:t xml:space="preserve">, </w:t>
      </w:r>
      <w:r w:rsidR="00A81839" w:rsidRPr="00357ADB">
        <w:t>№</w:t>
      </w:r>
      <w:r w:rsidR="000B0406" w:rsidRPr="00357ADB">
        <w:t> </w:t>
      </w:r>
      <w:hyperlink r:id="rId15" w:anchor="{&quot;appno&quot;:[&quot;32704/04&quot;]}" w:tgtFrame="_blank" w:history="1">
        <w:r w:rsidR="008330EE" w:rsidRPr="00357ADB">
          <w:t>32704/04</w:t>
        </w:r>
      </w:hyperlink>
      <w:r w:rsidR="008330EE" w:rsidRPr="00357ADB">
        <w:t xml:space="preserve">, § 100, 17 </w:t>
      </w:r>
      <w:r w:rsidR="00A81839" w:rsidRPr="00357ADB">
        <w:t>декември</w:t>
      </w:r>
      <w:r w:rsidR="008330EE" w:rsidRPr="00357ADB">
        <w:t xml:space="preserve"> 2009</w:t>
      </w:r>
      <w:r w:rsidR="00A81839" w:rsidRPr="00357ADB">
        <w:t> г.</w:t>
      </w:r>
      <w:r w:rsidR="008330EE" w:rsidRPr="00357ADB">
        <w:t>,</w:t>
      </w:r>
      <w:r w:rsidR="00A81839" w:rsidRPr="00357ADB">
        <w:t xml:space="preserve"> с </w:t>
      </w:r>
      <w:r w:rsidR="00354F32" w:rsidRPr="00357ADB">
        <w:t>допълнителни</w:t>
      </w:r>
      <w:r w:rsidR="00A81839" w:rsidRPr="00357ADB">
        <w:t xml:space="preserve"> препратки</w:t>
      </w:r>
      <w:r w:rsidR="008330EE" w:rsidRPr="00357ADB">
        <w:t>).</w:t>
      </w:r>
    </w:p>
    <w:p w:rsidR="008330EE" w:rsidRPr="00357ADB" w:rsidRDefault="00701932" w:rsidP="00AE3E4D">
      <w:pPr>
        <w:pStyle w:val="JuPara"/>
      </w:pPr>
      <w:fldSimple w:instr=" SEQ level0 \*arabic ">
        <w:r w:rsidR="00A5720B">
          <w:rPr>
            <w:noProof/>
          </w:rPr>
          <w:t>55</w:t>
        </w:r>
      </w:fldSimple>
      <w:r w:rsidR="008330EE" w:rsidRPr="00357ADB">
        <w:t>.  </w:t>
      </w:r>
      <w:r w:rsidR="00852B52" w:rsidRPr="00C754ED">
        <w:t>Освен това</w:t>
      </w:r>
      <w:r w:rsidR="003C2170" w:rsidRPr="00357ADB">
        <w:t>,</w:t>
      </w:r>
      <w:r w:rsidR="005A2FF1" w:rsidRPr="00357ADB">
        <w:t xml:space="preserve"> доколкото разследването </w:t>
      </w:r>
      <w:r w:rsidR="005256C0">
        <w:t xml:space="preserve">е довело </w:t>
      </w:r>
      <w:r w:rsidR="005A2FF1" w:rsidRPr="00357ADB">
        <w:t xml:space="preserve"> до </w:t>
      </w:r>
      <w:r w:rsidR="005256C0">
        <w:t xml:space="preserve">повдигане на обвинение </w:t>
      </w:r>
      <w:r w:rsidR="005A2FF1" w:rsidRPr="00357ADB">
        <w:t xml:space="preserve"> пред националния съд, </w:t>
      </w:r>
      <w:r w:rsidR="00852B52">
        <w:t>позитивните</w:t>
      </w:r>
      <w:r w:rsidR="00852B52" w:rsidRPr="00357ADB">
        <w:t xml:space="preserve"> </w:t>
      </w:r>
      <w:r w:rsidR="005A2FF1" w:rsidRPr="00357ADB">
        <w:t>задължения съгласно чл. </w:t>
      </w:r>
      <w:r w:rsidR="008330EE" w:rsidRPr="00357ADB">
        <w:t>3</w:t>
      </w:r>
      <w:r w:rsidR="005A2FF1" w:rsidRPr="00357ADB">
        <w:t xml:space="preserve"> </w:t>
      </w:r>
      <w:r w:rsidR="00852B52">
        <w:t>от</w:t>
      </w:r>
      <w:r w:rsidR="00852B52" w:rsidRPr="00357ADB">
        <w:t xml:space="preserve"> </w:t>
      </w:r>
      <w:r w:rsidR="005A2FF1" w:rsidRPr="00357ADB">
        <w:t xml:space="preserve">Конвенцията се простират </w:t>
      </w:r>
      <w:r w:rsidR="00571BBE" w:rsidRPr="00357ADB">
        <w:t xml:space="preserve">и </w:t>
      </w:r>
      <w:r w:rsidR="005A2FF1" w:rsidRPr="00357ADB">
        <w:t>до съдебната фаза на производството. В такива случаи производството като цяло, включително съдебната фаза, следва да отговоря на изискванията на чл. 3 (вж. </w:t>
      </w:r>
      <w:proofErr w:type="spellStart"/>
      <w:r w:rsidR="008330EE" w:rsidRPr="00357ADB">
        <w:rPr>
          <w:i/>
        </w:rPr>
        <w:t>Okkalı</w:t>
      </w:r>
      <w:proofErr w:type="spellEnd"/>
      <w:r w:rsidR="008330EE" w:rsidRPr="00357ADB">
        <w:rPr>
          <w:i/>
        </w:rPr>
        <w:t xml:space="preserve"> v. </w:t>
      </w:r>
      <w:proofErr w:type="spellStart"/>
      <w:r w:rsidR="008330EE" w:rsidRPr="00357ADB">
        <w:rPr>
          <w:i/>
        </w:rPr>
        <w:t>Turkey</w:t>
      </w:r>
      <w:proofErr w:type="spellEnd"/>
      <w:r w:rsidR="008330EE" w:rsidRPr="00357ADB">
        <w:t xml:space="preserve">, </w:t>
      </w:r>
      <w:r w:rsidR="005A2FF1" w:rsidRPr="00357ADB">
        <w:t>№ </w:t>
      </w:r>
      <w:hyperlink r:id="rId16" w:anchor="{&quot;appno&quot;:[&quot;52067/99&quot;]}" w:tgtFrame="_blank" w:history="1">
        <w:r w:rsidR="008330EE" w:rsidRPr="00357ADB">
          <w:t>52067/99</w:t>
        </w:r>
      </w:hyperlink>
      <w:r w:rsidR="008330EE" w:rsidRPr="00357ADB">
        <w:t xml:space="preserve">, § 65, </w:t>
      </w:r>
      <w:r w:rsidR="005A2FF1" w:rsidRPr="00357ADB">
        <w:t>ЕСПЧ</w:t>
      </w:r>
      <w:r w:rsidR="008330EE" w:rsidRPr="00357ADB">
        <w:t xml:space="preserve"> 2006</w:t>
      </w:r>
      <w:r w:rsidR="008330EE" w:rsidRPr="00357ADB">
        <w:noBreakHyphen/>
        <w:t>XII (</w:t>
      </w:r>
      <w:r w:rsidR="005A2FF1" w:rsidRPr="00357ADB">
        <w:t>извадки</w:t>
      </w:r>
      <w:r w:rsidR="008330EE" w:rsidRPr="00357ADB">
        <w:t>)).</w:t>
      </w:r>
      <w:r w:rsidR="005A2FF1" w:rsidRPr="00357ADB">
        <w:t xml:space="preserve"> Това означава, че </w:t>
      </w:r>
      <w:r w:rsidR="005256C0">
        <w:t>националният съд</w:t>
      </w:r>
      <w:r w:rsidR="005A2FF1" w:rsidRPr="00357ADB">
        <w:t xml:space="preserve"> при никакви обстоятелства не трябва </w:t>
      </w:r>
      <w:r w:rsidR="005256C0">
        <w:t>да има готовност да</w:t>
      </w:r>
      <w:r w:rsidR="005A2FF1" w:rsidRPr="00357ADB">
        <w:t xml:space="preserve"> остав</w:t>
      </w:r>
      <w:r w:rsidR="005256C0">
        <w:t>и безнаказано</w:t>
      </w:r>
      <w:r w:rsidR="005A2FF1" w:rsidRPr="00357ADB">
        <w:t xml:space="preserve"> физическо или психологическо страдание (вж. </w:t>
      </w:r>
      <w:proofErr w:type="spellStart"/>
      <w:r w:rsidR="008330EE" w:rsidRPr="00357ADB">
        <w:rPr>
          <w:i/>
        </w:rPr>
        <w:t>Çelik</w:t>
      </w:r>
      <w:proofErr w:type="spellEnd"/>
      <w:r w:rsidR="008330EE" w:rsidRPr="00357ADB">
        <w:rPr>
          <w:i/>
        </w:rPr>
        <w:t xml:space="preserve"> v  </w:t>
      </w:r>
      <w:proofErr w:type="spellStart"/>
      <w:r w:rsidR="008330EE" w:rsidRPr="00357ADB">
        <w:rPr>
          <w:i/>
        </w:rPr>
        <w:t>Turkey</w:t>
      </w:r>
      <w:proofErr w:type="spellEnd"/>
      <w:r w:rsidR="008330EE" w:rsidRPr="00357ADB">
        <w:t xml:space="preserve"> (</w:t>
      </w:r>
      <w:r w:rsidR="005A2FF1" w:rsidRPr="00357ADB">
        <w:t xml:space="preserve">№ </w:t>
      </w:r>
      <w:r w:rsidR="008330EE" w:rsidRPr="00357ADB">
        <w:t>2),</w:t>
      </w:r>
      <w:r w:rsidR="005A2FF1" w:rsidRPr="00357ADB">
        <w:t xml:space="preserve"> № </w:t>
      </w:r>
      <w:hyperlink r:id="rId17" w:anchor="{&quot;appno&quot;:[&quot;39326/02&quot;]}" w:tgtFrame="_blank" w:history="1">
        <w:r w:rsidR="008330EE" w:rsidRPr="00357ADB">
          <w:t>39326/02</w:t>
        </w:r>
      </w:hyperlink>
      <w:r w:rsidR="008330EE" w:rsidRPr="00357ADB">
        <w:t>, § 34, 27</w:t>
      </w:r>
      <w:r w:rsidR="005A2FF1" w:rsidRPr="00357ADB">
        <w:t xml:space="preserve"> май </w:t>
      </w:r>
      <w:r w:rsidR="008330EE" w:rsidRPr="00357ADB">
        <w:t>2010</w:t>
      </w:r>
      <w:r w:rsidR="005A2FF1" w:rsidRPr="00357ADB">
        <w:t> г.</w:t>
      </w:r>
      <w:r w:rsidR="008330EE" w:rsidRPr="00357ADB">
        <w:t>).</w:t>
      </w:r>
    </w:p>
    <w:p w:rsidR="008330EE" w:rsidRPr="00357ADB" w:rsidRDefault="00701932" w:rsidP="00AE3E4D">
      <w:pPr>
        <w:pStyle w:val="JuPara"/>
      </w:pPr>
      <w:fldSimple w:instr=" SEQ level0 \*arabic ">
        <w:r w:rsidR="00A5720B">
          <w:rPr>
            <w:noProof/>
          </w:rPr>
          <w:t>56</w:t>
        </w:r>
      </w:fldSimple>
      <w:r w:rsidR="008330EE" w:rsidRPr="00357ADB">
        <w:t>.  </w:t>
      </w:r>
      <w:r w:rsidR="003B49DB" w:rsidRPr="00357ADB">
        <w:t xml:space="preserve">В допълнение, съгласно съвременните стандарти и тенденции в областта, </w:t>
      </w:r>
      <w:r w:rsidR="00D44729">
        <w:t>позитивните</w:t>
      </w:r>
      <w:r w:rsidR="00D44729" w:rsidRPr="00357ADB">
        <w:t xml:space="preserve"> </w:t>
      </w:r>
      <w:r w:rsidR="003B49DB" w:rsidRPr="00357ADB">
        <w:t>задължения на договарящите страни по чл. </w:t>
      </w:r>
      <w:r w:rsidR="008330EE" w:rsidRPr="00357ADB">
        <w:t>3</w:t>
      </w:r>
      <w:r w:rsidR="003B49DB" w:rsidRPr="00357ADB">
        <w:t xml:space="preserve"> от Конвенцията следва да се приемат </w:t>
      </w:r>
      <w:r w:rsidR="00A743D4">
        <w:t>като</w:t>
      </w:r>
      <w:r w:rsidR="003B49DB" w:rsidRPr="00357ADB">
        <w:t xml:space="preserve"> изисква</w:t>
      </w:r>
      <w:r w:rsidR="00A743D4">
        <w:t>щи предвиждане на наказание</w:t>
      </w:r>
      <w:r w:rsidR="003B49DB" w:rsidRPr="00357ADB">
        <w:t xml:space="preserve"> и </w:t>
      </w:r>
      <w:r w:rsidR="00A743D4">
        <w:t xml:space="preserve">провеждане на </w:t>
      </w:r>
      <w:r w:rsidR="003B49DB" w:rsidRPr="00357ADB">
        <w:t xml:space="preserve">ефективно наказателно преследване на всеки сексуален акт без съгласие, включително при липса на физическа съпротива от жертвата (вж. </w:t>
      </w:r>
      <w:r w:rsidR="008330EE" w:rsidRPr="00357ADB">
        <w:rPr>
          <w:i/>
        </w:rPr>
        <w:t xml:space="preserve">I.C. v. </w:t>
      </w:r>
      <w:proofErr w:type="spellStart"/>
      <w:r w:rsidR="008330EE" w:rsidRPr="00357ADB">
        <w:rPr>
          <w:i/>
        </w:rPr>
        <w:t>Romania</w:t>
      </w:r>
      <w:proofErr w:type="spellEnd"/>
      <w:r w:rsidR="008330EE" w:rsidRPr="00357ADB">
        <w:t xml:space="preserve">, </w:t>
      </w:r>
      <w:r w:rsidR="003B49DB" w:rsidRPr="00357ADB">
        <w:t>№ </w:t>
      </w:r>
      <w:r w:rsidR="008330EE" w:rsidRPr="00357ADB">
        <w:t>36934/08, § 52, 24</w:t>
      </w:r>
      <w:r w:rsidR="003B49DB" w:rsidRPr="00357ADB">
        <w:t xml:space="preserve"> май </w:t>
      </w:r>
      <w:r w:rsidR="008330EE" w:rsidRPr="00357ADB">
        <w:t>2016</w:t>
      </w:r>
      <w:r w:rsidR="003B49DB" w:rsidRPr="00357ADB">
        <w:t> г.</w:t>
      </w:r>
      <w:r w:rsidR="008330EE" w:rsidRPr="00357ADB">
        <w:t xml:space="preserve">). </w:t>
      </w:r>
      <w:r w:rsidR="00700F5C">
        <w:t>Също така</w:t>
      </w:r>
      <w:r w:rsidR="00C04BFE" w:rsidRPr="00357ADB">
        <w:t xml:space="preserve"> Съдът не изключва възможността </w:t>
      </w:r>
      <w:r w:rsidR="00700F5C">
        <w:t>позитивното</w:t>
      </w:r>
      <w:r w:rsidR="00700F5C" w:rsidRPr="00357ADB">
        <w:t xml:space="preserve"> </w:t>
      </w:r>
      <w:r w:rsidR="00C04BFE" w:rsidRPr="00357ADB">
        <w:t>задължени</w:t>
      </w:r>
      <w:r w:rsidR="00D05F4F" w:rsidRPr="00357ADB">
        <w:t xml:space="preserve">е </w:t>
      </w:r>
      <w:r w:rsidR="00C04BFE" w:rsidRPr="00357ADB">
        <w:t xml:space="preserve">на държавата по чл. 8 за опазване на физическата </w:t>
      </w:r>
      <w:r w:rsidR="00700F5C">
        <w:t>неприкосновеност</w:t>
      </w:r>
      <w:r w:rsidR="00700F5C" w:rsidRPr="00357ADB">
        <w:t xml:space="preserve"> </w:t>
      </w:r>
      <w:r w:rsidR="00C04BFE" w:rsidRPr="00357ADB">
        <w:t xml:space="preserve">на </w:t>
      </w:r>
      <w:r w:rsidR="00A743D4">
        <w:t>личността</w:t>
      </w:r>
      <w:r w:rsidR="000C2AE0" w:rsidRPr="00357ADB">
        <w:t xml:space="preserve"> </w:t>
      </w:r>
      <w:r w:rsidR="00C04BFE" w:rsidRPr="00357ADB">
        <w:t xml:space="preserve">да </w:t>
      </w:r>
      <w:r w:rsidR="00482DBC" w:rsidRPr="00357ADB">
        <w:t>засегне</w:t>
      </w:r>
      <w:r w:rsidR="00C04BFE" w:rsidRPr="00357ADB">
        <w:t xml:space="preserve"> въпроси</w:t>
      </w:r>
      <w:r w:rsidR="00482DBC" w:rsidRPr="00357ADB">
        <w:t>те</w:t>
      </w:r>
      <w:r w:rsidR="00C04BFE" w:rsidRPr="00357ADB">
        <w:t xml:space="preserve">, свързани с ефективността на наказателно разследване (вж. </w:t>
      </w:r>
      <w:r w:rsidR="00C04BFE" w:rsidRPr="00357ADB">
        <w:rPr>
          <w:i/>
        </w:rPr>
        <w:t>М</w:t>
      </w:r>
      <w:r w:rsidR="008330EE" w:rsidRPr="00357ADB">
        <w:rPr>
          <w:i/>
        </w:rPr>
        <w:t>.</w:t>
      </w:r>
      <w:r w:rsidR="00C04BFE" w:rsidRPr="00357ADB">
        <w:rPr>
          <w:i/>
        </w:rPr>
        <w:t>Ч</w:t>
      </w:r>
      <w:r w:rsidR="008330EE" w:rsidRPr="00357ADB">
        <w:rPr>
          <w:i/>
        </w:rPr>
        <w:t>.</w:t>
      </w:r>
      <w:r w:rsidR="008330EE" w:rsidRPr="00357ADB">
        <w:t xml:space="preserve">, </w:t>
      </w:r>
      <w:r w:rsidR="00C04BFE" w:rsidRPr="00357ADB">
        <w:t>цитирано по-горе, § 152 с допълнителни препратки</w:t>
      </w:r>
      <w:r w:rsidR="008330EE" w:rsidRPr="00357ADB">
        <w:t>;</w:t>
      </w:r>
      <w:r w:rsidR="00C04BFE" w:rsidRPr="00357ADB">
        <w:t xml:space="preserve"> вж. още </w:t>
      </w:r>
      <w:proofErr w:type="spellStart"/>
      <w:r w:rsidR="008330EE" w:rsidRPr="00357ADB">
        <w:rPr>
          <w:i/>
        </w:rPr>
        <w:t>mutatis</w:t>
      </w:r>
      <w:proofErr w:type="spellEnd"/>
      <w:r w:rsidR="008330EE" w:rsidRPr="00357ADB">
        <w:rPr>
          <w:i/>
        </w:rPr>
        <w:t xml:space="preserve"> </w:t>
      </w:r>
      <w:proofErr w:type="spellStart"/>
      <w:r w:rsidR="008330EE" w:rsidRPr="00357ADB">
        <w:rPr>
          <w:i/>
        </w:rPr>
        <w:t>mutandis</w:t>
      </w:r>
      <w:proofErr w:type="spellEnd"/>
      <w:r w:rsidR="008330EE" w:rsidRPr="00357ADB">
        <w:t xml:space="preserve"> </w:t>
      </w:r>
      <w:proofErr w:type="spellStart"/>
      <w:r w:rsidR="008330EE" w:rsidRPr="00357ADB">
        <w:rPr>
          <w:rFonts w:ascii="Times New Roman" w:hAnsi="Times New Roman"/>
          <w:i/>
          <w:iCs/>
        </w:rPr>
        <w:t>Khadija</w:t>
      </w:r>
      <w:proofErr w:type="spellEnd"/>
      <w:r w:rsidR="008330EE" w:rsidRPr="00357ADB">
        <w:rPr>
          <w:rFonts w:ascii="Times New Roman" w:hAnsi="Times New Roman"/>
          <w:i/>
          <w:iCs/>
        </w:rPr>
        <w:t xml:space="preserve"> </w:t>
      </w:r>
      <w:proofErr w:type="spellStart"/>
      <w:r w:rsidR="008330EE" w:rsidRPr="00357ADB">
        <w:rPr>
          <w:rFonts w:ascii="Times New Roman" w:hAnsi="Times New Roman"/>
          <w:i/>
          <w:iCs/>
        </w:rPr>
        <w:t>Ismayilova</w:t>
      </w:r>
      <w:proofErr w:type="spellEnd"/>
      <w:r w:rsidR="008330EE" w:rsidRPr="00357ADB">
        <w:rPr>
          <w:rFonts w:ascii="Times New Roman" w:hAnsi="Times New Roman"/>
          <w:i/>
          <w:iCs/>
        </w:rPr>
        <w:t xml:space="preserve"> v. </w:t>
      </w:r>
      <w:proofErr w:type="spellStart"/>
      <w:r w:rsidR="008330EE" w:rsidRPr="00357ADB">
        <w:rPr>
          <w:rFonts w:ascii="Times New Roman" w:hAnsi="Times New Roman"/>
          <w:i/>
          <w:iCs/>
        </w:rPr>
        <w:t>Azerbaijan</w:t>
      </w:r>
      <w:proofErr w:type="spellEnd"/>
      <w:r w:rsidR="008330EE" w:rsidRPr="00357ADB">
        <w:t xml:space="preserve">, </w:t>
      </w:r>
      <w:r w:rsidR="00C04BFE" w:rsidRPr="00357ADB">
        <w:t>№ </w:t>
      </w:r>
      <w:r w:rsidR="008330EE" w:rsidRPr="00357ADB">
        <w:t xml:space="preserve">65286/13 </w:t>
      </w:r>
      <w:r w:rsidR="00C04BFE" w:rsidRPr="00357ADB">
        <w:t>и № </w:t>
      </w:r>
      <w:r w:rsidR="008330EE" w:rsidRPr="00357ADB">
        <w:t>57270/14, § 117, 10</w:t>
      </w:r>
      <w:r w:rsidR="00C04BFE" w:rsidRPr="00357ADB">
        <w:t xml:space="preserve"> януари </w:t>
      </w:r>
      <w:r w:rsidR="008330EE" w:rsidRPr="00357ADB">
        <w:t>2019</w:t>
      </w:r>
      <w:r w:rsidR="00C04BFE" w:rsidRPr="00357ADB">
        <w:t> г.</w:t>
      </w:r>
      <w:r w:rsidR="008330EE" w:rsidRPr="00357ADB">
        <w:t>).</w:t>
      </w:r>
    </w:p>
    <w:p w:rsidR="008330EE" w:rsidRPr="00357ADB" w:rsidRDefault="00701932" w:rsidP="00AE3E4D">
      <w:pPr>
        <w:pStyle w:val="JuPara"/>
      </w:pPr>
      <w:fldSimple w:instr=" SEQ level0 \*arabic ">
        <w:r w:rsidR="00A5720B">
          <w:rPr>
            <w:noProof/>
          </w:rPr>
          <w:t>57</w:t>
        </w:r>
      </w:fldSimple>
      <w:r w:rsidR="008330EE" w:rsidRPr="00357ADB">
        <w:t>.  </w:t>
      </w:r>
      <w:r w:rsidR="00D05F4F" w:rsidRPr="00357ADB">
        <w:t xml:space="preserve">Както Съдът </w:t>
      </w:r>
      <w:r w:rsidR="000C2AE0">
        <w:t xml:space="preserve">е </w:t>
      </w:r>
      <w:r w:rsidR="00D05F4F" w:rsidRPr="00357ADB">
        <w:t>отбелязвал, промененото разбиране за начина, по който се преживява изнасилването</w:t>
      </w:r>
      <w:r w:rsidR="000F0833" w:rsidRPr="00357ADB">
        <w:t>,</w:t>
      </w:r>
      <w:r w:rsidR="00D05F4F" w:rsidRPr="00357ADB">
        <w:t xml:space="preserve"> показва, че жертвите на сексуално </w:t>
      </w:r>
      <w:r w:rsidR="00A743D4">
        <w:t>насилие</w:t>
      </w:r>
      <w:r w:rsidR="00D05F4F" w:rsidRPr="00357ADB">
        <w:t xml:space="preserve"> – по-конкретно, </w:t>
      </w:r>
      <w:r w:rsidR="00A743D4">
        <w:t>малолетните и</w:t>
      </w:r>
      <w:r w:rsidR="00D05F4F" w:rsidRPr="00357ADB">
        <w:t xml:space="preserve"> непълнолетните момичета, – често не оказват физическа съпротива, поради различни психологически фактори или защото се страхуват от насилие от страна на извършителя </w:t>
      </w:r>
      <w:r w:rsidR="008330EE" w:rsidRPr="00357ADB">
        <w:t xml:space="preserve"> (</w:t>
      </w:r>
      <w:r w:rsidR="00D05F4F" w:rsidRPr="00357ADB">
        <w:t xml:space="preserve">вж. </w:t>
      </w:r>
      <w:r w:rsidR="00D05F4F" w:rsidRPr="00357ADB">
        <w:rPr>
          <w:i/>
        </w:rPr>
        <w:t>М.Ч. срещу България</w:t>
      </w:r>
      <w:r w:rsidR="008330EE" w:rsidRPr="00357ADB">
        <w:t xml:space="preserve">, </w:t>
      </w:r>
      <w:r w:rsidR="00D05F4F" w:rsidRPr="00357ADB">
        <w:t>цитирано по-горе</w:t>
      </w:r>
      <w:r w:rsidR="008330EE" w:rsidRPr="00357ADB">
        <w:t xml:space="preserve">, § 164). </w:t>
      </w:r>
      <w:r w:rsidR="00181354" w:rsidRPr="00357ADB">
        <w:t>В допълнение, развитието на законите и практиката в тази област отразява еволюцията на обществата към ефективно равенство и уважение към сексуалната автономност на всеки човек (пак там</w:t>
      </w:r>
      <w:r w:rsidR="008330EE" w:rsidRPr="00357ADB">
        <w:t>, § 165).</w:t>
      </w:r>
    </w:p>
    <w:p w:rsidR="008330EE" w:rsidRPr="00357ADB" w:rsidRDefault="00701932" w:rsidP="00AE3E4D">
      <w:pPr>
        <w:pStyle w:val="JuPara"/>
      </w:pPr>
      <w:fldSimple w:instr=" SEQ level0 \*arabic ">
        <w:r w:rsidR="00A5720B">
          <w:rPr>
            <w:noProof/>
          </w:rPr>
          <w:t>58</w:t>
        </w:r>
      </w:fldSimple>
      <w:r w:rsidR="008330EE" w:rsidRPr="00357ADB">
        <w:t>.  </w:t>
      </w:r>
      <w:r w:rsidR="00B034C0" w:rsidRPr="00357ADB">
        <w:t xml:space="preserve">Съдът също така многократно е приемал, че в случаи на сексуално </w:t>
      </w:r>
      <w:r w:rsidR="002F3BA5">
        <w:t>насилие</w:t>
      </w:r>
      <w:r w:rsidR="002F3BA5" w:rsidRPr="00357ADB">
        <w:t xml:space="preserve"> </w:t>
      </w:r>
      <w:r w:rsidR="00B034C0" w:rsidRPr="00357ADB">
        <w:t xml:space="preserve">децата са особено уязвими </w:t>
      </w:r>
      <w:r w:rsidR="008330EE" w:rsidRPr="00357ADB">
        <w:t>(</w:t>
      </w:r>
      <w:r w:rsidR="00B034C0" w:rsidRPr="00357ADB">
        <w:t xml:space="preserve">вж. </w:t>
      </w:r>
      <w:r w:rsidR="008330EE" w:rsidRPr="00357ADB">
        <w:rPr>
          <w:i/>
        </w:rPr>
        <w:t xml:space="preserve">A </w:t>
      </w:r>
      <w:proofErr w:type="spellStart"/>
      <w:r w:rsidR="008330EE" w:rsidRPr="00357ADB">
        <w:rPr>
          <w:i/>
        </w:rPr>
        <w:t>and</w:t>
      </w:r>
      <w:proofErr w:type="spellEnd"/>
      <w:r w:rsidR="008330EE" w:rsidRPr="00357ADB">
        <w:rPr>
          <w:i/>
        </w:rPr>
        <w:t xml:space="preserve"> B</w:t>
      </w:r>
      <w:r w:rsidR="008330EE" w:rsidRPr="00357ADB">
        <w:t xml:space="preserve">, </w:t>
      </w:r>
      <w:r w:rsidR="00B034C0" w:rsidRPr="00357ADB">
        <w:t>цитирано по-горе</w:t>
      </w:r>
      <w:r w:rsidR="008330EE" w:rsidRPr="00357ADB">
        <w:t xml:space="preserve">, § 111; </w:t>
      </w:r>
      <w:r w:rsidR="00B034C0" w:rsidRPr="00357ADB">
        <w:rPr>
          <w:i/>
        </w:rPr>
        <w:t>М</w:t>
      </w:r>
      <w:r w:rsidR="008330EE" w:rsidRPr="00357ADB">
        <w:rPr>
          <w:i/>
        </w:rPr>
        <w:t>.</w:t>
      </w:r>
      <w:r w:rsidR="00B034C0" w:rsidRPr="00357ADB">
        <w:rPr>
          <w:i/>
        </w:rPr>
        <w:t>Ч</w:t>
      </w:r>
      <w:r w:rsidR="008330EE" w:rsidRPr="00357ADB">
        <w:rPr>
          <w:i/>
        </w:rPr>
        <w:t>.</w:t>
      </w:r>
      <w:r w:rsidR="008330EE" w:rsidRPr="00357ADB">
        <w:t xml:space="preserve">, </w:t>
      </w:r>
      <w:r w:rsidR="00B034C0" w:rsidRPr="00357ADB">
        <w:t>цитирано по-горе</w:t>
      </w:r>
      <w:r w:rsidR="008330EE" w:rsidRPr="00357ADB">
        <w:t xml:space="preserve">, §§ 150 </w:t>
      </w:r>
      <w:r w:rsidR="00B034C0" w:rsidRPr="00357ADB">
        <w:t xml:space="preserve">и </w:t>
      </w:r>
      <w:r w:rsidR="008330EE" w:rsidRPr="00357ADB">
        <w:t xml:space="preserve">183, </w:t>
      </w:r>
      <w:r w:rsidR="00B034C0" w:rsidRPr="00357ADB">
        <w:t xml:space="preserve">и </w:t>
      </w:r>
      <w:r w:rsidR="008330EE" w:rsidRPr="00357ADB">
        <w:rPr>
          <w:i/>
        </w:rPr>
        <w:t xml:space="preserve">M.G.C. v. </w:t>
      </w:r>
      <w:proofErr w:type="spellStart"/>
      <w:r w:rsidR="008330EE" w:rsidRPr="00357ADB">
        <w:rPr>
          <w:i/>
        </w:rPr>
        <w:t>Romania</w:t>
      </w:r>
      <w:proofErr w:type="spellEnd"/>
      <w:r w:rsidR="008330EE" w:rsidRPr="00357ADB">
        <w:t xml:space="preserve">, </w:t>
      </w:r>
      <w:r w:rsidR="00B034C0" w:rsidRPr="00357ADB">
        <w:t>№ </w:t>
      </w:r>
      <w:r w:rsidR="008330EE" w:rsidRPr="00357ADB">
        <w:t>61495/11, § 56, 15</w:t>
      </w:r>
      <w:r w:rsidR="00B034C0" w:rsidRPr="00357ADB">
        <w:t xml:space="preserve"> март </w:t>
      </w:r>
      <w:r w:rsidR="008330EE" w:rsidRPr="00357ADB">
        <w:t>2016</w:t>
      </w:r>
      <w:r w:rsidR="00B034C0" w:rsidRPr="00357ADB">
        <w:t> г.</w:t>
      </w:r>
      <w:r w:rsidR="008330EE" w:rsidRPr="00357ADB">
        <w:t>).</w:t>
      </w:r>
      <w:r w:rsidR="00B034C0" w:rsidRPr="00357ADB">
        <w:t xml:space="preserve"> Правото на </w:t>
      </w:r>
      <w:r w:rsidR="002F3BA5">
        <w:t xml:space="preserve">зачитане на </w:t>
      </w:r>
      <w:r w:rsidR="00B034C0" w:rsidRPr="00357ADB">
        <w:t>човешко</w:t>
      </w:r>
      <w:r w:rsidR="002F3BA5">
        <w:t>то</w:t>
      </w:r>
      <w:r w:rsidR="00B034C0" w:rsidRPr="00357ADB">
        <w:t xml:space="preserve"> достойнство и психологическ</w:t>
      </w:r>
      <w:r w:rsidR="002F3BA5">
        <w:t>ото благополучие</w:t>
      </w:r>
      <w:r w:rsidR="00B034C0" w:rsidRPr="00357ADB">
        <w:t xml:space="preserve"> изисква специално внимание, когато жертвата на насилие е дете </w:t>
      </w:r>
      <w:r w:rsidR="008330EE" w:rsidRPr="00357ADB">
        <w:t>(</w:t>
      </w:r>
      <w:r w:rsidR="00B034C0" w:rsidRPr="00357ADB">
        <w:t xml:space="preserve">вж. </w:t>
      </w:r>
      <w:r w:rsidR="008330EE" w:rsidRPr="00357ADB">
        <w:rPr>
          <w:i/>
        </w:rPr>
        <w:t>C.A.S. </w:t>
      </w:r>
      <w:proofErr w:type="spellStart"/>
      <w:r w:rsidR="008330EE" w:rsidRPr="00357ADB">
        <w:rPr>
          <w:i/>
        </w:rPr>
        <w:t>and</w:t>
      </w:r>
      <w:proofErr w:type="spellEnd"/>
      <w:r w:rsidR="008330EE" w:rsidRPr="00357ADB">
        <w:rPr>
          <w:i/>
        </w:rPr>
        <w:t xml:space="preserve"> C.S. v. </w:t>
      </w:r>
      <w:proofErr w:type="spellStart"/>
      <w:r w:rsidR="008330EE" w:rsidRPr="00357ADB">
        <w:rPr>
          <w:i/>
        </w:rPr>
        <w:t>Romania</w:t>
      </w:r>
      <w:proofErr w:type="spellEnd"/>
      <w:r w:rsidR="008330EE" w:rsidRPr="00357ADB">
        <w:t xml:space="preserve">, </w:t>
      </w:r>
      <w:r w:rsidR="00B034C0" w:rsidRPr="00357ADB">
        <w:t xml:space="preserve">№ </w:t>
      </w:r>
      <w:r w:rsidR="008330EE" w:rsidRPr="00357ADB">
        <w:t xml:space="preserve">26692/05, § 82, 20 </w:t>
      </w:r>
      <w:r w:rsidR="00B034C0" w:rsidRPr="00357ADB">
        <w:t xml:space="preserve">март </w:t>
      </w:r>
      <w:r w:rsidR="008330EE" w:rsidRPr="00357ADB">
        <w:t>2012</w:t>
      </w:r>
      <w:r w:rsidR="00B034C0" w:rsidRPr="00357ADB">
        <w:t> г.</w:t>
      </w:r>
      <w:r w:rsidR="008330EE" w:rsidRPr="00357ADB">
        <w:t>).</w:t>
      </w:r>
      <w:r w:rsidR="00B034C0" w:rsidRPr="00357ADB">
        <w:t xml:space="preserve"> Задълженията на държавата съгласно чл. 3 и чл. 8 от Конвенцията в случаи, в които участва</w:t>
      </w:r>
      <w:r w:rsidR="00CB2A54" w:rsidRPr="00357ADB">
        <w:t xml:space="preserve"> </w:t>
      </w:r>
      <w:r w:rsidR="00B034C0" w:rsidRPr="00357ADB">
        <w:t xml:space="preserve">и е засегнато дете, за което се предполага, че е жертва на сексуално </w:t>
      </w:r>
      <w:r w:rsidR="002F3BA5">
        <w:t>насилие</w:t>
      </w:r>
      <w:r w:rsidR="008330EE" w:rsidRPr="00357ADB">
        <w:t>,</w:t>
      </w:r>
      <w:r w:rsidR="00B034C0" w:rsidRPr="00357ADB">
        <w:t xml:space="preserve"> изискват ефективното </w:t>
      </w:r>
      <w:r w:rsidR="002F3BA5">
        <w:t>зачитане</w:t>
      </w:r>
      <w:r w:rsidR="002F3BA5" w:rsidRPr="00357ADB">
        <w:t xml:space="preserve"> </w:t>
      </w:r>
      <w:r w:rsidR="00B034C0" w:rsidRPr="00357ADB">
        <w:t>на правото на детето неговия</w:t>
      </w:r>
      <w:r w:rsidR="00B34A92" w:rsidRPr="00357ADB">
        <w:t>т</w:t>
      </w:r>
      <w:r w:rsidR="00B034C0" w:rsidRPr="00357ADB">
        <w:t xml:space="preserve"> най-добър интерес да бъде взет предвид на първо място </w:t>
      </w:r>
      <w:r w:rsidR="008330EE" w:rsidRPr="00357ADB">
        <w:t>(</w:t>
      </w:r>
      <w:r w:rsidR="00B034C0" w:rsidRPr="00357ADB">
        <w:t xml:space="preserve">вж. в различен контекст делата </w:t>
      </w:r>
      <w:proofErr w:type="spellStart"/>
      <w:r w:rsidR="008330EE" w:rsidRPr="00357ADB">
        <w:rPr>
          <w:i/>
        </w:rPr>
        <w:t>Neulinger</w:t>
      </w:r>
      <w:proofErr w:type="spellEnd"/>
      <w:r w:rsidR="008330EE" w:rsidRPr="00357ADB">
        <w:rPr>
          <w:i/>
        </w:rPr>
        <w:t xml:space="preserve"> </w:t>
      </w:r>
      <w:proofErr w:type="spellStart"/>
      <w:r w:rsidR="008330EE" w:rsidRPr="00357ADB">
        <w:rPr>
          <w:i/>
        </w:rPr>
        <w:t>and</w:t>
      </w:r>
      <w:proofErr w:type="spellEnd"/>
      <w:r w:rsidR="008330EE" w:rsidRPr="00357ADB">
        <w:rPr>
          <w:i/>
        </w:rPr>
        <w:t xml:space="preserve"> </w:t>
      </w:r>
      <w:proofErr w:type="spellStart"/>
      <w:r w:rsidR="008330EE" w:rsidRPr="00357ADB">
        <w:rPr>
          <w:i/>
        </w:rPr>
        <w:t>Shuruk</w:t>
      </w:r>
      <w:proofErr w:type="spellEnd"/>
      <w:r w:rsidR="008330EE" w:rsidRPr="00357ADB">
        <w:rPr>
          <w:i/>
        </w:rPr>
        <w:t xml:space="preserve"> v. </w:t>
      </w:r>
      <w:proofErr w:type="spellStart"/>
      <w:r w:rsidR="008330EE" w:rsidRPr="00357ADB">
        <w:rPr>
          <w:i/>
        </w:rPr>
        <w:t>Switzerland</w:t>
      </w:r>
      <w:proofErr w:type="spellEnd"/>
      <w:r w:rsidR="008330EE" w:rsidRPr="00357ADB">
        <w:t xml:space="preserve"> [</w:t>
      </w:r>
      <w:r w:rsidR="00B34A92" w:rsidRPr="00357ADB">
        <w:t>ГК</w:t>
      </w:r>
      <w:r w:rsidR="008330EE" w:rsidRPr="00357ADB">
        <w:t>],</w:t>
      </w:r>
      <w:r w:rsidR="00B34A92" w:rsidRPr="00357ADB">
        <w:t xml:space="preserve"> № </w:t>
      </w:r>
      <w:r w:rsidR="008330EE" w:rsidRPr="00357ADB">
        <w:t xml:space="preserve">1615/07, § 134, </w:t>
      </w:r>
      <w:r w:rsidR="00B34A92" w:rsidRPr="00357ADB">
        <w:t>ЕСПЧ</w:t>
      </w:r>
      <w:r w:rsidR="008330EE" w:rsidRPr="00357ADB">
        <w:t xml:space="preserve"> 2010; </w:t>
      </w:r>
      <w:proofErr w:type="spellStart"/>
      <w:r w:rsidR="008330EE" w:rsidRPr="00357ADB">
        <w:rPr>
          <w:i/>
        </w:rPr>
        <w:t>Scozzari</w:t>
      </w:r>
      <w:proofErr w:type="spellEnd"/>
      <w:r w:rsidR="008330EE" w:rsidRPr="00357ADB">
        <w:rPr>
          <w:i/>
        </w:rPr>
        <w:t xml:space="preserve"> </w:t>
      </w:r>
      <w:proofErr w:type="spellStart"/>
      <w:r w:rsidR="008330EE" w:rsidRPr="00357ADB">
        <w:rPr>
          <w:i/>
        </w:rPr>
        <w:t>and</w:t>
      </w:r>
      <w:proofErr w:type="spellEnd"/>
      <w:r w:rsidR="008330EE" w:rsidRPr="00357ADB">
        <w:rPr>
          <w:i/>
        </w:rPr>
        <w:t xml:space="preserve"> </w:t>
      </w:r>
      <w:proofErr w:type="spellStart"/>
      <w:r w:rsidR="008330EE" w:rsidRPr="00357ADB">
        <w:rPr>
          <w:i/>
        </w:rPr>
        <w:t>Giunta</w:t>
      </w:r>
      <w:proofErr w:type="spellEnd"/>
      <w:r w:rsidR="008330EE" w:rsidRPr="00357ADB">
        <w:rPr>
          <w:i/>
        </w:rPr>
        <w:t xml:space="preserve"> v. </w:t>
      </w:r>
      <w:proofErr w:type="spellStart"/>
      <w:r w:rsidR="008330EE" w:rsidRPr="00357ADB">
        <w:rPr>
          <w:i/>
        </w:rPr>
        <w:t>Italy</w:t>
      </w:r>
      <w:proofErr w:type="spellEnd"/>
      <w:r w:rsidR="008330EE" w:rsidRPr="00357ADB">
        <w:t xml:space="preserve"> [</w:t>
      </w:r>
      <w:r w:rsidR="00B34A92" w:rsidRPr="00357ADB">
        <w:t>ГК</w:t>
      </w:r>
      <w:r w:rsidR="008330EE" w:rsidRPr="00357ADB">
        <w:t>],</w:t>
      </w:r>
      <w:r w:rsidR="00B34A92" w:rsidRPr="00357ADB">
        <w:t xml:space="preserve"> № </w:t>
      </w:r>
      <w:r w:rsidR="008330EE" w:rsidRPr="00357ADB">
        <w:t>39221/98</w:t>
      </w:r>
      <w:r w:rsidR="00B34A92" w:rsidRPr="00357ADB">
        <w:t xml:space="preserve"> и № </w:t>
      </w:r>
      <w:r w:rsidR="008330EE" w:rsidRPr="00357ADB">
        <w:t xml:space="preserve">41963/98, § 169, </w:t>
      </w:r>
      <w:r w:rsidR="00B34A92" w:rsidRPr="00357ADB">
        <w:t>ЕСПЧ</w:t>
      </w:r>
      <w:r w:rsidR="008330EE" w:rsidRPr="00357ADB">
        <w:t xml:space="preserve"> 2000</w:t>
      </w:r>
      <w:r w:rsidR="008330EE" w:rsidRPr="00357ADB">
        <w:noBreakHyphen/>
        <w:t>VIII,</w:t>
      </w:r>
      <w:r w:rsidR="00B34A92" w:rsidRPr="00357ADB">
        <w:t xml:space="preserve"> и </w:t>
      </w:r>
      <w:proofErr w:type="spellStart"/>
      <w:r w:rsidR="008330EE" w:rsidRPr="00357ADB">
        <w:rPr>
          <w:i/>
        </w:rPr>
        <w:t>Blokhin</w:t>
      </w:r>
      <w:proofErr w:type="spellEnd"/>
      <w:r w:rsidR="008330EE" w:rsidRPr="00357ADB">
        <w:rPr>
          <w:i/>
        </w:rPr>
        <w:t xml:space="preserve"> v. </w:t>
      </w:r>
      <w:proofErr w:type="spellStart"/>
      <w:r w:rsidR="008330EE" w:rsidRPr="00357ADB">
        <w:rPr>
          <w:i/>
        </w:rPr>
        <w:t>Russia</w:t>
      </w:r>
      <w:proofErr w:type="spellEnd"/>
      <w:r w:rsidR="008330EE" w:rsidRPr="00357ADB">
        <w:t xml:space="preserve"> [</w:t>
      </w:r>
      <w:r w:rsidR="00B34A92" w:rsidRPr="00357ADB">
        <w:t>ГК</w:t>
      </w:r>
      <w:r w:rsidR="008330EE" w:rsidRPr="00357ADB">
        <w:t xml:space="preserve">], </w:t>
      </w:r>
      <w:r w:rsidR="00B34A92" w:rsidRPr="00357ADB">
        <w:t xml:space="preserve">№ </w:t>
      </w:r>
      <w:r w:rsidR="008330EE" w:rsidRPr="00357ADB">
        <w:t xml:space="preserve">47152/06, § 138, </w:t>
      </w:r>
      <w:r w:rsidR="00B34A92" w:rsidRPr="00357ADB">
        <w:t>ЕСПЧ</w:t>
      </w:r>
      <w:r w:rsidR="008330EE" w:rsidRPr="00357ADB">
        <w:t xml:space="preserve"> 2016) </w:t>
      </w:r>
      <w:r w:rsidR="00B34A92" w:rsidRPr="00357ADB">
        <w:t xml:space="preserve">и </w:t>
      </w:r>
      <w:r w:rsidR="002F3BA5">
        <w:t xml:space="preserve">да се вземат предвид </w:t>
      </w:r>
      <w:r w:rsidR="002F3BA5" w:rsidRPr="00357ADB">
        <w:t xml:space="preserve">от националните власти </w:t>
      </w:r>
      <w:r w:rsidR="00436046" w:rsidRPr="00357ADB">
        <w:t xml:space="preserve">особената уязвимост на детето и </w:t>
      </w:r>
      <w:r w:rsidR="002F3BA5">
        <w:t>неговите</w:t>
      </w:r>
      <w:r w:rsidR="00436046" w:rsidRPr="00357ADB">
        <w:t xml:space="preserve"> пот</w:t>
      </w:r>
      <w:r w:rsidR="00E60ED3" w:rsidRPr="00357ADB">
        <w:t xml:space="preserve">ребности </w:t>
      </w:r>
      <w:r w:rsidR="008330EE" w:rsidRPr="00357ADB">
        <w:t>(</w:t>
      </w:r>
      <w:r w:rsidR="00436046" w:rsidRPr="00357ADB">
        <w:t xml:space="preserve">вж. </w:t>
      </w:r>
      <w:proofErr w:type="spellStart"/>
      <w:r w:rsidR="008330EE" w:rsidRPr="00357ADB">
        <w:rPr>
          <w:i/>
        </w:rPr>
        <w:t>mutatis</w:t>
      </w:r>
      <w:proofErr w:type="spellEnd"/>
      <w:r w:rsidR="008330EE" w:rsidRPr="00357ADB">
        <w:rPr>
          <w:i/>
        </w:rPr>
        <w:t xml:space="preserve"> </w:t>
      </w:r>
      <w:proofErr w:type="spellStart"/>
      <w:r w:rsidR="008330EE" w:rsidRPr="00357ADB">
        <w:rPr>
          <w:i/>
        </w:rPr>
        <w:t>mutandis</w:t>
      </w:r>
      <w:proofErr w:type="spellEnd"/>
      <w:r w:rsidR="008330EE" w:rsidRPr="00357ADB">
        <w:t xml:space="preserve"> </w:t>
      </w:r>
      <w:proofErr w:type="spellStart"/>
      <w:r w:rsidR="008330EE" w:rsidRPr="00357ADB">
        <w:rPr>
          <w:i/>
        </w:rPr>
        <w:t>O’Keeffe</w:t>
      </w:r>
      <w:proofErr w:type="spellEnd"/>
      <w:r w:rsidR="008330EE" w:rsidRPr="00357ADB">
        <w:rPr>
          <w:i/>
        </w:rPr>
        <w:t xml:space="preserve"> v. </w:t>
      </w:r>
      <w:proofErr w:type="spellStart"/>
      <w:r w:rsidR="008330EE" w:rsidRPr="00357ADB">
        <w:rPr>
          <w:i/>
        </w:rPr>
        <w:t>Ireland</w:t>
      </w:r>
      <w:proofErr w:type="spellEnd"/>
      <w:r w:rsidR="008330EE" w:rsidRPr="00357ADB">
        <w:t xml:space="preserve"> [</w:t>
      </w:r>
      <w:r w:rsidR="00436046" w:rsidRPr="00357ADB">
        <w:t>ГК</w:t>
      </w:r>
      <w:r w:rsidR="008330EE" w:rsidRPr="00357ADB">
        <w:t>],</w:t>
      </w:r>
      <w:r w:rsidR="00436046" w:rsidRPr="00357ADB">
        <w:t xml:space="preserve"> № </w:t>
      </w:r>
      <w:r w:rsidR="008330EE" w:rsidRPr="00357ADB">
        <w:t>35810/09, § 146,</w:t>
      </w:r>
      <w:r w:rsidR="00436046" w:rsidRPr="00357ADB">
        <w:t xml:space="preserve"> ЕСПЧ</w:t>
      </w:r>
      <w:r w:rsidR="008330EE" w:rsidRPr="00357ADB">
        <w:t> 2014 (</w:t>
      </w:r>
      <w:r w:rsidR="00436046" w:rsidRPr="00357ADB">
        <w:t>извадки</w:t>
      </w:r>
      <w:r w:rsidR="008330EE" w:rsidRPr="00357ADB">
        <w:t xml:space="preserve">), </w:t>
      </w:r>
      <w:r w:rsidR="00436046" w:rsidRPr="00357ADB">
        <w:t xml:space="preserve">и </w:t>
      </w:r>
      <w:r w:rsidR="008330EE" w:rsidRPr="00357ADB">
        <w:rPr>
          <w:i/>
        </w:rPr>
        <w:t>M.G.C.</w:t>
      </w:r>
      <w:r w:rsidR="008330EE" w:rsidRPr="00357ADB">
        <w:t xml:space="preserve">, </w:t>
      </w:r>
      <w:r w:rsidR="00436046" w:rsidRPr="00357ADB">
        <w:t>цитирано по-горе</w:t>
      </w:r>
      <w:r w:rsidR="008330EE" w:rsidRPr="00357ADB">
        <w:t>, § 73).</w:t>
      </w:r>
    </w:p>
    <w:p w:rsidR="008330EE" w:rsidRPr="00357ADB" w:rsidRDefault="00701932" w:rsidP="00AE3E4D">
      <w:pPr>
        <w:pStyle w:val="JuPara"/>
      </w:pPr>
      <w:fldSimple w:instr=" SEQ level0 \*arabic ">
        <w:r w:rsidR="00A5720B">
          <w:rPr>
            <w:noProof/>
          </w:rPr>
          <w:t>59</w:t>
        </w:r>
      </w:fldSimple>
      <w:r w:rsidR="008330EE" w:rsidRPr="00357ADB">
        <w:t>.  </w:t>
      </w:r>
      <w:r w:rsidR="00AA5734" w:rsidRPr="00357ADB">
        <w:t xml:space="preserve">По сходен начин Съдът приема, че съгласно чл. 3 и чл. 8 от Конвенцията от </w:t>
      </w:r>
      <w:r w:rsidR="00354F32" w:rsidRPr="00357ADB">
        <w:t>държавите</w:t>
      </w:r>
      <w:r w:rsidR="00AA5734" w:rsidRPr="00357ADB">
        <w:t xml:space="preserve"> се изисква да приемат разпоредби, които криминализират сексуалното </w:t>
      </w:r>
      <w:r w:rsidR="002F3BA5">
        <w:t>насилие върху</w:t>
      </w:r>
      <w:r w:rsidR="00AA5734" w:rsidRPr="00357ADB">
        <w:t xml:space="preserve"> деца, и да ги прилагат на практика чрез ефективно разследване и наказателно преследване </w:t>
      </w:r>
      <w:r w:rsidR="008330EE" w:rsidRPr="00357ADB">
        <w:t>(</w:t>
      </w:r>
      <w:r w:rsidR="00AA5734" w:rsidRPr="00357ADB">
        <w:t xml:space="preserve">вж. </w:t>
      </w:r>
      <w:r w:rsidR="008330EE" w:rsidRPr="00357ADB">
        <w:rPr>
          <w:i/>
        </w:rPr>
        <w:t xml:space="preserve">X </w:t>
      </w:r>
      <w:proofErr w:type="spellStart"/>
      <w:r w:rsidR="008330EE" w:rsidRPr="00357ADB">
        <w:rPr>
          <w:i/>
        </w:rPr>
        <w:t>and</w:t>
      </w:r>
      <w:proofErr w:type="spellEnd"/>
      <w:r w:rsidR="008330EE" w:rsidRPr="00357ADB">
        <w:rPr>
          <w:i/>
        </w:rPr>
        <w:t xml:space="preserve"> Y v. </w:t>
      </w:r>
      <w:proofErr w:type="spellStart"/>
      <w:r w:rsidR="008330EE" w:rsidRPr="00357ADB">
        <w:rPr>
          <w:i/>
        </w:rPr>
        <w:t>the</w:t>
      </w:r>
      <w:proofErr w:type="spellEnd"/>
      <w:r w:rsidR="008330EE" w:rsidRPr="00357ADB">
        <w:rPr>
          <w:i/>
        </w:rPr>
        <w:t xml:space="preserve"> </w:t>
      </w:r>
      <w:proofErr w:type="spellStart"/>
      <w:r w:rsidR="008330EE" w:rsidRPr="00357ADB">
        <w:rPr>
          <w:i/>
        </w:rPr>
        <w:t>Netherlands</w:t>
      </w:r>
      <w:proofErr w:type="spellEnd"/>
      <w:r w:rsidR="008330EE" w:rsidRPr="00357ADB">
        <w:t xml:space="preserve">, 26 </w:t>
      </w:r>
      <w:r w:rsidR="003F56B7" w:rsidRPr="00357ADB">
        <w:t>март</w:t>
      </w:r>
      <w:r w:rsidR="008330EE" w:rsidRPr="00357ADB">
        <w:t xml:space="preserve"> 1985</w:t>
      </w:r>
      <w:r w:rsidR="003F56B7" w:rsidRPr="00357ADB">
        <w:t> г.</w:t>
      </w:r>
      <w:r w:rsidR="008330EE" w:rsidRPr="00357ADB">
        <w:t xml:space="preserve">, § 27, </w:t>
      </w:r>
      <w:r w:rsidR="003F56B7" w:rsidRPr="00357ADB">
        <w:t xml:space="preserve">Серия </w:t>
      </w:r>
      <w:r w:rsidR="008330EE" w:rsidRPr="00357ADB">
        <w:t xml:space="preserve">A </w:t>
      </w:r>
      <w:r w:rsidR="003F56B7" w:rsidRPr="00357ADB">
        <w:t xml:space="preserve">№ </w:t>
      </w:r>
      <w:r w:rsidR="008330EE" w:rsidRPr="00357ADB">
        <w:t xml:space="preserve">91; </w:t>
      </w:r>
      <w:proofErr w:type="spellStart"/>
      <w:r w:rsidR="008330EE" w:rsidRPr="00357ADB">
        <w:rPr>
          <w:i/>
        </w:rPr>
        <w:t>Söderman</w:t>
      </w:r>
      <w:proofErr w:type="spellEnd"/>
      <w:r w:rsidR="008330EE" w:rsidRPr="00357ADB">
        <w:rPr>
          <w:i/>
        </w:rPr>
        <w:t xml:space="preserve"> v. </w:t>
      </w:r>
      <w:proofErr w:type="spellStart"/>
      <w:r w:rsidR="008330EE" w:rsidRPr="00357ADB">
        <w:rPr>
          <w:i/>
        </w:rPr>
        <w:t>Sweden</w:t>
      </w:r>
      <w:proofErr w:type="spellEnd"/>
      <w:r w:rsidR="008330EE" w:rsidRPr="00357ADB">
        <w:t xml:space="preserve"> [</w:t>
      </w:r>
      <w:r w:rsidR="003F56B7" w:rsidRPr="00357ADB">
        <w:t>ГК</w:t>
      </w:r>
      <w:r w:rsidR="008330EE" w:rsidRPr="00357ADB">
        <w:t xml:space="preserve">], </w:t>
      </w:r>
      <w:r w:rsidR="003F56B7" w:rsidRPr="00357ADB">
        <w:t xml:space="preserve">№ </w:t>
      </w:r>
      <w:r w:rsidR="008330EE" w:rsidRPr="00357ADB">
        <w:t xml:space="preserve">5786/08, §§ 82-83, </w:t>
      </w:r>
      <w:r w:rsidR="003F56B7" w:rsidRPr="00357ADB">
        <w:t>ЕСПЧ</w:t>
      </w:r>
      <w:r w:rsidR="008330EE" w:rsidRPr="00357ADB">
        <w:t xml:space="preserve"> 2013, </w:t>
      </w:r>
      <w:r w:rsidR="003F56B7" w:rsidRPr="00357ADB">
        <w:t xml:space="preserve">и </w:t>
      </w:r>
      <w:r w:rsidR="008330EE" w:rsidRPr="00357ADB">
        <w:rPr>
          <w:i/>
        </w:rPr>
        <w:t>M.G.C.</w:t>
      </w:r>
      <w:r w:rsidR="008330EE" w:rsidRPr="00357ADB">
        <w:t xml:space="preserve">, </w:t>
      </w:r>
      <w:r w:rsidR="003F56B7" w:rsidRPr="00357ADB">
        <w:t>цитирано по-горе</w:t>
      </w:r>
      <w:r w:rsidR="008330EE" w:rsidRPr="00357ADB">
        <w:t xml:space="preserve">, §§ 57-58), </w:t>
      </w:r>
      <w:r w:rsidR="00EA4067" w:rsidRPr="00357ADB">
        <w:t>като вземат предвид особената уязвим</w:t>
      </w:r>
      <w:r w:rsidR="00354F32">
        <w:t>ост на деца</w:t>
      </w:r>
      <w:r w:rsidR="002F3BA5">
        <w:t>та</w:t>
      </w:r>
      <w:r w:rsidR="00354F32">
        <w:t>, тяхното достойнство</w:t>
      </w:r>
      <w:r w:rsidR="00EA4067" w:rsidRPr="00357ADB">
        <w:t xml:space="preserve"> и техните права като деца и като жертви</w:t>
      </w:r>
      <w:r w:rsidR="008330EE" w:rsidRPr="00357ADB">
        <w:t>.</w:t>
      </w:r>
      <w:r w:rsidR="00EA4067" w:rsidRPr="00357ADB">
        <w:t xml:space="preserve"> Техните задължения произтичат и от други международни инструменти като например </w:t>
      </w:r>
      <w:proofErr w:type="spellStart"/>
      <w:r w:rsidR="008330EE" w:rsidRPr="00357ADB">
        <w:rPr>
          <w:i/>
        </w:rPr>
        <w:t>inter</w:t>
      </w:r>
      <w:proofErr w:type="spellEnd"/>
      <w:r w:rsidR="008330EE" w:rsidRPr="00357ADB">
        <w:rPr>
          <w:i/>
        </w:rPr>
        <w:t xml:space="preserve"> </w:t>
      </w:r>
      <w:proofErr w:type="spellStart"/>
      <w:r w:rsidR="008330EE" w:rsidRPr="00357ADB">
        <w:rPr>
          <w:i/>
        </w:rPr>
        <w:t>alia</w:t>
      </w:r>
      <w:proofErr w:type="spellEnd"/>
      <w:r w:rsidR="008330EE" w:rsidRPr="00357ADB">
        <w:t xml:space="preserve">, </w:t>
      </w:r>
      <w:r w:rsidR="00EA4067" w:rsidRPr="00357ADB">
        <w:t>Конвенцията на Съвета на Европа за закрила на децата срещу сексуална експлоатация и сексуално насилие и Конвенцията на Съвета на Европа за превенция и борба с насилието срещу жени и домашното насилие</w:t>
      </w:r>
      <w:r w:rsidR="008330EE" w:rsidRPr="00357ADB">
        <w:t>.</w:t>
      </w:r>
    </w:p>
    <w:p w:rsidR="008330EE" w:rsidRPr="00357ADB" w:rsidRDefault="003309B2" w:rsidP="00AE3E4D">
      <w:pPr>
        <w:pStyle w:val="JuHa0"/>
        <w:numPr>
          <w:ilvl w:val="4"/>
          <w:numId w:val="22"/>
        </w:numPr>
        <w:jc w:val="left"/>
      </w:pPr>
      <w:r w:rsidRPr="00357ADB">
        <w:t>Прилагане на тези принципи към настоящия случай</w:t>
      </w:r>
    </w:p>
    <w:p w:rsidR="008330EE" w:rsidRPr="00357ADB" w:rsidRDefault="00701932" w:rsidP="00AE3E4D">
      <w:pPr>
        <w:pStyle w:val="JuPara"/>
      </w:pPr>
      <w:fldSimple w:instr=" SEQ level0 \*arabic ">
        <w:r w:rsidR="00A5720B">
          <w:rPr>
            <w:noProof/>
          </w:rPr>
          <w:t>60</w:t>
        </w:r>
      </w:fldSimple>
      <w:r w:rsidR="008330EE" w:rsidRPr="00357ADB">
        <w:t>.  </w:t>
      </w:r>
      <w:r w:rsidR="00C23D55" w:rsidRPr="00357ADB">
        <w:t>Настоящият случай засяга оплакване, че властите не разследва</w:t>
      </w:r>
      <w:r w:rsidR="00D64EC7">
        <w:t>т</w:t>
      </w:r>
      <w:r w:rsidR="00C23D55" w:rsidRPr="00357ADB">
        <w:t xml:space="preserve"> ефективно твърденията на жалбоподателката, че е изнасилена</w:t>
      </w:r>
      <w:r w:rsidR="00A45FB6" w:rsidRPr="00357ADB">
        <w:t>,</w:t>
      </w:r>
      <w:r w:rsidR="00C23D55" w:rsidRPr="00357ADB">
        <w:t xml:space="preserve"> и след като прове</w:t>
      </w:r>
      <w:r w:rsidR="00D64EC7">
        <w:t>ждат</w:t>
      </w:r>
      <w:r w:rsidR="00C23D55" w:rsidRPr="00357ADB">
        <w:t xml:space="preserve"> наказателно </w:t>
      </w:r>
      <w:r w:rsidR="00E10BDD">
        <w:t>производство</w:t>
      </w:r>
      <w:r w:rsidR="00E10BDD" w:rsidRPr="00357ADB">
        <w:t xml:space="preserve"> </w:t>
      </w:r>
      <w:r w:rsidR="00C23D55" w:rsidRPr="00357ADB">
        <w:t xml:space="preserve">за по-леко престъпление, а не за изнасилване, </w:t>
      </w:r>
      <w:r w:rsidR="00D64EC7">
        <w:t xml:space="preserve">налагат неадекватно </w:t>
      </w:r>
      <w:proofErr w:type="spellStart"/>
      <w:r w:rsidR="00D64EC7">
        <w:t>наказане</w:t>
      </w:r>
      <w:proofErr w:type="spellEnd"/>
      <w:r w:rsidR="00D64EC7">
        <w:t xml:space="preserve"> на </w:t>
      </w:r>
      <w:r w:rsidR="00C23D55" w:rsidRPr="00357ADB">
        <w:t>извършителя</w:t>
      </w:r>
      <w:r w:rsidR="008330EE" w:rsidRPr="00357ADB">
        <w:t xml:space="preserve">. </w:t>
      </w:r>
      <w:r w:rsidR="00DA74AF" w:rsidRPr="00357ADB">
        <w:t>Следователно задачата на Съда в настоящия случай е да прецени дали производството като цяло страда от толкова сериозни недостатъци, че те представляват нарушение от държавата</w:t>
      </w:r>
      <w:r w:rsidR="00D64EC7">
        <w:t>-</w:t>
      </w:r>
      <w:r w:rsidR="00DA74AF" w:rsidRPr="00357ADB">
        <w:t xml:space="preserve">ответник на </w:t>
      </w:r>
      <w:r w:rsidR="00D64EC7">
        <w:t>позитивните</w:t>
      </w:r>
      <w:r w:rsidR="00D64EC7" w:rsidRPr="00357ADB">
        <w:t xml:space="preserve"> </w:t>
      </w:r>
      <w:r w:rsidR="00DA74AF" w:rsidRPr="00357ADB">
        <w:t xml:space="preserve">задължения по чл. 3 (по сходен начин вж. </w:t>
      </w:r>
      <w:proofErr w:type="spellStart"/>
      <w:r w:rsidR="008330EE" w:rsidRPr="00357ADB">
        <w:rPr>
          <w:i/>
        </w:rPr>
        <w:t>Çelik</w:t>
      </w:r>
      <w:proofErr w:type="spellEnd"/>
      <w:r w:rsidR="008330EE" w:rsidRPr="00357ADB">
        <w:rPr>
          <w:i/>
        </w:rPr>
        <w:t xml:space="preserve"> v. </w:t>
      </w:r>
      <w:proofErr w:type="spellStart"/>
      <w:r w:rsidR="008330EE" w:rsidRPr="00357ADB">
        <w:rPr>
          <w:i/>
        </w:rPr>
        <w:t>Turkey</w:t>
      </w:r>
      <w:proofErr w:type="spellEnd"/>
      <w:r w:rsidR="008330EE" w:rsidRPr="00357ADB">
        <w:rPr>
          <w:i/>
        </w:rPr>
        <w:t xml:space="preserve"> (</w:t>
      </w:r>
      <w:r w:rsidR="00DA74AF" w:rsidRPr="00357ADB">
        <w:rPr>
          <w:i/>
        </w:rPr>
        <w:t>№</w:t>
      </w:r>
      <w:r w:rsidR="008330EE" w:rsidRPr="00357ADB">
        <w:rPr>
          <w:i/>
        </w:rPr>
        <w:t xml:space="preserve"> 2)</w:t>
      </w:r>
      <w:r w:rsidR="008330EE" w:rsidRPr="00357ADB">
        <w:t xml:space="preserve">, </w:t>
      </w:r>
      <w:r w:rsidR="00DA74AF" w:rsidRPr="00357ADB">
        <w:t>№</w:t>
      </w:r>
      <w:r w:rsidR="008330EE" w:rsidRPr="00357ADB">
        <w:t> 39326/02</w:t>
      </w:r>
      <w:r w:rsidR="008330EE" w:rsidRPr="00357ADB">
        <w:rPr>
          <w:snapToGrid w:val="0"/>
        </w:rPr>
        <w:t>, § 34, 27</w:t>
      </w:r>
      <w:r w:rsidR="00DA74AF" w:rsidRPr="00357ADB">
        <w:rPr>
          <w:snapToGrid w:val="0"/>
        </w:rPr>
        <w:t xml:space="preserve"> май </w:t>
      </w:r>
      <w:r w:rsidR="008330EE" w:rsidRPr="00357ADB">
        <w:rPr>
          <w:snapToGrid w:val="0"/>
        </w:rPr>
        <w:t>2010</w:t>
      </w:r>
      <w:r w:rsidR="00DA74AF" w:rsidRPr="00357ADB">
        <w:rPr>
          <w:snapToGrid w:val="0"/>
        </w:rPr>
        <w:t xml:space="preserve"> г.</w:t>
      </w:r>
      <w:r w:rsidR="008330EE" w:rsidRPr="00357ADB">
        <w:t>).</w:t>
      </w:r>
      <w:r w:rsidR="00763781" w:rsidRPr="00357ADB">
        <w:t xml:space="preserve"> Съдът обаче не може да замени националните власти </w:t>
      </w:r>
      <w:r w:rsidR="005B5619" w:rsidRPr="00357ADB">
        <w:t>в преценката на фактите по делото или в правната квалификация, която се дава на фактите</w:t>
      </w:r>
      <w:r w:rsidR="008330EE" w:rsidRPr="00357ADB">
        <w:t>.</w:t>
      </w:r>
      <w:r w:rsidR="005B5619" w:rsidRPr="00357ADB">
        <w:t xml:space="preserve"> Не може и да вземе решение относно твърдяната наказателна отговорност на извършителя (по сходен начин вж. </w:t>
      </w:r>
      <w:r w:rsidR="008330EE" w:rsidRPr="00357ADB">
        <w:rPr>
          <w:i/>
        </w:rPr>
        <w:t>M.G.C.</w:t>
      </w:r>
      <w:r w:rsidR="008330EE" w:rsidRPr="00357ADB">
        <w:t xml:space="preserve">, </w:t>
      </w:r>
      <w:r w:rsidR="005B5619" w:rsidRPr="00357ADB">
        <w:t>цитирано по-горе</w:t>
      </w:r>
      <w:r w:rsidR="008330EE" w:rsidRPr="00357ADB">
        <w:rPr>
          <w:snapToGrid w:val="0"/>
        </w:rPr>
        <w:t>, § 61</w:t>
      </w:r>
      <w:r w:rsidR="008330EE" w:rsidRPr="00357ADB">
        <w:t>).</w:t>
      </w:r>
    </w:p>
    <w:p w:rsidR="008330EE" w:rsidRPr="00357ADB" w:rsidRDefault="00701932" w:rsidP="00AE3E4D">
      <w:pPr>
        <w:pStyle w:val="JuPara"/>
      </w:pPr>
      <w:fldSimple w:instr=" SEQ level0 \*arabic ">
        <w:r w:rsidR="00A5720B">
          <w:rPr>
            <w:noProof/>
          </w:rPr>
          <w:t>61</w:t>
        </w:r>
      </w:fldSimple>
      <w:r w:rsidR="008330EE" w:rsidRPr="00357ADB">
        <w:t>.  </w:t>
      </w:r>
      <w:r w:rsidR="00BC3719" w:rsidRPr="00357ADB">
        <w:t xml:space="preserve">Що се отнася до същината на оплакването, а именно твърдението, че изнасилването не е адекватно разследвано и не е </w:t>
      </w:r>
      <w:r w:rsidR="00E10BDD">
        <w:t>проведено</w:t>
      </w:r>
      <w:r w:rsidR="00E10BDD" w:rsidRPr="00357ADB">
        <w:t xml:space="preserve"> </w:t>
      </w:r>
      <w:r w:rsidR="00BC3719" w:rsidRPr="00357ADB">
        <w:t xml:space="preserve">наказателно </w:t>
      </w:r>
      <w:r w:rsidR="00E10BDD">
        <w:t>разследване</w:t>
      </w:r>
      <w:r w:rsidR="00BC3719" w:rsidRPr="00357ADB">
        <w:t xml:space="preserve"> за изнасилване, Съдът отбелязва, че чл. </w:t>
      </w:r>
      <w:r w:rsidR="008330EE" w:rsidRPr="00357ADB">
        <w:t>152</w:t>
      </w:r>
      <w:r w:rsidR="00BC3719" w:rsidRPr="00357ADB">
        <w:t xml:space="preserve"> от българския НК и неговото тълкуване от националните съдилища </w:t>
      </w:r>
      <w:r w:rsidR="00E10BDD">
        <w:t xml:space="preserve">включва </w:t>
      </w:r>
      <w:r w:rsidR="00BC3719" w:rsidRPr="00357ADB">
        <w:t xml:space="preserve"> липсата на съгласие </w:t>
      </w:r>
      <w:r w:rsidR="00E10BDD">
        <w:t>на</w:t>
      </w:r>
      <w:r w:rsidR="00BC3719" w:rsidRPr="00357ADB">
        <w:t xml:space="preserve"> жертва</w:t>
      </w:r>
      <w:r w:rsidR="00E10BDD">
        <w:t>та</w:t>
      </w:r>
      <w:r w:rsidR="00BC3719" w:rsidRPr="00357ADB">
        <w:t xml:space="preserve"> </w:t>
      </w:r>
      <w:r w:rsidR="00E10BDD">
        <w:t xml:space="preserve">като </w:t>
      </w:r>
      <w:r w:rsidR="00BC3719" w:rsidRPr="00357ADB">
        <w:t>елемент от престъплението изнасилване</w:t>
      </w:r>
      <w:r w:rsidR="00E310E4" w:rsidRPr="00357ADB">
        <w:t xml:space="preserve">, като </w:t>
      </w:r>
      <w:r w:rsidR="00BC3719" w:rsidRPr="00357ADB">
        <w:t>няма изискване за физическа съпротива от жертвата</w:t>
      </w:r>
      <w:r w:rsidR="008330EE" w:rsidRPr="00357ADB">
        <w:t>.</w:t>
      </w:r>
      <w:r w:rsidR="00BC3719" w:rsidRPr="00357ADB">
        <w:t xml:space="preserve"> Така, </w:t>
      </w:r>
      <w:r w:rsidR="002B4BAA">
        <w:t>националното законодателство</w:t>
      </w:r>
      <w:r w:rsidR="00BC3719" w:rsidRPr="00357ADB">
        <w:t xml:space="preserve"> </w:t>
      </w:r>
      <w:r w:rsidR="00E10BDD">
        <w:t>квалифицира</w:t>
      </w:r>
      <w:r w:rsidR="00BC3719" w:rsidRPr="00357ADB">
        <w:t xml:space="preserve"> изнасилването по начин, който не се различава значително от формулировката в законодателството на други договарящи държави, както е описан</w:t>
      </w:r>
      <w:r w:rsidR="00D75D53">
        <w:t>о</w:t>
      </w:r>
      <w:r w:rsidR="00BC3719" w:rsidRPr="00357ADB">
        <w:t xml:space="preserve"> от Съда в </w:t>
      </w:r>
      <w:r w:rsidR="00BC3719" w:rsidRPr="00357ADB">
        <w:rPr>
          <w:i/>
        </w:rPr>
        <w:t xml:space="preserve">М.Ч. срещу България </w:t>
      </w:r>
      <w:r w:rsidR="008330EE" w:rsidRPr="00357ADB">
        <w:t>(</w:t>
      </w:r>
      <w:r w:rsidR="00BC3719" w:rsidRPr="00357ADB">
        <w:t>цитирано по-горе</w:t>
      </w:r>
      <w:r w:rsidR="008330EE" w:rsidRPr="00357ADB">
        <w:t xml:space="preserve">, §§ 74 </w:t>
      </w:r>
      <w:r w:rsidR="00BC3719" w:rsidRPr="00357ADB">
        <w:t xml:space="preserve">и </w:t>
      </w:r>
      <w:r w:rsidR="008330EE" w:rsidRPr="00357ADB">
        <w:t xml:space="preserve">88-100). </w:t>
      </w:r>
      <w:r w:rsidR="000D6C2B" w:rsidRPr="00357ADB">
        <w:t xml:space="preserve">Следователно решаващо е значението, което </w:t>
      </w:r>
      <w:r w:rsidR="00E10BDD">
        <w:t>при</w:t>
      </w:r>
      <w:r w:rsidR="000D6C2B" w:rsidRPr="00357ADB">
        <w:t>дава</w:t>
      </w:r>
      <w:r w:rsidR="008A4385" w:rsidRPr="00357ADB">
        <w:t xml:space="preserve">т </w:t>
      </w:r>
      <w:r w:rsidR="000D6C2B" w:rsidRPr="00357ADB">
        <w:t xml:space="preserve">разследващите органи и съдилищата на </w:t>
      </w:r>
      <w:r w:rsidR="00E10BDD">
        <w:t>термините</w:t>
      </w:r>
      <w:r w:rsidR="000D6C2B" w:rsidRPr="00357ADB">
        <w:t xml:space="preserve"> в  разпоредба</w:t>
      </w:r>
      <w:r w:rsidR="00E10BDD">
        <w:t>та</w:t>
      </w:r>
      <w:r w:rsidR="000D6C2B" w:rsidRPr="00357ADB">
        <w:t xml:space="preserve">, като „принуда“ и жертвата да бъде лишена от „възможност за самоотбрана“ или „да бъде приведена в безпомощно състояние“ (по сходен начин вж. </w:t>
      </w:r>
      <w:r w:rsidR="008330EE" w:rsidRPr="00357ADB">
        <w:rPr>
          <w:i/>
        </w:rPr>
        <w:t>M.G.C.</w:t>
      </w:r>
      <w:r w:rsidR="008330EE" w:rsidRPr="00357ADB">
        <w:rPr>
          <w:snapToGrid w:val="0"/>
        </w:rPr>
        <w:t xml:space="preserve">, </w:t>
      </w:r>
      <w:r w:rsidR="000D6C2B" w:rsidRPr="00357ADB">
        <w:rPr>
          <w:snapToGrid w:val="0"/>
        </w:rPr>
        <w:t>цитирано по-горе</w:t>
      </w:r>
      <w:r w:rsidR="008330EE" w:rsidRPr="00357ADB">
        <w:rPr>
          <w:snapToGrid w:val="0"/>
        </w:rPr>
        <w:t>, §§ 63-64</w:t>
      </w:r>
      <w:r w:rsidR="008330EE" w:rsidRPr="00357ADB">
        <w:t>).</w:t>
      </w:r>
    </w:p>
    <w:p w:rsidR="008330EE" w:rsidRPr="00357ADB" w:rsidRDefault="00701932" w:rsidP="00AE3E4D">
      <w:pPr>
        <w:pStyle w:val="JuPara"/>
      </w:pPr>
      <w:fldSimple w:instr=" SEQ level0 \*arabic ">
        <w:r w:rsidR="00A5720B">
          <w:rPr>
            <w:noProof/>
          </w:rPr>
          <w:t>62</w:t>
        </w:r>
      </w:fldSimple>
      <w:r w:rsidR="008330EE" w:rsidRPr="00357ADB">
        <w:t>.  </w:t>
      </w:r>
      <w:r w:rsidR="00CF4BF2" w:rsidRPr="00357ADB">
        <w:t xml:space="preserve">Съдът отбелязва, че в </w:t>
      </w:r>
      <w:r w:rsidR="00E10BDD">
        <w:t>настоящия</w:t>
      </w:r>
      <w:r w:rsidR="00CF4BF2" w:rsidRPr="00357ADB">
        <w:t xml:space="preserve"> случай наказателно</w:t>
      </w:r>
      <w:r w:rsidR="00E10BDD">
        <w:t>то</w:t>
      </w:r>
      <w:r w:rsidR="00CF4BF2" w:rsidRPr="00357ADB">
        <w:t xml:space="preserve"> </w:t>
      </w:r>
      <w:r w:rsidR="00E10BDD">
        <w:t>производство</w:t>
      </w:r>
      <w:r w:rsidR="00CF4BF2" w:rsidRPr="00357ADB">
        <w:t xml:space="preserve"> е образувано незабавно по жалба на жалбоподателката и своевременно са предприети редица </w:t>
      </w:r>
      <w:r w:rsidR="00E10BDD">
        <w:t>процесуално-</w:t>
      </w:r>
      <w:r w:rsidR="00CF4BF2" w:rsidRPr="00357ADB">
        <w:t>след</w:t>
      </w:r>
      <w:r w:rsidR="00D75D53">
        <w:t>с</w:t>
      </w:r>
      <w:r w:rsidR="00E10BDD">
        <w:t>т</w:t>
      </w:r>
      <w:r w:rsidR="00D75D53">
        <w:t>вени</w:t>
      </w:r>
      <w:r w:rsidR="00CF4BF2" w:rsidRPr="00357ADB">
        <w:t xml:space="preserve"> действия </w:t>
      </w:r>
      <w:r w:rsidR="008330EE" w:rsidRPr="00357ADB">
        <w:t>(</w:t>
      </w:r>
      <w:r w:rsidR="00CF4BF2" w:rsidRPr="00357ADB">
        <w:t xml:space="preserve">вж. параграф </w:t>
      </w:r>
      <w:r w:rsidR="008330EE" w:rsidRPr="00357ADB">
        <w:t>13</w:t>
      </w:r>
      <w:r w:rsidR="00CF4BF2" w:rsidRPr="00357ADB">
        <w:t xml:space="preserve"> по-горе</w:t>
      </w:r>
      <w:r w:rsidR="008330EE" w:rsidRPr="00357ADB">
        <w:t xml:space="preserve">). </w:t>
      </w:r>
      <w:r w:rsidR="0087651F" w:rsidRPr="00357ADB">
        <w:t xml:space="preserve">От друга страна, редица други действия </w:t>
      </w:r>
      <w:r w:rsidR="00CD1A89" w:rsidRPr="00357ADB">
        <w:t xml:space="preserve">по разследването </w:t>
      </w:r>
      <w:r w:rsidR="0087651F" w:rsidRPr="00357ADB">
        <w:t xml:space="preserve">са поискани от адвоката на </w:t>
      </w:r>
      <w:r w:rsidR="00EB68EF" w:rsidRPr="00357ADB">
        <w:t>жалбоподателката</w:t>
      </w:r>
      <w:r w:rsidR="0087651F" w:rsidRPr="00357ADB">
        <w:t xml:space="preserve">, но не са извършени (вж. параграфи </w:t>
      </w:r>
      <w:r w:rsidR="008330EE" w:rsidRPr="00357ADB">
        <w:t>19</w:t>
      </w:r>
      <w:r w:rsidR="0087651F" w:rsidRPr="00357ADB">
        <w:t xml:space="preserve"> и </w:t>
      </w:r>
      <w:r w:rsidR="008330EE" w:rsidRPr="00357ADB">
        <w:t>20</w:t>
      </w:r>
      <w:r w:rsidR="0087651F" w:rsidRPr="00357ADB">
        <w:t xml:space="preserve"> по-горе</w:t>
      </w:r>
      <w:r w:rsidR="008330EE" w:rsidRPr="00357ADB">
        <w:t xml:space="preserve">). </w:t>
      </w:r>
      <w:r w:rsidR="00CD1A89" w:rsidRPr="00357ADB">
        <w:t>Сред тях според Съда е важно искането да бъде назначена експертиза на жалбоподателката за следи от самонар</w:t>
      </w:r>
      <w:r w:rsidR="00EB68EF">
        <w:t xml:space="preserve">аняване </w:t>
      </w:r>
      <w:r w:rsidR="00CD1A89" w:rsidRPr="00357ADB">
        <w:t xml:space="preserve">след инцидента и тяхното значение за тълкуването на съгласието на жалбоподателката </w:t>
      </w:r>
      <w:r w:rsidR="00E10BDD">
        <w:t>за извършване на</w:t>
      </w:r>
      <w:r w:rsidR="00CD1A89" w:rsidRPr="00357ADB">
        <w:t xml:space="preserve"> сексуалния акт (вж. параграф </w:t>
      </w:r>
      <w:r w:rsidR="008330EE" w:rsidRPr="00357ADB">
        <w:t>19</w:t>
      </w:r>
      <w:r w:rsidR="00CD1A89" w:rsidRPr="00357ADB">
        <w:t xml:space="preserve"> по-горе</w:t>
      </w:r>
      <w:r w:rsidR="008330EE" w:rsidRPr="00357ADB">
        <w:t xml:space="preserve">). </w:t>
      </w:r>
      <w:r w:rsidR="008B0630" w:rsidRPr="00357ADB">
        <w:t xml:space="preserve">Молба за това </w:t>
      </w:r>
      <w:r w:rsidR="009243AB" w:rsidRPr="00357ADB">
        <w:t xml:space="preserve">е </w:t>
      </w:r>
      <w:r w:rsidR="00D75D53">
        <w:t>подадена</w:t>
      </w:r>
      <w:r w:rsidR="00E10BDD">
        <w:t>,</w:t>
      </w:r>
      <w:r w:rsidR="009243AB" w:rsidRPr="00357ADB">
        <w:t xml:space="preserve"> след като майката на жалбоподателката </w:t>
      </w:r>
      <w:r w:rsidR="00AA3918" w:rsidRPr="00357ADB">
        <w:t>обръща внимание на разследващите за бележката за самоубийство, написа</w:t>
      </w:r>
      <w:r w:rsidR="00B242AD" w:rsidRPr="00357ADB">
        <w:t>н</w:t>
      </w:r>
      <w:r w:rsidR="00AA3918" w:rsidRPr="00357ADB">
        <w:t>а от дъщеря й, която я</w:t>
      </w:r>
      <w:r w:rsidR="00FF2CC6" w:rsidRPr="00357ADB">
        <w:t>в</w:t>
      </w:r>
      <w:r w:rsidR="00AA3918" w:rsidRPr="00357ADB">
        <w:t xml:space="preserve">но е започнала да се самонаранява в резултат на </w:t>
      </w:r>
      <w:r w:rsidR="00FF2CC6" w:rsidRPr="00357ADB">
        <w:t xml:space="preserve">преживяната </w:t>
      </w:r>
      <w:r w:rsidR="00AA3918" w:rsidRPr="00357ADB">
        <w:t>травма</w:t>
      </w:r>
      <w:r w:rsidR="00FF2CC6" w:rsidRPr="00357ADB">
        <w:t xml:space="preserve"> </w:t>
      </w:r>
      <w:r w:rsidR="00AA3918" w:rsidRPr="00357ADB">
        <w:t xml:space="preserve">(вж. параграф </w:t>
      </w:r>
      <w:r w:rsidR="008330EE" w:rsidRPr="00357ADB">
        <w:t>12</w:t>
      </w:r>
      <w:r w:rsidR="00AA3918" w:rsidRPr="00357ADB">
        <w:t xml:space="preserve"> по-горе</w:t>
      </w:r>
      <w:r w:rsidR="008330EE" w:rsidRPr="00357ADB">
        <w:t>).</w:t>
      </w:r>
    </w:p>
    <w:p w:rsidR="008330EE" w:rsidRPr="00357ADB" w:rsidRDefault="00701932" w:rsidP="00AE3E4D">
      <w:pPr>
        <w:pStyle w:val="JuPara"/>
      </w:pPr>
      <w:fldSimple w:instr=" SEQ level0 \*arabic ">
        <w:r w:rsidR="00A5720B">
          <w:rPr>
            <w:noProof/>
          </w:rPr>
          <w:t>63</w:t>
        </w:r>
      </w:fldSimple>
      <w:r w:rsidR="008330EE" w:rsidRPr="00357ADB">
        <w:t>.  </w:t>
      </w:r>
      <w:r w:rsidR="00DD215F" w:rsidRPr="00357ADB">
        <w:t xml:space="preserve">При сходни случаи Съдът изразява становище, че властите следва да проверят всички факти и да вземат решение въз основа на преценка на всички </w:t>
      </w:r>
      <w:r w:rsidR="00E10BDD">
        <w:t>релевантни</w:t>
      </w:r>
      <w:r w:rsidR="00DD215F" w:rsidRPr="00357ADB">
        <w:t xml:space="preserve"> обстоятелства (вж. </w:t>
      </w:r>
      <w:r w:rsidR="008330EE" w:rsidRPr="00357ADB">
        <w:rPr>
          <w:i/>
        </w:rPr>
        <w:t xml:space="preserve">C.A.S. </w:t>
      </w:r>
      <w:proofErr w:type="spellStart"/>
      <w:r w:rsidR="008330EE" w:rsidRPr="00357ADB">
        <w:rPr>
          <w:i/>
        </w:rPr>
        <w:t>and</w:t>
      </w:r>
      <w:proofErr w:type="spellEnd"/>
      <w:r w:rsidR="008330EE" w:rsidRPr="00357ADB">
        <w:rPr>
          <w:i/>
        </w:rPr>
        <w:t xml:space="preserve"> C.S.</w:t>
      </w:r>
      <w:r w:rsidR="008330EE" w:rsidRPr="00357ADB">
        <w:t xml:space="preserve">, </w:t>
      </w:r>
      <w:r w:rsidR="00DD215F" w:rsidRPr="00357ADB">
        <w:t>цитирано по-горе</w:t>
      </w:r>
      <w:r w:rsidR="008330EE" w:rsidRPr="00357ADB">
        <w:t xml:space="preserve">, § 77). </w:t>
      </w:r>
      <w:r w:rsidR="00DD215F" w:rsidRPr="00357ADB">
        <w:t>Независимо от субсидиарната си роля по въпроса, Съдът е особено критичен по дела с твърдения за изнасилване, по които разследващите органи не пол</w:t>
      </w:r>
      <w:r w:rsidR="00EF131D">
        <w:t>агат</w:t>
      </w:r>
      <w:r w:rsidR="00DD215F" w:rsidRPr="00357ADB">
        <w:t xml:space="preserve"> последователни усилия да установят всички </w:t>
      </w:r>
      <w:r w:rsidR="00E10BDD">
        <w:t>релевантни</w:t>
      </w:r>
      <w:r w:rsidR="00DD215F" w:rsidRPr="00357ADB">
        <w:t xml:space="preserve"> обстоятелства и да направят преценка за съгла</w:t>
      </w:r>
      <w:r w:rsidR="00AD1651" w:rsidRPr="00357ADB">
        <w:t>с</w:t>
      </w:r>
      <w:r w:rsidR="00DD215F" w:rsidRPr="00357ADB">
        <w:t xml:space="preserve">ието на </w:t>
      </w:r>
      <w:r w:rsidR="00E10BDD">
        <w:t>предполагаемата</w:t>
      </w:r>
      <w:r w:rsidR="00DD215F" w:rsidRPr="00357ADB">
        <w:t xml:space="preserve"> жертва с оглед на контекста (вж. </w:t>
      </w:r>
      <w:proofErr w:type="spellStart"/>
      <w:r w:rsidR="008330EE" w:rsidRPr="00357ADB">
        <w:rPr>
          <w:i/>
        </w:rPr>
        <w:t>mutatis</w:t>
      </w:r>
      <w:proofErr w:type="spellEnd"/>
      <w:r w:rsidR="008330EE" w:rsidRPr="00357ADB">
        <w:rPr>
          <w:i/>
        </w:rPr>
        <w:t xml:space="preserve"> </w:t>
      </w:r>
      <w:proofErr w:type="spellStart"/>
      <w:r w:rsidR="008330EE" w:rsidRPr="00357ADB">
        <w:rPr>
          <w:i/>
        </w:rPr>
        <w:t>mutandis</w:t>
      </w:r>
      <w:proofErr w:type="spellEnd"/>
      <w:r w:rsidR="008330EE" w:rsidRPr="00357ADB">
        <w:rPr>
          <w:i/>
        </w:rPr>
        <w:t xml:space="preserve"> </w:t>
      </w:r>
      <w:r w:rsidR="00DD215F" w:rsidRPr="00357ADB">
        <w:rPr>
          <w:i/>
        </w:rPr>
        <w:t>М</w:t>
      </w:r>
      <w:r w:rsidR="008330EE" w:rsidRPr="00357ADB">
        <w:rPr>
          <w:i/>
        </w:rPr>
        <w:t>.</w:t>
      </w:r>
      <w:r w:rsidR="00DD215F" w:rsidRPr="00357ADB">
        <w:rPr>
          <w:i/>
        </w:rPr>
        <w:t>Ч</w:t>
      </w:r>
      <w:r w:rsidR="008330EE" w:rsidRPr="00357ADB">
        <w:t xml:space="preserve">., </w:t>
      </w:r>
      <w:r w:rsidR="00DD215F" w:rsidRPr="00357ADB">
        <w:t>цитирано по-горе</w:t>
      </w:r>
      <w:r w:rsidR="008330EE" w:rsidRPr="00357ADB">
        <w:t>, §§ 177-78).</w:t>
      </w:r>
    </w:p>
    <w:p w:rsidR="008330EE" w:rsidRPr="00357ADB" w:rsidRDefault="00701932" w:rsidP="00AE3E4D">
      <w:pPr>
        <w:pStyle w:val="JuPara"/>
      </w:pPr>
      <w:fldSimple w:instr=" SEQ level0 \*arabic ">
        <w:r w:rsidR="00A5720B">
          <w:rPr>
            <w:noProof/>
          </w:rPr>
          <w:t>64</w:t>
        </w:r>
      </w:fldSimple>
      <w:r w:rsidR="008330EE" w:rsidRPr="00357ADB">
        <w:t>.  </w:t>
      </w:r>
      <w:r w:rsidR="00AD1651" w:rsidRPr="00357ADB">
        <w:t xml:space="preserve">В края на разследването, въпреки по-ранно заключение на районния прокурор, че предвид доказателствата е извършено изнасилване (вж. параграф </w:t>
      </w:r>
      <w:r w:rsidR="008330EE" w:rsidRPr="00357ADB">
        <w:t>16</w:t>
      </w:r>
      <w:r w:rsidR="00AD1651" w:rsidRPr="00357ADB">
        <w:t xml:space="preserve"> по-горе</w:t>
      </w:r>
      <w:r w:rsidR="008330EE" w:rsidRPr="00357ADB">
        <w:t>),</w:t>
      </w:r>
      <w:r w:rsidR="00AD1651" w:rsidRPr="00357ADB">
        <w:t xml:space="preserve"> срещу обвиняемия е </w:t>
      </w:r>
      <w:r w:rsidR="00E10BDD">
        <w:t>внесен</w:t>
      </w:r>
      <w:r w:rsidR="00AD1651" w:rsidRPr="00357ADB">
        <w:t xml:space="preserve"> обвинителен акт за сексуален акт с лице на възраст под четиринадесет години, което представлява престъпление, наказуемо независимо от съгласието на жертвата</w:t>
      </w:r>
      <w:r w:rsidR="008330EE" w:rsidRPr="00357ADB">
        <w:t>.</w:t>
      </w:r>
      <w:r w:rsidR="007802D5" w:rsidRPr="00357ADB">
        <w:t xml:space="preserve"> Прокурорът установява и записва в обвинителния акт, че непосредствено преди сексуалния акт жертвата (жалбоподателката) „</w:t>
      </w:r>
      <w:r w:rsidR="00B03465" w:rsidRPr="00357ADB">
        <w:t>с</w:t>
      </w:r>
      <w:r w:rsidR="007802D5" w:rsidRPr="00357ADB">
        <w:t>е отдръп</w:t>
      </w:r>
      <w:r w:rsidR="00B03465" w:rsidRPr="00357ADB">
        <w:t>ва</w:t>
      </w:r>
      <w:r w:rsidR="007802D5" w:rsidRPr="00357ADB">
        <w:t>“, „преструва се, че спи“</w:t>
      </w:r>
      <w:r w:rsidR="008330EE" w:rsidRPr="00357ADB">
        <w:t>,</w:t>
      </w:r>
      <w:r w:rsidR="007802D5" w:rsidRPr="00357ADB">
        <w:t xml:space="preserve"> „избутва ръцете на извършителя“ и „стиска краката си“ (вж. параграф </w:t>
      </w:r>
      <w:r w:rsidR="008330EE" w:rsidRPr="00357ADB">
        <w:t>22</w:t>
      </w:r>
      <w:r w:rsidR="007802D5" w:rsidRPr="00357ADB">
        <w:t xml:space="preserve"> по-горе</w:t>
      </w:r>
      <w:r w:rsidR="008330EE" w:rsidRPr="00357ADB">
        <w:t xml:space="preserve">). </w:t>
      </w:r>
      <w:r w:rsidR="0018687B" w:rsidRPr="00357ADB">
        <w:t xml:space="preserve">Съдът вече подчерта значимостта на тълкуването на националните </w:t>
      </w:r>
      <w:r w:rsidR="00E10BDD">
        <w:t>термини</w:t>
      </w:r>
      <w:r w:rsidR="00E10BDD" w:rsidRPr="00357ADB">
        <w:t xml:space="preserve"> </w:t>
      </w:r>
      <w:r w:rsidR="0018687B" w:rsidRPr="00357ADB">
        <w:t>на изнасилване по такъв начин, че да обхващат всеки сексуален акт без съгласие (вж.</w:t>
      </w:r>
      <w:r w:rsidR="008330EE" w:rsidRPr="00357ADB">
        <w:rPr>
          <w:rFonts w:ascii="Arial" w:hAnsi="Arial"/>
        </w:rPr>
        <w:t xml:space="preserve"> </w:t>
      </w:r>
      <w:r w:rsidR="0018687B" w:rsidRPr="00357ADB">
        <w:rPr>
          <w:i/>
        </w:rPr>
        <w:t>М</w:t>
      </w:r>
      <w:r w:rsidR="008330EE" w:rsidRPr="00357ADB">
        <w:rPr>
          <w:i/>
        </w:rPr>
        <w:t>.</w:t>
      </w:r>
      <w:r w:rsidR="0018687B" w:rsidRPr="00357ADB">
        <w:rPr>
          <w:i/>
        </w:rPr>
        <w:t>Ч</w:t>
      </w:r>
      <w:r w:rsidR="008330EE" w:rsidRPr="00357ADB">
        <w:rPr>
          <w:i/>
        </w:rPr>
        <w:t>.,</w:t>
      </w:r>
      <w:r w:rsidR="008330EE" w:rsidRPr="00357ADB">
        <w:t xml:space="preserve"> </w:t>
      </w:r>
      <w:r w:rsidR="0018687B" w:rsidRPr="00357ADB">
        <w:t>цитирано по-горе</w:t>
      </w:r>
      <w:r w:rsidR="008330EE" w:rsidRPr="00357ADB">
        <w:t>, § 171)</w:t>
      </w:r>
      <w:r w:rsidR="0018687B" w:rsidRPr="00357ADB">
        <w:t xml:space="preserve"> и че „разследването и неговите заключения следва да се концентрират върху въпроса за липсата на съгласие“ </w:t>
      </w:r>
      <w:r w:rsidR="008330EE" w:rsidRPr="00357ADB">
        <w:t>(</w:t>
      </w:r>
      <w:r w:rsidR="0018687B" w:rsidRPr="00357ADB">
        <w:t xml:space="preserve">вж. </w:t>
      </w:r>
      <w:r w:rsidR="008330EE" w:rsidRPr="00357ADB">
        <w:rPr>
          <w:i/>
        </w:rPr>
        <w:t>M.G.</w:t>
      </w:r>
      <w:r w:rsidR="0018687B" w:rsidRPr="00357ADB">
        <w:rPr>
          <w:i/>
        </w:rPr>
        <w:t>C</w:t>
      </w:r>
      <w:r w:rsidR="0018687B" w:rsidRPr="00357ADB">
        <w:t>, цитирано по-горе</w:t>
      </w:r>
      <w:r w:rsidR="008330EE" w:rsidRPr="00357ADB">
        <w:rPr>
          <w:i/>
        </w:rPr>
        <w:t>,</w:t>
      </w:r>
      <w:r w:rsidR="008330EE" w:rsidRPr="00357ADB">
        <w:t xml:space="preserve"> § 72 </w:t>
      </w:r>
      <w:r w:rsidR="0018687B" w:rsidRPr="00357ADB">
        <w:t>с допълнителни препратки</w:t>
      </w:r>
      <w:r w:rsidR="008330EE" w:rsidRPr="00357ADB">
        <w:t>)</w:t>
      </w:r>
      <w:r w:rsidR="008330EE" w:rsidRPr="00357ADB">
        <w:rPr>
          <w:rFonts w:ascii="Arial" w:hAnsi="Arial"/>
        </w:rPr>
        <w:t>.</w:t>
      </w:r>
    </w:p>
    <w:p w:rsidR="008330EE" w:rsidRPr="00357ADB" w:rsidRDefault="00701932" w:rsidP="00AE3E4D">
      <w:pPr>
        <w:pStyle w:val="JuPara"/>
      </w:pPr>
      <w:fldSimple w:instr=" SEQ level0 \*arabic ">
        <w:r w:rsidR="00A5720B">
          <w:rPr>
            <w:noProof/>
          </w:rPr>
          <w:t>65</w:t>
        </w:r>
      </w:fldSimple>
      <w:r w:rsidR="008330EE" w:rsidRPr="00357ADB">
        <w:t>.  </w:t>
      </w:r>
      <w:r w:rsidR="001D7B3E" w:rsidRPr="00357ADB">
        <w:t xml:space="preserve">В настоящия случай обаче прокурорът не </w:t>
      </w:r>
      <w:r w:rsidR="00CC4667" w:rsidRPr="00357ADB">
        <w:t>разгле</w:t>
      </w:r>
      <w:r w:rsidR="00AC46E4">
        <w:t>жда</w:t>
      </w:r>
      <w:r w:rsidR="001D7B3E" w:rsidRPr="00357ADB">
        <w:t xml:space="preserve"> дали тези действия на жалбоподателката, отдръпване, преструване, че спи</w:t>
      </w:r>
      <w:r w:rsidR="00AC46E4">
        <w:t>,</w:t>
      </w:r>
      <w:r w:rsidR="001D7B3E" w:rsidRPr="00357ADB">
        <w:t xml:space="preserve"> избутване на извършителя и стискане на краката, са имали значение при дадените обстоятелства за предявените обвинения</w:t>
      </w:r>
      <w:r w:rsidR="008330EE" w:rsidRPr="00357ADB">
        <w:t xml:space="preserve">. </w:t>
      </w:r>
      <w:r w:rsidR="00CC4667" w:rsidRPr="00357ADB">
        <w:t xml:space="preserve">По сходен начин, той не е разгледал психическото състояние на жалбоподателката по време на нападението в светлината на психологическата експертиза (вж. параграф </w:t>
      </w:r>
      <w:r w:rsidR="008330EE" w:rsidRPr="00357ADB">
        <w:t xml:space="preserve">14 </w:t>
      </w:r>
      <w:r w:rsidR="00CC4667" w:rsidRPr="00357ADB">
        <w:t>по-горе</w:t>
      </w:r>
      <w:r w:rsidR="008330EE" w:rsidRPr="00357ADB">
        <w:t>),</w:t>
      </w:r>
      <w:r w:rsidR="00CC4667" w:rsidRPr="00357ADB">
        <w:t xml:space="preserve"> която стига до заключението, че тя е преживяла интензивен страх и уплах</w:t>
      </w:r>
      <w:r w:rsidR="00515E6D">
        <w:t>а</w:t>
      </w:r>
      <w:r w:rsidR="00CC4667" w:rsidRPr="00357ADB">
        <w:t xml:space="preserve">, които са можели временно да блокират реакциите й, и че тя е избрала да замълчи, тъй като чувствата й на страх и срам са доминирали към момента на събитията (сравнение с </w:t>
      </w:r>
      <w:r w:rsidR="00CC4667" w:rsidRPr="00357ADB">
        <w:rPr>
          <w:i/>
        </w:rPr>
        <w:t>М</w:t>
      </w:r>
      <w:r w:rsidR="008330EE" w:rsidRPr="00357ADB">
        <w:rPr>
          <w:i/>
        </w:rPr>
        <w:t>.</w:t>
      </w:r>
      <w:r w:rsidR="00CC4667" w:rsidRPr="00357ADB">
        <w:rPr>
          <w:i/>
        </w:rPr>
        <w:t>Ч</w:t>
      </w:r>
      <w:r w:rsidR="008330EE" w:rsidRPr="00357ADB">
        <w:rPr>
          <w:i/>
        </w:rPr>
        <w:t>.,</w:t>
      </w:r>
      <w:r w:rsidR="008330EE" w:rsidRPr="00357ADB">
        <w:t xml:space="preserve"> </w:t>
      </w:r>
      <w:r w:rsidR="00CC4667" w:rsidRPr="00357ADB">
        <w:t>цитирано по-горе</w:t>
      </w:r>
      <w:r w:rsidR="008330EE" w:rsidRPr="00357ADB">
        <w:t xml:space="preserve">, § 70). </w:t>
      </w:r>
      <w:r w:rsidR="00771B09" w:rsidRPr="00357ADB">
        <w:t>В допълнение, прокурорът не прецен</w:t>
      </w:r>
      <w:r w:rsidR="00B11F1A">
        <w:t>ява</w:t>
      </w:r>
      <w:r w:rsidR="00771B09" w:rsidRPr="00357ADB">
        <w:t xml:space="preserve"> цялостния контекст, факта, че жалбоподателката е ненавършило четиринадесет години момиче, гостенка в дома на близка приятелка, която също така </w:t>
      </w:r>
      <w:r w:rsidR="003127A6" w:rsidRPr="00357ADB">
        <w:t xml:space="preserve">е </w:t>
      </w:r>
      <w:r w:rsidR="00771B09" w:rsidRPr="00357ADB">
        <w:t>интимна приятелка на извършителя, че е спяла преди извършителят да започне сексуалния акт и че преди това не е имала никакви отношения с него</w:t>
      </w:r>
      <w:r w:rsidR="008330EE" w:rsidRPr="00357ADB">
        <w:t>.</w:t>
      </w:r>
    </w:p>
    <w:p w:rsidR="008330EE" w:rsidRPr="00357ADB" w:rsidRDefault="00701932" w:rsidP="00AE3E4D">
      <w:pPr>
        <w:pStyle w:val="JuPara"/>
      </w:pPr>
      <w:fldSimple w:instr=" SEQ level0 \*arabic ">
        <w:r w:rsidR="00A5720B">
          <w:rPr>
            <w:noProof/>
          </w:rPr>
          <w:t>66</w:t>
        </w:r>
      </w:fldSimple>
      <w:r w:rsidR="008330EE" w:rsidRPr="00357ADB">
        <w:t>.  </w:t>
      </w:r>
      <w:r w:rsidR="004078A2">
        <w:t>Следователно</w:t>
      </w:r>
      <w:r w:rsidR="003D7E65" w:rsidRPr="00357ADB">
        <w:t xml:space="preserve"> </w:t>
      </w:r>
      <w:r w:rsidR="006F42DB" w:rsidRPr="00357ADB">
        <w:t>прокурорът не разгле</w:t>
      </w:r>
      <w:r w:rsidR="004078A2">
        <w:t>ж</w:t>
      </w:r>
      <w:r w:rsidR="006F42DB" w:rsidRPr="00357ADB">
        <w:t>д</w:t>
      </w:r>
      <w:r w:rsidR="004078A2">
        <w:t>а</w:t>
      </w:r>
      <w:r w:rsidR="006F42DB" w:rsidRPr="00357ADB">
        <w:t xml:space="preserve"> по-конкретно дали действията на жалбоподателката и цялостният контекст показват липса на съг</w:t>
      </w:r>
      <w:r w:rsidR="0014647B" w:rsidRPr="00357ADB">
        <w:t>л</w:t>
      </w:r>
      <w:r w:rsidR="006F42DB" w:rsidRPr="00357ADB">
        <w:t xml:space="preserve">асие от нейна страна и дали </w:t>
      </w:r>
      <w:r w:rsidR="0014647B" w:rsidRPr="00357ADB">
        <w:t xml:space="preserve">следователно </w:t>
      </w:r>
      <w:r w:rsidR="006F42DB" w:rsidRPr="00357ADB">
        <w:t>действията на извършителя биха могли да бъдат квалифицирани като изнасилване</w:t>
      </w:r>
      <w:r w:rsidR="008330EE" w:rsidRPr="00357ADB">
        <w:t xml:space="preserve">. </w:t>
      </w:r>
      <w:r w:rsidR="0014647B" w:rsidRPr="00357ADB">
        <w:t>То</w:t>
      </w:r>
      <w:r w:rsidR="00B00B3A">
        <w:t>зи пропуск е особено очевиден</w:t>
      </w:r>
      <w:r w:rsidR="0014647B" w:rsidRPr="00357ADB">
        <w:t xml:space="preserve"> </w:t>
      </w:r>
      <w:r w:rsidR="00B00B3A">
        <w:t xml:space="preserve">на фона на </w:t>
      </w:r>
      <w:r w:rsidR="0014647B" w:rsidRPr="00357ADB">
        <w:t xml:space="preserve">твърденията на адвоката на жалбоподателката, с които изрично се иска от властите да осъществят наказателно </w:t>
      </w:r>
      <w:r w:rsidR="00B00B3A">
        <w:t>разследване</w:t>
      </w:r>
      <w:r w:rsidR="0014647B" w:rsidRPr="00357ADB">
        <w:t xml:space="preserve"> за изнасилване (вж. параграф </w:t>
      </w:r>
      <w:r w:rsidR="008330EE" w:rsidRPr="00357ADB">
        <w:t>20</w:t>
      </w:r>
      <w:r w:rsidR="0014647B" w:rsidRPr="00357ADB">
        <w:t xml:space="preserve"> по-горе) и първоначалн</w:t>
      </w:r>
      <w:r w:rsidR="00B00B3A">
        <w:t>ото предложение</w:t>
      </w:r>
      <w:r w:rsidR="0014647B" w:rsidRPr="00357ADB">
        <w:t xml:space="preserve"> на прокурор</w:t>
      </w:r>
      <w:r w:rsidR="003C06AB">
        <w:t>а от по-</w:t>
      </w:r>
      <w:proofErr w:type="spellStart"/>
      <w:r w:rsidR="00B00B3A">
        <w:t>долустоящата</w:t>
      </w:r>
      <w:proofErr w:type="spellEnd"/>
      <w:r w:rsidR="00B00B3A">
        <w:t xml:space="preserve"> прокуратура</w:t>
      </w:r>
      <w:r w:rsidR="0014647B" w:rsidRPr="00357ADB">
        <w:t xml:space="preserve"> (вж. параграф </w:t>
      </w:r>
      <w:r w:rsidR="008330EE" w:rsidRPr="00357ADB">
        <w:t xml:space="preserve">16 </w:t>
      </w:r>
      <w:r w:rsidR="0014647B" w:rsidRPr="00357ADB">
        <w:t>по-горе</w:t>
      </w:r>
      <w:r w:rsidR="008330EE" w:rsidRPr="00357ADB">
        <w:t>).</w:t>
      </w:r>
    </w:p>
    <w:p w:rsidR="008330EE" w:rsidRPr="00357ADB" w:rsidRDefault="00701932" w:rsidP="00AE3E4D">
      <w:pPr>
        <w:pStyle w:val="JuPara"/>
      </w:pPr>
      <w:fldSimple w:instr=" SEQ level0 \*arabic ">
        <w:r w:rsidR="00A5720B">
          <w:rPr>
            <w:noProof/>
          </w:rPr>
          <w:t>67</w:t>
        </w:r>
      </w:fldSimple>
      <w:r w:rsidR="008330EE" w:rsidRPr="00357ADB">
        <w:t>.  </w:t>
      </w:r>
      <w:r w:rsidR="00602C6B" w:rsidRPr="00357ADB">
        <w:t>Според Съда елементите, посочени в предходните параграфи, са достатъчни</w:t>
      </w:r>
      <w:r w:rsidR="00B00B3A">
        <w:t>, за да се направи обосновано предположение</w:t>
      </w:r>
      <w:r w:rsidR="00602C6B" w:rsidRPr="00357ADB">
        <w:t xml:space="preserve">, че жалбоподателката не е </w:t>
      </w:r>
      <w:r w:rsidR="00B00B3A">
        <w:t xml:space="preserve">била </w:t>
      </w:r>
      <w:r w:rsidR="00602C6B" w:rsidRPr="00357ADB">
        <w:t>съглас</w:t>
      </w:r>
      <w:r w:rsidR="00546E7B">
        <w:t>на</w:t>
      </w:r>
      <w:r w:rsidR="00602C6B" w:rsidRPr="00357ADB">
        <w:t xml:space="preserve"> със сексуалния акт и че случаят</w:t>
      </w:r>
      <w:r w:rsidR="00B00B3A">
        <w:t xml:space="preserve"> е</w:t>
      </w:r>
      <w:r w:rsidR="00602C6B" w:rsidRPr="00357ADB">
        <w:t xml:space="preserve"> изисква</w:t>
      </w:r>
      <w:r w:rsidR="00B00B3A">
        <w:t>л</w:t>
      </w:r>
      <w:r w:rsidR="00602C6B" w:rsidRPr="00357ADB">
        <w:t xml:space="preserve"> разследване и </w:t>
      </w:r>
      <w:r w:rsidR="00B00B3A">
        <w:t>обсъждане на възможността за повдигане на</w:t>
      </w:r>
      <w:r w:rsidR="00602C6B" w:rsidRPr="00357ADB">
        <w:t xml:space="preserve"> обвинени</w:t>
      </w:r>
      <w:r w:rsidR="00B00B3A">
        <w:t>е</w:t>
      </w:r>
      <w:r w:rsidR="00602C6B" w:rsidRPr="00357ADB">
        <w:t xml:space="preserve"> за изнасилване</w:t>
      </w:r>
      <w:r w:rsidR="008330EE" w:rsidRPr="00357ADB">
        <w:t>.</w:t>
      </w:r>
    </w:p>
    <w:p w:rsidR="008330EE" w:rsidRPr="00357ADB" w:rsidRDefault="00701932" w:rsidP="00AE3E4D">
      <w:pPr>
        <w:pStyle w:val="JuPara"/>
      </w:pPr>
      <w:fldSimple w:instr=" SEQ level0 \*arabic ">
        <w:r w:rsidR="00A5720B">
          <w:rPr>
            <w:noProof/>
          </w:rPr>
          <w:t>68</w:t>
        </w:r>
      </w:fldSimple>
      <w:r w:rsidR="008330EE" w:rsidRPr="00357ADB">
        <w:t>.  </w:t>
      </w:r>
      <w:r w:rsidR="00C61EF7" w:rsidRPr="00357ADB">
        <w:t>При</w:t>
      </w:r>
      <w:r w:rsidR="00B00B3A">
        <w:t xml:space="preserve"> постановяване на</w:t>
      </w:r>
      <w:r w:rsidR="00C61EF7" w:rsidRPr="00357ADB">
        <w:t xml:space="preserve"> отказа за наказателно преследване за изнасилване, </w:t>
      </w:r>
      <w:r w:rsidR="00C61EF7" w:rsidRPr="00414D6C">
        <w:t>прокурор</w:t>
      </w:r>
      <w:r w:rsidR="00B00B3A">
        <w:t>ът</w:t>
      </w:r>
      <w:r w:rsidR="003C06AB">
        <w:t xml:space="preserve"> от по-горната инстанция</w:t>
      </w:r>
      <w:r w:rsidR="00C61EF7" w:rsidRPr="00357ADB">
        <w:t xml:space="preserve"> накратко отбелязва, че нито една от трите хипотези на чл. 152 </w:t>
      </w:r>
      <w:r w:rsidR="00546E7B">
        <w:t xml:space="preserve">от </w:t>
      </w:r>
      <w:r w:rsidR="00C61EF7" w:rsidRPr="00357ADB">
        <w:t>НК не се подкрепя от фактите и по-конкретно</w:t>
      </w:r>
      <w:r w:rsidR="00B00B3A">
        <w:t xml:space="preserve"> от</w:t>
      </w:r>
      <w:r w:rsidR="00C61EF7" w:rsidRPr="00357ADB">
        <w:t xml:space="preserve"> показанията на самата жертва </w:t>
      </w:r>
      <w:r w:rsidR="008330EE" w:rsidRPr="00357ADB">
        <w:t>(</w:t>
      </w:r>
      <w:r w:rsidR="00C61EF7" w:rsidRPr="00357ADB">
        <w:t xml:space="preserve">вж. параграф </w:t>
      </w:r>
      <w:r w:rsidR="008330EE" w:rsidRPr="00357ADB">
        <w:t>17</w:t>
      </w:r>
      <w:r w:rsidR="00C61EF7" w:rsidRPr="00357ADB">
        <w:t xml:space="preserve"> по-горе</w:t>
      </w:r>
      <w:r w:rsidR="008330EE" w:rsidRPr="00357ADB">
        <w:t>).</w:t>
      </w:r>
      <w:r w:rsidR="00C61EF7" w:rsidRPr="00357ADB">
        <w:t xml:space="preserve"> Прокуратурата обаче не се ангажира с подходящо разглеждане на доказателствата, които сочат липса на съгласие, а именно възрастта на жалбоподателката, конкретните обстоятелства, при които се случва сексуалният акт</w:t>
      </w:r>
      <w:r w:rsidR="008330EE" w:rsidRPr="00357ADB">
        <w:t>,</w:t>
      </w:r>
      <w:r w:rsidR="00C61EF7" w:rsidRPr="00357ADB">
        <w:t xml:space="preserve"> липсата на предходни отношения между жалбоподателката и Г.С., поведението на жалбоподателката по време на сексуалния акт и нейното поведение след инцидента</w:t>
      </w:r>
      <w:r w:rsidR="008330EE" w:rsidRPr="00357ADB">
        <w:t>.</w:t>
      </w:r>
    </w:p>
    <w:p w:rsidR="008330EE" w:rsidRPr="00357ADB" w:rsidRDefault="00701932" w:rsidP="00AE3E4D">
      <w:pPr>
        <w:pStyle w:val="JuPara"/>
      </w:pPr>
      <w:fldSimple w:instr=" SEQ level0 \*arabic ">
        <w:r w:rsidR="00A5720B">
          <w:rPr>
            <w:noProof/>
          </w:rPr>
          <w:t>69</w:t>
        </w:r>
      </w:fldSimple>
      <w:r w:rsidR="008330EE" w:rsidRPr="00357ADB">
        <w:t>.  </w:t>
      </w:r>
      <w:r w:rsidR="00986DA5" w:rsidRPr="00357ADB">
        <w:t xml:space="preserve">Този пропуск – да бъдат разгледани съответните обстоятелства в цялостния контекст и </w:t>
      </w:r>
      <w:r w:rsidR="00546E7B">
        <w:t>националното законодателство</w:t>
      </w:r>
      <w:r w:rsidR="00986DA5" w:rsidRPr="00357ADB">
        <w:t xml:space="preserve"> да се тълкува по начин, който дефинира изнасилването като сексуален акт без съгласие</w:t>
      </w:r>
      <w:r w:rsidR="008330EE" w:rsidRPr="00357ADB">
        <w:t xml:space="preserve"> </w:t>
      </w:r>
      <w:r w:rsidR="00986DA5" w:rsidRPr="00357ADB">
        <w:t>–</w:t>
      </w:r>
      <w:r w:rsidR="008330EE" w:rsidRPr="00357ADB">
        <w:t xml:space="preserve"> </w:t>
      </w:r>
      <w:r w:rsidR="00986DA5" w:rsidRPr="00357ADB">
        <w:t xml:space="preserve">не е разгледан и поправен от първоинстанционния съд, пред </w:t>
      </w:r>
      <w:r w:rsidR="00D108CD" w:rsidRPr="00357ADB">
        <w:t>който</w:t>
      </w:r>
      <w:r w:rsidR="00986DA5" w:rsidRPr="00357ADB">
        <w:t xml:space="preserve"> е </w:t>
      </w:r>
      <w:r w:rsidR="00370B5A">
        <w:t>разгледано делото</w:t>
      </w:r>
      <w:r w:rsidR="008330EE" w:rsidRPr="00357ADB">
        <w:t xml:space="preserve">. </w:t>
      </w:r>
      <w:r w:rsidR="00D108CD" w:rsidRPr="00357ADB">
        <w:t>Съдията</w:t>
      </w:r>
      <w:r w:rsidR="00370B5A">
        <w:t>-</w:t>
      </w:r>
      <w:r w:rsidR="00D108CD" w:rsidRPr="00357ADB">
        <w:t>докладчик</w:t>
      </w:r>
      <w:r w:rsidR="00370B5A">
        <w:t xml:space="preserve"> е</w:t>
      </w:r>
      <w:r w:rsidR="00D108CD" w:rsidRPr="00357ADB">
        <w:t xml:space="preserve"> има</w:t>
      </w:r>
      <w:r w:rsidR="00370B5A">
        <w:t>л</w:t>
      </w:r>
      <w:r w:rsidR="00D108CD" w:rsidRPr="00357ADB">
        <w:t xml:space="preserve"> правомощи</w:t>
      </w:r>
      <w:r w:rsidR="00370B5A">
        <w:t>е</w:t>
      </w:r>
      <w:r w:rsidR="008330EE" w:rsidRPr="00357ADB">
        <w:t xml:space="preserve"> </w:t>
      </w:r>
      <w:r w:rsidR="00D108CD" w:rsidRPr="00357ADB">
        <w:t xml:space="preserve">да прекрати съдебното производство и да </w:t>
      </w:r>
      <w:r w:rsidR="00FA3091">
        <w:t>върне</w:t>
      </w:r>
      <w:r w:rsidR="00FA3091" w:rsidRPr="00357ADB">
        <w:t xml:space="preserve"> </w:t>
      </w:r>
      <w:r w:rsidR="00D108CD" w:rsidRPr="00357ADB">
        <w:t xml:space="preserve">делото на прокурора, ако установи пропуски в досъдебното производство, засягащи процесуалните права на жертвата (вж. параграф </w:t>
      </w:r>
      <w:r w:rsidR="008330EE" w:rsidRPr="00357ADB">
        <w:t>42</w:t>
      </w:r>
      <w:r w:rsidR="00D108CD" w:rsidRPr="00357ADB">
        <w:t xml:space="preserve"> по-горе). Също така първоинстанционния</w:t>
      </w:r>
      <w:r w:rsidR="00BF3E2B" w:rsidRPr="00357ADB">
        <w:t>т</w:t>
      </w:r>
      <w:r w:rsidR="00D108CD" w:rsidRPr="00357ADB">
        <w:t xml:space="preserve"> съд е бил </w:t>
      </w:r>
      <w:r w:rsidR="00370B5A">
        <w:t>наясно с</w:t>
      </w:r>
      <w:r w:rsidR="00D108CD" w:rsidRPr="00357ADB">
        <w:t xml:space="preserve"> молбата на адвоката на жалбоподателката извършителят да бъде преследван наказателно за изнасилване (вж. параграф </w:t>
      </w:r>
      <w:r w:rsidR="008330EE" w:rsidRPr="00357ADB">
        <w:t>20</w:t>
      </w:r>
      <w:r w:rsidR="00D108CD" w:rsidRPr="00357ADB">
        <w:t xml:space="preserve"> по-горе</w:t>
      </w:r>
      <w:r w:rsidR="008330EE" w:rsidRPr="00357ADB">
        <w:t>).</w:t>
      </w:r>
    </w:p>
    <w:p w:rsidR="008330EE" w:rsidRPr="00357ADB" w:rsidRDefault="00701932" w:rsidP="00AE3E4D">
      <w:pPr>
        <w:pStyle w:val="JuPara"/>
      </w:pPr>
      <w:fldSimple w:instr=" SEQ level0 \*arabic ">
        <w:r w:rsidR="00A5720B">
          <w:rPr>
            <w:noProof/>
          </w:rPr>
          <w:t>70</w:t>
        </w:r>
      </w:fldSimple>
      <w:r w:rsidR="008330EE" w:rsidRPr="00357ADB">
        <w:t>.  </w:t>
      </w:r>
      <w:r w:rsidR="00BF3E2B" w:rsidRPr="00357ADB">
        <w:t>С оглед на горното, Съдът приема, че жалбоподателката  достатъч</w:t>
      </w:r>
      <w:r w:rsidR="00370B5A">
        <w:t>но</w:t>
      </w:r>
      <w:r w:rsidR="00BF3E2B" w:rsidRPr="00357ADB">
        <w:t xml:space="preserve"> </w:t>
      </w:r>
      <w:r w:rsidR="00A5720B">
        <w:t xml:space="preserve">ясно </w:t>
      </w:r>
      <w:r w:rsidR="00370B5A">
        <w:t xml:space="preserve">е сезирала националните власти с </w:t>
      </w:r>
      <w:r w:rsidR="00BF3E2B" w:rsidRPr="00357ADB">
        <w:t xml:space="preserve"> оплакванията си  и по-конкретно </w:t>
      </w:r>
      <w:r w:rsidR="00370B5A">
        <w:t>с исканията си</w:t>
      </w:r>
      <w:r w:rsidR="00A5720B">
        <w:t xml:space="preserve"> </w:t>
      </w:r>
      <w:r w:rsidR="00370B5A">
        <w:t>случаят</w:t>
      </w:r>
      <w:r w:rsidR="00BF3E2B" w:rsidRPr="00357ADB">
        <w:t xml:space="preserve"> да бъде</w:t>
      </w:r>
      <w:r w:rsidR="00370B5A">
        <w:t xml:space="preserve"> разследван</w:t>
      </w:r>
      <w:r w:rsidR="00BF3E2B" w:rsidRPr="00357ADB">
        <w:t xml:space="preserve"> </w:t>
      </w:r>
      <w:r w:rsidR="00F20E3E" w:rsidRPr="00357ADB">
        <w:t xml:space="preserve">за </w:t>
      </w:r>
      <w:r w:rsidR="00BF3E2B" w:rsidRPr="00357ADB">
        <w:t>изнасилване. Съдът стига до това заключение</w:t>
      </w:r>
      <w:r w:rsidR="00F20E3E" w:rsidRPr="00357ADB">
        <w:t xml:space="preserve">, като </w:t>
      </w:r>
      <w:r w:rsidR="00FA3091">
        <w:t>по-конкретно взема</w:t>
      </w:r>
      <w:r w:rsidR="00F20E3E" w:rsidRPr="00357ADB">
        <w:t xml:space="preserve"> предвид изискванията за </w:t>
      </w:r>
      <w:r w:rsidR="00A5720B">
        <w:t>правораздаване</w:t>
      </w:r>
      <w:r w:rsidR="00370B5A">
        <w:t xml:space="preserve">, което е </w:t>
      </w:r>
      <w:r w:rsidR="00F20E3E" w:rsidRPr="00357ADB">
        <w:t>съобразено с</w:t>
      </w:r>
      <w:r w:rsidR="00370B5A">
        <w:t>ъс зачитане правата на</w:t>
      </w:r>
      <w:r w:rsidR="00F20E3E" w:rsidRPr="00357ADB">
        <w:t xml:space="preserve"> децата</w:t>
      </w:r>
      <w:r w:rsidR="00370B5A">
        <w:t>,</w:t>
      </w:r>
      <w:r w:rsidR="00F20E3E" w:rsidRPr="00357ADB">
        <w:t xml:space="preserve"> в случаите на дела за сексуално </w:t>
      </w:r>
      <w:r w:rsidR="00370B5A">
        <w:t>насилие</w:t>
      </w:r>
      <w:r w:rsidR="00370B5A" w:rsidRPr="00357ADB">
        <w:t xml:space="preserve"> </w:t>
      </w:r>
      <w:r w:rsidR="00F20E3E" w:rsidRPr="00357ADB">
        <w:t xml:space="preserve">(вж. параграф </w:t>
      </w:r>
      <w:r w:rsidR="008330EE" w:rsidRPr="00357ADB">
        <w:t>69</w:t>
      </w:r>
      <w:r w:rsidR="00F20E3E" w:rsidRPr="00357ADB">
        <w:t xml:space="preserve"> по-горе</w:t>
      </w:r>
      <w:r w:rsidR="008330EE" w:rsidRPr="00357ADB">
        <w:t xml:space="preserve">). </w:t>
      </w:r>
      <w:r w:rsidR="00936E17" w:rsidRPr="00357ADB">
        <w:t xml:space="preserve">Както бе отбелязано по-горе, </w:t>
      </w:r>
      <w:r w:rsidR="00370B5A">
        <w:t xml:space="preserve">докато </w:t>
      </w:r>
      <w:r w:rsidR="00936E17" w:rsidRPr="00357ADB">
        <w:t xml:space="preserve">производството като цяло </w:t>
      </w:r>
      <w:r w:rsidR="00370B5A">
        <w:t xml:space="preserve">е </w:t>
      </w:r>
      <w:r w:rsidR="00936E17" w:rsidRPr="00357ADB">
        <w:t>следва</w:t>
      </w:r>
      <w:r w:rsidR="00370B5A">
        <w:t>ло</w:t>
      </w:r>
      <w:r w:rsidR="00936E17" w:rsidRPr="00357ADB">
        <w:t xml:space="preserve"> да  </w:t>
      </w:r>
      <w:r w:rsidR="00370B5A">
        <w:t xml:space="preserve">отговаря на </w:t>
      </w:r>
      <w:r w:rsidR="00936E17" w:rsidRPr="00357ADB">
        <w:t>изискван</w:t>
      </w:r>
      <w:r w:rsidR="00370B5A">
        <w:t>ията</w:t>
      </w:r>
      <w:r w:rsidR="00936E17" w:rsidRPr="00357ADB">
        <w:t xml:space="preserve"> за провеждане на ефективно </w:t>
      </w:r>
      <w:r w:rsidR="00370B5A">
        <w:t>разследване</w:t>
      </w:r>
      <w:r w:rsidR="00936E17" w:rsidRPr="00357ADB">
        <w:t xml:space="preserve"> и наказателно преследване при подобни оплаквания, </w:t>
      </w:r>
      <w:r w:rsidR="00370B5A">
        <w:t>то</w:t>
      </w:r>
      <w:r w:rsidR="00936E17" w:rsidRPr="00357ADB">
        <w:t xml:space="preserve"> нито прокуратурата, нито съдът</w:t>
      </w:r>
      <w:r w:rsidR="00370B5A">
        <w:t xml:space="preserve"> са</w:t>
      </w:r>
      <w:r w:rsidR="00936E17" w:rsidRPr="00357ADB">
        <w:t xml:space="preserve"> анализира</w:t>
      </w:r>
      <w:r w:rsidR="00370B5A">
        <w:t>ли</w:t>
      </w:r>
      <w:r w:rsidR="00936E17" w:rsidRPr="00357ADB">
        <w:t xml:space="preserve"> обстоятелствата на делото от гледна точка, съобразена с</w:t>
      </w:r>
      <w:r w:rsidR="00370B5A">
        <w:t xml:space="preserve"> изискванията за зачитане</w:t>
      </w:r>
      <w:r w:rsidR="00936E17" w:rsidRPr="00357ADB">
        <w:t xml:space="preserve"> </w:t>
      </w:r>
      <w:r w:rsidR="00370B5A">
        <w:t xml:space="preserve">правата на </w:t>
      </w:r>
      <w:r w:rsidR="00936E17" w:rsidRPr="00357ADB">
        <w:t>детето</w:t>
      </w:r>
      <w:r w:rsidR="008330EE" w:rsidRPr="00357ADB">
        <w:t>.</w:t>
      </w:r>
      <w:r w:rsidR="00936E17" w:rsidRPr="00357ADB">
        <w:t xml:space="preserve"> В такива случаи трябва да се вземе предвид принципът за най-добрия интерес на детето и да се осигури провеждането на ефективно </w:t>
      </w:r>
      <w:r w:rsidR="00370B5A">
        <w:t>разследване</w:t>
      </w:r>
      <w:r w:rsidR="00370B5A" w:rsidRPr="00357ADB">
        <w:t xml:space="preserve"> </w:t>
      </w:r>
      <w:r w:rsidR="00936E17" w:rsidRPr="00357ADB">
        <w:t xml:space="preserve">и наказателно преследване, без това да </w:t>
      </w:r>
      <w:r w:rsidR="00370B5A">
        <w:t>засилва</w:t>
      </w:r>
      <w:r w:rsidR="00936E17" w:rsidRPr="00357ADB">
        <w:t xml:space="preserve"> травмата на детето</w:t>
      </w:r>
      <w:r w:rsidR="008330EE" w:rsidRPr="00357ADB">
        <w:t xml:space="preserve">. </w:t>
      </w:r>
      <w:r w:rsidR="00B10AA0" w:rsidRPr="00357ADB">
        <w:t xml:space="preserve">В конкретните обстоятелства Съдът приема, че </w:t>
      </w:r>
      <w:r w:rsidR="00370B5A">
        <w:t>повдигнатото</w:t>
      </w:r>
      <w:r w:rsidR="00B10AA0" w:rsidRPr="00357ADB">
        <w:t xml:space="preserve"> оплакване не може да бъде отхвърлено </w:t>
      </w:r>
      <w:r w:rsidR="00370B5A">
        <w:t>на основание</w:t>
      </w:r>
      <w:r w:rsidR="00B10AA0" w:rsidRPr="00357ADB">
        <w:t xml:space="preserve">, че жалбоподателката не се е възползвала от процесуалната възможност съгласно </w:t>
      </w:r>
      <w:r w:rsidR="00FB4BEC">
        <w:t>националното законодателство</w:t>
      </w:r>
      <w:r w:rsidR="00B10AA0" w:rsidRPr="00357ADB">
        <w:t xml:space="preserve"> за присъединяване към произ</w:t>
      </w:r>
      <w:r w:rsidR="001E14A8" w:rsidRPr="00357ADB">
        <w:t>водство</w:t>
      </w:r>
      <w:r w:rsidR="00B10AA0" w:rsidRPr="00357ADB">
        <w:t>то като частен обвинител</w:t>
      </w:r>
      <w:r w:rsidR="008330EE" w:rsidRPr="00357ADB">
        <w:t>.</w:t>
      </w:r>
      <w:r w:rsidR="00B10AA0" w:rsidRPr="00357ADB">
        <w:t xml:space="preserve"> Така аргументът на Правителството за неизчерпване на вътрешноправните средства за защита следва да бъде отхвърлен</w:t>
      </w:r>
      <w:r w:rsidR="008330EE" w:rsidRPr="00357ADB">
        <w:t>.</w:t>
      </w:r>
    </w:p>
    <w:p w:rsidR="008330EE" w:rsidRPr="00357ADB" w:rsidRDefault="00701932" w:rsidP="00AE3E4D">
      <w:pPr>
        <w:pStyle w:val="JuPara"/>
      </w:pPr>
      <w:fldSimple w:instr=" SEQ level0 \*arabic ">
        <w:r w:rsidR="00A5720B">
          <w:rPr>
            <w:noProof/>
          </w:rPr>
          <w:t>71</w:t>
        </w:r>
      </w:fldSimple>
      <w:r w:rsidR="008330EE" w:rsidRPr="00357ADB">
        <w:t>.  </w:t>
      </w:r>
      <w:r w:rsidR="00E5629A" w:rsidRPr="00357ADB">
        <w:t xml:space="preserve">С оглед на всичко </w:t>
      </w:r>
      <w:r w:rsidR="00370B5A">
        <w:t>гореизложено,</w:t>
      </w:r>
      <w:r w:rsidR="00E5629A" w:rsidRPr="00357ADB">
        <w:t xml:space="preserve"> Съдът намира, че както при сходното дело </w:t>
      </w:r>
      <w:r w:rsidR="008330EE" w:rsidRPr="00357ADB">
        <w:rPr>
          <w:i/>
        </w:rPr>
        <w:t>M.G.C.</w:t>
      </w:r>
      <w:r w:rsidR="008330EE" w:rsidRPr="00357ADB">
        <w:t xml:space="preserve">, </w:t>
      </w:r>
      <w:r w:rsidR="00E5629A" w:rsidRPr="00357ADB">
        <w:t xml:space="preserve">цитирано по-горе, </w:t>
      </w:r>
      <w:r w:rsidR="008330EE" w:rsidRPr="00357ADB">
        <w:t>§ 73,</w:t>
      </w:r>
      <w:r w:rsidR="00E5629A" w:rsidRPr="00357ADB">
        <w:t xml:space="preserve"> </w:t>
      </w:r>
      <w:r w:rsidR="00370B5A">
        <w:t>пропускът на</w:t>
      </w:r>
      <w:r w:rsidR="00FB4BEC">
        <w:t xml:space="preserve"> </w:t>
      </w:r>
      <w:r w:rsidR="00FB4BEC" w:rsidRPr="00357ADB">
        <w:t>прокуратурата и съда</w:t>
      </w:r>
      <w:r w:rsidR="00370B5A">
        <w:t xml:space="preserve"> да вземат предвид</w:t>
      </w:r>
      <w:r w:rsidR="00E5629A" w:rsidRPr="00357ADB">
        <w:t xml:space="preserve">  съответните конкретни обстоятелства е резултат от това, че те не отдават голямо значение или изобщо не отдават значение на конкретната уязвимост на жалбоподателката като много млад човек и </w:t>
      </w:r>
      <w:r w:rsidR="00DA54B3">
        <w:t>специалните</w:t>
      </w:r>
      <w:r w:rsidR="00DA54B3" w:rsidRPr="00357ADB">
        <w:t xml:space="preserve"> </w:t>
      </w:r>
      <w:r w:rsidR="00E5629A" w:rsidRPr="00357ADB">
        <w:t>психологически фактори при дела за изнасилване</w:t>
      </w:r>
      <w:r w:rsidR="008330EE" w:rsidRPr="00357ADB">
        <w:t>.</w:t>
      </w:r>
      <w:r w:rsidR="004C430E" w:rsidRPr="00357ADB">
        <w:t xml:space="preserve"> Така, съответните национални власти не </w:t>
      </w:r>
      <w:r w:rsidR="00DA54B3">
        <w:t>полагат специална грижа</w:t>
      </w:r>
      <w:r w:rsidR="004C430E" w:rsidRPr="00357ADB">
        <w:t>, изискван</w:t>
      </w:r>
      <w:r w:rsidR="00DA54B3">
        <w:t>а</w:t>
      </w:r>
      <w:r w:rsidR="004C430E" w:rsidRPr="00357ADB">
        <w:t xml:space="preserve"> от тях, за да изпълнят подходящо </w:t>
      </w:r>
      <w:r w:rsidR="008713F1">
        <w:t>позитивните</w:t>
      </w:r>
      <w:r w:rsidR="008713F1" w:rsidRPr="00357ADB">
        <w:t xml:space="preserve"> </w:t>
      </w:r>
      <w:r w:rsidR="004C430E" w:rsidRPr="00357ADB">
        <w:t>си задължения съгласно Конвенцията</w:t>
      </w:r>
      <w:r w:rsidR="008330EE" w:rsidRPr="00357ADB">
        <w:t>.</w:t>
      </w:r>
    </w:p>
    <w:p w:rsidR="008330EE" w:rsidRPr="00357ADB" w:rsidRDefault="00701932" w:rsidP="00AE3E4D">
      <w:pPr>
        <w:pStyle w:val="JuPara"/>
      </w:pPr>
      <w:fldSimple w:instr=" SEQ level0 \*arabic ">
        <w:r w:rsidR="00A5720B">
          <w:rPr>
            <w:noProof/>
          </w:rPr>
          <w:t>72</w:t>
        </w:r>
      </w:fldSimple>
      <w:r w:rsidR="008330EE" w:rsidRPr="00357ADB">
        <w:t>.  </w:t>
      </w:r>
      <w:r w:rsidR="005B3C18" w:rsidRPr="00357ADB">
        <w:t xml:space="preserve">Горните съображения са достатъчни </w:t>
      </w:r>
      <w:r w:rsidR="00DA54B3">
        <w:t>з</w:t>
      </w:r>
      <w:r w:rsidR="005B3C18" w:rsidRPr="00357ADB">
        <w:t>а Съда</w:t>
      </w:r>
      <w:r w:rsidR="00DA54B3">
        <w:t>, за</w:t>
      </w:r>
      <w:r w:rsidR="005B3C18" w:rsidRPr="00357ADB">
        <w:t xml:space="preserve"> да стигне до заключението, без да изразява становище относно вината на извършителя, че е налице процесуално на</w:t>
      </w:r>
      <w:r w:rsidR="004265AA" w:rsidRPr="00357ADB">
        <w:t>р</w:t>
      </w:r>
      <w:r w:rsidR="005B3C18" w:rsidRPr="00357ADB">
        <w:t>ушение на чл. 3 и чл. 8 от Конвенцията</w:t>
      </w:r>
      <w:r w:rsidR="008330EE" w:rsidRPr="00357ADB">
        <w:t>.</w:t>
      </w:r>
    </w:p>
    <w:p w:rsidR="008330EE" w:rsidRPr="00357ADB" w:rsidRDefault="008330EE" w:rsidP="00AE3E4D">
      <w:pPr>
        <w:pStyle w:val="JuHIRoman"/>
        <w:jc w:val="left"/>
      </w:pPr>
      <w:r w:rsidRPr="00357ADB">
        <w:t>ПРИЛОЖЕНИЕ НА ЧЛ. 41 ОТ КОНВЕНЦИЯТА</w:t>
      </w:r>
    </w:p>
    <w:p w:rsidR="008330EE" w:rsidRPr="00357ADB" w:rsidRDefault="00701932" w:rsidP="00AE3E4D">
      <w:pPr>
        <w:pStyle w:val="JuPara"/>
      </w:pPr>
      <w:fldSimple w:instr=" SEQ level0 \*arabic ">
        <w:r w:rsidR="00A5720B">
          <w:rPr>
            <w:noProof/>
          </w:rPr>
          <w:t>73</w:t>
        </w:r>
      </w:fldSimple>
      <w:r w:rsidR="008330EE" w:rsidRPr="00357ADB">
        <w:t>.  Член 41 от Конвенцията предвижда:</w:t>
      </w:r>
    </w:p>
    <w:p w:rsidR="008330EE" w:rsidRPr="00357ADB" w:rsidRDefault="003309B2" w:rsidP="00AE3E4D">
      <w:pPr>
        <w:pStyle w:val="JuQuot"/>
        <w:keepNext/>
        <w:keepLines/>
      </w:pPr>
      <w:r w:rsidRPr="00357ADB">
        <w:t>„</w:t>
      </w:r>
      <w:r w:rsidR="008330EE" w:rsidRPr="00357ADB">
        <w:t>Ако Съдът установи нарушение на Конвенцията или на Протоколите към нея и ако вътрешното право на съответната Високодоговаряща страна допуска само частично обезщетение, Съдът, ако е необходимо, постановява предоставянето на справедливо обезщетение на потърпевшата страна.</w:t>
      </w:r>
      <w:r w:rsidRPr="00357ADB">
        <w:t>“</w:t>
      </w:r>
    </w:p>
    <w:p w:rsidR="008330EE" w:rsidRPr="00357ADB" w:rsidRDefault="008330EE" w:rsidP="00AE3E4D">
      <w:pPr>
        <w:pStyle w:val="JuHA"/>
        <w:jc w:val="left"/>
      </w:pPr>
      <w:r w:rsidRPr="00357ADB">
        <w:t>Вреди</w:t>
      </w:r>
    </w:p>
    <w:p w:rsidR="008330EE" w:rsidRPr="00357ADB" w:rsidRDefault="00701932" w:rsidP="00AE3E4D">
      <w:pPr>
        <w:pStyle w:val="JuPara"/>
      </w:pPr>
      <w:fldSimple w:instr=" SEQ level0 \*arabic ">
        <w:r w:rsidR="00A5720B">
          <w:rPr>
            <w:noProof/>
          </w:rPr>
          <w:t>74</w:t>
        </w:r>
      </w:fldSimple>
      <w:r w:rsidR="008330EE" w:rsidRPr="00357ADB">
        <w:t>.  </w:t>
      </w:r>
      <w:r w:rsidR="00021FC1" w:rsidRPr="00357ADB">
        <w:t xml:space="preserve">Жалбоподателката претендира </w:t>
      </w:r>
      <w:r w:rsidR="008330EE" w:rsidRPr="00357ADB">
        <w:t>12</w:t>
      </w:r>
      <w:r w:rsidR="00021FC1" w:rsidRPr="00357ADB">
        <w:t> </w:t>
      </w:r>
      <w:r w:rsidR="008330EE" w:rsidRPr="00357ADB">
        <w:t>700</w:t>
      </w:r>
      <w:r w:rsidR="00021FC1" w:rsidRPr="00357ADB">
        <w:t xml:space="preserve"> евро неимуществени вреди. В подкрепа на иска</w:t>
      </w:r>
      <w:r w:rsidR="00DA54B3">
        <w:t>нето</w:t>
      </w:r>
      <w:r w:rsidR="00021FC1" w:rsidRPr="00357ADB">
        <w:t xml:space="preserve"> си</w:t>
      </w:r>
      <w:r w:rsidR="00DA2A42">
        <w:t>, тя</w:t>
      </w:r>
      <w:r w:rsidR="00021FC1" w:rsidRPr="00357ADB">
        <w:t xml:space="preserve"> </w:t>
      </w:r>
      <w:r w:rsidR="00DA54B3">
        <w:t>посочва</w:t>
      </w:r>
      <w:r w:rsidR="00021FC1" w:rsidRPr="00357ADB">
        <w:t xml:space="preserve"> психическото си и емоционално състояние след нападението, </w:t>
      </w:r>
      <w:r w:rsidR="00515E6D">
        <w:t>самонараняването</w:t>
      </w:r>
      <w:r w:rsidR="00021FC1" w:rsidRPr="00357ADB">
        <w:t xml:space="preserve"> и електронната комуникация между майката на жалбоподателката и нейния адвокат, в която моли за препоръки за психологическа помощ за жалбоподателката</w:t>
      </w:r>
      <w:r w:rsidR="008330EE" w:rsidRPr="00357ADB">
        <w:t>.</w:t>
      </w:r>
    </w:p>
    <w:p w:rsidR="008330EE" w:rsidRPr="00357ADB" w:rsidRDefault="00701932" w:rsidP="00AE3E4D">
      <w:pPr>
        <w:pStyle w:val="JuPara"/>
      </w:pPr>
      <w:fldSimple w:instr=" SEQ level0 \*arabic ">
        <w:r w:rsidR="00A5720B">
          <w:rPr>
            <w:noProof/>
          </w:rPr>
          <w:t>75</w:t>
        </w:r>
      </w:fldSimple>
      <w:r w:rsidR="008330EE" w:rsidRPr="00357ADB">
        <w:t>.  </w:t>
      </w:r>
      <w:r w:rsidR="000B4A57" w:rsidRPr="00357ADB">
        <w:t>Правителството оспорва иска на жалбоподателката, като го намира за необоснован и прекомерен</w:t>
      </w:r>
      <w:r w:rsidR="008330EE" w:rsidRPr="00357ADB">
        <w:t>.</w:t>
      </w:r>
    </w:p>
    <w:p w:rsidR="008330EE" w:rsidRPr="00357ADB" w:rsidRDefault="00701932" w:rsidP="00AE3E4D">
      <w:pPr>
        <w:pStyle w:val="JuPara"/>
      </w:pPr>
      <w:fldSimple w:instr=" SEQ level0 \*arabic ">
        <w:r w:rsidR="00A5720B">
          <w:rPr>
            <w:noProof/>
          </w:rPr>
          <w:t>76</w:t>
        </w:r>
      </w:fldSimple>
      <w:r w:rsidR="008330EE" w:rsidRPr="00357ADB">
        <w:t>.  </w:t>
      </w:r>
      <w:r w:rsidR="000B4A57" w:rsidRPr="00357ADB">
        <w:t>Правителството подчертава още, че жалбоподателката не се възползва от възможността да подаде иск пред гражданските съдилища след приключването на наказателното производство</w:t>
      </w:r>
      <w:r w:rsidR="008330EE" w:rsidRPr="00357ADB">
        <w:t>.</w:t>
      </w:r>
      <w:r w:rsidR="000B4A57" w:rsidRPr="00357ADB">
        <w:t xml:space="preserve"> </w:t>
      </w:r>
      <w:r w:rsidR="008354CA">
        <w:t>Деликтен иск</w:t>
      </w:r>
      <w:r w:rsidR="000B4A57" w:rsidRPr="00357ADB">
        <w:t xml:space="preserve">, независимо дали е разгледан заедно с наказателното производство или отделно, е класическият начин за претендиране на вреди от </w:t>
      </w:r>
      <w:r w:rsidR="00DA54B3">
        <w:t>частни лица</w:t>
      </w:r>
      <w:r w:rsidR="008354CA" w:rsidRPr="00357ADB">
        <w:t xml:space="preserve"> </w:t>
      </w:r>
      <w:r w:rsidR="000B4A57" w:rsidRPr="00357ADB">
        <w:t>в България</w:t>
      </w:r>
      <w:r w:rsidR="008330EE" w:rsidRPr="00357ADB">
        <w:t>.</w:t>
      </w:r>
    </w:p>
    <w:p w:rsidR="008330EE" w:rsidRPr="00357ADB" w:rsidRDefault="00701932" w:rsidP="00AE3E4D">
      <w:pPr>
        <w:pStyle w:val="JuPara"/>
      </w:pPr>
      <w:fldSimple w:instr=" SEQ level0 \*arabic ">
        <w:r w:rsidR="00A5720B">
          <w:rPr>
            <w:noProof/>
          </w:rPr>
          <w:t>77</w:t>
        </w:r>
      </w:fldSimple>
      <w:r w:rsidR="008330EE" w:rsidRPr="00357ADB">
        <w:t>.  </w:t>
      </w:r>
      <w:r w:rsidR="00D873EB" w:rsidRPr="00357ADB">
        <w:t xml:space="preserve">Правителството изтъква още, че </w:t>
      </w:r>
      <w:r w:rsidR="00DA54B3">
        <w:t>в други</w:t>
      </w:r>
      <w:r w:rsidR="00D873EB" w:rsidRPr="00357ADB">
        <w:t xml:space="preserve"> дела, </w:t>
      </w:r>
      <w:r w:rsidR="00DA54B3">
        <w:t>по</w:t>
      </w:r>
      <w:r w:rsidR="00D873EB" w:rsidRPr="00357ADB">
        <w:t xml:space="preserve"> които Съдът </w:t>
      </w:r>
      <w:r w:rsidR="008354CA">
        <w:t>констатира</w:t>
      </w:r>
      <w:r w:rsidR="00D873EB" w:rsidRPr="00357ADB">
        <w:t xml:space="preserve"> нарушение на задължението на държавата за ефективно разследване на твърдения за изнасилване, </w:t>
      </w:r>
      <w:r w:rsidR="00DA54B3">
        <w:t xml:space="preserve">размерът на </w:t>
      </w:r>
      <w:r w:rsidR="00D873EB" w:rsidRPr="00357ADB">
        <w:t xml:space="preserve">присъденото обезщетение за неимуществени вреди е </w:t>
      </w:r>
      <w:r w:rsidR="00DA54B3">
        <w:t xml:space="preserve">бил </w:t>
      </w:r>
      <w:r w:rsidR="00D873EB" w:rsidRPr="00357ADB">
        <w:t>по-</w:t>
      </w:r>
      <w:r w:rsidR="00DA54B3">
        <w:t>нисък</w:t>
      </w:r>
      <w:r w:rsidR="008330EE" w:rsidRPr="00357ADB">
        <w:t>.</w:t>
      </w:r>
    </w:p>
    <w:p w:rsidR="008330EE" w:rsidRPr="00357ADB" w:rsidRDefault="00701932" w:rsidP="00AE3E4D">
      <w:pPr>
        <w:pStyle w:val="JuPara"/>
      </w:pPr>
      <w:fldSimple w:instr=" SEQ level0 \*arabic ">
        <w:r w:rsidR="00A5720B">
          <w:rPr>
            <w:noProof/>
          </w:rPr>
          <w:t>78</w:t>
        </w:r>
      </w:fldSimple>
      <w:r w:rsidR="008330EE" w:rsidRPr="00357ADB">
        <w:t>.  </w:t>
      </w:r>
      <w:r w:rsidR="00D873EB" w:rsidRPr="00357ADB">
        <w:t xml:space="preserve">Съдът вече е приел, че по правило изискването за изчерпване на вътрешноправните </w:t>
      </w:r>
      <w:r w:rsidR="00515E6D" w:rsidRPr="00357ADB">
        <w:t>средства</w:t>
      </w:r>
      <w:r w:rsidR="00D873EB" w:rsidRPr="00357ADB">
        <w:t xml:space="preserve"> за защита не се прилага при искове за справедливо обезщетение, отправени към Съда по чл. 41 (вж. например </w:t>
      </w:r>
      <w:proofErr w:type="spellStart"/>
      <w:r w:rsidR="008330EE" w:rsidRPr="00357ADB">
        <w:rPr>
          <w:i/>
        </w:rPr>
        <w:t>Barberà</w:t>
      </w:r>
      <w:proofErr w:type="spellEnd"/>
      <w:r w:rsidR="008330EE" w:rsidRPr="00357ADB">
        <w:rPr>
          <w:i/>
        </w:rPr>
        <w:t xml:space="preserve">, </w:t>
      </w:r>
      <w:proofErr w:type="spellStart"/>
      <w:r w:rsidR="008330EE" w:rsidRPr="00357ADB">
        <w:rPr>
          <w:i/>
        </w:rPr>
        <w:t>Messegué</w:t>
      </w:r>
      <w:proofErr w:type="spellEnd"/>
      <w:r w:rsidR="008330EE" w:rsidRPr="00357ADB">
        <w:rPr>
          <w:i/>
        </w:rPr>
        <w:t xml:space="preserve"> </w:t>
      </w:r>
      <w:proofErr w:type="spellStart"/>
      <w:r w:rsidR="008330EE" w:rsidRPr="00357ADB">
        <w:rPr>
          <w:i/>
        </w:rPr>
        <w:t>and</w:t>
      </w:r>
      <w:proofErr w:type="spellEnd"/>
      <w:r w:rsidR="008330EE" w:rsidRPr="00357ADB">
        <w:rPr>
          <w:i/>
        </w:rPr>
        <w:t xml:space="preserve"> </w:t>
      </w:r>
      <w:proofErr w:type="spellStart"/>
      <w:r w:rsidR="008330EE" w:rsidRPr="00357ADB">
        <w:rPr>
          <w:i/>
        </w:rPr>
        <w:t>Jabardo</w:t>
      </w:r>
      <w:proofErr w:type="spellEnd"/>
      <w:r w:rsidR="008330EE" w:rsidRPr="00357ADB">
        <w:rPr>
          <w:i/>
        </w:rPr>
        <w:t xml:space="preserve"> v. </w:t>
      </w:r>
      <w:proofErr w:type="spellStart"/>
      <w:r w:rsidR="008330EE" w:rsidRPr="00357ADB">
        <w:rPr>
          <w:i/>
        </w:rPr>
        <w:t>Spain</w:t>
      </w:r>
      <w:proofErr w:type="spellEnd"/>
      <w:r w:rsidR="008330EE" w:rsidRPr="00357ADB">
        <w:t xml:space="preserve"> (</w:t>
      </w:r>
      <w:r w:rsidR="00D873EB" w:rsidRPr="00357ADB">
        <w:t>чл. </w:t>
      </w:r>
      <w:r w:rsidR="008330EE" w:rsidRPr="00357ADB">
        <w:t>50), 13</w:t>
      </w:r>
      <w:r w:rsidR="00D873EB" w:rsidRPr="00357ADB">
        <w:t xml:space="preserve"> юни </w:t>
      </w:r>
      <w:r w:rsidR="008330EE" w:rsidRPr="00357ADB">
        <w:t>1994</w:t>
      </w:r>
      <w:r w:rsidR="00D873EB" w:rsidRPr="00357ADB">
        <w:t xml:space="preserve"> г., § 17, Серия </w:t>
      </w:r>
      <w:r w:rsidR="008330EE" w:rsidRPr="00357ADB">
        <w:t xml:space="preserve">A </w:t>
      </w:r>
      <w:r w:rsidR="00D873EB" w:rsidRPr="00357ADB">
        <w:t xml:space="preserve">№ </w:t>
      </w:r>
      <w:r w:rsidR="008330EE" w:rsidRPr="00357ADB">
        <w:t xml:space="preserve">285 C; </w:t>
      </w:r>
      <w:proofErr w:type="spellStart"/>
      <w:r w:rsidR="008330EE" w:rsidRPr="00357ADB">
        <w:rPr>
          <w:i/>
        </w:rPr>
        <w:t>Jalloh</w:t>
      </w:r>
      <w:proofErr w:type="spellEnd"/>
      <w:r w:rsidR="008330EE" w:rsidRPr="00357ADB">
        <w:rPr>
          <w:i/>
        </w:rPr>
        <w:t xml:space="preserve"> v. </w:t>
      </w:r>
      <w:proofErr w:type="spellStart"/>
      <w:r w:rsidR="008330EE" w:rsidRPr="00357ADB">
        <w:rPr>
          <w:i/>
        </w:rPr>
        <w:t>Germany</w:t>
      </w:r>
      <w:proofErr w:type="spellEnd"/>
      <w:r w:rsidR="008330EE" w:rsidRPr="00357ADB">
        <w:t xml:space="preserve"> [</w:t>
      </w:r>
      <w:r w:rsidR="00D873EB" w:rsidRPr="00357ADB">
        <w:t>ГК</w:t>
      </w:r>
      <w:r w:rsidR="008330EE" w:rsidRPr="00357ADB">
        <w:t>],</w:t>
      </w:r>
      <w:r w:rsidR="00D873EB" w:rsidRPr="00357ADB">
        <w:t xml:space="preserve"> № </w:t>
      </w:r>
      <w:r w:rsidR="008330EE" w:rsidRPr="00357ADB">
        <w:t>54810/00, § 129,</w:t>
      </w:r>
      <w:r w:rsidR="00D873EB" w:rsidRPr="00357ADB">
        <w:t xml:space="preserve"> ЕСПЧ </w:t>
      </w:r>
      <w:r w:rsidR="008330EE" w:rsidRPr="00357ADB">
        <w:t>2006-IX;</w:t>
      </w:r>
      <w:r w:rsidR="00D873EB" w:rsidRPr="00357ADB">
        <w:t xml:space="preserve"> и </w:t>
      </w:r>
      <w:proofErr w:type="spellStart"/>
      <w:r w:rsidR="008330EE" w:rsidRPr="00357ADB">
        <w:rPr>
          <w:i/>
        </w:rPr>
        <w:t>Diena</w:t>
      </w:r>
      <w:proofErr w:type="spellEnd"/>
      <w:r w:rsidR="008330EE" w:rsidRPr="00357ADB">
        <w:rPr>
          <w:i/>
        </w:rPr>
        <w:t xml:space="preserve"> </w:t>
      </w:r>
      <w:proofErr w:type="spellStart"/>
      <w:r w:rsidR="008330EE" w:rsidRPr="00357ADB">
        <w:rPr>
          <w:i/>
        </w:rPr>
        <w:t>and</w:t>
      </w:r>
      <w:proofErr w:type="spellEnd"/>
      <w:r w:rsidR="008330EE" w:rsidRPr="00357ADB">
        <w:rPr>
          <w:i/>
        </w:rPr>
        <w:t xml:space="preserve"> </w:t>
      </w:r>
      <w:proofErr w:type="spellStart"/>
      <w:r w:rsidR="008330EE" w:rsidRPr="00357ADB">
        <w:rPr>
          <w:i/>
        </w:rPr>
        <w:t>Ozoliņš</w:t>
      </w:r>
      <w:proofErr w:type="spellEnd"/>
      <w:r w:rsidR="008330EE" w:rsidRPr="00357ADB">
        <w:rPr>
          <w:i/>
        </w:rPr>
        <w:t xml:space="preserve"> v. </w:t>
      </w:r>
      <w:proofErr w:type="spellStart"/>
      <w:r w:rsidR="008330EE" w:rsidRPr="00357ADB">
        <w:rPr>
          <w:i/>
        </w:rPr>
        <w:t>Latvia</w:t>
      </w:r>
      <w:proofErr w:type="spellEnd"/>
      <w:r w:rsidR="008330EE" w:rsidRPr="00357ADB">
        <w:t xml:space="preserve">, </w:t>
      </w:r>
      <w:r w:rsidR="00D873EB" w:rsidRPr="00357ADB">
        <w:t>№</w:t>
      </w:r>
      <w:r w:rsidR="008330EE" w:rsidRPr="00357ADB">
        <w:t xml:space="preserve"> </w:t>
      </w:r>
      <w:hyperlink r:id="rId18" w:anchor="{&quot;appno&quot;:[&quot;16657/03&quot;]}" w:tgtFrame="_blank" w:history="1">
        <w:r w:rsidR="008330EE" w:rsidRPr="00357ADB">
          <w:t>16657/03</w:t>
        </w:r>
      </w:hyperlink>
      <w:r w:rsidR="008330EE" w:rsidRPr="00357ADB">
        <w:t>, § 93, 12</w:t>
      </w:r>
      <w:r w:rsidR="00D873EB" w:rsidRPr="00357ADB">
        <w:t xml:space="preserve"> юли </w:t>
      </w:r>
      <w:r w:rsidR="008330EE" w:rsidRPr="00357ADB">
        <w:t>2007</w:t>
      </w:r>
      <w:r w:rsidR="00D873EB" w:rsidRPr="00357ADB">
        <w:t> г.</w:t>
      </w:r>
      <w:r w:rsidR="008330EE" w:rsidRPr="00357ADB">
        <w:t>).</w:t>
      </w:r>
    </w:p>
    <w:p w:rsidR="008330EE" w:rsidRPr="00357ADB" w:rsidRDefault="00701932" w:rsidP="00AE3E4D">
      <w:pPr>
        <w:pStyle w:val="JuPara"/>
      </w:pPr>
      <w:fldSimple w:instr=" SEQ level0 \*arabic ">
        <w:r w:rsidR="00A5720B">
          <w:rPr>
            <w:noProof/>
          </w:rPr>
          <w:t>79</w:t>
        </w:r>
      </w:fldSimple>
      <w:r w:rsidR="008330EE" w:rsidRPr="00357ADB">
        <w:t>.  </w:t>
      </w:r>
      <w:r w:rsidR="00EC1C1E" w:rsidRPr="00357ADB">
        <w:t xml:space="preserve">В допълнение, Съдът отбелязва, че </w:t>
      </w:r>
      <w:r w:rsidR="008354CA">
        <w:t xml:space="preserve">деликтния </w:t>
      </w:r>
      <w:r w:rsidR="00EC1C1E" w:rsidRPr="00357ADB">
        <w:t>иск, за който говори Правителството, засяга потенциалното обезщетение от извършителя във връзка с това, за което е осъден от националните съдилища</w:t>
      </w:r>
      <w:r w:rsidR="008330EE" w:rsidRPr="00357ADB">
        <w:t>.</w:t>
      </w:r>
      <w:r w:rsidR="00EC1C1E" w:rsidRPr="00357ADB">
        <w:t xml:space="preserve"> От друга страна, установеното от Съда нарушение в настоящия случай е резултат от неизпълнението от държавата на нейното процесуално задължение за ефективно разследване съгласно чл. 3 и чл. 8 от Конвенцията. Следователно, посоченото от Правителството производство не може да осигури </w:t>
      </w:r>
      <w:r w:rsidR="00DA54B3">
        <w:t>обезщетение</w:t>
      </w:r>
      <w:r w:rsidR="00DA54B3" w:rsidRPr="00357ADB">
        <w:t xml:space="preserve"> </w:t>
      </w:r>
      <w:r w:rsidR="00EC1C1E" w:rsidRPr="00357ADB">
        <w:t>за установеното нарушение на Конвенцията</w:t>
      </w:r>
      <w:r w:rsidR="008330EE" w:rsidRPr="00357ADB">
        <w:t>.</w:t>
      </w:r>
    </w:p>
    <w:p w:rsidR="008330EE" w:rsidRPr="00357ADB" w:rsidRDefault="00701932" w:rsidP="00AE3E4D">
      <w:pPr>
        <w:pStyle w:val="JuPara"/>
      </w:pPr>
      <w:fldSimple w:instr=" SEQ level0 \*arabic ">
        <w:r w:rsidR="00A5720B">
          <w:rPr>
            <w:noProof/>
          </w:rPr>
          <w:t>80</w:t>
        </w:r>
      </w:fldSimple>
      <w:r w:rsidR="008330EE" w:rsidRPr="00357ADB">
        <w:t>.  </w:t>
      </w:r>
      <w:r w:rsidR="00A43AEC" w:rsidRPr="00357ADB">
        <w:t xml:space="preserve">Съдът приема, че жалбоподателката </w:t>
      </w:r>
      <w:r w:rsidR="0095105E">
        <w:t xml:space="preserve">безспорно </w:t>
      </w:r>
      <w:r w:rsidR="00A43AEC" w:rsidRPr="00357ADB">
        <w:t>е понесла стрес в резултат</w:t>
      </w:r>
      <w:r w:rsidR="0095105E">
        <w:t>,</w:t>
      </w:r>
      <w:r w:rsidR="00A43AEC" w:rsidRPr="00357ADB">
        <w:t xml:space="preserve"> поне отчасти</w:t>
      </w:r>
      <w:r w:rsidR="0095105E">
        <w:t xml:space="preserve">, на </w:t>
      </w:r>
      <w:r w:rsidR="00A43AEC" w:rsidRPr="00357ADB">
        <w:t xml:space="preserve">недостатъците в подхода на властите, установени в настоящия случай. Следователно Съдът й присъжда </w:t>
      </w:r>
      <w:r w:rsidR="008330EE" w:rsidRPr="00357ADB">
        <w:t>12</w:t>
      </w:r>
      <w:r w:rsidR="00A43AEC" w:rsidRPr="00357ADB">
        <w:t> </w:t>
      </w:r>
      <w:r w:rsidR="008330EE" w:rsidRPr="00357ADB">
        <w:t>700</w:t>
      </w:r>
      <w:r w:rsidR="00A43AEC" w:rsidRPr="00357ADB">
        <w:t xml:space="preserve"> </w:t>
      </w:r>
      <w:r w:rsidR="0095105E">
        <w:t xml:space="preserve">евро </w:t>
      </w:r>
      <w:r w:rsidR="00DA54B3">
        <w:t>за претърпените</w:t>
      </w:r>
      <w:r w:rsidR="00DA54B3" w:rsidRPr="00357ADB">
        <w:t xml:space="preserve"> </w:t>
      </w:r>
      <w:r w:rsidR="00A43AEC" w:rsidRPr="00357ADB">
        <w:t>неимуществени вреди</w:t>
      </w:r>
      <w:r w:rsidR="008330EE" w:rsidRPr="00357ADB">
        <w:t>.</w:t>
      </w:r>
    </w:p>
    <w:p w:rsidR="008330EE" w:rsidRPr="00357ADB" w:rsidRDefault="008330EE" w:rsidP="00AE3E4D">
      <w:pPr>
        <w:pStyle w:val="JuHA"/>
        <w:jc w:val="left"/>
      </w:pPr>
      <w:r w:rsidRPr="00357ADB">
        <w:t>Разходи и разноски</w:t>
      </w:r>
    </w:p>
    <w:p w:rsidR="008330EE" w:rsidRPr="00357ADB" w:rsidRDefault="00701932" w:rsidP="00AE3E4D">
      <w:pPr>
        <w:pStyle w:val="JuPara"/>
      </w:pPr>
      <w:fldSimple w:instr=" SEQ level0 \*arabic ">
        <w:r w:rsidR="00A5720B">
          <w:rPr>
            <w:noProof/>
          </w:rPr>
          <w:t>81</w:t>
        </w:r>
      </w:fldSimple>
      <w:r w:rsidR="008330EE" w:rsidRPr="00357ADB">
        <w:t>.  </w:t>
      </w:r>
      <w:r w:rsidR="00E4245E" w:rsidRPr="00357ADB">
        <w:t xml:space="preserve">Жалбоподателката претендира още </w:t>
      </w:r>
      <w:r w:rsidR="008330EE" w:rsidRPr="00357ADB">
        <w:t>1</w:t>
      </w:r>
      <w:r w:rsidR="00E4245E" w:rsidRPr="00357ADB">
        <w:t> </w:t>
      </w:r>
      <w:r w:rsidR="008330EE" w:rsidRPr="00357ADB">
        <w:t>780</w:t>
      </w:r>
      <w:r w:rsidR="00E4245E" w:rsidRPr="00357ADB">
        <w:t xml:space="preserve"> </w:t>
      </w:r>
      <w:r w:rsidR="0095105E">
        <w:t xml:space="preserve">евро </w:t>
      </w:r>
      <w:r w:rsidR="00E4245E" w:rsidRPr="00357ADB">
        <w:t xml:space="preserve">разходи и разноски, направени пред Съда като </w:t>
      </w:r>
      <w:r w:rsidR="00DA54B3">
        <w:t>адвокатски хонорари,</w:t>
      </w:r>
      <w:r w:rsidR="00E4245E" w:rsidRPr="00357ADB">
        <w:t xml:space="preserve"> и </w:t>
      </w:r>
      <w:r w:rsidR="008330EE" w:rsidRPr="00357ADB">
        <w:t>90</w:t>
      </w:r>
      <w:r w:rsidR="0095105E">
        <w:t xml:space="preserve"> евро</w:t>
      </w:r>
      <w:r w:rsidR="00E4245E" w:rsidRPr="00357ADB">
        <w:t xml:space="preserve"> като а</w:t>
      </w:r>
      <w:r w:rsidR="005B5EFA" w:rsidRPr="00357ADB">
        <w:t>д</w:t>
      </w:r>
      <w:r w:rsidR="00E4245E" w:rsidRPr="00357ADB">
        <w:t>вокатски хонорар във връзка с националното производство</w:t>
      </w:r>
      <w:r w:rsidR="008330EE" w:rsidRPr="00357ADB">
        <w:t>.</w:t>
      </w:r>
    </w:p>
    <w:p w:rsidR="008330EE" w:rsidRPr="00357ADB" w:rsidRDefault="00701932" w:rsidP="00AE3E4D">
      <w:pPr>
        <w:pStyle w:val="JuPara"/>
      </w:pPr>
      <w:fldSimple w:instr=" SEQ level0 \*arabic ">
        <w:r w:rsidR="00A5720B">
          <w:rPr>
            <w:noProof/>
          </w:rPr>
          <w:t>82</w:t>
        </w:r>
      </w:fldSimple>
      <w:r w:rsidR="008330EE" w:rsidRPr="00357ADB">
        <w:t>.  </w:t>
      </w:r>
      <w:r w:rsidR="001B48AB" w:rsidRPr="00357ADB">
        <w:t>Правителството възразява срещу адвокатския хонорар и твърди, че е прекомерен</w:t>
      </w:r>
      <w:r w:rsidR="008330EE" w:rsidRPr="00357ADB">
        <w:t>.</w:t>
      </w:r>
    </w:p>
    <w:p w:rsidR="008330EE" w:rsidRPr="00357ADB" w:rsidRDefault="00701932" w:rsidP="00AE3E4D">
      <w:pPr>
        <w:pStyle w:val="JuPara"/>
      </w:pPr>
      <w:fldSimple w:instr=" SEQ level0 \*arabic ">
        <w:r w:rsidR="00A5720B">
          <w:rPr>
            <w:noProof/>
          </w:rPr>
          <w:t>83</w:t>
        </w:r>
      </w:fldSimple>
      <w:r w:rsidR="008330EE" w:rsidRPr="00357ADB">
        <w:t xml:space="preserve">.  Съгласно съдебната практика на Съда жалбоподател има право на възстановяване на разходи и разноски само доколкото е доказано, че те са били действително и необходимо направени и са в разумен размер. </w:t>
      </w:r>
      <w:r w:rsidR="00EF4FFD" w:rsidRPr="00357ADB">
        <w:t>В настоящия случай, като вз</w:t>
      </w:r>
      <w:r w:rsidR="007E1F42">
        <w:t>има</w:t>
      </w:r>
      <w:r w:rsidR="00EF4FFD" w:rsidRPr="00357ADB">
        <w:t xml:space="preserve"> предвид документите на </w:t>
      </w:r>
      <w:r w:rsidR="00D24A47" w:rsidRPr="00357ADB">
        <w:t>свое</w:t>
      </w:r>
      <w:r w:rsidR="00EF4FFD" w:rsidRPr="00357ADB">
        <w:t xml:space="preserve"> разположение и горните критерии,</w:t>
      </w:r>
      <w:r w:rsidR="00D24A47" w:rsidRPr="00357ADB">
        <w:t xml:space="preserve"> Съдът приема, че е разумно да присъди сумата от </w:t>
      </w:r>
      <w:r w:rsidR="008330EE" w:rsidRPr="00357ADB">
        <w:t>1</w:t>
      </w:r>
      <w:r w:rsidR="00D24A47" w:rsidRPr="00357ADB">
        <w:t> </w:t>
      </w:r>
      <w:r w:rsidR="008330EE" w:rsidRPr="00357ADB">
        <w:t>500</w:t>
      </w:r>
      <w:r w:rsidR="00D24A47" w:rsidRPr="00357ADB">
        <w:t xml:space="preserve"> </w:t>
      </w:r>
      <w:r w:rsidR="007E1F42">
        <w:t xml:space="preserve">евро </w:t>
      </w:r>
      <w:r w:rsidR="00D24A47" w:rsidRPr="00357ADB">
        <w:t xml:space="preserve">за разходи и разноски в производството пред Съда, плюс </w:t>
      </w:r>
      <w:r w:rsidR="007E1F42">
        <w:t xml:space="preserve">всички </w:t>
      </w:r>
      <w:r w:rsidR="00D24A47" w:rsidRPr="00357ADB">
        <w:t xml:space="preserve">данъци, които </w:t>
      </w:r>
      <w:r w:rsidR="007E1F42">
        <w:t>могат да се начислят на</w:t>
      </w:r>
      <w:r w:rsidR="00D24A47" w:rsidRPr="00357ADB">
        <w:t xml:space="preserve"> жалбоподателката</w:t>
      </w:r>
      <w:r w:rsidR="008330EE" w:rsidRPr="00357ADB">
        <w:t>.</w:t>
      </w:r>
    </w:p>
    <w:p w:rsidR="008330EE" w:rsidRPr="00357ADB" w:rsidRDefault="008330EE" w:rsidP="00AE3E4D">
      <w:pPr>
        <w:pStyle w:val="JuHA"/>
        <w:jc w:val="left"/>
      </w:pPr>
      <w:r w:rsidRPr="00357ADB">
        <w:t>Лихва за забава</w:t>
      </w:r>
    </w:p>
    <w:p w:rsidR="008330EE" w:rsidRPr="00357ADB" w:rsidRDefault="00701932" w:rsidP="00AE3E4D">
      <w:pPr>
        <w:pStyle w:val="JuPara"/>
      </w:pPr>
      <w:fldSimple w:instr=" SEQ level0 \*arabic ">
        <w:r w:rsidR="00A5720B">
          <w:rPr>
            <w:noProof/>
          </w:rPr>
          <w:t>84</w:t>
        </w:r>
      </w:fldSimple>
      <w:r w:rsidR="008330EE" w:rsidRPr="00357ADB">
        <w:t>.  Съдът смята за уместно лихвата за забава да бъде обвързана с пределната ставка по заеми на Европейската централна банка, към която се добавят три процентни пункта.</w:t>
      </w:r>
    </w:p>
    <w:p w:rsidR="008330EE" w:rsidRPr="00357ADB" w:rsidRDefault="008330EE" w:rsidP="00AE3E4D">
      <w:pPr>
        <w:pStyle w:val="JuHHead"/>
        <w:jc w:val="left"/>
      </w:pPr>
      <w:r w:rsidRPr="00357ADB">
        <w:t>ПО ТЕЗИ СЪОБРАЖЕНИЯ СЪДЪТ ЕДИНОДУШНО</w:t>
      </w:r>
    </w:p>
    <w:p w:rsidR="008330EE" w:rsidRPr="00357ADB" w:rsidRDefault="00077939" w:rsidP="00AE3E4D">
      <w:pPr>
        <w:pStyle w:val="JuList"/>
      </w:pPr>
      <w:r w:rsidRPr="00357ADB">
        <w:rPr>
          <w:i/>
        </w:rPr>
        <w:t>Присъединява</w:t>
      </w:r>
      <w:r w:rsidR="008330EE" w:rsidRPr="00357ADB">
        <w:rPr>
          <w:i/>
        </w:rPr>
        <w:t xml:space="preserve"> </w:t>
      </w:r>
      <w:r w:rsidRPr="00357ADB">
        <w:t xml:space="preserve">към съществото </w:t>
      </w:r>
      <w:r w:rsidR="00515E6D" w:rsidRPr="00357ADB">
        <w:t>възражението</w:t>
      </w:r>
      <w:r w:rsidRPr="00357ADB">
        <w:t xml:space="preserve"> на Правителството относно неизчер</w:t>
      </w:r>
      <w:r w:rsidR="00515E6D">
        <w:t>п</w:t>
      </w:r>
      <w:r w:rsidRPr="00357ADB">
        <w:t xml:space="preserve">ването на вътрешноправните средства за защита по отношение на оплакването на жалбоподателката </w:t>
      </w:r>
      <w:r w:rsidR="007E1F42">
        <w:t>по</w:t>
      </w:r>
      <w:r w:rsidR="007E1F42" w:rsidRPr="00357ADB">
        <w:t xml:space="preserve"> </w:t>
      </w:r>
      <w:r w:rsidRPr="00357ADB">
        <w:t>чл. 3 и чл. 8 от Конвенцията</w:t>
      </w:r>
      <w:r w:rsidR="008330EE" w:rsidRPr="00357ADB">
        <w:t>;</w:t>
      </w:r>
    </w:p>
    <w:p w:rsidR="008330EE" w:rsidRPr="00357ADB" w:rsidRDefault="008330EE" w:rsidP="00AE3E4D">
      <w:pPr>
        <w:pStyle w:val="JuList"/>
      </w:pPr>
      <w:r w:rsidRPr="00357ADB">
        <w:t>Обявява жалбата за допустима;</w:t>
      </w:r>
    </w:p>
    <w:p w:rsidR="008330EE" w:rsidRPr="00357ADB" w:rsidRDefault="00AA0198" w:rsidP="00AE3E4D">
      <w:pPr>
        <w:pStyle w:val="JuList"/>
      </w:pPr>
      <w:r w:rsidRPr="00357ADB">
        <w:rPr>
          <w:i/>
        </w:rPr>
        <w:t xml:space="preserve">Отхвърля </w:t>
      </w:r>
      <w:r w:rsidRPr="00357ADB">
        <w:t xml:space="preserve">възражението на Правителството за неизчерпване и </w:t>
      </w:r>
      <w:r w:rsidRPr="00357ADB">
        <w:rPr>
          <w:i/>
        </w:rPr>
        <w:t>приема</w:t>
      </w:r>
      <w:r w:rsidRPr="00357ADB">
        <w:t>, че е налице нарушение на чл. 3 и чл. 8 от Конвенцията в резултат на липсата на ефективно разследване на оплакването на жалбоподателката за изнасилване</w:t>
      </w:r>
      <w:r w:rsidR="008330EE" w:rsidRPr="00357ADB">
        <w:t>;</w:t>
      </w:r>
    </w:p>
    <w:p w:rsidR="008330EE" w:rsidRPr="00357ADB" w:rsidRDefault="008330EE" w:rsidP="00AE3E4D">
      <w:pPr>
        <w:pStyle w:val="JuList"/>
      </w:pPr>
      <w:r w:rsidRPr="00357ADB">
        <w:rPr>
          <w:i/>
        </w:rPr>
        <w:t>Приема,</w:t>
      </w:r>
    </w:p>
    <w:p w:rsidR="008330EE" w:rsidRPr="00357ADB" w:rsidRDefault="008330EE" w:rsidP="00AE3E4D">
      <w:pPr>
        <w:pStyle w:val="JuLista"/>
      </w:pPr>
      <w:r w:rsidRPr="00357ADB">
        <w:t>че държавата-ответник тр</w:t>
      </w:r>
      <w:r w:rsidR="00FC3DD7" w:rsidRPr="00357ADB">
        <w:t>ябва да заплати на жалбоподателката</w:t>
      </w:r>
      <w:r w:rsidRPr="00357ADB">
        <w:t xml:space="preserve"> в срок от три месеца от датата, на която решението стане окончателно в съответствие с чл. 44 § 2 от Конвенцията, следните суми, които</w:t>
      </w:r>
      <w:r w:rsidR="00FC3DD7" w:rsidRPr="00357ADB">
        <w:t xml:space="preserve"> се конвертират в български левове</w:t>
      </w:r>
      <w:r w:rsidRPr="00357ADB">
        <w:t xml:space="preserve"> по курса, валиден към датата на плащането:</w:t>
      </w:r>
    </w:p>
    <w:p w:rsidR="008330EE" w:rsidRPr="00357ADB" w:rsidRDefault="008330EE" w:rsidP="00AE3E4D">
      <w:pPr>
        <w:pStyle w:val="JuListi"/>
      </w:pPr>
      <w:r w:rsidRPr="00357ADB">
        <w:t>12 700 евро (дванадесет хиляди и седемстотин евро), плюс всякакви данъци, които биха могли да се начислят, по отношение на неимуществени вреди;</w:t>
      </w:r>
    </w:p>
    <w:p w:rsidR="008330EE" w:rsidRPr="00357ADB" w:rsidRDefault="008330EE" w:rsidP="00AE3E4D">
      <w:pPr>
        <w:pStyle w:val="JuListi"/>
      </w:pPr>
      <w:r w:rsidRPr="00357ADB">
        <w:t>1 500 евро (хиляда и петстотин евро), плюс всякакви данъци, които биха могли</w:t>
      </w:r>
      <w:r w:rsidR="00F10FCB" w:rsidRPr="00357ADB">
        <w:t xml:space="preserve"> да се начислят на жалбоподателката</w:t>
      </w:r>
      <w:r w:rsidRPr="00357ADB">
        <w:t>, по отношение на разходи и разноски;</w:t>
      </w:r>
    </w:p>
    <w:p w:rsidR="008330EE" w:rsidRPr="00357ADB" w:rsidRDefault="008330EE" w:rsidP="00AE3E4D">
      <w:pPr>
        <w:pStyle w:val="JuLista"/>
      </w:pPr>
      <w:r w:rsidRPr="00357ADB">
        <w:t>че от изтичането на гореспоменатия тримесечен срок до плащането се дължи проста лихва върху горепосочените суми в размер, равен на пределната ставка по заеми на Европейската централна банка за срока на забава, към която се добавят три процентни пункта;</w:t>
      </w:r>
    </w:p>
    <w:p w:rsidR="004D0EC7" w:rsidRPr="00357ADB" w:rsidRDefault="008330EE" w:rsidP="00AE3E4D">
      <w:pPr>
        <w:pStyle w:val="JuList"/>
      </w:pPr>
      <w:r w:rsidRPr="00357ADB">
        <w:t>Отхвърля останалата част от иска на жалбо</w:t>
      </w:r>
      <w:r w:rsidR="00F10FCB" w:rsidRPr="00357ADB">
        <w:t>подателката</w:t>
      </w:r>
      <w:r w:rsidRPr="00357ADB">
        <w:t xml:space="preserve"> за справедливо обезщетение.</w:t>
      </w:r>
    </w:p>
    <w:p w:rsidR="008E3A08" w:rsidRPr="00357ADB" w:rsidRDefault="007E2C8C" w:rsidP="00AE3E4D">
      <w:pPr>
        <w:pStyle w:val="JuParaLast"/>
      </w:pPr>
      <w:r w:rsidRPr="00357ADB">
        <w:t>Изготвено на английски език и оп</w:t>
      </w:r>
      <w:r w:rsidR="005440FD" w:rsidRPr="00357ADB">
        <w:t>овестено писмено на 28 май 2020 </w:t>
      </w:r>
      <w:r w:rsidRPr="00357ADB">
        <w:t>г. в съответствие с правило 77 §§ 2 и 3 от Правилника на Съда.</w:t>
      </w:r>
    </w:p>
    <w:p w:rsidR="001C055B" w:rsidRPr="00357ADB" w:rsidRDefault="00D9721F" w:rsidP="00AE3E4D">
      <w:pPr>
        <w:pStyle w:val="JuSigned"/>
      </w:pPr>
      <w:r w:rsidRPr="00357ADB">
        <w:t xml:space="preserve">Виктор </w:t>
      </w:r>
      <w:proofErr w:type="spellStart"/>
      <w:r w:rsidRPr="00357ADB">
        <w:t>Соловейчик</w:t>
      </w:r>
      <w:proofErr w:type="spellEnd"/>
      <w:r w:rsidR="00D534A0" w:rsidRPr="00357ADB">
        <w:tab/>
      </w:r>
      <w:proofErr w:type="spellStart"/>
      <w:r w:rsidRPr="00357ADB">
        <w:t>Шифра</w:t>
      </w:r>
      <w:proofErr w:type="spellEnd"/>
      <w:r w:rsidR="00515E6D">
        <w:t xml:space="preserve"> </w:t>
      </w:r>
      <w:proofErr w:type="spellStart"/>
      <w:r w:rsidR="00515E6D">
        <w:t>О</w:t>
      </w:r>
      <w:r w:rsidR="00D534A0" w:rsidRPr="00357ADB">
        <w:t>’</w:t>
      </w:r>
      <w:r w:rsidRPr="00357ADB">
        <w:t>Лиъри</w:t>
      </w:r>
      <w:proofErr w:type="spellEnd"/>
      <w:r w:rsidR="00D534A0" w:rsidRPr="00357ADB">
        <w:br/>
      </w:r>
      <w:r w:rsidR="00D534A0" w:rsidRPr="00357ADB">
        <w:tab/>
      </w:r>
      <w:r w:rsidR="00420498">
        <w:t>з</w:t>
      </w:r>
      <w:r w:rsidR="003008AC" w:rsidRPr="00357ADB">
        <w:t>аместник-секретар на отделението</w:t>
      </w:r>
      <w:r w:rsidR="00D534A0" w:rsidRPr="00357ADB">
        <w:tab/>
      </w:r>
      <w:r w:rsidR="00420498">
        <w:t>п</w:t>
      </w:r>
      <w:r w:rsidR="003008AC" w:rsidRPr="00357ADB">
        <w:t>редседател</w:t>
      </w:r>
    </w:p>
    <w:p w:rsidR="002A613A" w:rsidRPr="00357ADB" w:rsidRDefault="002A613A" w:rsidP="00AE3E4D"/>
    <w:sectPr w:rsidR="002A613A" w:rsidRPr="00357ADB" w:rsidSect="007D3701">
      <w:headerReference w:type="even" r:id="rId19"/>
      <w:headerReference w:type="default" r:id="rId20"/>
      <w:footerReference w:type="even" r:id="rId21"/>
      <w:footerReference w:type="default" r:id="rId22"/>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99C" w:rsidRPr="00CD447B" w:rsidRDefault="003F099C" w:rsidP="0098410D">
      <w:r w:rsidRPr="00CD447B">
        <w:separator/>
      </w:r>
    </w:p>
  </w:endnote>
  <w:endnote w:type="continuationSeparator" w:id="0">
    <w:p w:rsidR="003F099C" w:rsidRPr="00CD447B" w:rsidRDefault="003F099C" w:rsidP="0098410D">
      <w:r w:rsidRPr="00CD44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918" w:rsidRDefault="00EF0918">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1FB" w:rsidRPr="00150BFA" w:rsidRDefault="00D011FB" w:rsidP="00FF3C4F">
    <w:pPr>
      <w:jc w:val="center"/>
    </w:pPr>
    <w:r>
      <w:rPr>
        <w:noProof/>
        <w:lang w:val="en-US"/>
      </w:rPr>
      <w:drawing>
        <wp:inline distT="0" distB="0" distL="0" distR="0" wp14:anchorId="52E9EC58" wp14:editId="731CD4F1">
          <wp:extent cx="771525" cy="619125"/>
          <wp:effectExtent l="0" t="0" r="9525" b="9525"/>
          <wp:docPr id="82" name="Picture 82"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D011FB" w:rsidRPr="00CD447B" w:rsidRDefault="00D011FB" w:rsidP="00FF3C4F">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1FB" w:rsidRDefault="00D011FB" w:rsidP="006F603D">
    <w:pPr>
      <w:pStyle w:val="Footer0"/>
      <w:jc w:val="center"/>
    </w:pPr>
    <w:r>
      <w:rPr>
        <w:noProof/>
        <w:lang w:val="en-US"/>
      </w:rPr>
      <w:drawing>
        <wp:inline distT="0" distB="0" distL="0" distR="0" wp14:anchorId="681B199A" wp14:editId="72B2063A">
          <wp:extent cx="771525" cy="619125"/>
          <wp:effectExtent l="0" t="0" r="9525" b="9525"/>
          <wp:docPr id="8" name="Picture 8" descr="R:\1_Graphics&amp;Web\Court_Graphic_Charter\2013\ECHR_Stationery\Documents_and_Letters\Cover_Pages_And_Docs\White_600_dpi\ECHR_CoverpageCS61_ECHR_Coverpage_Footer_COE_Black.png"/>
          <wp:cNvGraphicFramePr/>
          <a:graphic xmlns:a="http://schemas.openxmlformats.org/drawingml/2006/main">
            <a:graphicData uri="http://schemas.openxmlformats.org/drawingml/2006/picture">
              <pic:pic xmlns:pic="http://schemas.openxmlformats.org/drawingml/2006/picture">
                <pic:nvPicPr>
                  <pic:cNvPr id="44" name="Picture 44" descr="R:\1_Graphics&amp;Web\Court_Graphic_Charter\2013\ECHR_Stationery\Documents_and_Letters\Cover_Pages_And_Docs\White_600_dpi\ECHR_CoverpageCS61_ECHR_Coverpage_Footer_COE_Black.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1FB" w:rsidRDefault="00D011FB" w:rsidP="009A115C">
    <w:pPr>
      <w:pStyle w:val="JuHeader"/>
    </w:pPr>
    <w:r>
      <w:rPr>
        <w:rStyle w:val="PageNumber"/>
      </w:rPr>
      <w:fldChar w:fldCharType="begin"/>
    </w:r>
    <w:r>
      <w:rPr>
        <w:rStyle w:val="PageNumber"/>
      </w:rPr>
      <w:instrText xml:space="preserve"> PAGE </w:instrText>
    </w:r>
    <w:r>
      <w:rPr>
        <w:rStyle w:val="PageNumber"/>
      </w:rPr>
      <w:fldChar w:fldCharType="separate"/>
    </w:r>
    <w:r w:rsidR="00EF0918">
      <w:rPr>
        <w:rStyle w:val="PageNumber"/>
        <w:noProof/>
      </w:rPr>
      <w:t>22</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1FB" w:rsidRPr="000B7195" w:rsidRDefault="00D011FB" w:rsidP="007D3701">
    <w:pPr>
      <w:pStyle w:val="JuHeader"/>
    </w:pPr>
    <w:r>
      <w:fldChar w:fldCharType="begin"/>
    </w:r>
    <w:r>
      <w:instrText xml:space="preserve"> PAGE </w:instrText>
    </w:r>
    <w:r>
      <w:fldChar w:fldCharType="separate"/>
    </w:r>
    <w:r w:rsidR="00EF0918">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99C" w:rsidRPr="00CD447B" w:rsidRDefault="003F099C" w:rsidP="0098410D">
      <w:r w:rsidRPr="00CD447B">
        <w:separator/>
      </w:r>
    </w:p>
  </w:footnote>
  <w:footnote w:type="continuationSeparator" w:id="0">
    <w:p w:rsidR="003F099C" w:rsidRPr="00CD447B" w:rsidRDefault="003F099C" w:rsidP="0098410D">
      <w:r w:rsidRPr="00CD44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918" w:rsidRDefault="00EF0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1FB" w:rsidRPr="00A45145" w:rsidRDefault="00D011FB" w:rsidP="00FF3C4F">
    <w:pPr>
      <w:jc w:val="center"/>
    </w:pPr>
    <w:r>
      <w:rPr>
        <w:noProof/>
        <w:lang w:val="en-US"/>
      </w:rPr>
      <w:drawing>
        <wp:inline distT="0" distB="0" distL="0" distR="0" wp14:anchorId="37BD7824" wp14:editId="7AB6D3D8">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D011FB" w:rsidRPr="00CD447B" w:rsidRDefault="00D011FB" w:rsidP="00FF3C4F">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1FB" w:rsidRPr="00A45145" w:rsidRDefault="00D011FB" w:rsidP="00FF3C4F">
    <w:pPr>
      <w:jc w:val="center"/>
    </w:pPr>
    <w:r>
      <w:rPr>
        <w:noProof/>
        <w:lang w:val="en-US"/>
      </w:rPr>
      <w:drawing>
        <wp:inline distT="0" distB="0" distL="0" distR="0" wp14:anchorId="34220DC0" wp14:editId="19763D51">
          <wp:extent cx="2962275" cy="1219200"/>
          <wp:effectExtent l="0" t="0" r="9525" b="0"/>
          <wp:docPr id="80" name="Picture 8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D011FB" w:rsidRPr="00CD447B" w:rsidRDefault="00D011F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1FB" w:rsidRPr="004D0EC7" w:rsidRDefault="00D011FB" w:rsidP="004D0EC7">
    <w:pPr>
      <w:pStyle w:val="JuHeader"/>
    </w:pPr>
    <w:r>
      <w:t>РЕШЕНИЕ З.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1FB" w:rsidRPr="00882CD5" w:rsidRDefault="00D011FB" w:rsidP="007D3701">
    <w:pPr>
      <w:pStyle w:val="JuHeader"/>
    </w:pPr>
    <w:r>
      <w:t>РЕШЕНИЕ З. 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A8741ACC"/>
    <w:lvl w:ilvl="0">
      <w:start w:val="1"/>
      <w:numFmt w:val="none"/>
      <w:suff w:val="nothing"/>
      <w:lvlText w:val="%1"/>
      <w:lvlJc w:val="left"/>
      <w:pPr>
        <w:ind w:left="0" w:firstLine="0"/>
      </w:pPr>
      <w:rPr>
        <w:rFonts w:hint="default"/>
      </w:rPr>
    </w:lvl>
    <w:lvl w:ilvl="1">
      <w:start w:val="1"/>
      <w:numFmt w:val="upperRoman"/>
      <w:suff w:val="space"/>
      <w:lvlText w:val="%2."/>
      <w:lvlJc w:val="left"/>
      <w:pPr>
        <w:ind w:left="357" w:hanging="357"/>
      </w:pPr>
      <w:rPr>
        <w:rFonts w:hint="default"/>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mc:AlternateContent>
        <mc:Choice Requires="w14">
          <w:numFmt w:val="custom" w:format="α, β, γ, ..."/>
        </mc:Choice>
        <mc:Fallback>
          <w:numFmt w:val="decimal"/>
        </mc:Fallback>
      </mc:AlternateContent>
      <w:lvlText w:val="(%7)"/>
      <w:lvlJc w:val="left"/>
      <w:pPr>
        <w:ind w:left="1372" w:hanging="334"/>
      </w:pPr>
      <w:rPr>
        <w:rFonts w:hint="default"/>
      </w:rPr>
    </w:lvl>
    <w:lvl w:ilvl="7">
      <w:start w:val="1"/>
      <w:numFmt w:val="bullet"/>
      <w:lvlText w:val="‒"/>
      <w:lvlJc w:val="left"/>
      <w:pPr>
        <w:ind w:left="1418" w:hanging="227"/>
      </w:pPr>
      <w:rPr>
        <w:rFonts w:ascii="Times New Roman" w:hAnsi="Times New Roman" w:cs="Times New Roman" w:hint="default"/>
        <w:color w:val="auto"/>
      </w:rPr>
    </w:lvl>
    <w:lvl w:ilvl="8">
      <w:start w:val="1"/>
      <w:numFmt w:val="bullet"/>
      <w:lvlText w:val="▪"/>
      <w:lvlJc w:val="left"/>
      <w:pPr>
        <w:ind w:left="1644" w:hanging="226"/>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5E6A40"/>
    <w:multiLevelType w:val="multilevel"/>
    <w:tmpl w:val="84A2DB1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134"/>
        </w:tabs>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
      <w:lvlJc w:val="left"/>
      <w:pPr>
        <w:ind w:left="2517" w:hanging="345"/>
      </w:pPr>
      <w:rPr>
        <w:rFonts w:ascii="Symbol" w:hAnsi="Symbol" w:hint="default"/>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7"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8" w15:restartNumberingAfterBreak="0">
    <w:nsid w:val="56B9429C"/>
    <w:multiLevelType w:val="multilevel"/>
    <w:tmpl w:val="03263022"/>
    <w:lvl w:ilvl="0">
      <w:start w:val="1"/>
      <w:numFmt w:val="none"/>
      <w:pStyle w:val="JuHHead"/>
      <w:suff w:val="nothing"/>
      <w:lvlText w:val=""/>
      <w:lvlJc w:val="left"/>
      <w:pPr>
        <w:ind w:left="0" w:firstLine="0"/>
      </w:pPr>
      <w:rPr>
        <w:rFonts w:hint="default"/>
      </w:rPr>
    </w:lvl>
    <w:lvl w:ilvl="1">
      <w:start w:val="1"/>
      <w:numFmt w:val="upperRoman"/>
      <w:pStyle w:val="JuHIRoman"/>
      <w:suff w:val="space"/>
      <w:lvlText w:val="%2."/>
      <w:lvlJc w:val="left"/>
      <w:pPr>
        <w:ind w:left="357" w:hanging="357"/>
      </w:pPr>
      <w:rPr>
        <w:rFonts w:hint="default"/>
        <w:sz w:val="24"/>
      </w:rPr>
    </w:lvl>
    <w:lvl w:ilvl="2">
      <w:start w:val="1"/>
      <w:numFmt w:val="upperLetter"/>
      <w:pStyle w:val="JuHA"/>
      <w:lvlText w:val="%3."/>
      <w:lvlJc w:val="left"/>
      <w:pPr>
        <w:ind w:left="584" w:hanging="352"/>
      </w:pPr>
      <w:rPr>
        <w:rFonts w:hint="default"/>
      </w:rPr>
    </w:lvl>
    <w:lvl w:ilvl="3">
      <w:start w:val="1"/>
      <w:numFmt w:val="decimal"/>
      <w:pStyle w:val="JuH1"/>
      <w:lvlText w:val="%4."/>
      <w:lvlJc w:val="left"/>
      <w:pPr>
        <w:ind w:left="731" w:hanging="300"/>
      </w:pPr>
      <w:rPr>
        <w:rFonts w:hint="default"/>
      </w:rPr>
    </w:lvl>
    <w:lvl w:ilvl="4">
      <w:start w:val="1"/>
      <w:numFmt w:val="lowerLetter"/>
      <w:pStyle w:val="JuHa0"/>
      <w:lvlText w:val="(%5)"/>
      <w:lvlJc w:val="left"/>
      <w:pPr>
        <w:ind w:left="975" w:hanging="340"/>
      </w:pPr>
      <w:rPr>
        <w:rFonts w:hint="default"/>
      </w:rPr>
    </w:lvl>
    <w:lvl w:ilvl="5">
      <w:start w:val="1"/>
      <w:numFmt w:val="lowerRoman"/>
      <w:pStyle w:val="JuHi"/>
      <w:suff w:val="space"/>
      <w:lvlText w:val="(%6)"/>
      <w:lvlJc w:val="left"/>
      <w:pPr>
        <w:ind w:left="1191" w:hanging="358"/>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372" w:hanging="334"/>
      </w:pPr>
      <w:rPr>
        <w:rFonts w:ascii="Times New Roman" w:hAnsi="Times New Roman" w:hint="default"/>
        <w:sz w:val="20"/>
      </w:rPr>
    </w:lvl>
    <w:lvl w:ilvl="7">
      <w:start w:val="1"/>
      <w:numFmt w:val="bullet"/>
      <w:pStyle w:val="JuH"/>
      <w:lvlText w:val="‒"/>
      <w:lvlJc w:val="left"/>
      <w:pPr>
        <w:ind w:left="1304" w:hanging="68"/>
      </w:pPr>
      <w:rPr>
        <w:rFonts w:ascii="Calibri" w:hAnsi="Calibri" w:hint="default"/>
        <w:color w:val="auto"/>
      </w:rPr>
    </w:lvl>
    <w:lvl w:ilvl="8">
      <w:start w:val="1"/>
      <w:numFmt w:val="bullet"/>
      <w:pStyle w:val="ECHRHeading9"/>
      <w:lvlText w:val="▪"/>
      <w:lvlJc w:val="left"/>
      <w:pPr>
        <w:ind w:left="1644" w:hanging="226"/>
      </w:pPr>
      <w:rPr>
        <w:rFonts w:ascii="Calibri" w:hAnsi="Calibri" w:hint="default"/>
        <w:b w:val="0"/>
        <w:i w:val="0"/>
        <w:color w:val="auto"/>
        <w:sz w:val="18"/>
      </w:rPr>
    </w:lvl>
  </w:abstractNum>
  <w:abstractNum w:abstractNumId="19"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69B170C5"/>
    <w:multiLevelType w:val="multilevel"/>
    <w:tmpl w:val="EBE68D30"/>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15"/>
  </w:num>
  <w:num w:numId="2">
    <w:abstractNumId w:val="12"/>
  </w:num>
  <w:num w:numId="3">
    <w:abstractNumId w:val="11"/>
  </w:num>
  <w:num w:numId="4">
    <w:abstractNumId w:val="16"/>
  </w:num>
  <w:num w:numId="5">
    <w:abstractNumId w:val="13"/>
  </w:num>
  <w:num w:numId="6">
    <w:abstractNumId w:val="17"/>
  </w:num>
  <w:num w:numId="7">
    <w:abstractNumId w:val="16"/>
  </w:num>
  <w:num w:numId="8">
    <w:abstractNumId w:val="17"/>
  </w:num>
  <w:num w:numId="9">
    <w:abstractNumId w:val="20"/>
  </w:num>
  <w:num w:numId="10">
    <w:abstractNumId w:val="18"/>
  </w:num>
  <w:num w:numId="11">
    <w:abstractNumId w:val="9"/>
  </w:num>
  <w:num w:numId="12">
    <w:abstractNumId w:val="1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hideSpellingError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8330EE"/>
    <w:rsid w:val="000016EF"/>
    <w:rsid w:val="00003526"/>
    <w:rsid w:val="000041F8"/>
    <w:rsid w:val="000042A8"/>
    <w:rsid w:val="00004308"/>
    <w:rsid w:val="00005BF0"/>
    <w:rsid w:val="00007154"/>
    <w:rsid w:val="000103AE"/>
    <w:rsid w:val="00011D69"/>
    <w:rsid w:val="00012AD3"/>
    <w:rsid w:val="00015C2D"/>
    <w:rsid w:val="00015F00"/>
    <w:rsid w:val="000160E5"/>
    <w:rsid w:val="00021FC1"/>
    <w:rsid w:val="00022C1D"/>
    <w:rsid w:val="00031428"/>
    <w:rsid w:val="00034987"/>
    <w:rsid w:val="00041560"/>
    <w:rsid w:val="00045E51"/>
    <w:rsid w:val="000462CE"/>
    <w:rsid w:val="000467B7"/>
    <w:rsid w:val="000504CE"/>
    <w:rsid w:val="000524FA"/>
    <w:rsid w:val="00057237"/>
    <w:rsid w:val="000602DF"/>
    <w:rsid w:val="00061B05"/>
    <w:rsid w:val="000632D5"/>
    <w:rsid w:val="0006383E"/>
    <w:rsid w:val="000644EE"/>
    <w:rsid w:val="00067ED6"/>
    <w:rsid w:val="00077491"/>
    <w:rsid w:val="0007780A"/>
    <w:rsid w:val="00077939"/>
    <w:rsid w:val="00085457"/>
    <w:rsid w:val="000925AD"/>
    <w:rsid w:val="00096FE1"/>
    <w:rsid w:val="00097A62"/>
    <w:rsid w:val="000A1CE7"/>
    <w:rsid w:val="000A24EB"/>
    <w:rsid w:val="000A7335"/>
    <w:rsid w:val="000B0406"/>
    <w:rsid w:val="000B4A57"/>
    <w:rsid w:val="000B686A"/>
    <w:rsid w:val="000B6923"/>
    <w:rsid w:val="000B7195"/>
    <w:rsid w:val="000C2464"/>
    <w:rsid w:val="000C2AE0"/>
    <w:rsid w:val="000C540D"/>
    <w:rsid w:val="000C5F3C"/>
    <w:rsid w:val="000C6DCC"/>
    <w:rsid w:val="000D47AA"/>
    <w:rsid w:val="000D6C2B"/>
    <w:rsid w:val="000D721F"/>
    <w:rsid w:val="000E069B"/>
    <w:rsid w:val="000E0E82"/>
    <w:rsid w:val="000E1DC5"/>
    <w:rsid w:val="000E223F"/>
    <w:rsid w:val="000E46B8"/>
    <w:rsid w:val="000E7D45"/>
    <w:rsid w:val="000F0833"/>
    <w:rsid w:val="000F7851"/>
    <w:rsid w:val="00101505"/>
    <w:rsid w:val="00104E23"/>
    <w:rsid w:val="00105051"/>
    <w:rsid w:val="00110DA8"/>
    <w:rsid w:val="00111B0C"/>
    <w:rsid w:val="00120D6C"/>
    <w:rsid w:val="00121BBF"/>
    <w:rsid w:val="001257EC"/>
    <w:rsid w:val="00130215"/>
    <w:rsid w:val="00133D33"/>
    <w:rsid w:val="00134B6A"/>
    <w:rsid w:val="00134D64"/>
    <w:rsid w:val="00135A30"/>
    <w:rsid w:val="0013612C"/>
    <w:rsid w:val="00137FF6"/>
    <w:rsid w:val="00141650"/>
    <w:rsid w:val="0014647B"/>
    <w:rsid w:val="001506E2"/>
    <w:rsid w:val="001561B6"/>
    <w:rsid w:val="00162A12"/>
    <w:rsid w:val="00166530"/>
    <w:rsid w:val="00170027"/>
    <w:rsid w:val="001712FD"/>
    <w:rsid w:val="00172805"/>
    <w:rsid w:val="00181354"/>
    <w:rsid w:val="001832BD"/>
    <w:rsid w:val="0018687B"/>
    <w:rsid w:val="00186983"/>
    <w:rsid w:val="001943B5"/>
    <w:rsid w:val="00195134"/>
    <w:rsid w:val="001A145B"/>
    <w:rsid w:val="001A2E6E"/>
    <w:rsid w:val="001A3E09"/>
    <w:rsid w:val="001A674C"/>
    <w:rsid w:val="001A7174"/>
    <w:rsid w:val="001A7A5D"/>
    <w:rsid w:val="001B0F4D"/>
    <w:rsid w:val="001B3B24"/>
    <w:rsid w:val="001B48AB"/>
    <w:rsid w:val="001B668B"/>
    <w:rsid w:val="001C055B"/>
    <w:rsid w:val="001C0F98"/>
    <w:rsid w:val="001C2268"/>
    <w:rsid w:val="001C25D0"/>
    <w:rsid w:val="001C2A42"/>
    <w:rsid w:val="001D0B83"/>
    <w:rsid w:val="001D63ED"/>
    <w:rsid w:val="001D7348"/>
    <w:rsid w:val="001D7B3E"/>
    <w:rsid w:val="001E035B"/>
    <w:rsid w:val="001E0961"/>
    <w:rsid w:val="001E0C0E"/>
    <w:rsid w:val="001E14A8"/>
    <w:rsid w:val="001E3EAE"/>
    <w:rsid w:val="001E6857"/>
    <w:rsid w:val="001E6F32"/>
    <w:rsid w:val="001F2145"/>
    <w:rsid w:val="001F6262"/>
    <w:rsid w:val="001F67B0"/>
    <w:rsid w:val="001F7B3D"/>
    <w:rsid w:val="00202752"/>
    <w:rsid w:val="0020335A"/>
    <w:rsid w:val="002052BC"/>
    <w:rsid w:val="00205F9F"/>
    <w:rsid w:val="00210338"/>
    <w:rsid w:val="002115FC"/>
    <w:rsid w:val="0021423C"/>
    <w:rsid w:val="00230D00"/>
    <w:rsid w:val="00231DF7"/>
    <w:rsid w:val="00231FD1"/>
    <w:rsid w:val="002339E0"/>
    <w:rsid w:val="00233CF8"/>
    <w:rsid w:val="0023575D"/>
    <w:rsid w:val="00237148"/>
    <w:rsid w:val="00240EA2"/>
    <w:rsid w:val="0024222D"/>
    <w:rsid w:val="002422B6"/>
    <w:rsid w:val="00244B0E"/>
    <w:rsid w:val="00244F6C"/>
    <w:rsid w:val="00246B89"/>
    <w:rsid w:val="002522AE"/>
    <w:rsid w:val="00252B73"/>
    <w:rsid w:val="00252C4E"/>
    <w:rsid w:val="002532C5"/>
    <w:rsid w:val="00254DF2"/>
    <w:rsid w:val="002579CF"/>
    <w:rsid w:val="00260C03"/>
    <w:rsid w:val="0026540E"/>
    <w:rsid w:val="002663B1"/>
    <w:rsid w:val="00266ABF"/>
    <w:rsid w:val="00270032"/>
    <w:rsid w:val="00275123"/>
    <w:rsid w:val="00282240"/>
    <w:rsid w:val="0028638B"/>
    <w:rsid w:val="00287AD5"/>
    <w:rsid w:val="002934D0"/>
    <w:rsid w:val="00293676"/>
    <w:rsid w:val="00293BD9"/>
    <w:rsid w:val="002948AD"/>
    <w:rsid w:val="002A01CC"/>
    <w:rsid w:val="002A24B7"/>
    <w:rsid w:val="002A613A"/>
    <w:rsid w:val="002A61B1"/>
    <w:rsid w:val="002A663C"/>
    <w:rsid w:val="002B004B"/>
    <w:rsid w:val="002B0D69"/>
    <w:rsid w:val="002B444B"/>
    <w:rsid w:val="002B4BAA"/>
    <w:rsid w:val="002B5887"/>
    <w:rsid w:val="002C0E27"/>
    <w:rsid w:val="002C3040"/>
    <w:rsid w:val="002C4433"/>
    <w:rsid w:val="002C7826"/>
    <w:rsid w:val="002D022D"/>
    <w:rsid w:val="002D24BB"/>
    <w:rsid w:val="002D2FA7"/>
    <w:rsid w:val="002D47BA"/>
    <w:rsid w:val="002D77B9"/>
    <w:rsid w:val="002E0097"/>
    <w:rsid w:val="002E375B"/>
    <w:rsid w:val="002E447A"/>
    <w:rsid w:val="002E46DA"/>
    <w:rsid w:val="002F2AF7"/>
    <w:rsid w:val="002F3BA5"/>
    <w:rsid w:val="002F69C4"/>
    <w:rsid w:val="002F7D9E"/>
    <w:rsid w:val="002F7E1C"/>
    <w:rsid w:val="003008AC"/>
    <w:rsid w:val="00301A75"/>
    <w:rsid w:val="00302F70"/>
    <w:rsid w:val="0030336F"/>
    <w:rsid w:val="0030375E"/>
    <w:rsid w:val="003127A6"/>
    <w:rsid w:val="00312A30"/>
    <w:rsid w:val="003201D8"/>
    <w:rsid w:val="00320F72"/>
    <w:rsid w:val="0032463E"/>
    <w:rsid w:val="00326224"/>
    <w:rsid w:val="00330428"/>
    <w:rsid w:val="003309B2"/>
    <w:rsid w:val="003336AF"/>
    <w:rsid w:val="003360FC"/>
    <w:rsid w:val="00337EE4"/>
    <w:rsid w:val="00340FFD"/>
    <w:rsid w:val="00345C41"/>
    <w:rsid w:val="003506B1"/>
    <w:rsid w:val="00354F32"/>
    <w:rsid w:val="00355877"/>
    <w:rsid w:val="00356AC7"/>
    <w:rsid w:val="00357ADB"/>
    <w:rsid w:val="003609FA"/>
    <w:rsid w:val="0036721C"/>
    <w:rsid w:val="00370B5A"/>
    <w:rsid w:val="003710C8"/>
    <w:rsid w:val="003750BE"/>
    <w:rsid w:val="0037596A"/>
    <w:rsid w:val="00377AF7"/>
    <w:rsid w:val="003850A7"/>
    <w:rsid w:val="00385A36"/>
    <w:rsid w:val="00385F3D"/>
    <w:rsid w:val="0038666F"/>
    <w:rsid w:val="00387B9D"/>
    <w:rsid w:val="00387C70"/>
    <w:rsid w:val="00390294"/>
    <w:rsid w:val="0039364F"/>
    <w:rsid w:val="00396686"/>
    <w:rsid w:val="0039778E"/>
    <w:rsid w:val="003B4941"/>
    <w:rsid w:val="003B49DB"/>
    <w:rsid w:val="003B4DED"/>
    <w:rsid w:val="003C06AB"/>
    <w:rsid w:val="003C2170"/>
    <w:rsid w:val="003C47E0"/>
    <w:rsid w:val="003C5714"/>
    <w:rsid w:val="003C6B9F"/>
    <w:rsid w:val="003C6E2A"/>
    <w:rsid w:val="003D0299"/>
    <w:rsid w:val="003D7E65"/>
    <w:rsid w:val="003E0C03"/>
    <w:rsid w:val="003E6345"/>
    <w:rsid w:val="003E6D80"/>
    <w:rsid w:val="003F05FA"/>
    <w:rsid w:val="003F099C"/>
    <w:rsid w:val="003F244A"/>
    <w:rsid w:val="003F2517"/>
    <w:rsid w:val="003F30B8"/>
    <w:rsid w:val="003F4219"/>
    <w:rsid w:val="003F4C45"/>
    <w:rsid w:val="003F56B7"/>
    <w:rsid w:val="003F5F7B"/>
    <w:rsid w:val="003F7D64"/>
    <w:rsid w:val="0040433A"/>
    <w:rsid w:val="004078A2"/>
    <w:rsid w:val="00414300"/>
    <w:rsid w:val="00414D6C"/>
    <w:rsid w:val="00414F27"/>
    <w:rsid w:val="00417104"/>
    <w:rsid w:val="00420498"/>
    <w:rsid w:val="00420703"/>
    <w:rsid w:val="00425C67"/>
    <w:rsid w:val="004265AA"/>
    <w:rsid w:val="00427E7A"/>
    <w:rsid w:val="0043211C"/>
    <w:rsid w:val="004355AC"/>
    <w:rsid w:val="00436046"/>
    <w:rsid w:val="00436C49"/>
    <w:rsid w:val="00443D98"/>
    <w:rsid w:val="00445366"/>
    <w:rsid w:val="00447F5B"/>
    <w:rsid w:val="00461DB0"/>
    <w:rsid w:val="00463926"/>
    <w:rsid w:val="00464C9A"/>
    <w:rsid w:val="00472317"/>
    <w:rsid w:val="00474F3D"/>
    <w:rsid w:val="00477E3A"/>
    <w:rsid w:val="00480D70"/>
    <w:rsid w:val="00480E7C"/>
    <w:rsid w:val="00482DBC"/>
    <w:rsid w:val="00483E5F"/>
    <w:rsid w:val="00485FF9"/>
    <w:rsid w:val="004907F0"/>
    <w:rsid w:val="0049140B"/>
    <w:rsid w:val="004923A5"/>
    <w:rsid w:val="0049310E"/>
    <w:rsid w:val="004950E2"/>
    <w:rsid w:val="00496BFB"/>
    <w:rsid w:val="004A15C7"/>
    <w:rsid w:val="004A3201"/>
    <w:rsid w:val="004A3C30"/>
    <w:rsid w:val="004A716F"/>
    <w:rsid w:val="004B013B"/>
    <w:rsid w:val="004B112B"/>
    <w:rsid w:val="004B298C"/>
    <w:rsid w:val="004B444E"/>
    <w:rsid w:val="004B59CD"/>
    <w:rsid w:val="004B5F1C"/>
    <w:rsid w:val="004C01E4"/>
    <w:rsid w:val="004C086C"/>
    <w:rsid w:val="004C1F56"/>
    <w:rsid w:val="004C2429"/>
    <w:rsid w:val="004C27BC"/>
    <w:rsid w:val="004C430E"/>
    <w:rsid w:val="004C6621"/>
    <w:rsid w:val="004D0EC7"/>
    <w:rsid w:val="004D15F3"/>
    <w:rsid w:val="004D3B3D"/>
    <w:rsid w:val="004D4EF1"/>
    <w:rsid w:val="004D5311"/>
    <w:rsid w:val="004D5DCC"/>
    <w:rsid w:val="004D60D3"/>
    <w:rsid w:val="004D7E45"/>
    <w:rsid w:val="004F10AF"/>
    <w:rsid w:val="004F11A4"/>
    <w:rsid w:val="004F1556"/>
    <w:rsid w:val="004F2389"/>
    <w:rsid w:val="004F304D"/>
    <w:rsid w:val="004F4290"/>
    <w:rsid w:val="004F61BE"/>
    <w:rsid w:val="004F66B1"/>
    <w:rsid w:val="004F6A9B"/>
    <w:rsid w:val="00500644"/>
    <w:rsid w:val="0050298F"/>
    <w:rsid w:val="00511C07"/>
    <w:rsid w:val="005125CB"/>
    <w:rsid w:val="00512EC4"/>
    <w:rsid w:val="00515E6D"/>
    <w:rsid w:val="0051725A"/>
    <w:rsid w:val="005173A6"/>
    <w:rsid w:val="00520354"/>
    <w:rsid w:val="00520BAA"/>
    <w:rsid w:val="005217D8"/>
    <w:rsid w:val="005220D5"/>
    <w:rsid w:val="00522D60"/>
    <w:rsid w:val="00525208"/>
    <w:rsid w:val="005256C0"/>
    <w:rsid w:val="005257A5"/>
    <w:rsid w:val="005264C0"/>
    <w:rsid w:val="00526A8A"/>
    <w:rsid w:val="00527E6F"/>
    <w:rsid w:val="00530FE6"/>
    <w:rsid w:val="00531DF2"/>
    <w:rsid w:val="00533003"/>
    <w:rsid w:val="0053315C"/>
    <w:rsid w:val="005347EB"/>
    <w:rsid w:val="00535F3C"/>
    <w:rsid w:val="00537476"/>
    <w:rsid w:val="005440FD"/>
    <w:rsid w:val="005442EE"/>
    <w:rsid w:val="00545DA6"/>
    <w:rsid w:val="00546E7B"/>
    <w:rsid w:val="00547353"/>
    <w:rsid w:val="005474E7"/>
    <w:rsid w:val="005512A3"/>
    <w:rsid w:val="00553C97"/>
    <w:rsid w:val="005578CE"/>
    <w:rsid w:val="00562781"/>
    <w:rsid w:val="00562B6C"/>
    <w:rsid w:val="005635B4"/>
    <w:rsid w:val="00571BBE"/>
    <w:rsid w:val="0057271C"/>
    <w:rsid w:val="00572845"/>
    <w:rsid w:val="0058231B"/>
    <w:rsid w:val="00586D3A"/>
    <w:rsid w:val="005879A2"/>
    <w:rsid w:val="00592772"/>
    <w:rsid w:val="0059574A"/>
    <w:rsid w:val="00595E12"/>
    <w:rsid w:val="005A1B9B"/>
    <w:rsid w:val="005A2E79"/>
    <w:rsid w:val="005A2FF1"/>
    <w:rsid w:val="005A6751"/>
    <w:rsid w:val="005B092E"/>
    <w:rsid w:val="005B152C"/>
    <w:rsid w:val="005B1849"/>
    <w:rsid w:val="005B1EE0"/>
    <w:rsid w:val="005B2B24"/>
    <w:rsid w:val="005B3C18"/>
    <w:rsid w:val="005B4425"/>
    <w:rsid w:val="005B4B94"/>
    <w:rsid w:val="005B4E84"/>
    <w:rsid w:val="005B5619"/>
    <w:rsid w:val="005B5EFA"/>
    <w:rsid w:val="005C03BD"/>
    <w:rsid w:val="005C3EE8"/>
    <w:rsid w:val="005D2F2A"/>
    <w:rsid w:val="005D34F9"/>
    <w:rsid w:val="005D4190"/>
    <w:rsid w:val="005D67A3"/>
    <w:rsid w:val="005E2010"/>
    <w:rsid w:val="005E2988"/>
    <w:rsid w:val="005E2DE4"/>
    <w:rsid w:val="005E3085"/>
    <w:rsid w:val="005F51E1"/>
    <w:rsid w:val="005F7C2F"/>
    <w:rsid w:val="00602C6B"/>
    <w:rsid w:val="0060643A"/>
    <w:rsid w:val="00611C80"/>
    <w:rsid w:val="00620692"/>
    <w:rsid w:val="006242CA"/>
    <w:rsid w:val="00626222"/>
    <w:rsid w:val="00627507"/>
    <w:rsid w:val="00633717"/>
    <w:rsid w:val="00633A41"/>
    <w:rsid w:val="006344E1"/>
    <w:rsid w:val="00636438"/>
    <w:rsid w:val="00636984"/>
    <w:rsid w:val="00641E80"/>
    <w:rsid w:val="006427C5"/>
    <w:rsid w:val="00643524"/>
    <w:rsid w:val="0064393B"/>
    <w:rsid w:val="006545C4"/>
    <w:rsid w:val="00661971"/>
    <w:rsid w:val="00661CE8"/>
    <w:rsid w:val="006623D9"/>
    <w:rsid w:val="006642A5"/>
    <w:rsid w:val="0066550C"/>
    <w:rsid w:val="00665BD2"/>
    <w:rsid w:val="006716F2"/>
    <w:rsid w:val="00682BF2"/>
    <w:rsid w:val="0068573E"/>
    <w:rsid w:val="006859CE"/>
    <w:rsid w:val="00691270"/>
    <w:rsid w:val="006916F6"/>
    <w:rsid w:val="00694BA8"/>
    <w:rsid w:val="006A037C"/>
    <w:rsid w:val="006A36F4"/>
    <w:rsid w:val="006A406F"/>
    <w:rsid w:val="006A5D3A"/>
    <w:rsid w:val="006B690F"/>
    <w:rsid w:val="006C1757"/>
    <w:rsid w:val="006C23D4"/>
    <w:rsid w:val="006C7BB0"/>
    <w:rsid w:val="006D3237"/>
    <w:rsid w:val="006E2E37"/>
    <w:rsid w:val="006E3CF1"/>
    <w:rsid w:val="006E68A3"/>
    <w:rsid w:val="006E7E80"/>
    <w:rsid w:val="006F1C2D"/>
    <w:rsid w:val="006F42DB"/>
    <w:rsid w:val="006F48CA"/>
    <w:rsid w:val="006F603D"/>
    <w:rsid w:val="006F64DD"/>
    <w:rsid w:val="006F712D"/>
    <w:rsid w:val="00700F5C"/>
    <w:rsid w:val="00701932"/>
    <w:rsid w:val="00701CE0"/>
    <w:rsid w:val="007073B1"/>
    <w:rsid w:val="0071270D"/>
    <w:rsid w:val="00715127"/>
    <w:rsid w:val="00715E8E"/>
    <w:rsid w:val="00721299"/>
    <w:rsid w:val="00723580"/>
    <w:rsid w:val="00723755"/>
    <w:rsid w:val="0073136C"/>
    <w:rsid w:val="00731F0F"/>
    <w:rsid w:val="00733250"/>
    <w:rsid w:val="00740AA3"/>
    <w:rsid w:val="00741404"/>
    <w:rsid w:val="007449E5"/>
    <w:rsid w:val="0074750E"/>
    <w:rsid w:val="0074754A"/>
    <w:rsid w:val="00747FF0"/>
    <w:rsid w:val="00753D3E"/>
    <w:rsid w:val="0075566E"/>
    <w:rsid w:val="00757ECC"/>
    <w:rsid w:val="00763602"/>
    <w:rsid w:val="00763781"/>
    <w:rsid w:val="00764D4E"/>
    <w:rsid w:val="00765A1F"/>
    <w:rsid w:val="00771B09"/>
    <w:rsid w:val="00775B6D"/>
    <w:rsid w:val="00776D68"/>
    <w:rsid w:val="007802D5"/>
    <w:rsid w:val="00781513"/>
    <w:rsid w:val="0078323E"/>
    <w:rsid w:val="007850EE"/>
    <w:rsid w:val="00785B95"/>
    <w:rsid w:val="00790E96"/>
    <w:rsid w:val="00793366"/>
    <w:rsid w:val="007960AE"/>
    <w:rsid w:val="007A060A"/>
    <w:rsid w:val="007A20B3"/>
    <w:rsid w:val="007A716F"/>
    <w:rsid w:val="007B270A"/>
    <w:rsid w:val="007B3C6B"/>
    <w:rsid w:val="007B3E8D"/>
    <w:rsid w:val="007B4182"/>
    <w:rsid w:val="007B4ED2"/>
    <w:rsid w:val="007C0695"/>
    <w:rsid w:val="007C419A"/>
    <w:rsid w:val="007C4CC8"/>
    <w:rsid w:val="007C5426"/>
    <w:rsid w:val="007C5798"/>
    <w:rsid w:val="007D15D6"/>
    <w:rsid w:val="007D1ECD"/>
    <w:rsid w:val="007D3701"/>
    <w:rsid w:val="007D4832"/>
    <w:rsid w:val="007D64CB"/>
    <w:rsid w:val="007E1F42"/>
    <w:rsid w:val="007E21B2"/>
    <w:rsid w:val="007E2C4E"/>
    <w:rsid w:val="007E2C8C"/>
    <w:rsid w:val="007E51BA"/>
    <w:rsid w:val="007E73D7"/>
    <w:rsid w:val="007F1905"/>
    <w:rsid w:val="007F27E4"/>
    <w:rsid w:val="007F3437"/>
    <w:rsid w:val="007F78FD"/>
    <w:rsid w:val="00802C64"/>
    <w:rsid w:val="00805E52"/>
    <w:rsid w:val="008061D0"/>
    <w:rsid w:val="00810B38"/>
    <w:rsid w:val="00816457"/>
    <w:rsid w:val="008171F9"/>
    <w:rsid w:val="008204C7"/>
    <w:rsid w:val="00820992"/>
    <w:rsid w:val="00823602"/>
    <w:rsid w:val="008255F5"/>
    <w:rsid w:val="0083014E"/>
    <w:rsid w:val="0083214A"/>
    <w:rsid w:val="008325B5"/>
    <w:rsid w:val="008330EE"/>
    <w:rsid w:val="00834220"/>
    <w:rsid w:val="008354CA"/>
    <w:rsid w:val="00845723"/>
    <w:rsid w:val="008458C7"/>
    <w:rsid w:val="00847E18"/>
    <w:rsid w:val="008519E7"/>
    <w:rsid w:val="00851EF9"/>
    <w:rsid w:val="00852B52"/>
    <w:rsid w:val="008577FD"/>
    <w:rsid w:val="00860B03"/>
    <w:rsid w:val="0086497A"/>
    <w:rsid w:val="00867066"/>
    <w:rsid w:val="008713A1"/>
    <w:rsid w:val="008713F1"/>
    <w:rsid w:val="00872584"/>
    <w:rsid w:val="008754AB"/>
    <w:rsid w:val="0087651F"/>
    <w:rsid w:val="00876BB2"/>
    <w:rsid w:val="0088060C"/>
    <w:rsid w:val="00882CD5"/>
    <w:rsid w:val="00883151"/>
    <w:rsid w:val="00890209"/>
    <w:rsid w:val="00893576"/>
    <w:rsid w:val="00893E73"/>
    <w:rsid w:val="008A4385"/>
    <w:rsid w:val="008B02DC"/>
    <w:rsid w:val="008B0630"/>
    <w:rsid w:val="008B092C"/>
    <w:rsid w:val="008B0D62"/>
    <w:rsid w:val="008B24D1"/>
    <w:rsid w:val="008B57CE"/>
    <w:rsid w:val="008C26DE"/>
    <w:rsid w:val="008D2225"/>
    <w:rsid w:val="008D4752"/>
    <w:rsid w:val="008D5A13"/>
    <w:rsid w:val="008D6C86"/>
    <w:rsid w:val="008E10CB"/>
    <w:rsid w:val="008E271C"/>
    <w:rsid w:val="008E3A08"/>
    <w:rsid w:val="008E3C46"/>
    <w:rsid w:val="008E418E"/>
    <w:rsid w:val="008E5BC6"/>
    <w:rsid w:val="008E6217"/>
    <w:rsid w:val="008E6A25"/>
    <w:rsid w:val="008F117B"/>
    <w:rsid w:val="008F2554"/>
    <w:rsid w:val="008F3031"/>
    <w:rsid w:val="008F3AEC"/>
    <w:rsid w:val="008F4D80"/>
    <w:rsid w:val="008F5193"/>
    <w:rsid w:val="008F6B36"/>
    <w:rsid w:val="009013A7"/>
    <w:rsid w:val="009017FB"/>
    <w:rsid w:val="009017FC"/>
    <w:rsid w:val="00902034"/>
    <w:rsid w:val="0090506B"/>
    <w:rsid w:val="009050C9"/>
    <w:rsid w:val="009066FC"/>
    <w:rsid w:val="009140A3"/>
    <w:rsid w:val="009144A2"/>
    <w:rsid w:val="0091510C"/>
    <w:rsid w:val="00915E86"/>
    <w:rsid w:val="009243AB"/>
    <w:rsid w:val="00924F01"/>
    <w:rsid w:val="009259AC"/>
    <w:rsid w:val="00926EBF"/>
    <w:rsid w:val="00926F38"/>
    <w:rsid w:val="00927BEB"/>
    <w:rsid w:val="009333DC"/>
    <w:rsid w:val="00934301"/>
    <w:rsid w:val="00934A65"/>
    <w:rsid w:val="00936CD1"/>
    <w:rsid w:val="00936E17"/>
    <w:rsid w:val="009376EB"/>
    <w:rsid w:val="00941747"/>
    <w:rsid w:val="00941EFB"/>
    <w:rsid w:val="00947738"/>
    <w:rsid w:val="00947AFB"/>
    <w:rsid w:val="0095105E"/>
    <w:rsid w:val="00951490"/>
    <w:rsid w:val="00951AA3"/>
    <w:rsid w:val="00951D7D"/>
    <w:rsid w:val="00956D0C"/>
    <w:rsid w:val="00961F18"/>
    <w:rsid w:val="009630C7"/>
    <w:rsid w:val="0097184D"/>
    <w:rsid w:val="009719EC"/>
    <w:rsid w:val="00972B55"/>
    <w:rsid w:val="009743B7"/>
    <w:rsid w:val="0098228B"/>
    <w:rsid w:val="009828DA"/>
    <w:rsid w:val="0098410D"/>
    <w:rsid w:val="00985BAB"/>
    <w:rsid w:val="00986B3C"/>
    <w:rsid w:val="00986DA5"/>
    <w:rsid w:val="0099306E"/>
    <w:rsid w:val="00995AA7"/>
    <w:rsid w:val="009A115C"/>
    <w:rsid w:val="009A2B39"/>
    <w:rsid w:val="009B1606"/>
    <w:rsid w:val="009B1B5F"/>
    <w:rsid w:val="009B6673"/>
    <w:rsid w:val="009C191B"/>
    <w:rsid w:val="009C2BD6"/>
    <w:rsid w:val="009D3337"/>
    <w:rsid w:val="009E1F32"/>
    <w:rsid w:val="009E2CC2"/>
    <w:rsid w:val="009E776C"/>
    <w:rsid w:val="009F4C8F"/>
    <w:rsid w:val="00A05588"/>
    <w:rsid w:val="00A14F47"/>
    <w:rsid w:val="00A15601"/>
    <w:rsid w:val="00A1726E"/>
    <w:rsid w:val="00A204CF"/>
    <w:rsid w:val="00A21D2B"/>
    <w:rsid w:val="00A22745"/>
    <w:rsid w:val="00A23D49"/>
    <w:rsid w:val="00A27004"/>
    <w:rsid w:val="00A308CE"/>
    <w:rsid w:val="00A30C29"/>
    <w:rsid w:val="00A34DD6"/>
    <w:rsid w:val="00A35683"/>
    <w:rsid w:val="00A36819"/>
    <w:rsid w:val="00A36989"/>
    <w:rsid w:val="00A43628"/>
    <w:rsid w:val="00A43AEC"/>
    <w:rsid w:val="00A44452"/>
    <w:rsid w:val="00A45FB6"/>
    <w:rsid w:val="00A51D0F"/>
    <w:rsid w:val="00A54192"/>
    <w:rsid w:val="00A57147"/>
    <w:rsid w:val="00A5720B"/>
    <w:rsid w:val="00A6035E"/>
    <w:rsid w:val="00A60C9D"/>
    <w:rsid w:val="00A6144C"/>
    <w:rsid w:val="00A66617"/>
    <w:rsid w:val="00A671F8"/>
    <w:rsid w:val="00A673A4"/>
    <w:rsid w:val="00A724AE"/>
    <w:rsid w:val="00A73329"/>
    <w:rsid w:val="00A743D4"/>
    <w:rsid w:val="00A81839"/>
    <w:rsid w:val="00A82359"/>
    <w:rsid w:val="00A865D2"/>
    <w:rsid w:val="00A90BCD"/>
    <w:rsid w:val="00A92825"/>
    <w:rsid w:val="00A94C20"/>
    <w:rsid w:val="00AA0198"/>
    <w:rsid w:val="00AA1B09"/>
    <w:rsid w:val="00AA227F"/>
    <w:rsid w:val="00AA3918"/>
    <w:rsid w:val="00AA3BC7"/>
    <w:rsid w:val="00AA5734"/>
    <w:rsid w:val="00AA5ACA"/>
    <w:rsid w:val="00AA754A"/>
    <w:rsid w:val="00AB099E"/>
    <w:rsid w:val="00AB4328"/>
    <w:rsid w:val="00AB4A83"/>
    <w:rsid w:val="00AC4305"/>
    <w:rsid w:val="00AC46E4"/>
    <w:rsid w:val="00AC4CD4"/>
    <w:rsid w:val="00AC6B8D"/>
    <w:rsid w:val="00AD1651"/>
    <w:rsid w:val="00AD2265"/>
    <w:rsid w:val="00AE0A2E"/>
    <w:rsid w:val="00AE2FB2"/>
    <w:rsid w:val="00AE354C"/>
    <w:rsid w:val="00AE3E4D"/>
    <w:rsid w:val="00AE52E3"/>
    <w:rsid w:val="00AF4B07"/>
    <w:rsid w:val="00AF6186"/>
    <w:rsid w:val="00AF7A3A"/>
    <w:rsid w:val="00B00B3A"/>
    <w:rsid w:val="00B02587"/>
    <w:rsid w:val="00B03465"/>
    <w:rsid w:val="00B034C0"/>
    <w:rsid w:val="00B07861"/>
    <w:rsid w:val="00B10AA0"/>
    <w:rsid w:val="00B11F1A"/>
    <w:rsid w:val="00B153C2"/>
    <w:rsid w:val="00B160DB"/>
    <w:rsid w:val="00B20836"/>
    <w:rsid w:val="00B21949"/>
    <w:rsid w:val="00B235BB"/>
    <w:rsid w:val="00B242AD"/>
    <w:rsid w:val="00B27A44"/>
    <w:rsid w:val="00B30BBF"/>
    <w:rsid w:val="00B33C03"/>
    <w:rsid w:val="00B34A92"/>
    <w:rsid w:val="00B4421F"/>
    <w:rsid w:val="00B44E56"/>
    <w:rsid w:val="00B45917"/>
    <w:rsid w:val="00B46543"/>
    <w:rsid w:val="00B47D33"/>
    <w:rsid w:val="00B52BE0"/>
    <w:rsid w:val="00B54133"/>
    <w:rsid w:val="00B63426"/>
    <w:rsid w:val="00B701ED"/>
    <w:rsid w:val="00B72010"/>
    <w:rsid w:val="00B748F7"/>
    <w:rsid w:val="00B8086C"/>
    <w:rsid w:val="00B81C58"/>
    <w:rsid w:val="00B861B4"/>
    <w:rsid w:val="00B86DFE"/>
    <w:rsid w:val="00B90990"/>
    <w:rsid w:val="00B922FF"/>
    <w:rsid w:val="00B9281E"/>
    <w:rsid w:val="00B93925"/>
    <w:rsid w:val="00B95187"/>
    <w:rsid w:val="00BA2D55"/>
    <w:rsid w:val="00BA58DA"/>
    <w:rsid w:val="00BA6FC4"/>
    <w:rsid w:val="00BA71B1"/>
    <w:rsid w:val="00BB0637"/>
    <w:rsid w:val="00BB345F"/>
    <w:rsid w:val="00BB68EA"/>
    <w:rsid w:val="00BC0B99"/>
    <w:rsid w:val="00BC1C27"/>
    <w:rsid w:val="00BC3719"/>
    <w:rsid w:val="00BC50E4"/>
    <w:rsid w:val="00BC6BBF"/>
    <w:rsid w:val="00BD0834"/>
    <w:rsid w:val="00BD1572"/>
    <w:rsid w:val="00BD3216"/>
    <w:rsid w:val="00BD788A"/>
    <w:rsid w:val="00BE0D03"/>
    <w:rsid w:val="00BE14E3"/>
    <w:rsid w:val="00BE3774"/>
    <w:rsid w:val="00BE41E5"/>
    <w:rsid w:val="00BF118F"/>
    <w:rsid w:val="00BF3E2B"/>
    <w:rsid w:val="00BF4109"/>
    <w:rsid w:val="00BF48FD"/>
    <w:rsid w:val="00BF4CC3"/>
    <w:rsid w:val="00C01AEC"/>
    <w:rsid w:val="00C04BFE"/>
    <w:rsid w:val="00C054C7"/>
    <w:rsid w:val="00C057B5"/>
    <w:rsid w:val="00C115C3"/>
    <w:rsid w:val="00C15547"/>
    <w:rsid w:val="00C1672D"/>
    <w:rsid w:val="00C22687"/>
    <w:rsid w:val="00C22DC4"/>
    <w:rsid w:val="00C23725"/>
    <w:rsid w:val="00C23B38"/>
    <w:rsid w:val="00C23D55"/>
    <w:rsid w:val="00C26A92"/>
    <w:rsid w:val="00C26B1C"/>
    <w:rsid w:val="00C30CC1"/>
    <w:rsid w:val="00C32E4D"/>
    <w:rsid w:val="00C333A0"/>
    <w:rsid w:val="00C36A81"/>
    <w:rsid w:val="00C41974"/>
    <w:rsid w:val="00C44A2C"/>
    <w:rsid w:val="00C47107"/>
    <w:rsid w:val="00C477F7"/>
    <w:rsid w:val="00C509A6"/>
    <w:rsid w:val="00C53F4A"/>
    <w:rsid w:val="00C54125"/>
    <w:rsid w:val="00C55B54"/>
    <w:rsid w:val="00C56AB8"/>
    <w:rsid w:val="00C6098E"/>
    <w:rsid w:val="00C6152C"/>
    <w:rsid w:val="00C61EF7"/>
    <w:rsid w:val="00C67C1A"/>
    <w:rsid w:val="00C70E2B"/>
    <w:rsid w:val="00C74810"/>
    <w:rsid w:val="00C754ED"/>
    <w:rsid w:val="00C75B5B"/>
    <w:rsid w:val="00C90D68"/>
    <w:rsid w:val="00C939FE"/>
    <w:rsid w:val="00C93BEF"/>
    <w:rsid w:val="00CA4BDA"/>
    <w:rsid w:val="00CB13E3"/>
    <w:rsid w:val="00CB1F66"/>
    <w:rsid w:val="00CB232C"/>
    <w:rsid w:val="00CB2951"/>
    <w:rsid w:val="00CB2A54"/>
    <w:rsid w:val="00CB4277"/>
    <w:rsid w:val="00CB6A1E"/>
    <w:rsid w:val="00CC4667"/>
    <w:rsid w:val="00CC5067"/>
    <w:rsid w:val="00CC5A97"/>
    <w:rsid w:val="00CD11D3"/>
    <w:rsid w:val="00CD1A89"/>
    <w:rsid w:val="00CD282B"/>
    <w:rsid w:val="00CD447B"/>
    <w:rsid w:val="00CD4C35"/>
    <w:rsid w:val="00CD7369"/>
    <w:rsid w:val="00CE0B0E"/>
    <w:rsid w:val="00CE2629"/>
    <w:rsid w:val="00CE3831"/>
    <w:rsid w:val="00CE68F7"/>
    <w:rsid w:val="00CF2397"/>
    <w:rsid w:val="00CF4BF2"/>
    <w:rsid w:val="00D00ABB"/>
    <w:rsid w:val="00D011FB"/>
    <w:rsid w:val="00D02EEC"/>
    <w:rsid w:val="00D03551"/>
    <w:rsid w:val="00D05F4F"/>
    <w:rsid w:val="00D06A63"/>
    <w:rsid w:val="00D07E0E"/>
    <w:rsid w:val="00D108CD"/>
    <w:rsid w:val="00D10CD6"/>
    <w:rsid w:val="00D11478"/>
    <w:rsid w:val="00D124BB"/>
    <w:rsid w:val="00D15ED0"/>
    <w:rsid w:val="00D164BF"/>
    <w:rsid w:val="00D21B3E"/>
    <w:rsid w:val="00D21FED"/>
    <w:rsid w:val="00D23048"/>
    <w:rsid w:val="00D24251"/>
    <w:rsid w:val="00D24A47"/>
    <w:rsid w:val="00D26E72"/>
    <w:rsid w:val="00D30562"/>
    <w:rsid w:val="00D33273"/>
    <w:rsid w:val="00D343E2"/>
    <w:rsid w:val="00D361A2"/>
    <w:rsid w:val="00D44729"/>
    <w:rsid w:val="00D44C2E"/>
    <w:rsid w:val="00D45414"/>
    <w:rsid w:val="00D50A0A"/>
    <w:rsid w:val="00D534A0"/>
    <w:rsid w:val="00D53548"/>
    <w:rsid w:val="00D566BD"/>
    <w:rsid w:val="00D57A4D"/>
    <w:rsid w:val="00D60AA7"/>
    <w:rsid w:val="00D62827"/>
    <w:rsid w:val="00D6435F"/>
    <w:rsid w:val="00D64EC7"/>
    <w:rsid w:val="00D663C0"/>
    <w:rsid w:val="00D66471"/>
    <w:rsid w:val="00D673F6"/>
    <w:rsid w:val="00D70641"/>
    <w:rsid w:val="00D74888"/>
    <w:rsid w:val="00D75D53"/>
    <w:rsid w:val="00D75E28"/>
    <w:rsid w:val="00D772C2"/>
    <w:rsid w:val="00D8008E"/>
    <w:rsid w:val="00D82944"/>
    <w:rsid w:val="00D82C45"/>
    <w:rsid w:val="00D873EB"/>
    <w:rsid w:val="00D87C75"/>
    <w:rsid w:val="00D908A8"/>
    <w:rsid w:val="00D93BEB"/>
    <w:rsid w:val="00D9721F"/>
    <w:rsid w:val="00D977B6"/>
    <w:rsid w:val="00DA1223"/>
    <w:rsid w:val="00DA2A42"/>
    <w:rsid w:val="00DA4A31"/>
    <w:rsid w:val="00DA54B3"/>
    <w:rsid w:val="00DA6E6D"/>
    <w:rsid w:val="00DA6E8F"/>
    <w:rsid w:val="00DA74AF"/>
    <w:rsid w:val="00DA7B04"/>
    <w:rsid w:val="00DB36C2"/>
    <w:rsid w:val="00DC169B"/>
    <w:rsid w:val="00DC2AB9"/>
    <w:rsid w:val="00DC2F5B"/>
    <w:rsid w:val="00DC63F0"/>
    <w:rsid w:val="00DC787C"/>
    <w:rsid w:val="00DD215F"/>
    <w:rsid w:val="00DD37EA"/>
    <w:rsid w:val="00DD6EE5"/>
    <w:rsid w:val="00DE386C"/>
    <w:rsid w:val="00DE4D35"/>
    <w:rsid w:val="00DF098B"/>
    <w:rsid w:val="00DF11C4"/>
    <w:rsid w:val="00DF210C"/>
    <w:rsid w:val="00DF2CB3"/>
    <w:rsid w:val="00DF4B6A"/>
    <w:rsid w:val="00DF4F39"/>
    <w:rsid w:val="00E004C0"/>
    <w:rsid w:val="00E02C09"/>
    <w:rsid w:val="00E04D59"/>
    <w:rsid w:val="00E07DA1"/>
    <w:rsid w:val="00E10BDD"/>
    <w:rsid w:val="00E123CB"/>
    <w:rsid w:val="00E13B09"/>
    <w:rsid w:val="00E15FC8"/>
    <w:rsid w:val="00E20E13"/>
    <w:rsid w:val="00E21DBC"/>
    <w:rsid w:val="00E275D7"/>
    <w:rsid w:val="00E27DBE"/>
    <w:rsid w:val="00E310E4"/>
    <w:rsid w:val="00E32AB1"/>
    <w:rsid w:val="00E34415"/>
    <w:rsid w:val="00E36C71"/>
    <w:rsid w:val="00E37BB0"/>
    <w:rsid w:val="00E40404"/>
    <w:rsid w:val="00E4126A"/>
    <w:rsid w:val="00E4245E"/>
    <w:rsid w:val="00E42A06"/>
    <w:rsid w:val="00E459C6"/>
    <w:rsid w:val="00E47589"/>
    <w:rsid w:val="00E52896"/>
    <w:rsid w:val="00E52933"/>
    <w:rsid w:val="00E5629A"/>
    <w:rsid w:val="00E60ED3"/>
    <w:rsid w:val="00E61CAA"/>
    <w:rsid w:val="00E63EC7"/>
    <w:rsid w:val="00E64915"/>
    <w:rsid w:val="00E64D3A"/>
    <w:rsid w:val="00E661D4"/>
    <w:rsid w:val="00E70091"/>
    <w:rsid w:val="00E70D2E"/>
    <w:rsid w:val="00E720F5"/>
    <w:rsid w:val="00E7215A"/>
    <w:rsid w:val="00E76D47"/>
    <w:rsid w:val="00E827BC"/>
    <w:rsid w:val="00E849F7"/>
    <w:rsid w:val="00E90302"/>
    <w:rsid w:val="00E91D05"/>
    <w:rsid w:val="00E95C1E"/>
    <w:rsid w:val="00E97396"/>
    <w:rsid w:val="00EA185E"/>
    <w:rsid w:val="00EA4067"/>
    <w:rsid w:val="00EA592A"/>
    <w:rsid w:val="00EA6D55"/>
    <w:rsid w:val="00EB14E4"/>
    <w:rsid w:val="00EB32A5"/>
    <w:rsid w:val="00EB34ED"/>
    <w:rsid w:val="00EB447C"/>
    <w:rsid w:val="00EB68EF"/>
    <w:rsid w:val="00EB7BE0"/>
    <w:rsid w:val="00EC1C1E"/>
    <w:rsid w:val="00EC315E"/>
    <w:rsid w:val="00EC5BAB"/>
    <w:rsid w:val="00ED077C"/>
    <w:rsid w:val="00ED10A9"/>
    <w:rsid w:val="00ED1190"/>
    <w:rsid w:val="00ED34AC"/>
    <w:rsid w:val="00ED646C"/>
    <w:rsid w:val="00ED6544"/>
    <w:rsid w:val="00EE0277"/>
    <w:rsid w:val="00EE2899"/>
    <w:rsid w:val="00EE3E00"/>
    <w:rsid w:val="00EE5DD2"/>
    <w:rsid w:val="00EF0918"/>
    <w:rsid w:val="00EF131D"/>
    <w:rsid w:val="00EF36C5"/>
    <w:rsid w:val="00EF3DB4"/>
    <w:rsid w:val="00EF4FFD"/>
    <w:rsid w:val="00EF5B17"/>
    <w:rsid w:val="00F00A79"/>
    <w:rsid w:val="00F00D13"/>
    <w:rsid w:val="00F00E86"/>
    <w:rsid w:val="00F02F5E"/>
    <w:rsid w:val="00F03F43"/>
    <w:rsid w:val="00F07C1E"/>
    <w:rsid w:val="00F105DB"/>
    <w:rsid w:val="00F10FCB"/>
    <w:rsid w:val="00F112E1"/>
    <w:rsid w:val="00F132BC"/>
    <w:rsid w:val="00F13D80"/>
    <w:rsid w:val="00F15B4D"/>
    <w:rsid w:val="00F16A7C"/>
    <w:rsid w:val="00F16AAA"/>
    <w:rsid w:val="00F1709C"/>
    <w:rsid w:val="00F20E3E"/>
    <w:rsid w:val="00F21161"/>
    <w:rsid w:val="00F218EF"/>
    <w:rsid w:val="00F21BC7"/>
    <w:rsid w:val="00F23A85"/>
    <w:rsid w:val="00F266A2"/>
    <w:rsid w:val="00F32269"/>
    <w:rsid w:val="00F35B7A"/>
    <w:rsid w:val="00F56A6F"/>
    <w:rsid w:val="00F5709C"/>
    <w:rsid w:val="00F60B85"/>
    <w:rsid w:val="00F64EF1"/>
    <w:rsid w:val="00F7349B"/>
    <w:rsid w:val="00F85F84"/>
    <w:rsid w:val="00F8765F"/>
    <w:rsid w:val="00F90767"/>
    <w:rsid w:val="00F9263C"/>
    <w:rsid w:val="00FA14FB"/>
    <w:rsid w:val="00FA1637"/>
    <w:rsid w:val="00FA3091"/>
    <w:rsid w:val="00FA685B"/>
    <w:rsid w:val="00FB0C01"/>
    <w:rsid w:val="00FB1E11"/>
    <w:rsid w:val="00FB2D36"/>
    <w:rsid w:val="00FB2F1C"/>
    <w:rsid w:val="00FB4BEC"/>
    <w:rsid w:val="00FB5934"/>
    <w:rsid w:val="00FC082D"/>
    <w:rsid w:val="00FC18F2"/>
    <w:rsid w:val="00FC2A17"/>
    <w:rsid w:val="00FC38CF"/>
    <w:rsid w:val="00FC39E5"/>
    <w:rsid w:val="00FC3A78"/>
    <w:rsid w:val="00FC3DD7"/>
    <w:rsid w:val="00FD1005"/>
    <w:rsid w:val="00FD1F7F"/>
    <w:rsid w:val="00FD6C75"/>
    <w:rsid w:val="00FD7972"/>
    <w:rsid w:val="00FE0401"/>
    <w:rsid w:val="00FE71B3"/>
    <w:rsid w:val="00FF2CC6"/>
    <w:rsid w:val="00FF3C4F"/>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7D3701"/>
    <w:rPr>
      <w:sz w:val="24"/>
      <w:szCs w:val="24"/>
    </w:rPr>
  </w:style>
  <w:style w:type="paragraph" w:styleId="Heading1">
    <w:name w:val="heading 1"/>
    <w:basedOn w:val="Normal"/>
    <w:next w:val="Normal"/>
    <w:link w:val="Heading1Char"/>
    <w:uiPriority w:val="98"/>
    <w:semiHidden/>
    <w:rsid w:val="007D3701"/>
    <w:pPr>
      <w:numPr>
        <w:numId w:val="9"/>
      </w:num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7D3701"/>
    <w:pPr>
      <w:numPr>
        <w:ilvl w:val="1"/>
        <w:numId w:val="9"/>
      </w:num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7D3701"/>
    <w:pPr>
      <w:numPr>
        <w:ilvl w:val="2"/>
        <w:numId w:val="9"/>
      </w:num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8"/>
    <w:semiHidden/>
    <w:rsid w:val="007D3701"/>
    <w:pPr>
      <w:numPr>
        <w:ilvl w:val="3"/>
        <w:numId w:val="9"/>
      </w:num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8"/>
    <w:semiHidden/>
    <w:qFormat/>
    <w:rsid w:val="007D3701"/>
    <w:pPr>
      <w:numPr>
        <w:ilvl w:val="4"/>
        <w:numId w:val="9"/>
      </w:numPr>
      <w:spacing w:before="200"/>
      <w:outlineLvl w:val="4"/>
    </w:pPr>
    <w:rPr>
      <w:rFonts w:asciiTheme="majorHAnsi" w:eastAsiaTheme="majorEastAsia" w:hAnsiTheme="majorHAnsi" w:cstheme="majorBidi"/>
      <w:b/>
      <w:bCs/>
      <w:color w:val="808080"/>
    </w:rPr>
  </w:style>
  <w:style w:type="paragraph" w:styleId="Heading6">
    <w:name w:val="heading 6"/>
    <w:basedOn w:val="Normal"/>
    <w:next w:val="Normal"/>
    <w:link w:val="Heading6Char"/>
    <w:uiPriority w:val="98"/>
    <w:semiHidden/>
    <w:rsid w:val="007D3701"/>
    <w:pPr>
      <w:numPr>
        <w:ilvl w:val="5"/>
        <w:numId w:val="9"/>
      </w:num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8"/>
    <w:semiHidden/>
    <w:qFormat/>
    <w:rsid w:val="007D3701"/>
    <w:pPr>
      <w:numPr>
        <w:ilvl w:val="6"/>
        <w:numId w:val="9"/>
      </w:numPr>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8"/>
    <w:semiHidden/>
    <w:qFormat/>
    <w:rsid w:val="007D3701"/>
    <w:pPr>
      <w:numPr>
        <w:ilvl w:val="7"/>
        <w:numId w:val="9"/>
      </w:num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7D3701"/>
    <w:pPr>
      <w:numPr>
        <w:ilvl w:val="8"/>
        <w:numId w:val="9"/>
      </w:num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7D3701"/>
    <w:rPr>
      <w:rFonts w:ascii="Tahoma" w:hAnsi="Tahoma" w:cs="Tahoma"/>
      <w:sz w:val="16"/>
      <w:szCs w:val="16"/>
    </w:rPr>
  </w:style>
  <w:style w:type="character" w:customStyle="1" w:styleId="BalloonTextChar">
    <w:name w:val="Balloon Text Char"/>
    <w:basedOn w:val="DefaultParagraphFont"/>
    <w:link w:val="BalloonText"/>
    <w:uiPriority w:val="98"/>
    <w:semiHidden/>
    <w:rsid w:val="007D3701"/>
    <w:rPr>
      <w:rFonts w:ascii="Tahoma" w:hAnsi="Tahoma" w:cs="Tahoma"/>
      <w:sz w:val="16"/>
      <w:szCs w:val="16"/>
      <w:lang w:val="bg-BG"/>
    </w:rPr>
  </w:style>
  <w:style w:type="character" w:styleId="BookTitle">
    <w:name w:val="Book Title"/>
    <w:uiPriority w:val="98"/>
    <w:semiHidden/>
    <w:qFormat/>
    <w:rsid w:val="007D3701"/>
    <w:rPr>
      <w:i/>
      <w:iCs/>
      <w:smallCaps/>
      <w:spacing w:val="5"/>
    </w:rPr>
  </w:style>
  <w:style w:type="paragraph" w:customStyle="1" w:styleId="JuHeader">
    <w:name w:val="Ju_Header"/>
    <w:aliases w:val="_Header"/>
    <w:basedOn w:val="Header"/>
    <w:uiPriority w:val="29"/>
    <w:qFormat/>
    <w:rsid w:val="007D3701"/>
    <w:pPr>
      <w:tabs>
        <w:tab w:val="clear" w:pos="4536"/>
        <w:tab w:val="clear" w:pos="9072"/>
      </w:tabs>
      <w:jc w:val="center"/>
    </w:pPr>
    <w:rPr>
      <w:sz w:val="18"/>
    </w:rPr>
  </w:style>
  <w:style w:type="paragraph" w:customStyle="1" w:styleId="NormalJustified">
    <w:name w:val="Normal_Justified"/>
    <w:basedOn w:val="Normal"/>
    <w:semiHidden/>
    <w:rsid w:val="007D3701"/>
    <w:pPr>
      <w:jc w:val="both"/>
    </w:pPr>
  </w:style>
  <w:style w:type="character" w:styleId="Strong">
    <w:name w:val="Strong"/>
    <w:uiPriority w:val="98"/>
    <w:semiHidden/>
    <w:qFormat/>
    <w:rsid w:val="007D3701"/>
    <w:rPr>
      <w:b/>
      <w:bCs/>
    </w:rPr>
  </w:style>
  <w:style w:type="paragraph" w:styleId="NoSpacing">
    <w:name w:val="No Spacing"/>
    <w:basedOn w:val="Normal"/>
    <w:link w:val="NoSpacingChar"/>
    <w:uiPriority w:val="98"/>
    <w:semiHidden/>
    <w:qFormat/>
    <w:rsid w:val="007D3701"/>
  </w:style>
  <w:style w:type="character" w:customStyle="1" w:styleId="NoSpacingChar">
    <w:name w:val="No Spacing Char"/>
    <w:basedOn w:val="DefaultParagraphFont"/>
    <w:link w:val="NoSpacing"/>
    <w:uiPriority w:val="98"/>
    <w:semiHidden/>
    <w:rsid w:val="007D3701"/>
    <w:rPr>
      <w:sz w:val="24"/>
      <w:szCs w:val="24"/>
      <w:lang w:val="bg-BG"/>
    </w:rPr>
  </w:style>
  <w:style w:type="paragraph" w:customStyle="1" w:styleId="JuQuot">
    <w:name w:val="Ju_Quot"/>
    <w:aliases w:val="_Quote,ECHR_Para_Quote"/>
    <w:basedOn w:val="NormalJustified"/>
    <w:uiPriority w:val="14"/>
    <w:qFormat/>
    <w:rsid w:val="007D3701"/>
    <w:pPr>
      <w:spacing w:before="120" w:after="120"/>
      <w:ind w:left="425" w:firstLine="142"/>
    </w:pPr>
    <w:rPr>
      <w:sz w:val="20"/>
    </w:rPr>
  </w:style>
  <w:style w:type="paragraph" w:customStyle="1" w:styleId="DecList">
    <w:name w:val="Dec_List"/>
    <w:aliases w:val="_List"/>
    <w:basedOn w:val="JuList"/>
    <w:uiPriority w:val="22"/>
    <w:rsid w:val="007D3701"/>
    <w:pPr>
      <w:numPr>
        <w:numId w:val="0"/>
      </w:numPr>
      <w:ind w:left="284"/>
    </w:pPr>
  </w:style>
  <w:style w:type="paragraph" w:customStyle="1" w:styleId="JuList">
    <w:name w:val="Ju_List"/>
    <w:aliases w:val="_List_1"/>
    <w:basedOn w:val="NormalJustified"/>
    <w:uiPriority w:val="23"/>
    <w:qFormat/>
    <w:rsid w:val="007D3701"/>
    <w:pPr>
      <w:numPr>
        <w:numId w:val="11"/>
      </w:numPr>
      <w:spacing w:before="280" w:after="60"/>
    </w:pPr>
  </w:style>
  <w:style w:type="paragraph" w:customStyle="1" w:styleId="JuLista">
    <w:name w:val="Ju_List_a"/>
    <w:aliases w:val="_List_2"/>
    <w:basedOn w:val="NormalJustified"/>
    <w:uiPriority w:val="23"/>
    <w:rsid w:val="007D3701"/>
    <w:pPr>
      <w:numPr>
        <w:ilvl w:val="1"/>
        <w:numId w:val="11"/>
      </w:numPr>
    </w:pPr>
  </w:style>
  <w:style w:type="paragraph" w:customStyle="1" w:styleId="JuListi">
    <w:name w:val="Ju_List_i"/>
    <w:aliases w:val="_List_3"/>
    <w:basedOn w:val="NormalJustified"/>
    <w:uiPriority w:val="23"/>
    <w:rsid w:val="007D3701"/>
    <w:pPr>
      <w:numPr>
        <w:ilvl w:val="2"/>
        <w:numId w:val="11"/>
      </w:numPr>
    </w:pPr>
  </w:style>
  <w:style w:type="paragraph" w:customStyle="1" w:styleId="JuHArticle">
    <w:name w:val="Ju_H_Article"/>
    <w:aliases w:val="_Title_Quote"/>
    <w:basedOn w:val="Normal"/>
    <w:next w:val="JuQuot"/>
    <w:uiPriority w:val="19"/>
    <w:qFormat/>
    <w:rsid w:val="007D3701"/>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7D3701"/>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7D3701"/>
    <w:pPr>
      <w:keepNext/>
      <w:keepLines/>
      <w:tabs>
        <w:tab w:val="right" w:pos="7938"/>
      </w:tabs>
      <w:ind w:firstLine="0"/>
      <w:jc w:val="center"/>
    </w:pPr>
    <w:rPr>
      <w:i/>
    </w:rPr>
  </w:style>
  <w:style w:type="paragraph" w:customStyle="1" w:styleId="JuHHead">
    <w:name w:val="Ju_H_Head"/>
    <w:aliases w:val="_Head_1"/>
    <w:basedOn w:val="Normal"/>
    <w:next w:val="JuPara"/>
    <w:uiPriority w:val="18"/>
    <w:qFormat/>
    <w:rsid w:val="007D3701"/>
    <w:pPr>
      <w:keepNext/>
      <w:keepLines/>
      <w:numPr>
        <w:numId w:val="10"/>
      </w:numPr>
      <w:spacing w:before="100" w:beforeAutospacing="1" w:after="240"/>
      <w:jc w:val="both"/>
      <w:outlineLvl w:val="0"/>
    </w:pPr>
    <w:rPr>
      <w:caps/>
      <w:sz w:val="28"/>
    </w:rPr>
  </w:style>
  <w:style w:type="numbering" w:customStyle="1" w:styleId="ECHRA1StyleBulletedSquare">
    <w:name w:val="ECHR_A1_Style_Bulleted_Square"/>
    <w:basedOn w:val="NoList"/>
    <w:rsid w:val="007D3701"/>
    <w:pPr>
      <w:numPr>
        <w:numId w:val="4"/>
      </w:numPr>
    </w:pPr>
  </w:style>
  <w:style w:type="paragraph" w:customStyle="1" w:styleId="JuSigned">
    <w:name w:val="Ju_Signed"/>
    <w:aliases w:val="_Signature"/>
    <w:basedOn w:val="Normal"/>
    <w:next w:val="JuPara"/>
    <w:uiPriority w:val="31"/>
    <w:qFormat/>
    <w:rsid w:val="007D3701"/>
    <w:pPr>
      <w:tabs>
        <w:tab w:val="center" w:pos="851"/>
        <w:tab w:val="center" w:pos="6407"/>
      </w:tabs>
      <w:spacing w:before="720"/>
    </w:pPr>
  </w:style>
  <w:style w:type="paragraph" w:styleId="Title">
    <w:name w:val="Title"/>
    <w:basedOn w:val="Normal"/>
    <w:next w:val="Normal"/>
    <w:link w:val="TitleChar"/>
    <w:uiPriority w:val="98"/>
    <w:semiHidden/>
    <w:qFormat/>
    <w:rsid w:val="007D3701"/>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7D3701"/>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7D3701"/>
    <w:pPr>
      <w:numPr>
        <w:numId w:val="5"/>
      </w:numPr>
    </w:pPr>
  </w:style>
  <w:style w:type="numbering" w:customStyle="1" w:styleId="ECHRA1StyleNumberedList">
    <w:name w:val="ECHR_A1_Style_Numbered_List"/>
    <w:basedOn w:val="NoList"/>
    <w:rsid w:val="007D3701"/>
    <w:pPr>
      <w:numPr>
        <w:numId w:val="6"/>
      </w:numPr>
    </w:pPr>
  </w:style>
  <w:style w:type="table" w:customStyle="1" w:styleId="ECHRTable2019">
    <w:name w:val="ECHR_Table_2019"/>
    <w:basedOn w:val="TableNormal"/>
    <w:uiPriority w:val="99"/>
    <w:rsid w:val="007D3701"/>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7D3701"/>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Normal"/>
    <w:next w:val="JuPara"/>
    <w:uiPriority w:val="19"/>
    <w:qFormat/>
    <w:rsid w:val="007D3701"/>
    <w:pPr>
      <w:keepNext/>
      <w:keepLines/>
      <w:numPr>
        <w:ilvl w:val="1"/>
        <w:numId w:val="10"/>
      </w:numPr>
      <w:spacing w:before="100" w:beforeAutospacing="1" w:after="240"/>
      <w:jc w:val="both"/>
      <w:outlineLvl w:val="1"/>
    </w:pPr>
    <w:rPr>
      <w:caps/>
    </w:rPr>
  </w:style>
  <w:style w:type="paragraph" w:customStyle="1" w:styleId="JuHA">
    <w:name w:val="Ju_H_A"/>
    <w:aliases w:val="_Head_3,ECHR_Heading_2"/>
    <w:basedOn w:val="Normal"/>
    <w:next w:val="JuPara"/>
    <w:uiPriority w:val="20"/>
    <w:qFormat/>
    <w:rsid w:val="007D3701"/>
    <w:pPr>
      <w:keepNext/>
      <w:keepLines/>
      <w:numPr>
        <w:ilvl w:val="2"/>
        <w:numId w:val="10"/>
      </w:numPr>
      <w:spacing w:before="100" w:beforeAutospacing="1" w:after="240"/>
      <w:jc w:val="both"/>
      <w:outlineLvl w:val="2"/>
    </w:pPr>
    <w:rPr>
      <w:b/>
    </w:rPr>
  </w:style>
  <w:style w:type="paragraph" w:customStyle="1" w:styleId="JuH1">
    <w:name w:val="Ju_H_1."/>
    <w:aliases w:val="_Head_4,ECHR_Heading_3"/>
    <w:basedOn w:val="Normal"/>
    <w:next w:val="JuPara"/>
    <w:uiPriority w:val="21"/>
    <w:qFormat/>
    <w:rsid w:val="007D3701"/>
    <w:pPr>
      <w:keepNext/>
      <w:keepLines/>
      <w:numPr>
        <w:ilvl w:val="3"/>
        <w:numId w:val="10"/>
      </w:numPr>
      <w:spacing w:before="100" w:beforeAutospacing="1" w:after="120"/>
      <w:jc w:val="both"/>
      <w:outlineLvl w:val="3"/>
    </w:pPr>
    <w:rPr>
      <w:i/>
    </w:rPr>
  </w:style>
  <w:style w:type="paragraph" w:styleId="Header">
    <w:name w:val="header"/>
    <w:basedOn w:val="Normal"/>
    <w:link w:val="HeaderChar"/>
    <w:uiPriority w:val="98"/>
    <w:semiHidden/>
    <w:rsid w:val="007D3701"/>
    <w:pPr>
      <w:tabs>
        <w:tab w:val="center" w:pos="4536"/>
        <w:tab w:val="right" w:pos="9072"/>
      </w:tabs>
    </w:pPr>
  </w:style>
  <w:style w:type="character" w:customStyle="1" w:styleId="HeaderChar">
    <w:name w:val="Header Char"/>
    <w:basedOn w:val="DefaultParagraphFont"/>
    <w:link w:val="Header"/>
    <w:uiPriority w:val="98"/>
    <w:semiHidden/>
    <w:rsid w:val="007D3701"/>
    <w:rPr>
      <w:sz w:val="24"/>
      <w:szCs w:val="24"/>
      <w:lang w:val="bg-BG"/>
    </w:rPr>
  </w:style>
  <w:style w:type="character" w:customStyle="1" w:styleId="Heading1Char">
    <w:name w:val="Heading 1 Char"/>
    <w:basedOn w:val="DefaultParagraphFont"/>
    <w:link w:val="Heading1"/>
    <w:uiPriority w:val="98"/>
    <w:semiHidden/>
    <w:rsid w:val="007D3701"/>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Normal"/>
    <w:next w:val="JuPara"/>
    <w:uiPriority w:val="19"/>
    <w:rsid w:val="007D3701"/>
    <w:pPr>
      <w:keepNext/>
      <w:keepLines/>
      <w:numPr>
        <w:ilvl w:val="4"/>
        <w:numId w:val="10"/>
      </w:numPr>
      <w:spacing w:before="100" w:beforeAutospacing="1" w:after="120"/>
      <w:jc w:val="both"/>
      <w:outlineLvl w:val="4"/>
    </w:pPr>
    <w:rPr>
      <w:b/>
      <w:sz w:val="20"/>
    </w:rPr>
  </w:style>
  <w:style w:type="paragraph" w:customStyle="1" w:styleId="JuHi">
    <w:name w:val="Ju_H_i"/>
    <w:aliases w:val="_Head_6"/>
    <w:basedOn w:val="Normal"/>
    <w:next w:val="JuPara"/>
    <w:uiPriority w:val="19"/>
    <w:rsid w:val="007D3701"/>
    <w:pPr>
      <w:keepNext/>
      <w:keepLines/>
      <w:numPr>
        <w:ilvl w:val="5"/>
        <w:numId w:val="10"/>
      </w:numPr>
      <w:spacing w:before="100" w:beforeAutospacing="1" w:after="120"/>
      <w:jc w:val="both"/>
      <w:outlineLvl w:val="5"/>
    </w:pPr>
    <w:rPr>
      <w:i/>
      <w:sz w:val="20"/>
    </w:rPr>
  </w:style>
  <w:style w:type="character" w:customStyle="1" w:styleId="Heading2Char">
    <w:name w:val="Heading 2 Char"/>
    <w:basedOn w:val="DefaultParagraphFont"/>
    <w:link w:val="Heading2"/>
    <w:uiPriority w:val="98"/>
    <w:semiHidden/>
    <w:rsid w:val="007D3701"/>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Normal"/>
    <w:next w:val="JuPara"/>
    <w:uiPriority w:val="19"/>
    <w:rsid w:val="007D3701"/>
    <w:pPr>
      <w:keepNext/>
      <w:keepLines/>
      <w:numPr>
        <w:ilvl w:val="6"/>
        <w:numId w:val="10"/>
      </w:numPr>
      <w:spacing w:before="100" w:beforeAutospacing="1" w:after="120"/>
      <w:jc w:val="both"/>
      <w:outlineLvl w:val="6"/>
    </w:pPr>
    <w:rPr>
      <w:sz w:val="20"/>
    </w:rPr>
  </w:style>
  <w:style w:type="paragraph" w:customStyle="1" w:styleId="JuH">
    <w:name w:val="Ju_H_–"/>
    <w:aliases w:val="_Head_8"/>
    <w:basedOn w:val="Normal"/>
    <w:next w:val="JuPara"/>
    <w:uiPriority w:val="19"/>
    <w:rsid w:val="007D3701"/>
    <w:pPr>
      <w:keepNext/>
      <w:keepLines/>
      <w:numPr>
        <w:ilvl w:val="7"/>
        <w:numId w:val="10"/>
      </w:numPr>
      <w:spacing w:before="100" w:beforeAutospacing="1" w:after="120"/>
      <w:jc w:val="both"/>
      <w:outlineLvl w:val="7"/>
    </w:pPr>
    <w:rPr>
      <w:i/>
      <w:sz w:val="20"/>
    </w:rPr>
  </w:style>
  <w:style w:type="character" w:customStyle="1" w:styleId="Heading3Char">
    <w:name w:val="Heading 3 Char"/>
    <w:basedOn w:val="DefaultParagraphFont"/>
    <w:link w:val="Heading3"/>
    <w:uiPriority w:val="98"/>
    <w:semiHidden/>
    <w:rsid w:val="007D3701"/>
    <w:rPr>
      <w:rFonts w:asciiTheme="majorHAnsi" w:eastAsiaTheme="majorEastAsia" w:hAnsiTheme="majorHAnsi" w:cstheme="majorBidi"/>
      <w:b/>
      <w:bCs/>
      <w:color w:val="5F5F5F"/>
      <w:sz w:val="24"/>
      <w:szCs w:val="24"/>
      <w:lang w:val="bg-BG"/>
    </w:rPr>
  </w:style>
  <w:style w:type="paragraph" w:customStyle="1" w:styleId="JuParaLast">
    <w:name w:val="Ju_Para_Last"/>
    <w:aliases w:val="_Para_Spaced"/>
    <w:basedOn w:val="NormalJustified"/>
    <w:uiPriority w:val="5"/>
    <w:qFormat/>
    <w:rsid w:val="007D3701"/>
    <w:pPr>
      <w:keepNext/>
      <w:keepLines/>
      <w:spacing w:before="240" w:after="240"/>
      <w:ind w:firstLine="284"/>
    </w:pPr>
  </w:style>
  <w:style w:type="paragraph" w:customStyle="1" w:styleId="JuJudges">
    <w:name w:val="Ju_Judges"/>
    <w:aliases w:val="_Judges"/>
    <w:basedOn w:val="Normal"/>
    <w:uiPriority w:val="32"/>
    <w:qFormat/>
    <w:rsid w:val="007D3701"/>
    <w:pPr>
      <w:tabs>
        <w:tab w:val="left" w:pos="567"/>
        <w:tab w:val="left" w:pos="1134"/>
      </w:tabs>
    </w:pPr>
  </w:style>
  <w:style w:type="character" w:customStyle="1" w:styleId="Heading4Char">
    <w:name w:val="Heading 4 Char"/>
    <w:basedOn w:val="DefaultParagraphFont"/>
    <w:link w:val="Heading4"/>
    <w:uiPriority w:val="98"/>
    <w:semiHidden/>
    <w:rsid w:val="007D3701"/>
    <w:rPr>
      <w:rFonts w:asciiTheme="majorHAnsi" w:eastAsiaTheme="majorEastAsia" w:hAnsiTheme="majorHAnsi" w:cstheme="majorBidi"/>
      <w:b/>
      <w:bCs/>
      <w:i/>
      <w:iCs/>
      <w:color w:val="777777"/>
      <w:sz w:val="24"/>
      <w:szCs w:val="24"/>
      <w:lang w:val="bg-BG"/>
    </w:rPr>
  </w:style>
  <w:style w:type="paragraph" w:customStyle="1" w:styleId="JuInitialled">
    <w:name w:val="Ju_Initialled"/>
    <w:aliases w:val="_Right"/>
    <w:basedOn w:val="Normal"/>
    <w:uiPriority w:val="31"/>
    <w:qFormat/>
    <w:rsid w:val="007D3701"/>
    <w:pPr>
      <w:tabs>
        <w:tab w:val="center" w:pos="6407"/>
      </w:tabs>
      <w:spacing w:before="720"/>
      <w:jc w:val="right"/>
    </w:pPr>
  </w:style>
  <w:style w:type="character" w:customStyle="1" w:styleId="Heading5Char">
    <w:name w:val="Heading 5 Char"/>
    <w:basedOn w:val="DefaultParagraphFont"/>
    <w:link w:val="Heading5"/>
    <w:uiPriority w:val="98"/>
    <w:semiHidden/>
    <w:rsid w:val="007D3701"/>
    <w:rPr>
      <w:rFonts w:asciiTheme="majorHAnsi" w:eastAsiaTheme="majorEastAsia" w:hAnsiTheme="majorHAnsi" w:cstheme="majorBidi"/>
      <w:b/>
      <w:bCs/>
      <w:color w:val="808080"/>
      <w:sz w:val="24"/>
      <w:szCs w:val="24"/>
      <w:lang w:val="bg-BG"/>
    </w:rPr>
  </w:style>
  <w:style w:type="character" w:customStyle="1" w:styleId="JuITMark">
    <w:name w:val="Ju_ITMark"/>
    <w:aliases w:val="_ITMark"/>
    <w:basedOn w:val="DefaultParagraphFont"/>
    <w:uiPriority w:val="43"/>
    <w:qFormat/>
    <w:rsid w:val="007D3701"/>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7D3701"/>
    <w:rPr>
      <w:caps w:val="0"/>
      <w:smallCaps/>
    </w:rPr>
  </w:style>
  <w:style w:type="character" w:styleId="SubtleEmphasis">
    <w:name w:val="Subtle Emphasis"/>
    <w:uiPriority w:val="98"/>
    <w:semiHidden/>
    <w:qFormat/>
    <w:rsid w:val="007D3701"/>
    <w:rPr>
      <w:i/>
      <w:iCs/>
    </w:rPr>
  </w:style>
  <w:style w:type="table" w:customStyle="1" w:styleId="ECHRTable">
    <w:name w:val="ECHR_Table"/>
    <w:basedOn w:val="TableNormal"/>
    <w:rsid w:val="007D3701"/>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7D3701"/>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7D3701"/>
    <w:rPr>
      <w:b/>
      <w:bCs/>
      <w:i/>
      <w:iCs/>
      <w:spacing w:val="10"/>
      <w:bdr w:val="none" w:sz="0" w:space="0" w:color="auto"/>
      <w:shd w:val="clear" w:color="auto" w:fill="auto"/>
    </w:rPr>
  </w:style>
  <w:style w:type="paragraph" w:styleId="Footer0">
    <w:name w:val="footer"/>
    <w:basedOn w:val="Normal"/>
    <w:link w:val="FooterChar"/>
    <w:uiPriority w:val="98"/>
    <w:semiHidden/>
    <w:rsid w:val="007D3701"/>
    <w:pPr>
      <w:tabs>
        <w:tab w:val="center" w:pos="3686"/>
        <w:tab w:val="right" w:pos="7371"/>
      </w:tabs>
    </w:pPr>
  </w:style>
  <w:style w:type="character" w:customStyle="1" w:styleId="FooterChar">
    <w:name w:val="Footer Char"/>
    <w:basedOn w:val="DefaultParagraphFont"/>
    <w:link w:val="Footer0"/>
    <w:uiPriority w:val="98"/>
    <w:semiHidden/>
    <w:rsid w:val="007D3701"/>
    <w:rPr>
      <w:sz w:val="24"/>
      <w:szCs w:val="24"/>
      <w:lang w:val="bg-BG"/>
    </w:rPr>
  </w:style>
  <w:style w:type="character" w:styleId="FootnoteReference">
    <w:name w:val="footnote reference"/>
    <w:basedOn w:val="DefaultParagraphFont"/>
    <w:uiPriority w:val="98"/>
    <w:semiHidden/>
    <w:rsid w:val="007D3701"/>
    <w:rPr>
      <w:vertAlign w:val="superscript"/>
    </w:rPr>
  </w:style>
  <w:style w:type="paragraph" w:styleId="FootnoteText">
    <w:name w:val="footnote text"/>
    <w:basedOn w:val="Normal"/>
    <w:link w:val="FootnoteTextChar"/>
    <w:uiPriority w:val="98"/>
    <w:semiHidden/>
    <w:rsid w:val="007D3701"/>
    <w:rPr>
      <w:sz w:val="20"/>
      <w:szCs w:val="20"/>
    </w:rPr>
  </w:style>
  <w:style w:type="character" w:customStyle="1" w:styleId="FootnoteTextChar">
    <w:name w:val="Footnote Text Char"/>
    <w:basedOn w:val="DefaultParagraphFont"/>
    <w:link w:val="FootnoteText"/>
    <w:uiPriority w:val="98"/>
    <w:semiHidden/>
    <w:rsid w:val="007D3701"/>
    <w:rPr>
      <w:sz w:val="20"/>
      <w:szCs w:val="20"/>
      <w:lang w:val="bg-BG"/>
    </w:rPr>
  </w:style>
  <w:style w:type="character" w:customStyle="1" w:styleId="Heading6Char">
    <w:name w:val="Heading 6 Char"/>
    <w:basedOn w:val="DefaultParagraphFont"/>
    <w:link w:val="Heading6"/>
    <w:uiPriority w:val="98"/>
    <w:semiHidden/>
    <w:rsid w:val="007D3701"/>
    <w:rPr>
      <w:rFonts w:asciiTheme="majorHAnsi" w:eastAsiaTheme="majorEastAsia" w:hAnsiTheme="majorHAnsi" w:cstheme="majorBidi"/>
      <w:b/>
      <w:bCs/>
      <w:i/>
      <w:iCs/>
      <w:color w:val="7F7F7F" w:themeColor="text1" w:themeTint="80"/>
      <w:sz w:val="24"/>
      <w:szCs w:val="24"/>
      <w:lang w:val="bg-BG" w:bidi="en-US"/>
    </w:rPr>
  </w:style>
  <w:style w:type="character" w:customStyle="1" w:styleId="Heading7Char">
    <w:name w:val="Heading 7 Char"/>
    <w:basedOn w:val="DefaultParagraphFont"/>
    <w:link w:val="Heading7"/>
    <w:uiPriority w:val="98"/>
    <w:semiHidden/>
    <w:rsid w:val="007D3701"/>
    <w:rPr>
      <w:rFonts w:asciiTheme="majorHAnsi" w:eastAsiaTheme="majorEastAsia" w:hAnsiTheme="majorHAnsi" w:cstheme="majorBidi"/>
      <w:i/>
      <w:iCs/>
      <w:sz w:val="24"/>
      <w:szCs w:val="24"/>
      <w:lang w:val="bg-BG" w:bidi="en-US"/>
    </w:rPr>
  </w:style>
  <w:style w:type="character" w:customStyle="1" w:styleId="Heading8Char">
    <w:name w:val="Heading 8 Char"/>
    <w:basedOn w:val="DefaultParagraphFont"/>
    <w:link w:val="Heading8"/>
    <w:uiPriority w:val="98"/>
    <w:semiHidden/>
    <w:rsid w:val="007D3701"/>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7D3701"/>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7D3701"/>
    <w:rPr>
      <w:color w:val="0072BC" w:themeColor="hyperlink"/>
      <w:u w:val="single"/>
    </w:rPr>
  </w:style>
  <w:style w:type="character" w:styleId="IntenseEmphasis">
    <w:name w:val="Intense Emphasis"/>
    <w:uiPriority w:val="98"/>
    <w:semiHidden/>
    <w:qFormat/>
    <w:rsid w:val="007D3701"/>
    <w:rPr>
      <w:b/>
      <w:bCs/>
    </w:rPr>
  </w:style>
  <w:style w:type="paragraph" w:styleId="IntenseQuote">
    <w:name w:val="Intense Quote"/>
    <w:basedOn w:val="Normal"/>
    <w:next w:val="Normal"/>
    <w:link w:val="IntenseQuoteChar"/>
    <w:uiPriority w:val="98"/>
    <w:semiHidden/>
    <w:qFormat/>
    <w:rsid w:val="007D3701"/>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7D3701"/>
    <w:rPr>
      <w:b/>
      <w:bCs/>
      <w:i/>
      <w:iCs/>
      <w:sz w:val="24"/>
      <w:szCs w:val="24"/>
      <w:lang w:val="bg-BG" w:bidi="en-US"/>
    </w:rPr>
  </w:style>
  <w:style w:type="character" w:styleId="IntenseReference">
    <w:name w:val="Intense Reference"/>
    <w:uiPriority w:val="98"/>
    <w:semiHidden/>
    <w:qFormat/>
    <w:rsid w:val="007D3701"/>
    <w:rPr>
      <w:smallCaps/>
      <w:spacing w:val="5"/>
      <w:u w:val="single"/>
    </w:rPr>
  </w:style>
  <w:style w:type="paragraph" w:styleId="ListParagraph">
    <w:name w:val="List Paragraph"/>
    <w:basedOn w:val="Normal"/>
    <w:uiPriority w:val="98"/>
    <w:semiHidden/>
    <w:qFormat/>
    <w:rsid w:val="007D3701"/>
    <w:pPr>
      <w:ind w:left="720"/>
      <w:contextualSpacing/>
    </w:pPr>
  </w:style>
  <w:style w:type="table" w:customStyle="1" w:styleId="LtrTableAddress">
    <w:name w:val="Ltr_Table_Address"/>
    <w:aliases w:val="ECHR_Ltr_Table_Address"/>
    <w:basedOn w:val="TableNormal"/>
    <w:uiPriority w:val="99"/>
    <w:rsid w:val="007D3701"/>
    <w:rPr>
      <w:sz w:val="24"/>
      <w:szCs w:val="24"/>
    </w:rPr>
    <w:tblPr>
      <w:tblInd w:w="5103" w:type="dxa"/>
    </w:tblPr>
  </w:style>
  <w:style w:type="paragraph" w:styleId="Quote">
    <w:name w:val="Quote"/>
    <w:basedOn w:val="Normal"/>
    <w:next w:val="Normal"/>
    <w:link w:val="QuoteChar"/>
    <w:uiPriority w:val="98"/>
    <w:semiHidden/>
    <w:qFormat/>
    <w:rsid w:val="007D3701"/>
    <w:pPr>
      <w:spacing w:before="200"/>
      <w:ind w:left="360" w:right="360"/>
    </w:pPr>
    <w:rPr>
      <w:i/>
      <w:iCs/>
      <w:lang w:bidi="en-US"/>
    </w:rPr>
  </w:style>
  <w:style w:type="character" w:customStyle="1" w:styleId="QuoteChar">
    <w:name w:val="Quote Char"/>
    <w:basedOn w:val="DefaultParagraphFont"/>
    <w:link w:val="Quote"/>
    <w:uiPriority w:val="98"/>
    <w:semiHidden/>
    <w:rsid w:val="007D3701"/>
    <w:rPr>
      <w:i/>
      <w:iCs/>
      <w:sz w:val="24"/>
      <w:szCs w:val="24"/>
      <w:lang w:val="bg-BG" w:bidi="en-US"/>
    </w:rPr>
  </w:style>
  <w:style w:type="character" w:styleId="SubtleReference">
    <w:name w:val="Subtle Reference"/>
    <w:uiPriority w:val="98"/>
    <w:semiHidden/>
    <w:qFormat/>
    <w:rsid w:val="007D3701"/>
    <w:rPr>
      <w:smallCaps/>
    </w:rPr>
  </w:style>
  <w:style w:type="table" w:styleId="TableGrid">
    <w:name w:val="Table Grid"/>
    <w:basedOn w:val="TableNormal"/>
    <w:uiPriority w:val="59"/>
    <w:semiHidden/>
    <w:rsid w:val="007D3701"/>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7D3701"/>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7D3701"/>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7D3701"/>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7D3701"/>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7D3701"/>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7D3701"/>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7D3701"/>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7D3701"/>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7D3701"/>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7D3701"/>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7D3701"/>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7D3701"/>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7D3701"/>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7D3701"/>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7D3701"/>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7D3701"/>
    <w:pPr>
      <w:numPr>
        <w:numId w:val="1"/>
      </w:numPr>
    </w:pPr>
  </w:style>
  <w:style w:type="paragraph" w:customStyle="1" w:styleId="JuPara">
    <w:name w:val="Ju_Para"/>
    <w:aliases w:val="_Para,ECHR_Para"/>
    <w:basedOn w:val="NormalJustified"/>
    <w:link w:val="JuParaChar"/>
    <w:uiPriority w:val="4"/>
    <w:qFormat/>
    <w:rsid w:val="007D3701"/>
    <w:pPr>
      <w:ind w:firstLine="284"/>
    </w:pPr>
  </w:style>
  <w:style w:type="numbering" w:styleId="1ai">
    <w:name w:val="Outline List 1"/>
    <w:basedOn w:val="NoList"/>
    <w:uiPriority w:val="99"/>
    <w:semiHidden/>
    <w:unhideWhenUsed/>
    <w:rsid w:val="007D3701"/>
    <w:pPr>
      <w:numPr>
        <w:numId w:val="2"/>
      </w:numPr>
    </w:pPr>
  </w:style>
  <w:style w:type="table" w:customStyle="1" w:styleId="ECHRTableSimpleBox">
    <w:name w:val="ECHR_Table_Simple_Box"/>
    <w:basedOn w:val="TableNormal"/>
    <w:uiPriority w:val="99"/>
    <w:rsid w:val="007D3701"/>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7D3701"/>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7D3701"/>
    <w:pPr>
      <w:numPr>
        <w:numId w:val="3"/>
      </w:numPr>
    </w:pPr>
  </w:style>
  <w:style w:type="table" w:customStyle="1" w:styleId="ECHRTableForInternalUse">
    <w:name w:val="ECHR_Table_For_Internal_Use"/>
    <w:basedOn w:val="TableNormal"/>
    <w:uiPriority w:val="99"/>
    <w:rsid w:val="007D3701"/>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7D3701"/>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7D3701"/>
  </w:style>
  <w:style w:type="paragraph" w:styleId="BlockText">
    <w:name w:val="Block Text"/>
    <w:basedOn w:val="Normal"/>
    <w:uiPriority w:val="98"/>
    <w:semiHidden/>
    <w:rsid w:val="007D3701"/>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7D3701"/>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7D3701"/>
    <w:pPr>
      <w:spacing w:after="120"/>
    </w:pPr>
  </w:style>
  <w:style w:type="character" w:customStyle="1" w:styleId="BodyTextChar">
    <w:name w:val="Body Text Char"/>
    <w:basedOn w:val="DefaultParagraphFont"/>
    <w:link w:val="BodyText"/>
    <w:uiPriority w:val="98"/>
    <w:semiHidden/>
    <w:rsid w:val="007D3701"/>
    <w:rPr>
      <w:sz w:val="24"/>
      <w:szCs w:val="24"/>
      <w:lang w:val="bg-BG"/>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7D3701"/>
    <w:pPr>
      <w:spacing w:after="120" w:line="480" w:lineRule="auto"/>
    </w:pPr>
  </w:style>
  <w:style w:type="table" w:customStyle="1" w:styleId="ECHRHeaderTableReduced">
    <w:name w:val="ECHR_Header_Table_Reduced"/>
    <w:basedOn w:val="TableNormal"/>
    <w:uiPriority w:val="99"/>
    <w:rsid w:val="007D3701"/>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7D3701"/>
    <w:pPr>
      <w:ind w:firstLine="284"/>
    </w:pPr>
    <w:rPr>
      <w:b/>
    </w:rPr>
  </w:style>
  <w:style w:type="character" w:styleId="PageNumber">
    <w:name w:val="page number"/>
    <w:uiPriority w:val="98"/>
    <w:semiHidden/>
    <w:rsid w:val="007D3701"/>
    <w:rPr>
      <w:sz w:val="18"/>
    </w:rPr>
  </w:style>
  <w:style w:type="paragraph" w:styleId="ListBullet">
    <w:name w:val="List Bullet"/>
    <w:basedOn w:val="Normal"/>
    <w:uiPriority w:val="98"/>
    <w:semiHidden/>
    <w:rsid w:val="007D3701"/>
    <w:pPr>
      <w:numPr>
        <w:numId w:val="12"/>
      </w:numPr>
    </w:pPr>
  </w:style>
  <w:style w:type="paragraph" w:styleId="ListBullet3">
    <w:name w:val="List Bullet 3"/>
    <w:basedOn w:val="Normal"/>
    <w:uiPriority w:val="98"/>
    <w:semiHidden/>
    <w:rsid w:val="007D3701"/>
    <w:pPr>
      <w:numPr>
        <w:numId w:val="14"/>
      </w:numPr>
      <w:contextualSpacing/>
    </w:pPr>
  </w:style>
  <w:style w:type="character" w:customStyle="1" w:styleId="BodyText2Char">
    <w:name w:val="Body Text 2 Char"/>
    <w:basedOn w:val="DefaultParagraphFont"/>
    <w:link w:val="BodyText2"/>
    <w:uiPriority w:val="98"/>
    <w:semiHidden/>
    <w:rsid w:val="007D3701"/>
    <w:rPr>
      <w:sz w:val="24"/>
      <w:szCs w:val="24"/>
      <w:lang w:val="bg-BG"/>
    </w:rPr>
  </w:style>
  <w:style w:type="paragraph" w:styleId="BodyText3">
    <w:name w:val="Body Text 3"/>
    <w:basedOn w:val="Normal"/>
    <w:link w:val="BodyText3Char"/>
    <w:uiPriority w:val="98"/>
    <w:semiHidden/>
    <w:rsid w:val="007D3701"/>
    <w:pPr>
      <w:spacing w:after="120"/>
    </w:pPr>
    <w:rPr>
      <w:sz w:val="16"/>
      <w:szCs w:val="16"/>
    </w:rPr>
  </w:style>
  <w:style w:type="character" w:customStyle="1" w:styleId="BodyText3Char">
    <w:name w:val="Body Text 3 Char"/>
    <w:basedOn w:val="DefaultParagraphFont"/>
    <w:link w:val="BodyText3"/>
    <w:uiPriority w:val="98"/>
    <w:semiHidden/>
    <w:rsid w:val="007D3701"/>
    <w:rPr>
      <w:sz w:val="16"/>
      <w:szCs w:val="16"/>
      <w:lang w:val="bg-BG"/>
    </w:rPr>
  </w:style>
  <w:style w:type="paragraph" w:styleId="BodyTextFirstIndent">
    <w:name w:val="Body Text First Indent"/>
    <w:basedOn w:val="BodyText"/>
    <w:link w:val="BodyTextFirstIndentChar"/>
    <w:uiPriority w:val="98"/>
    <w:semiHidden/>
    <w:rsid w:val="007D3701"/>
    <w:pPr>
      <w:spacing w:after="0"/>
      <w:ind w:firstLine="360"/>
    </w:pPr>
  </w:style>
  <w:style w:type="character" w:customStyle="1" w:styleId="BodyTextFirstIndentChar">
    <w:name w:val="Body Text First Indent Char"/>
    <w:basedOn w:val="BodyTextChar"/>
    <w:link w:val="BodyTextFirstIndent"/>
    <w:uiPriority w:val="98"/>
    <w:semiHidden/>
    <w:rsid w:val="007D3701"/>
    <w:rPr>
      <w:sz w:val="24"/>
      <w:szCs w:val="24"/>
      <w:lang w:val="bg-BG"/>
    </w:rPr>
  </w:style>
  <w:style w:type="paragraph" w:styleId="BodyTextIndent">
    <w:name w:val="Body Text Indent"/>
    <w:basedOn w:val="Normal"/>
    <w:link w:val="BodyTextIndentChar"/>
    <w:uiPriority w:val="98"/>
    <w:semiHidden/>
    <w:rsid w:val="007D3701"/>
    <w:pPr>
      <w:spacing w:after="120"/>
      <w:ind w:left="283"/>
    </w:pPr>
  </w:style>
  <w:style w:type="character" w:customStyle="1" w:styleId="BodyTextIndentChar">
    <w:name w:val="Body Text Indent Char"/>
    <w:basedOn w:val="DefaultParagraphFont"/>
    <w:link w:val="BodyTextIndent"/>
    <w:uiPriority w:val="98"/>
    <w:semiHidden/>
    <w:rsid w:val="007D3701"/>
    <w:rPr>
      <w:sz w:val="24"/>
      <w:szCs w:val="24"/>
      <w:lang w:val="bg-BG"/>
    </w:rPr>
  </w:style>
  <w:style w:type="paragraph" w:styleId="BodyTextFirstIndent2">
    <w:name w:val="Body Text First Indent 2"/>
    <w:basedOn w:val="BodyTextIndent"/>
    <w:link w:val="BodyTextFirstIndent2Char"/>
    <w:uiPriority w:val="98"/>
    <w:semiHidden/>
    <w:rsid w:val="007D3701"/>
    <w:pPr>
      <w:spacing w:after="0"/>
      <w:ind w:left="360" w:firstLine="360"/>
    </w:pPr>
  </w:style>
  <w:style w:type="character" w:customStyle="1" w:styleId="BodyTextFirstIndent2Char">
    <w:name w:val="Body Text First Indent 2 Char"/>
    <w:basedOn w:val="BodyTextIndentChar"/>
    <w:link w:val="BodyTextFirstIndent2"/>
    <w:uiPriority w:val="98"/>
    <w:semiHidden/>
    <w:rsid w:val="007D3701"/>
    <w:rPr>
      <w:sz w:val="24"/>
      <w:szCs w:val="24"/>
      <w:lang w:val="bg-BG"/>
    </w:rPr>
  </w:style>
  <w:style w:type="paragraph" w:styleId="BodyTextIndent2">
    <w:name w:val="Body Text Indent 2"/>
    <w:basedOn w:val="Normal"/>
    <w:link w:val="BodyTextIndent2Char"/>
    <w:uiPriority w:val="98"/>
    <w:semiHidden/>
    <w:rsid w:val="007D3701"/>
    <w:pPr>
      <w:spacing w:after="120" w:line="480" w:lineRule="auto"/>
      <w:ind w:left="283"/>
    </w:pPr>
  </w:style>
  <w:style w:type="character" w:customStyle="1" w:styleId="BodyTextIndent2Char">
    <w:name w:val="Body Text Indent 2 Char"/>
    <w:basedOn w:val="DefaultParagraphFont"/>
    <w:link w:val="BodyTextIndent2"/>
    <w:uiPriority w:val="98"/>
    <w:semiHidden/>
    <w:rsid w:val="007D3701"/>
    <w:rPr>
      <w:sz w:val="24"/>
      <w:szCs w:val="24"/>
      <w:lang w:val="bg-BG"/>
    </w:rPr>
  </w:style>
  <w:style w:type="paragraph" w:styleId="BodyTextIndent3">
    <w:name w:val="Body Text Indent 3"/>
    <w:basedOn w:val="Normal"/>
    <w:link w:val="BodyTextIndent3Char"/>
    <w:uiPriority w:val="98"/>
    <w:semiHidden/>
    <w:rsid w:val="007D3701"/>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7D3701"/>
    <w:rPr>
      <w:sz w:val="16"/>
      <w:szCs w:val="16"/>
      <w:lang w:val="bg-BG"/>
    </w:rPr>
  </w:style>
  <w:style w:type="paragraph" w:styleId="Caption">
    <w:name w:val="caption"/>
    <w:basedOn w:val="Normal"/>
    <w:next w:val="Normal"/>
    <w:uiPriority w:val="98"/>
    <w:semiHidden/>
    <w:qFormat/>
    <w:rsid w:val="007D3701"/>
    <w:pPr>
      <w:spacing w:after="200"/>
    </w:pPr>
    <w:rPr>
      <w:b/>
      <w:bCs/>
      <w:color w:val="0072BC" w:themeColor="accent1"/>
      <w:sz w:val="18"/>
      <w:szCs w:val="18"/>
    </w:rPr>
  </w:style>
  <w:style w:type="paragraph" w:styleId="Closing">
    <w:name w:val="Closing"/>
    <w:basedOn w:val="Normal"/>
    <w:link w:val="ClosingChar"/>
    <w:uiPriority w:val="98"/>
    <w:semiHidden/>
    <w:rsid w:val="007D3701"/>
    <w:pPr>
      <w:ind w:left="4252"/>
    </w:pPr>
  </w:style>
  <w:style w:type="character" w:customStyle="1" w:styleId="ClosingChar">
    <w:name w:val="Closing Char"/>
    <w:basedOn w:val="DefaultParagraphFont"/>
    <w:link w:val="Closing"/>
    <w:uiPriority w:val="98"/>
    <w:semiHidden/>
    <w:rsid w:val="007D3701"/>
    <w:rPr>
      <w:sz w:val="24"/>
      <w:szCs w:val="24"/>
      <w:lang w:val="bg-BG"/>
    </w:rPr>
  </w:style>
  <w:style w:type="table" w:styleId="ColorfulGrid">
    <w:name w:val="Colorful Grid"/>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7D3701"/>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7D3701"/>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7D3701"/>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7D3701"/>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7D3701"/>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7D3701"/>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7D3701"/>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7D3701"/>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7D3701"/>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7D3701"/>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7D3701"/>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7D3701"/>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7D3701"/>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7D3701"/>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7D3701"/>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7D3701"/>
    <w:rPr>
      <w:sz w:val="16"/>
      <w:szCs w:val="16"/>
    </w:rPr>
  </w:style>
  <w:style w:type="paragraph" w:styleId="CommentText">
    <w:name w:val="annotation text"/>
    <w:basedOn w:val="Normal"/>
    <w:link w:val="CommentTextChar"/>
    <w:uiPriority w:val="98"/>
    <w:semiHidden/>
    <w:rsid w:val="007D3701"/>
    <w:rPr>
      <w:sz w:val="20"/>
      <w:szCs w:val="20"/>
    </w:rPr>
  </w:style>
  <w:style w:type="character" w:customStyle="1" w:styleId="CommentTextChar">
    <w:name w:val="Comment Text Char"/>
    <w:basedOn w:val="DefaultParagraphFont"/>
    <w:link w:val="CommentText"/>
    <w:uiPriority w:val="98"/>
    <w:semiHidden/>
    <w:rsid w:val="007D3701"/>
    <w:rPr>
      <w:sz w:val="20"/>
      <w:szCs w:val="20"/>
      <w:lang w:val="bg-BG"/>
    </w:rPr>
  </w:style>
  <w:style w:type="paragraph" w:styleId="CommentSubject">
    <w:name w:val="annotation subject"/>
    <w:basedOn w:val="CommentText"/>
    <w:next w:val="CommentText"/>
    <w:link w:val="CommentSubjectChar"/>
    <w:uiPriority w:val="98"/>
    <w:semiHidden/>
    <w:rsid w:val="007D3701"/>
    <w:rPr>
      <w:b/>
      <w:bCs/>
    </w:rPr>
  </w:style>
  <w:style w:type="character" w:customStyle="1" w:styleId="CommentSubjectChar">
    <w:name w:val="Comment Subject Char"/>
    <w:basedOn w:val="CommentTextChar"/>
    <w:link w:val="CommentSubject"/>
    <w:uiPriority w:val="98"/>
    <w:semiHidden/>
    <w:rsid w:val="007D3701"/>
    <w:rPr>
      <w:b/>
      <w:bCs/>
      <w:sz w:val="20"/>
      <w:szCs w:val="20"/>
      <w:lang w:val="bg-BG"/>
    </w:rPr>
  </w:style>
  <w:style w:type="table" w:styleId="DarkList">
    <w:name w:val="Dark List"/>
    <w:basedOn w:val="TableNormal"/>
    <w:uiPriority w:val="70"/>
    <w:semiHidden/>
    <w:rsid w:val="007D3701"/>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7D3701"/>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7D3701"/>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7D3701"/>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7D3701"/>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7D3701"/>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7D3701"/>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7D3701"/>
  </w:style>
  <w:style w:type="character" w:customStyle="1" w:styleId="DateChar">
    <w:name w:val="Date Char"/>
    <w:basedOn w:val="DefaultParagraphFont"/>
    <w:link w:val="Date"/>
    <w:uiPriority w:val="98"/>
    <w:semiHidden/>
    <w:rsid w:val="007D3701"/>
    <w:rPr>
      <w:sz w:val="24"/>
      <w:szCs w:val="24"/>
      <w:lang w:val="bg-BG"/>
    </w:rPr>
  </w:style>
  <w:style w:type="paragraph" w:styleId="DocumentMap">
    <w:name w:val="Document Map"/>
    <w:basedOn w:val="Normal"/>
    <w:link w:val="DocumentMapChar"/>
    <w:uiPriority w:val="98"/>
    <w:semiHidden/>
    <w:rsid w:val="007D3701"/>
    <w:rPr>
      <w:rFonts w:ascii="Tahoma" w:hAnsi="Tahoma" w:cs="Tahoma"/>
      <w:sz w:val="16"/>
      <w:szCs w:val="16"/>
    </w:rPr>
  </w:style>
  <w:style w:type="character" w:customStyle="1" w:styleId="DocumentMapChar">
    <w:name w:val="Document Map Char"/>
    <w:basedOn w:val="DefaultParagraphFont"/>
    <w:link w:val="DocumentMap"/>
    <w:uiPriority w:val="98"/>
    <w:semiHidden/>
    <w:rsid w:val="007D3701"/>
    <w:rPr>
      <w:rFonts w:ascii="Tahoma" w:hAnsi="Tahoma" w:cs="Tahoma"/>
      <w:sz w:val="16"/>
      <w:szCs w:val="16"/>
      <w:lang w:val="bg-BG"/>
    </w:rPr>
  </w:style>
  <w:style w:type="paragraph" w:styleId="E-mailSignature">
    <w:name w:val="E-mail Signature"/>
    <w:basedOn w:val="Normal"/>
    <w:link w:val="E-mailSignatureChar"/>
    <w:uiPriority w:val="98"/>
    <w:semiHidden/>
    <w:rsid w:val="007D3701"/>
  </w:style>
  <w:style w:type="character" w:customStyle="1" w:styleId="E-mailSignatureChar">
    <w:name w:val="E-mail Signature Char"/>
    <w:basedOn w:val="DefaultParagraphFont"/>
    <w:link w:val="E-mailSignature"/>
    <w:uiPriority w:val="98"/>
    <w:semiHidden/>
    <w:rsid w:val="007D3701"/>
    <w:rPr>
      <w:sz w:val="24"/>
      <w:szCs w:val="24"/>
      <w:lang w:val="bg-BG"/>
    </w:rPr>
  </w:style>
  <w:style w:type="character" w:styleId="EndnoteReference">
    <w:name w:val="endnote reference"/>
    <w:basedOn w:val="DefaultParagraphFont"/>
    <w:uiPriority w:val="98"/>
    <w:semiHidden/>
    <w:rsid w:val="007D3701"/>
    <w:rPr>
      <w:vertAlign w:val="superscript"/>
    </w:rPr>
  </w:style>
  <w:style w:type="paragraph" w:styleId="EndnoteText">
    <w:name w:val="endnote text"/>
    <w:basedOn w:val="Normal"/>
    <w:link w:val="EndnoteTextChar"/>
    <w:uiPriority w:val="98"/>
    <w:semiHidden/>
    <w:rsid w:val="007D3701"/>
    <w:rPr>
      <w:sz w:val="20"/>
      <w:szCs w:val="20"/>
    </w:rPr>
  </w:style>
  <w:style w:type="character" w:customStyle="1" w:styleId="EndnoteTextChar">
    <w:name w:val="Endnote Text Char"/>
    <w:basedOn w:val="DefaultParagraphFont"/>
    <w:link w:val="EndnoteText"/>
    <w:uiPriority w:val="98"/>
    <w:semiHidden/>
    <w:rsid w:val="007D3701"/>
    <w:rPr>
      <w:sz w:val="20"/>
      <w:szCs w:val="20"/>
      <w:lang w:val="bg-BG"/>
    </w:rPr>
  </w:style>
  <w:style w:type="paragraph" w:styleId="EnvelopeAddress">
    <w:name w:val="envelope address"/>
    <w:basedOn w:val="Normal"/>
    <w:uiPriority w:val="98"/>
    <w:semiHidden/>
    <w:rsid w:val="007D3701"/>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7D3701"/>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7D3701"/>
    <w:rPr>
      <w:color w:val="7030A0" w:themeColor="followedHyperlink"/>
      <w:u w:val="single"/>
    </w:rPr>
  </w:style>
  <w:style w:type="character" w:styleId="HTMLAcronym">
    <w:name w:val="HTML Acronym"/>
    <w:basedOn w:val="DefaultParagraphFont"/>
    <w:uiPriority w:val="98"/>
    <w:semiHidden/>
    <w:rsid w:val="007D3701"/>
  </w:style>
  <w:style w:type="paragraph" w:styleId="HTMLAddress">
    <w:name w:val="HTML Address"/>
    <w:basedOn w:val="Normal"/>
    <w:link w:val="HTMLAddressChar"/>
    <w:uiPriority w:val="98"/>
    <w:semiHidden/>
    <w:rsid w:val="007D3701"/>
    <w:rPr>
      <w:i/>
      <w:iCs/>
    </w:rPr>
  </w:style>
  <w:style w:type="character" w:customStyle="1" w:styleId="HTMLAddressChar">
    <w:name w:val="HTML Address Char"/>
    <w:basedOn w:val="DefaultParagraphFont"/>
    <w:link w:val="HTMLAddress"/>
    <w:uiPriority w:val="98"/>
    <w:semiHidden/>
    <w:rsid w:val="007D3701"/>
    <w:rPr>
      <w:i/>
      <w:iCs/>
      <w:sz w:val="24"/>
      <w:szCs w:val="24"/>
      <w:lang w:val="bg-BG"/>
    </w:rPr>
  </w:style>
  <w:style w:type="character" w:styleId="HTMLCite">
    <w:name w:val="HTML Cite"/>
    <w:basedOn w:val="DefaultParagraphFont"/>
    <w:uiPriority w:val="98"/>
    <w:semiHidden/>
    <w:rsid w:val="007D3701"/>
    <w:rPr>
      <w:i/>
      <w:iCs/>
    </w:rPr>
  </w:style>
  <w:style w:type="character" w:styleId="HTMLCode">
    <w:name w:val="HTML Code"/>
    <w:basedOn w:val="DefaultParagraphFont"/>
    <w:uiPriority w:val="98"/>
    <w:semiHidden/>
    <w:rsid w:val="007D3701"/>
    <w:rPr>
      <w:rFonts w:ascii="Consolas" w:hAnsi="Consolas" w:cs="Consolas"/>
      <w:sz w:val="20"/>
      <w:szCs w:val="20"/>
    </w:rPr>
  </w:style>
  <w:style w:type="character" w:styleId="HTMLDefinition">
    <w:name w:val="HTML Definition"/>
    <w:basedOn w:val="DefaultParagraphFont"/>
    <w:uiPriority w:val="98"/>
    <w:semiHidden/>
    <w:rsid w:val="007D3701"/>
    <w:rPr>
      <w:i/>
      <w:iCs/>
    </w:rPr>
  </w:style>
  <w:style w:type="character" w:styleId="HTMLKeyboard">
    <w:name w:val="HTML Keyboard"/>
    <w:basedOn w:val="DefaultParagraphFont"/>
    <w:uiPriority w:val="98"/>
    <w:semiHidden/>
    <w:rsid w:val="007D3701"/>
    <w:rPr>
      <w:rFonts w:ascii="Consolas" w:hAnsi="Consolas" w:cs="Consolas"/>
      <w:sz w:val="20"/>
      <w:szCs w:val="20"/>
    </w:rPr>
  </w:style>
  <w:style w:type="paragraph" w:styleId="HTMLPreformatted">
    <w:name w:val="HTML Preformatted"/>
    <w:basedOn w:val="Normal"/>
    <w:link w:val="HTMLPreformattedChar"/>
    <w:uiPriority w:val="98"/>
    <w:semiHidden/>
    <w:rsid w:val="007D3701"/>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7D3701"/>
    <w:rPr>
      <w:rFonts w:ascii="Consolas" w:hAnsi="Consolas" w:cs="Consolas"/>
      <w:sz w:val="20"/>
      <w:szCs w:val="20"/>
      <w:lang w:val="bg-BG"/>
    </w:rPr>
  </w:style>
  <w:style w:type="character" w:styleId="HTMLSample">
    <w:name w:val="HTML Sample"/>
    <w:basedOn w:val="DefaultParagraphFont"/>
    <w:uiPriority w:val="98"/>
    <w:semiHidden/>
    <w:rsid w:val="007D3701"/>
    <w:rPr>
      <w:rFonts w:ascii="Consolas" w:hAnsi="Consolas" w:cs="Consolas"/>
      <w:sz w:val="24"/>
      <w:szCs w:val="24"/>
    </w:rPr>
  </w:style>
  <w:style w:type="character" w:styleId="HTMLTypewriter">
    <w:name w:val="HTML Typewriter"/>
    <w:basedOn w:val="DefaultParagraphFont"/>
    <w:uiPriority w:val="98"/>
    <w:semiHidden/>
    <w:rsid w:val="007D3701"/>
    <w:rPr>
      <w:rFonts w:ascii="Consolas" w:hAnsi="Consolas" w:cs="Consolas"/>
      <w:sz w:val="20"/>
      <w:szCs w:val="20"/>
    </w:rPr>
  </w:style>
  <w:style w:type="character" w:styleId="HTMLVariable">
    <w:name w:val="HTML Variable"/>
    <w:basedOn w:val="DefaultParagraphFont"/>
    <w:uiPriority w:val="98"/>
    <w:semiHidden/>
    <w:rsid w:val="007D3701"/>
    <w:rPr>
      <w:i/>
      <w:iCs/>
    </w:rPr>
  </w:style>
  <w:style w:type="paragraph" w:styleId="Index1">
    <w:name w:val="index 1"/>
    <w:basedOn w:val="Normal"/>
    <w:next w:val="Normal"/>
    <w:autoRedefine/>
    <w:uiPriority w:val="98"/>
    <w:semiHidden/>
    <w:rsid w:val="007D3701"/>
    <w:pPr>
      <w:ind w:left="240" w:hanging="240"/>
    </w:pPr>
  </w:style>
  <w:style w:type="paragraph" w:styleId="Index2">
    <w:name w:val="index 2"/>
    <w:basedOn w:val="Normal"/>
    <w:next w:val="Normal"/>
    <w:autoRedefine/>
    <w:uiPriority w:val="98"/>
    <w:semiHidden/>
    <w:rsid w:val="007D3701"/>
    <w:pPr>
      <w:ind w:left="480" w:hanging="240"/>
    </w:pPr>
  </w:style>
  <w:style w:type="paragraph" w:styleId="Index3">
    <w:name w:val="index 3"/>
    <w:basedOn w:val="Normal"/>
    <w:next w:val="Normal"/>
    <w:autoRedefine/>
    <w:uiPriority w:val="98"/>
    <w:semiHidden/>
    <w:rsid w:val="007D3701"/>
    <w:pPr>
      <w:ind w:left="720" w:hanging="240"/>
    </w:pPr>
  </w:style>
  <w:style w:type="paragraph" w:styleId="Index4">
    <w:name w:val="index 4"/>
    <w:basedOn w:val="Normal"/>
    <w:next w:val="Normal"/>
    <w:autoRedefine/>
    <w:uiPriority w:val="98"/>
    <w:semiHidden/>
    <w:rsid w:val="007D3701"/>
    <w:pPr>
      <w:ind w:left="960" w:hanging="240"/>
    </w:pPr>
  </w:style>
  <w:style w:type="paragraph" w:styleId="Index5">
    <w:name w:val="index 5"/>
    <w:basedOn w:val="Normal"/>
    <w:next w:val="Normal"/>
    <w:autoRedefine/>
    <w:uiPriority w:val="98"/>
    <w:semiHidden/>
    <w:rsid w:val="007D3701"/>
    <w:pPr>
      <w:ind w:left="1200" w:hanging="240"/>
    </w:pPr>
  </w:style>
  <w:style w:type="paragraph" w:styleId="Index6">
    <w:name w:val="index 6"/>
    <w:basedOn w:val="Normal"/>
    <w:next w:val="Normal"/>
    <w:autoRedefine/>
    <w:uiPriority w:val="98"/>
    <w:semiHidden/>
    <w:rsid w:val="007D3701"/>
    <w:pPr>
      <w:ind w:left="1440" w:hanging="240"/>
    </w:pPr>
  </w:style>
  <w:style w:type="paragraph" w:styleId="Index7">
    <w:name w:val="index 7"/>
    <w:basedOn w:val="Normal"/>
    <w:next w:val="Normal"/>
    <w:autoRedefine/>
    <w:uiPriority w:val="98"/>
    <w:semiHidden/>
    <w:rsid w:val="007D3701"/>
    <w:pPr>
      <w:ind w:left="1680" w:hanging="240"/>
    </w:pPr>
  </w:style>
  <w:style w:type="paragraph" w:styleId="Index8">
    <w:name w:val="index 8"/>
    <w:basedOn w:val="Normal"/>
    <w:next w:val="Normal"/>
    <w:autoRedefine/>
    <w:uiPriority w:val="98"/>
    <w:semiHidden/>
    <w:rsid w:val="007D3701"/>
    <w:pPr>
      <w:ind w:left="1920" w:hanging="240"/>
    </w:pPr>
  </w:style>
  <w:style w:type="paragraph" w:styleId="Index9">
    <w:name w:val="index 9"/>
    <w:basedOn w:val="Normal"/>
    <w:next w:val="Normal"/>
    <w:autoRedefine/>
    <w:uiPriority w:val="98"/>
    <w:semiHidden/>
    <w:rsid w:val="007D3701"/>
    <w:pPr>
      <w:ind w:left="2160" w:hanging="240"/>
    </w:pPr>
  </w:style>
  <w:style w:type="paragraph" w:styleId="IndexHeading">
    <w:name w:val="index heading"/>
    <w:basedOn w:val="Normal"/>
    <w:next w:val="Index1"/>
    <w:uiPriority w:val="98"/>
    <w:semiHidden/>
    <w:rsid w:val="007D3701"/>
    <w:rPr>
      <w:rFonts w:asciiTheme="majorHAnsi" w:eastAsiaTheme="majorEastAsia" w:hAnsiTheme="majorHAnsi" w:cstheme="majorBidi"/>
      <w:b/>
      <w:bCs/>
    </w:rPr>
  </w:style>
  <w:style w:type="table" w:styleId="LightGrid">
    <w:name w:val="Light Grid"/>
    <w:basedOn w:val="TableNormal"/>
    <w:uiPriority w:val="62"/>
    <w:semiHidden/>
    <w:rsid w:val="007D3701"/>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7D3701"/>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7D3701"/>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7D3701"/>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7D3701"/>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7D3701"/>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7D3701"/>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7D3701"/>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7D3701"/>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7D3701"/>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7D3701"/>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7D3701"/>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7D3701"/>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7D3701"/>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7D3701"/>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7D3701"/>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7D3701"/>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7D3701"/>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7D3701"/>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7D3701"/>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7D3701"/>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7D3701"/>
  </w:style>
  <w:style w:type="paragraph" w:styleId="List">
    <w:name w:val="List"/>
    <w:basedOn w:val="Normal"/>
    <w:uiPriority w:val="98"/>
    <w:semiHidden/>
    <w:rsid w:val="007D3701"/>
    <w:pPr>
      <w:ind w:left="283" w:hanging="283"/>
      <w:contextualSpacing/>
    </w:pPr>
  </w:style>
  <w:style w:type="paragraph" w:styleId="List2">
    <w:name w:val="List 2"/>
    <w:basedOn w:val="Normal"/>
    <w:uiPriority w:val="98"/>
    <w:semiHidden/>
    <w:rsid w:val="007D3701"/>
    <w:pPr>
      <w:ind w:left="566" w:hanging="283"/>
      <w:contextualSpacing/>
    </w:pPr>
  </w:style>
  <w:style w:type="paragraph" w:styleId="List3">
    <w:name w:val="List 3"/>
    <w:basedOn w:val="Normal"/>
    <w:uiPriority w:val="98"/>
    <w:semiHidden/>
    <w:rsid w:val="007D3701"/>
    <w:pPr>
      <w:ind w:left="849" w:hanging="283"/>
      <w:contextualSpacing/>
    </w:pPr>
  </w:style>
  <w:style w:type="paragraph" w:styleId="List4">
    <w:name w:val="List 4"/>
    <w:basedOn w:val="Normal"/>
    <w:uiPriority w:val="98"/>
    <w:semiHidden/>
    <w:rsid w:val="007D3701"/>
    <w:pPr>
      <w:ind w:left="1132" w:hanging="283"/>
      <w:contextualSpacing/>
    </w:pPr>
  </w:style>
  <w:style w:type="paragraph" w:styleId="List5">
    <w:name w:val="List 5"/>
    <w:basedOn w:val="Normal"/>
    <w:uiPriority w:val="98"/>
    <w:semiHidden/>
    <w:rsid w:val="007D3701"/>
    <w:pPr>
      <w:ind w:left="1415" w:hanging="283"/>
      <w:contextualSpacing/>
    </w:pPr>
  </w:style>
  <w:style w:type="paragraph" w:styleId="ListBullet2">
    <w:name w:val="List Bullet 2"/>
    <w:basedOn w:val="Normal"/>
    <w:uiPriority w:val="98"/>
    <w:semiHidden/>
    <w:rsid w:val="007D3701"/>
    <w:pPr>
      <w:numPr>
        <w:numId w:val="13"/>
      </w:numPr>
      <w:contextualSpacing/>
    </w:pPr>
  </w:style>
  <w:style w:type="paragraph" w:styleId="ListBullet4">
    <w:name w:val="List Bullet 4"/>
    <w:basedOn w:val="Normal"/>
    <w:uiPriority w:val="98"/>
    <w:semiHidden/>
    <w:rsid w:val="007D3701"/>
    <w:pPr>
      <w:numPr>
        <w:numId w:val="15"/>
      </w:numPr>
      <w:contextualSpacing/>
    </w:pPr>
  </w:style>
  <w:style w:type="paragraph" w:styleId="ListBullet5">
    <w:name w:val="List Bullet 5"/>
    <w:basedOn w:val="Normal"/>
    <w:uiPriority w:val="98"/>
    <w:semiHidden/>
    <w:rsid w:val="007D3701"/>
    <w:pPr>
      <w:numPr>
        <w:numId w:val="16"/>
      </w:numPr>
      <w:contextualSpacing/>
    </w:pPr>
  </w:style>
  <w:style w:type="paragraph" w:styleId="ListContinue">
    <w:name w:val="List Continue"/>
    <w:basedOn w:val="Normal"/>
    <w:uiPriority w:val="98"/>
    <w:semiHidden/>
    <w:rsid w:val="007D3701"/>
    <w:pPr>
      <w:spacing w:after="120"/>
      <w:ind w:left="283"/>
      <w:contextualSpacing/>
    </w:pPr>
  </w:style>
  <w:style w:type="paragraph" w:styleId="ListContinue2">
    <w:name w:val="List Continue 2"/>
    <w:basedOn w:val="Normal"/>
    <w:uiPriority w:val="98"/>
    <w:semiHidden/>
    <w:rsid w:val="007D3701"/>
    <w:pPr>
      <w:spacing w:after="120"/>
      <w:ind w:left="566"/>
      <w:contextualSpacing/>
    </w:pPr>
  </w:style>
  <w:style w:type="paragraph" w:styleId="ListContinue3">
    <w:name w:val="List Continue 3"/>
    <w:basedOn w:val="Normal"/>
    <w:uiPriority w:val="98"/>
    <w:semiHidden/>
    <w:rsid w:val="007D3701"/>
    <w:pPr>
      <w:spacing w:after="120"/>
      <w:ind w:left="849"/>
      <w:contextualSpacing/>
    </w:pPr>
  </w:style>
  <w:style w:type="paragraph" w:styleId="ListContinue4">
    <w:name w:val="List Continue 4"/>
    <w:basedOn w:val="Normal"/>
    <w:uiPriority w:val="98"/>
    <w:semiHidden/>
    <w:rsid w:val="007D3701"/>
    <w:pPr>
      <w:spacing w:after="120"/>
      <w:ind w:left="1132"/>
      <w:contextualSpacing/>
    </w:pPr>
  </w:style>
  <w:style w:type="paragraph" w:styleId="ListContinue5">
    <w:name w:val="List Continue 5"/>
    <w:basedOn w:val="Normal"/>
    <w:uiPriority w:val="98"/>
    <w:semiHidden/>
    <w:rsid w:val="007D3701"/>
    <w:pPr>
      <w:spacing w:after="120"/>
      <w:ind w:left="1415"/>
      <w:contextualSpacing/>
    </w:pPr>
  </w:style>
  <w:style w:type="paragraph" w:styleId="ListNumber">
    <w:name w:val="List Number"/>
    <w:basedOn w:val="Normal"/>
    <w:uiPriority w:val="98"/>
    <w:semiHidden/>
    <w:rsid w:val="007D3701"/>
    <w:pPr>
      <w:numPr>
        <w:numId w:val="17"/>
      </w:numPr>
      <w:contextualSpacing/>
    </w:pPr>
  </w:style>
  <w:style w:type="paragraph" w:styleId="ListNumber2">
    <w:name w:val="List Number 2"/>
    <w:basedOn w:val="Normal"/>
    <w:uiPriority w:val="98"/>
    <w:semiHidden/>
    <w:rsid w:val="007D3701"/>
    <w:pPr>
      <w:numPr>
        <w:numId w:val="18"/>
      </w:numPr>
      <w:contextualSpacing/>
    </w:pPr>
  </w:style>
  <w:style w:type="paragraph" w:styleId="ListNumber3">
    <w:name w:val="List Number 3"/>
    <w:basedOn w:val="Normal"/>
    <w:uiPriority w:val="98"/>
    <w:semiHidden/>
    <w:rsid w:val="007D3701"/>
    <w:pPr>
      <w:numPr>
        <w:numId w:val="19"/>
      </w:numPr>
      <w:contextualSpacing/>
    </w:pPr>
  </w:style>
  <w:style w:type="paragraph" w:styleId="ListNumber4">
    <w:name w:val="List Number 4"/>
    <w:basedOn w:val="Normal"/>
    <w:uiPriority w:val="98"/>
    <w:semiHidden/>
    <w:rsid w:val="007D3701"/>
    <w:pPr>
      <w:numPr>
        <w:numId w:val="20"/>
      </w:numPr>
      <w:contextualSpacing/>
    </w:pPr>
  </w:style>
  <w:style w:type="paragraph" w:styleId="ListNumber5">
    <w:name w:val="List Number 5"/>
    <w:basedOn w:val="Normal"/>
    <w:uiPriority w:val="98"/>
    <w:semiHidden/>
    <w:rsid w:val="007D3701"/>
    <w:pPr>
      <w:numPr>
        <w:numId w:val="21"/>
      </w:numPr>
      <w:contextualSpacing/>
    </w:pPr>
  </w:style>
  <w:style w:type="paragraph" w:styleId="MacroText">
    <w:name w:val="macro"/>
    <w:link w:val="MacroTextChar"/>
    <w:uiPriority w:val="98"/>
    <w:semiHidden/>
    <w:rsid w:val="007D3701"/>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7D3701"/>
    <w:rPr>
      <w:rFonts w:ascii="Consolas" w:eastAsiaTheme="minorEastAsia" w:hAnsi="Consolas" w:cs="Consolas"/>
      <w:sz w:val="20"/>
      <w:szCs w:val="20"/>
    </w:rPr>
  </w:style>
  <w:style w:type="table" w:styleId="MediumGrid1">
    <w:name w:val="Medium Grid 1"/>
    <w:basedOn w:val="TableNormal"/>
    <w:uiPriority w:val="67"/>
    <w:semiHidden/>
    <w:rsid w:val="007D3701"/>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7D3701"/>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7D3701"/>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7D3701"/>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7D3701"/>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7D3701"/>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7D3701"/>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7D370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7D3701"/>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7D3701"/>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7D3701"/>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7D3701"/>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7D3701"/>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7D3701"/>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7D3701"/>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7D3701"/>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7D3701"/>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7D3701"/>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7D3701"/>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7D3701"/>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7D3701"/>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7D3701"/>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7D3701"/>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7D370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7D370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7D3701"/>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9"/>
    <w:semiHidden/>
    <w:rsid w:val="007D3701"/>
    <w:rPr>
      <w:rFonts w:ascii="Times New Roman" w:hAnsi="Times New Roman" w:cs="Times New Roman"/>
    </w:rPr>
  </w:style>
  <w:style w:type="paragraph" w:styleId="NormalIndent">
    <w:name w:val="Normal Indent"/>
    <w:basedOn w:val="Normal"/>
    <w:uiPriority w:val="98"/>
    <w:semiHidden/>
    <w:rsid w:val="007D3701"/>
    <w:pPr>
      <w:ind w:left="720"/>
    </w:pPr>
  </w:style>
  <w:style w:type="paragraph" w:styleId="NoteHeading">
    <w:name w:val="Note Heading"/>
    <w:basedOn w:val="Normal"/>
    <w:next w:val="Normal"/>
    <w:link w:val="NoteHeadingChar"/>
    <w:uiPriority w:val="98"/>
    <w:semiHidden/>
    <w:rsid w:val="007D3701"/>
  </w:style>
  <w:style w:type="character" w:customStyle="1" w:styleId="NoteHeadingChar">
    <w:name w:val="Note Heading Char"/>
    <w:basedOn w:val="DefaultParagraphFont"/>
    <w:link w:val="NoteHeading"/>
    <w:uiPriority w:val="98"/>
    <w:semiHidden/>
    <w:rsid w:val="007D3701"/>
    <w:rPr>
      <w:sz w:val="24"/>
      <w:szCs w:val="24"/>
      <w:lang w:val="bg-BG"/>
    </w:rPr>
  </w:style>
  <w:style w:type="character" w:styleId="PlaceholderText">
    <w:name w:val="Placeholder Text"/>
    <w:basedOn w:val="DefaultParagraphFont"/>
    <w:uiPriority w:val="98"/>
    <w:semiHidden/>
    <w:rsid w:val="007D3701"/>
    <w:rPr>
      <w:color w:val="auto"/>
      <w:bdr w:val="none" w:sz="0" w:space="0" w:color="auto"/>
      <w:shd w:val="clear" w:color="auto" w:fill="DFDFDF" w:themeFill="background2" w:themeFillShade="E6"/>
    </w:rPr>
  </w:style>
  <w:style w:type="paragraph" w:styleId="PlainText">
    <w:name w:val="Plain Text"/>
    <w:basedOn w:val="Normal"/>
    <w:link w:val="PlainTextChar"/>
    <w:uiPriority w:val="99"/>
    <w:semiHidden/>
    <w:rsid w:val="007D3701"/>
    <w:rPr>
      <w:rFonts w:ascii="Consolas" w:hAnsi="Consolas" w:cs="Consolas"/>
      <w:sz w:val="21"/>
      <w:szCs w:val="21"/>
    </w:rPr>
  </w:style>
  <w:style w:type="character" w:customStyle="1" w:styleId="PlainTextChar">
    <w:name w:val="Plain Text Char"/>
    <w:basedOn w:val="DefaultParagraphFont"/>
    <w:link w:val="PlainText"/>
    <w:uiPriority w:val="99"/>
    <w:semiHidden/>
    <w:rsid w:val="007D3701"/>
    <w:rPr>
      <w:rFonts w:ascii="Consolas" w:hAnsi="Consolas" w:cs="Consolas"/>
      <w:sz w:val="21"/>
      <w:szCs w:val="21"/>
      <w:lang w:val="bg-BG"/>
    </w:rPr>
  </w:style>
  <w:style w:type="paragraph" w:styleId="Salutation">
    <w:name w:val="Salutation"/>
    <w:basedOn w:val="Normal"/>
    <w:next w:val="Normal"/>
    <w:link w:val="SalutationChar"/>
    <w:uiPriority w:val="98"/>
    <w:semiHidden/>
    <w:rsid w:val="007D3701"/>
  </w:style>
  <w:style w:type="character" w:customStyle="1" w:styleId="SalutationChar">
    <w:name w:val="Salutation Char"/>
    <w:basedOn w:val="DefaultParagraphFont"/>
    <w:link w:val="Salutation"/>
    <w:uiPriority w:val="98"/>
    <w:semiHidden/>
    <w:rsid w:val="007D3701"/>
    <w:rPr>
      <w:sz w:val="24"/>
      <w:szCs w:val="24"/>
      <w:lang w:val="bg-BG"/>
    </w:rPr>
  </w:style>
  <w:style w:type="paragraph" w:styleId="Signature">
    <w:name w:val="Signature"/>
    <w:basedOn w:val="Normal"/>
    <w:link w:val="SignatureChar"/>
    <w:uiPriority w:val="98"/>
    <w:semiHidden/>
    <w:rsid w:val="007D3701"/>
    <w:pPr>
      <w:ind w:left="4252"/>
    </w:pPr>
  </w:style>
  <w:style w:type="character" w:customStyle="1" w:styleId="SignatureChar">
    <w:name w:val="Signature Char"/>
    <w:basedOn w:val="DefaultParagraphFont"/>
    <w:link w:val="Signature"/>
    <w:uiPriority w:val="98"/>
    <w:semiHidden/>
    <w:rsid w:val="007D3701"/>
    <w:rPr>
      <w:sz w:val="24"/>
      <w:szCs w:val="24"/>
      <w:lang w:val="bg-BG"/>
    </w:rPr>
  </w:style>
  <w:style w:type="table" w:styleId="Table3Deffects1">
    <w:name w:val="Table 3D effects 1"/>
    <w:basedOn w:val="TableNormal"/>
    <w:uiPriority w:val="99"/>
    <w:semiHidden/>
    <w:unhideWhenUsed/>
    <w:rsid w:val="007D3701"/>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D3701"/>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D3701"/>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D3701"/>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D3701"/>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D3701"/>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D3701"/>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D3701"/>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D3701"/>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D3701"/>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D3701"/>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D3701"/>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D3701"/>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D3701"/>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D3701"/>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D3701"/>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D3701"/>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D370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D3701"/>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D3701"/>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D3701"/>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D3701"/>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D3701"/>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D3701"/>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D3701"/>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D3701"/>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D3701"/>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D3701"/>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D3701"/>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D370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D3701"/>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D3701"/>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D3701"/>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7D3701"/>
    <w:pPr>
      <w:ind w:left="240" w:hanging="240"/>
    </w:pPr>
  </w:style>
  <w:style w:type="paragraph" w:styleId="TableofFigures">
    <w:name w:val="table of figures"/>
    <w:basedOn w:val="Normal"/>
    <w:next w:val="Normal"/>
    <w:uiPriority w:val="98"/>
    <w:semiHidden/>
    <w:rsid w:val="007D3701"/>
  </w:style>
  <w:style w:type="table" w:styleId="TableProfessional">
    <w:name w:val="Table Professional"/>
    <w:basedOn w:val="TableNormal"/>
    <w:uiPriority w:val="99"/>
    <w:semiHidden/>
    <w:unhideWhenUsed/>
    <w:rsid w:val="007D370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D3701"/>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D3701"/>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D3701"/>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D3701"/>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D3701"/>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D3701"/>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D3701"/>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D3701"/>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D3701"/>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7D3701"/>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7D3701"/>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7D3701"/>
    <w:pPr>
      <w:spacing w:after="100"/>
      <w:ind w:left="1680"/>
    </w:pPr>
  </w:style>
  <w:style w:type="paragraph" w:styleId="TOC9">
    <w:name w:val="toc 9"/>
    <w:basedOn w:val="Normal"/>
    <w:next w:val="Normal"/>
    <w:autoRedefine/>
    <w:uiPriority w:val="98"/>
    <w:semiHidden/>
    <w:rsid w:val="007D3701"/>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FooterLine">
    <w:name w:val="_Footer_Line"/>
    <w:aliases w:val="Footer_Line"/>
    <w:basedOn w:val="Normal"/>
    <w:next w:val="Footer"/>
    <w:uiPriority w:val="57"/>
    <w:semiHidden/>
    <w:rsid w:val="007D3701"/>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7D3701"/>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7D3701"/>
    <w:pPr>
      <w:keepNext/>
      <w:keepLines/>
      <w:spacing w:before="1320" w:after="280"/>
      <w:contextualSpacing/>
      <w:jc w:val="center"/>
    </w:pPr>
    <w:rPr>
      <w:b/>
    </w:rPr>
  </w:style>
  <w:style w:type="paragraph" w:customStyle="1" w:styleId="ECHRBullet1">
    <w:name w:val="ECHR_Bullet_1"/>
    <w:aliases w:val="_Bul_1"/>
    <w:basedOn w:val="NormalJustified"/>
    <w:uiPriority w:val="23"/>
    <w:semiHidden/>
    <w:qFormat/>
    <w:rsid w:val="007D3701"/>
    <w:pPr>
      <w:numPr>
        <w:numId w:val="7"/>
      </w:numPr>
      <w:spacing w:before="60" w:after="60"/>
    </w:pPr>
  </w:style>
  <w:style w:type="paragraph" w:customStyle="1" w:styleId="ECHRBullet2">
    <w:name w:val="ECHR_Bullet_2"/>
    <w:aliases w:val="_Bul_2"/>
    <w:basedOn w:val="ECHRBullet1"/>
    <w:uiPriority w:val="23"/>
    <w:semiHidden/>
    <w:rsid w:val="007D3701"/>
    <w:pPr>
      <w:numPr>
        <w:ilvl w:val="1"/>
      </w:numPr>
    </w:pPr>
  </w:style>
  <w:style w:type="paragraph" w:customStyle="1" w:styleId="ECHRBullet3">
    <w:name w:val="ECHR_Bullet_3"/>
    <w:aliases w:val="_Bul_3"/>
    <w:basedOn w:val="ECHRBullet2"/>
    <w:uiPriority w:val="23"/>
    <w:semiHidden/>
    <w:rsid w:val="007D3701"/>
    <w:pPr>
      <w:numPr>
        <w:ilvl w:val="2"/>
      </w:numPr>
    </w:pPr>
  </w:style>
  <w:style w:type="paragraph" w:customStyle="1" w:styleId="ECHRBullet4">
    <w:name w:val="ECHR_Bullet_4"/>
    <w:aliases w:val="_Bul_4"/>
    <w:basedOn w:val="ECHRBullet3"/>
    <w:uiPriority w:val="23"/>
    <w:semiHidden/>
    <w:rsid w:val="007D3701"/>
    <w:pPr>
      <w:numPr>
        <w:ilvl w:val="3"/>
      </w:numPr>
    </w:pPr>
  </w:style>
  <w:style w:type="paragraph" w:customStyle="1" w:styleId="ECHRConfidential">
    <w:name w:val="ECHR_Confidential"/>
    <w:aliases w:val="_Confidential"/>
    <w:basedOn w:val="Normal"/>
    <w:next w:val="Normal"/>
    <w:uiPriority w:val="42"/>
    <w:semiHidden/>
    <w:qFormat/>
    <w:rsid w:val="007D3701"/>
    <w:pPr>
      <w:jc w:val="right"/>
    </w:pPr>
    <w:rPr>
      <w:color w:val="C00000"/>
      <w:sz w:val="20"/>
    </w:rPr>
  </w:style>
  <w:style w:type="paragraph" w:customStyle="1" w:styleId="ECHRDecisionBody">
    <w:name w:val="ECHR_Decision_Body"/>
    <w:aliases w:val="_Decision_Body"/>
    <w:basedOn w:val="NormalJustified"/>
    <w:uiPriority w:val="54"/>
    <w:semiHidden/>
    <w:rsid w:val="007D3701"/>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7D3701"/>
    <w:pPr>
      <w:contextualSpacing/>
      <w:jc w:val="center"/>
    </w:pPr>
    <w:rPr>
      <w:rFonts w:ascii="Arial" w:hAnsi="Arial"/>
      <w:i/>
      <w:color w:val="0072BC" w:themeColor="accent1"/>
      <w:sz w:val="32"/>
    </w:rPr>
  </w:style>
  <w:style w:type="character" w:customStyle="1" w:styleId="ECHRDivisionNameChar">
    <w:name w:val="ECHR_DivisionName Char"/>
    <w:aliases w:val="_Div_Name Char"/>
    <w:basedOn w:val="DefaultParagraphFont"/>
    <w:link w:val="ECHRDivisionName"/>
    <w:uiPriority w:val="41"/>
    <w:semiHidden/>
    <w:rsid w:val="007D3701"/>
    <w:rPr>
      <w:rFonts w:ascii="Arial" w:hAnsi="Arial"/>
      <w:i/>
      <w:color w:val="0072BC" w:themeColor="accent1"/>
      <w:sz w:val="32"/>
      <w:szCs w:val="24"/>
      <w:lang w:val="bg-BG"/>
    </w:rPr>
  </w:style>
  <w:style w:type="paragraph" w:customStyle="1" w:styleId="ECHRFooterLineLandscape">
    <w:name w:val="ECHR_Footer_Line_Landscape"/>
    <w:aliases w:val="_Footer_Line_Landscape"/>
    <w:basedOn w:val="Normal"/>
    <w:uiPriority w:val="30"/>
    <w:semiHidden/>
    <w:rsid w:val="007D3701"/>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7D3701"/>
    <w:pPr>
      <w:jc w:val="right"/>
    </w:pPr>
    <w:rPr>
      <w:sz w:val="20"/>
    </w:rPr>
  </w:style>
  <w:style w:type="paragraph" w:customStyle="1" w:styleId="ECHRHeaderRefIt">
    <w:name w:val="ECHR_Header_Ref_It"/>
    <w:aliases w:val="_Ref_Ital"/>
    <w:basedOn w:val="Normal"/>
    <w:next w:val="ECHRHeaderDate"/>
    <w:uiPriority w:val="43"/>
    <w:qFormat/>
    <w:rsid w:val="007D3701"/>
    <w:pPr>
      <w:jc w:val="right"/>
    </w:pPr>
    <w:rPr>
      <w:i/>
      <w:sz w:val="20"/>
    </w:rPr>
  </w:style>
  <w:style w:type="paragraph" w:customStyle="1" w:styleId="ECHRHeading9">
    <w:name w:val="ECHR_Heading_9"/>
    <w:aliases w:val="_Head_9"/>
    <w:basedOn w:val="Heading9"/>
    <w:next w:val="Normal"/>
    <w:uiPriority w:val="17"/>
    <w:semiHidden/>
    <w:rsid w:val="007D3701"/>
    <w:pPr>
      <w:numPr>
        <w:numId w:val="10"/>
      </w:numPr>
    </w:pPr>
    <w:rPr>
      <w:i w:val="0"/>
      <w:sz w:val="18"/>
    </w:rPr>
  </w:style>
  <w:style w:type="paragraph" w:customStyle="1" w:styleId="ECHRLine">
    <w:name w:val="ECHR_Line"/>
    <w:aliases w:val="_Line"/>
    <w:basedOn w:val="NormalJustified"/>
    <w:next w:val="Normal"/>
    <w:uiPriority w:val="46"/>
    <w:semiHidden/>
    <w:rsid w:val="007D3701"/>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7D3701"/>
    <w:pPr>
      <w:numPr>
        <w:numId w:val="8"/>
      </w:numPr>
      <w:spacing w:before="60" w:after="60"/>
    </w:pPr>
  </w:style>
  <w:style w:type="paragraph" w:customStyle="1" w:styleId="ECHRNumberedList2">
    <w:name w:val="ECHR_Numbered_List_2"/>
    <w:aliases w:val="_Num_2"/>
    <w:basedOn w:val="ECHRNumberedList1"/>
    <w:uiPriority w:val="23"/>
    <w:semiHidden/>
    <w:rsid w:val="007D3701"/>
    <w:pPr>
      <w:numPr>
        <w:ilvl w:val="1"/>
      </w:numPr>
    </w:pPr>
  </w:style>
  <w:style w:type="paragraph" w:customStyle="1" w:styleId="ECHRNumberedList3">
    <w:name w:val="ECHR_Numbered_List_3"/>
    <w:aliases w:val="_Num_3"/>
    <w:basedOn w:val="ECHRNumberedList2"/>
    <w:uiPriority w:val="23"/>
    <w:semiHidden/>
    <w:rsid w:val="007D3701"/>
    <w:pPr>
      <w:numPr>
        <w:ilvl w:val="2"/>
      </w:numPr>
    </w:pPr>
  </w:style>
  <w:style w:type="paragraph" w:customStyle="1" w:styleId="ECHRParaHanging">
    <w:name w:val="ECHR_Para_Hanging"/>
    <w:aliases w:val="_Hanging"/>
    <w:basedOn w:val="Normal"/>
    <w:uiPriority w:val="8"/>
    <w:semiHidden/>
    <w:qFormat/>
    <w:rsid w:val="007D3701"/>
    <w:pPr>
      <w:ind w:left="567" w:hanging="567"/>
      <w:jc w:val="both"/>
    </w:pPr>
  </w:style>
  <w:style w:type="paragraph" w:customStyle="1" w:styleId="ECHRParaIndent">
    <w:name w:val="ECHR_Para_Indent"/>
    <w:aliases w:val="_Indent"/>
    <w:basedOn w:val="Normal"/>
    <w:uiPriority w:val="7"/>
    <w:semiHidden/>
    <w:qFormat/>
    <w:rsid w:val="007D3701"/>
    <w:pPr>
      <w:spacing w:before="120" w:after="120"/>
      <w:ind w:left="284"/>
      <w:jc w:val="both"/>
    </w:pPr>
  </w:style>
  <w:style w:type="character" w:customStyle="1" w:styleId="ECHRRed">
    <w:name w:val="ECHR_Red"/>
    <w:aliases w:val="_Red"/>
    <w:basedOn w:val="DefaultParagraphFont"/>
    <w:uiPriority w:val="15"/>
    <w:semiHidden/>
    <w:qFormat/>
    <w:rsid w:val="007D3701"/>
    <w:rPr>
      <w:color w:val="C00000" w:themeColor="accent2"/>
    </w:rPr>
  </w:style>
  <w:style w:type="paragraph" w:customStyle="1" w:styleId="ECHRSpacer">
    <w:name w:val="ECHR_Spacer"/>
    <w:aliases w:val="_Spacer"/>
    <w:basedOn w:val="Normal"/>
    <w:uiPriority w:val="45"/>
    <w:semiHidden/>
    <w:rsid w:val="007D3701"/>
    <w:rPr>
      <w:sz w:val="4"/>
    </w:rPr>
  </w:style>
  <w:style w:type="table" w:customStyle="1" w:styleId="ECHRTable2">
    <w:name w:val="ECHR_Table_2"/>
    <w:basedOn w:val="TableNormal"/>
    <w:uiPriority w:val="99"/>
    <w:rsid w:val="007D3701"/>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7D3701"/>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7D3701"/>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7D3701"/>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7D3701"/>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7D3701"/>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7D3701"/>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7D3701"/>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7D3701"/>
    <w:pPr>
      <w:outlineLvl w:val="0"/>
    </w:pPr>
  </w:style>
  <w:style w:type="paragraph" w:customStyle="1" w:styleId="ECHRTitleTOC1">
    <w:name w:val="ECHR_Title_TOC_1"/>
    <w:aliases w:val="_Title_L_TOC"/>
    <w:basedOn w:val="ECHRTitle1"/>
    <w:next w:val="Normal"/>
    <w:uiPriority w:val="27"/>
    <w:semiHidden/>
    <w:qFormat/>
    <w:rsid w:val="007D3701"/>
    <w:pPr>
      <w:outlineLvl w:val="0"/>
    </w:pPr>
  </w:style>
  <w:style w:type="character" w:customStyle="1" w:styleId="JuParaChar">
    <w:name w:val="Ju_Para Char"/>
    <w:aliases w:val="_Para Char,ECHR_Para Char"/>
    <w:link w:val="JuPara"/>
    <w:uiPriority w:val="8"/>
    <w:rsid w:val="008330EE"/>
    <w:rPr>
      <w:sz w:val="24"/>
      <w:szCs w:val="24"/>
      <w:lang w:val="bg-BG"/>
    </w:rPr>
  </w:style>
  <w:style w:type="character" w:customStyle="1" w:styleId="JuNames0">
    <w:name w:val="Ju_Names"/>
    <w:rsid w:val="008330EE"/>
    <w:rPr>
      <w:smallCaps/>
    </w:rPr>
  </w:style>
  <w:style w:type="paragraph" w:customStyle="1" w:styleId="JuList4">
    <w:name w:val="Ju_List_4"/>
    <w:aliases w:val="N_Bul_4"/>
    <w:basedOn w:val="JuListi"/>
    <w:uiPriority w:val="19"/>
    <w:rsid w:val="008330EE"/>
    <w:pPr>
      <w:numPr>
        <w:ilvl w:val="0"/>
        <w:numId w:val="0"/>
      </w:numPr>
      <w:tabs>
        <w:tab w:val="num" w:pos="1701"/>
      </w:tabs>
      <w:spacing w:before="60" w:after="60" w:line="240" w:lineRule="exact"/>
      <w:ind w:left="1703" w:hanging="284"/>
      <w:contextualSpacing/>
    </w:pPr>
    <w:rPr>
      <w:sz w:val="22"/>
      <w:lang w:eastAsia="fr-FR"/>
    </w:rPr>
  </w:style>
  <w:style w:type="paragraph" w:customStyle="1" w:styleId="jupara0">
    <w:name w:val="jupara"/>
    <w:basedOn w:val="Normal"/>
    <w:rsid w:val="009D3337"/>
    <w:pPr>
      <w:ind w:firstLine="284"/>
      <w:jc w:val="both"/>
    </w:pPr>
    <w:rPr>
      <w:rFonts w:ascii="Times New Roman" w:eastAsia="Times New Roman" w:hAnsi="Times New Roman" w:cs="Times New Roman"/>
      <w:lang w:eastAsia="en-GB"/>
    </w:rPr>
  </w:style>
  <w:style w:type="paragraph" w:customStyle="1" w:styleId="jucase0">
    <w:name w:val="jucase"/>
    <w:basedOn w:val="Normal"/>
    <w:rsid w:val="009D3337"/>
    <w:pPr>
      <w:ind w:firstLine="284"/>
      <w:jc w:val="both"/>
    </w:pPr>
    <w:rPr>
      <w:rFonts w:ascii="Times New Roman" w:eastAsia="Times New Roman" w:hAnsi="Times New Roman" w:cs="Times New Roman"/>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hudoc.echr.coe.int/eng"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hudoc.echr.coe.int/eng" TargetMode="External"/><Relationship Id="rId2" Type="http://schemas.openxmlformats.org/officeDocument/2006/relationships/numbering" Target="numbering.xml"/><Relationship Id="rId16" Type="http://schemas.openxmlformats.org/officeDocument/2006/relationships/hyperlink" Target="https://hudoc.echr.coe.int/eng"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udoc.echr.coe.int/eng"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hudoc.echr.coe.int/eng" TargetMode="Externa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5D998-7ADC-4B0F-88DA-3D07DD580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8290</Words>
  <Characters>47255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2021-03-11T09:33:00Z</dcterms:created>
  <dcterms:modified xsi:type="dcterms:W3CDTF">2021-03-11T09:33:00Z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