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40D" w:rsidRPr="00630D9D" w:rsidRDefault="0001240D" w:rsidP="00BA13D9">
      <w:pPr>
        <w:jc w:val="center"/>
      </w:pPr>
      <w:bookmarkStart w:id="0" w:name="_GoBack"/>
      <w:bookmarkEnd w:id="0"/>
    </w:p>
    <w:p w:rsidR="00104910" w:rsidRPr="00630D9D" w:rsidRDefault="00104910" w:rsidP="00BA13D9">
      <w:pPr>
        <w:jc w:val="center"/>
      </w:pPr>
    </w:p>
    <w:p w:rsidR="001A4238" w:rsidRPr="00AD66FE" w:rsidRDefault="00B64935" w:rsidP="00BA13D9">
      <w:pPr>
        <w:tabs>
          <w:tab w:val="left" w:pos="5529"/>
        </w:tabs>
        <w:jc w:val="center"/>
      </w:pPr>
      <w:r w:rsidRPr="00AD66FE">
        <w:t>ПЕТО ОТДЕЛЕНИЕ</w:t>
      </w:r>
    </w:p>
    <w:p w:rsidR="001A4238" w:rsidRPr="00AD66FE" w:rsidRDefault="001A4238" w:rsidP="00BA13D9">
      <w:pPr>
        <w:jc w:val="center"/>
      </w:pPr>
    </w:p>
    <w:p w:rsidR="001A4238" w:rsidRPr="00AD66FE" w:rsidRDefault="001A4238" w:rsidP="00BA13D9">
      <w:pPr>
        <w:jc w:val="center"/>
      </w:pPr>
    </w:p>
    <w:p w:rsidR="0001240D" w:rsidRPr="00AD66FE" w:rsidRDefault="0001240D" w:rsidP="00BA13D9">
      <w:pPr>
        <w:jc w:val="center"/>
      </w:pPr>
    </w:p>
    <w:p w:rsidR="001A4238" w:rsidRPr="00AD66FE" w:rsidRDefault="001A4238" w:rsidP="00BA13D9">
      <w:pPr>
        <w:jc w:val="center"/>
      </w:pPr>
    </w:p>
    <w:p w:rsidR="001A4238" w:rsidRPr="00AD66FE" w:rsidRDefault="00475200" w:rsidP="00BA13D9">
      <w:pPr>
        <w:jc w:val="center"/>
        <w:rPr>
          <w:b/>
        </w:rPr>
      </w:pPr>
      <w:r w:rsidRPr="00AD66FE">
        <w:rPr>
          <w:b/>
        </w:rPr>
        <w:t>ДЕЛО „АВЕНДИ“ ООД СРЕЩУ БЪЛГАРИЯ</w:t>
      </w:r>
    </w:p>
    <w:p w:rsidR="001A4238" w:rsidRPr="00AD66FE" w:rsidRDefault="001A4238" w:rsidP="00BA13D9">
      <w:pPr>
        <w:jc w:val="center"/>
        <w:rPr>
          <w:b/>
        </w:rPr>
      </w:pPr>
    </w:p>
    <w:p w:rsidR="001A4238" w:rsidRPr="00AD66FE" w:rsidRDefault="00475200" w:rsidP="00BA13D9">
      <w:pPr>
        <w:jc w:val="center"/>
        <w:rPr>
          <w:i/>
        </w:rPr>
      </w:pPr>
      <w:r w:rsidRPr="00AD66FE">
        <w:rPr>
          <w:i/>
        </w:rPr>
        <w:t>(Жалба № 48786/09)</w:t>
      </w:r>
    </w:p>
    <w:p w:rsidR="001A4238" w:rsidRPr="00AD66FE" w:rsidRDefault="001A4238" w:rsidP="00BA13D9">
      <w:pPr>
        <w:jc w:val="center"/>
        <w:rPr>
          <w:i/>
        </w:rPr>
      </w:pPr>
    </w:p>
    <w:p w:rsidR="00104910" w:rsidRPr="00AD66FE" w:rsidRDefault="00104910" w:rsidP="00BA13D9">
      <w:pPr>
        <w:jc w:val="center"/>
        <w:rPr>
          <w:i/>
        </w:rPr>
      </w:pPr>
    </w:p>
    <w:p w:rsidR="00104910" w:rsidRPr="00AD66FE" w:rsidRDefault="00104910" w:rsidP="00BA13D9">
      <w:pPr>
        <w:jc w:val="center"/>
        <w:rPr>
          <w:i/>
        </w:rPr>
      </w:pPr>
    </w:p>
    <w:p w:rsidR="001A4238" w:rsidRPr="00AD66FE" w:rsidRDefault="001A4238" w:rsidP="00BA13D9">
      <w:pPr>
        <w:jc w:val="center"/>
      </w:pPr>
    </w:p>
    <w:p w:rsidR="001A4238" w:rsidRPr="00AD66FE" w:rsidRDefault="001A4238" w:rsidP="00BA13D9">
      <w:pPr>
        <w:jc w:val="center"/>
      </w:pPr>
    </w:p>
    <w:p w:rsidR="001A4238" w:rsidRPr="00AD66FE" w:rsidRDefault="00475200" w:rsidP="00BA13D9">
      <w:pPr>
        <w:jc w:val="center"/>
        <w:outlineLvl w:val="0"/>
      </w:pPr>
      <w:r w:rsidRPr="00AD66FE">
        <w:t>РЕШЕНИЕ</w:t>
      </w:r>
    </w:p>
    <w:p w:rsidR="001A4238" w:rsidRPr="00AD66FE" w:rsidRDefault="00B64935" w:rsidP="00BA13D9">
      <w:pPr>
        <w:jc w:val="center"/>
        <w:rPr>
          <w:i/>
        </w:rPr>
      </w:pPr>
      <w:bookmarkStart w:id="1" w:name="JUDTYPE"/>
      <w:r w:rsidRPr="00AD66FE">
        <w:rPr>
          <w:i/>
        </w:rPr>
        <w:t>(</w:t>
      </w:r>
      <w:r w:rsidR="00EC2113" w:rsidRPr="00AD66FE">
        <w:rPr>
          <w:i/>
        </w:rPr>
        <w:t>Същество</w:t>
      </w:r>
      <w:r w:rsidRPr="00AD66FE">
        <w:rPr>
          <w:i/>
        </w:rPr>
        <w:t>)</w:t>
      </w:r>
      <w:bookmarkEnd w:id="1"/>
    </w:p>
    <w:p w:rsidR="001A4238" w:rsidRPr="00AD66FE" w:rsidRDefault="001A4238" w:rsidP="00BA13D9">
      <w:pPr>
        <w:jc w:val="center"/>
        <w:rPr>
          <w:i/>
        </w:rPr>
      </w:pPr>
    </w:p>
    <w:p w:rsidR="00104910" w:rsidRPr="00AD66FE" w:rsidRDefault="00104910" w:rsidP="00BA13D9">
      <w:pPr>
        <w:jc w:val="center"/>
        <w:rPr>
          <w:i/>
        </w:rPr>
      </w:pPr>
    </w:p>
    <w:p w:rsidR="004F4A0C" w:rsidRPr="00AD66FE" w:rsidRDefault="00EC2113" w:rsidP="00BA13D9">
      <w:pPr>
        <w:pBdr>
          <w:top w:val="single" w:sz="4" w:space="1" w:color="auto"/>
          <w:left w:val="single" w:sz="4" w:space="4" w:color="auto"/>
          <w:bottom w:val="single" w:sz="4" w:space="1" w:color="auto"/>
          <w:right w:val="single" w:sz="4" w:space="4" w:color="auto"/>
        </w:pBdr>
        <w:rPr>
          <w:rFonts w:cstheme="minorHAnsi"/>
          <w:i/>
          <w:sz w:val="22"/>
        </w:rPr>
      </w:pPr>
      <w:r w:rsidRPr="00AD66FE">
        <w:rPr>
          <w:color w:val="000000"/>
        </w:rPr>
        <w:t>Чл.</w:t>
      </w:r>
      <w:r w:rsidR="00A0729E" w:rsidRPr="00AD66FE">
        <w:rPr>
          <w:color w:val="000000"/>
        </w:rPr>
        <w:t xml:space="preserve"> 1 </w:t>
      </w:r>
      <w:r w:rsidR="000C5A30" w:rsidRPr="00AD66FE">
        <w:rPr>
          <w:color w:val="000000"/>
        </w:rPr>
        <w:t>П</w:t>
      </w:r>
      <w:r w:rsidR="00A0729E" w:rsidRPr="00AD66FE">
        <w:rPr>
          <w:color w:val="000000"/>
        </w:rPr>
        <w:t xml:space="preserve">1 • </w:t>
      </w:r>
      <w:r w:rsidR="00E547AB" w:rsidRPr="00AD66FE">
        <w:rPr>
          <w:color w:val="000000"/>
        </w:rPr>
        <w:t>Зачитане на притежания</w:t>
      </w:r>
      <w:r w:rsidR="00A0729E" w:rsidRPr="00AD66FE">
        <w:rPr>
          <w:color w:val="000000"/>
        </w:rPr>
        <w:t xml:space="preserve"> • </w:t>
      </w:r>
      <w:r w:rsidR="00A64D3F" w:rsidRPr="00AD66FE">
        <w:rPr>
          <w:color w:val="000000"/>
        </w:rPr>
        <w:t xml:space="preserve">Продължаващо задържане на стоки, които първоначално са иззети като доказателство по текущо наказателно производство срещу трети </w:t>
      </w:r>
      <w:r w:rsidR="00F43B68" w:rsidRPr="00AD66FE">
        <w:rPr>
          <w:color w:val="000000"/>
        </w:rPr>
        <w:t>лица</w:t>
      </w:r>
      <w:r w:rsidR="00DE096F" w:rsidRPr="00AD66FE">
        <w:rPr>
          <w:color w:val="000000"/>
        </w:rPr>
        <w:t>,</w:t>
      </w:r>
      <w:r w:rsidR="00A64D3F" w:rsidRPr="00AD66FE">
        <w:rPr>
          <w:color w:val="000000"/>
        </w:rPr>
        <w:t xml:space="preserve"> след като с окончателно решение се разпорежда връщане</w:t>
      </w:r>
      <w:r w:rsidR="00A0729E" w:rsidRPr="00AD66FE">
        <w:rPr>
          <w:color w:val="000000"/>
        </w:rPr>
        <w:t xml:space="preserve"> • </w:t>
      </w:r>
      <w:r w:rsidR="00A64D3F" w:rsidRPr="00AD66FE">
        <w:rPr>
          <w:color w:val="000000"/>
        </w:rPr>
        <w:t xml:space="preserve">Незаконна намеса в правата на </w:t>
      </w:r>
      <w:r w:rsidR="00630D9D" w:rsidRPr="00AD66FE">
        <w:rPr>
          <w:color w:val="000000"/>
        </w:rPr>
        <w:t>дружеството</w:t>
      </w:r>
      <w:r w:rsidR="00A64D3F" w:rsidRPr="00AD66FE">
        <w:rPr>
          <w:color w:val="000000"/>
        </w:rPr>
        <w:t xml:space="preserve"> жалбоподател</w:t>
      </w:r>
    </w:p>
    <w:p w:rsidR="004F4A0C" w:rsidRPr="00AD66FE" w:rsidRDefault="004F4A0C" w:rsidP="00BA13D9">
      <w:pPr>
        <w:jc w:val="center"/>
        <w:rPr>
          <w:i/>
        </w:rPr>
      </w:pPr>
    </w:p>
    <w:p w:rsidR="00104910" w:rsidRPr="00AD66FE" w:rsidRDefault="00104910" w:rsidP="00BA13D9">
      <w:pPr>
        <w:jc w:val="center"/>
        <w:rPr>
          <w:i/>
        </w:rPr>
      </w:pPr>
    </w:p>
    <w:p w:rsidR="001A4238" w:rsidRPr="00AD66FE" w:rsidRDefault="00475200" w:rsidP="00BA13D9">
      <w:pPr>
        <w:jc w:val="center"/>
        <w:outlineLvl w:val="0"/>
      </w:pPr>
      <w:r w:rsidRPr="00AD66FE">
        <w:t>СТРАСБУРГ</w:t>
      </w:r>
    </w:p>
    <w:p w:rsidR="001A4238" w:rsidRPr="00AD66FE" w:rsidRDefault="001A4238" w:rsidP="00BA13D9">
      <w:pPr>
        <w:jc w:val="center"/>
      </w:pPr>
    </w:p>
    <w:p w:rsidR="001A4238" w:rsidRPr="00AD66FE" w:rsidRDefault="00B64935" w:rsidP="00BA13D9">
      <w:pPr>
        <w:jc w:val="center"/>
      </w:pPr>
      <w:r w:rsidRPr="00AD66FE">
        <w:rPr>
          <w:rFonts w:ascii="Times New Roman" w:hAnsi="Times New Roman"/>
        </w:rPr>
        <w:t>4 юни 2020 г.</w:t>
      </w:r>
    </w:p>
    <w:p w:rsidR="001A4238" w:rsidRPr="00AD66FE" w:rsidRDefault="001A4238" w:rsidP="00BA13D9">
      <w:pPr>
        <w:jc w:val="center"/>
      </w:pPr>
    </w:p>
    <w:p w:rsidR="001A4238" w:rsidRPr="00AD66FE" w:rsidRDefault="001A4238" w:rsidP="00BA13D9">
      <w:pPr>
        <w:jc w:val="center"/>
      </w:pPr>
    </w:p>
    <w:p w:rsidR="000D3951" w:rsidRPr="00AD66FE" w:rsidRDefault="000D3951" w:rsidP="000D3951">
      <w:pPr>
        <w:pStyle w:val="jucase0"/>
        <w:ind w:firstLine="0"/>
        <w:jc w:val="center"/>
        <w:rPr>
          <w:color w:val="FF0000"/>
          <w:sz w:val="28"/>
          <w:szCs w:val="28"/>
          <w:u w:val="single"/>
        </w:rPr>
      </w:pPr>
      <w:r w:rsidRPr="00AD66FE">
        <w:rPr>
          <w:color w:val="FF0000"/>
          <w:sz w:val="28"/>
          <w:szCs w:val="28"/>
          <w:u w:val="single"/>
        </w:rPr>
        <w:t>ОКОНЧАТЕЛНО</w:t>
      </w:r>
    </w:p>
    <w:p w:rsidR="000D3951" w:rsidRPr="00AD66FE" w:rsidRDefault="000D3951" w:rsidP="000D3951">
      <w:pPr>
        <w:pStyle w:val="jucase0"/>
        <w:ind w:firstLine="0"/>
        <w:jc w:val="center"/>
        <w:rPr>
          <w:color w:val="FF0000"/>
          <w:u w:val="single"/>
        </w:rPr>
      </w:pPr>
    </w:p>
    <w:p w:rsidR="000D3951" w:rsidRPr="00AD66FE" w:rsidRDefault="000D3951" w:rsidP="000D3951">
      <w:pPr>
        <w:pStyle w:val="jucase0"/>
        <w:ind w:firstLine="0"/>
        <w:jc w:val="center"/>
        <w:rPr>
          <w:b w:val="0"/>
          <w:color w:val="FF0000"/>
          <w:sz w:val="28"/>
          <w:szCs w:val="28"/>
        </w:rPr>
      </w:pPr>
      <w:r w:rsidRPr="00AD66FE">
        <w:rPr>
          <w:b w:val="0"/>
          <w:color w:val="FF0000"/>
          <w:sz w:val="28"/>
          <w:szCs w:val="28"/>
        </w:rPr>
        <w:t>12.10.2020 г.</w:t>
      </w:r>
    </w:p>
    <w:p w:rsidR="000D3951" w:rsidRPr="00AD66FE" w:rsidRDefault="000D3951" w:rsidP="000D3951">
      <w:pPr>
        <w:pStyle w:val="jupara"/>
        <w:ind w:firstLine="0"/>
        <w:jc w:val="center"/>
      </w:pPr>
    </w:p>
    <w:p w:rsidR="000D3951" w:rsidRPr="00AD66FE" w:rsidRDefault="000D3951" w:rsidP="000D3951">
      <w:pPr>
        <w:jc w:val="left"/>
        <w:rPr>
          <w:i/>
          <w:iCs/>
          <w:sz w:val="22"/>
        </w:rPr>
      </w:pPr>
      <w:r w:rsidRPr="00AD66FE">
        <w:rPr>
          <w:i/>
          <w:iCs/>
          <w:sz w:val="22"/>
        </w:rPr>
        <w:t>Това решение е станало окончателно при условията на чл. 44, ал. 2 от Конвенцията. Може да бъде предмет на редакционни промени.</w:t>
      </w:r>
    </w:p>
    <w:p w:rsidR="00A0729E" w:rsidRPr="00AD66FE" w:rsidRDefault="00A0729E" w:rsidP="00BA13D9"/>
    <w:p w:rsidR="00104910" w:rsidRPr="00AD66FE" w:rsidRDefault="00104910" w:rsidP="00BA13D9">
      <w:pPr>
        <w:sectPr w:rsidR="00104910" w:rsidRPr="00AD66FE" w:rsidSect="00BF4546">
          <w:headerReference w:type="even" r:id="rId8"/>
          <w:headerReference w:type="default" r:id="rId9"/>
          <w:footerReference w:type="even" r:id="rId10"/>
          <w:footerReference w:type="default" r:id="rId11"/>
          <w:headerReference w:type="first" r:id="rId12"/>
          <w:footerReference w:type="first" r:id="rId13"/>
          <w:footnotePr>
            <w:numRestart w:val="eachSect"/>
          </w:footnotePr>
          <w:endnotePr>
            <w:numFmt w:val="decimal"/>
          </w:endnotePr>
          <w:pgSz w:w="11906" w:h="16838" w:code="9"/>
          <w:pgMar w:top="2274" w:right="2274" w:bottom="2274" w:left="2274" w:header="1701" w:footer="720" w:gutter="0"/>
          <w:pgNumType w:start="1"/>
          <w:cols w:space="720"/>
          <w:noEndnote/>
          <w:titlePg/>
        </w:sectPr>
      </w:pPr>
    </w:p>
    <w:p w:rsidR="001A4238" w:rsidRPr="00AD66FE" w:rsidRDefault="00475200" w:rsidP="00BA13D9">
      <w:pPr>
        <w:pStyle w:val="JuCase"/>
      </w:pPr>
      <w:r w:rsidRPr="00AD66FE">
        <w:lastRenderedPageBreak/>
        <w:t>По делото „Авенди“ ООД срещу България</w:t>
      </w:r>
    </w:p>
    <w:p w:rsidR="001A4238" w:rsidRPr="00AD66FE" w:rsidRDefault="00475200" w:rsidP="00BA13D9">
      <w:pPr>
        <w:pStyle w:val="ECHRPara"/>
      </w:pPr>
      <w:r w:rsidRPr="00AD66FE">
        <w:t>Европейският съд по правата на човека (Пето отделение), заседаващ като камара в състав:</w:t>
      </w:r>
    </w:p>
    <w:p w:rsidR="001A4238" w:rsidRPr="00AD66FE" w:rsidRDefault="002A3AD5" w:rsidP="00BA13D9">
      <w:pPr>
        <w:pStyle w:val="ECHRDecisionBody"/>
      </w:pPr>
      <w:r w:rsidRPr="00AD66FE">
        <w:tab/>
      </w:r>
      <w:proofErr w:type="spellStart"/>
      <w:r w:rsidR="002914C7" w:rsidRPr="00AD66FE">
        <w:t>Шифра</w:t>
      </w:r>
      <w:proofErr w:type="spellEnd"/>
      <w:r w:rsidR="002914C7" w:rsidRPr="00AD66FE">
        <w:t xml:space="preserve"> </w:t>
      </w:r>
      <w:proofErr w:type="spellStart"/>
      <w:r w:rsidR="002914C7" w:rsidRPr="00AD66FE">
        <w:t>О’Лиъри</w:t>
      </w:r>
      <w:proofErr w:type="spellEnd"/>
      <w:r w:rsidR="002914C7" w:rsidRPr="00AD66FE">
        <w:t xml:space="preserve"> [</w:t>
      </w:r>
      <w:proofErr w:type="spellStart"/>
      <w:r w:rsidRPr="00AD66FE">
        <w:t>Síofra</w:t>
      </w:r>
      <w:proofErr w:type="spellEnd"/>
      <w:r w:rsidRPr="00AD66FE">
        <w:t xml:space="preserve"> </w:t>
      </w:r>
      <w:proofErr w:type="spellStart"/>
      <w:r w:rsidRPr="00AD66FE">
        <w:t>O’Leary</w:t>
      </w:r>
      <w:proofErr w:type="spellEnd"/>
      <w:r w:rsidR="002914C7" w:rsidRPr="00AD66FE">
        <w:t>]</w:t>
      </w:r>
      <w:r w:rsidRPr="00AD66FE">
        <w:t>,</w:t>
      </w:r>
      <w:r w:rsidRPr="00AD66FE">
        <w:rPr>
          <w:i/>
        </w:rPr>
        <w:t xml:space="preserve"> </w:t>
      </w:r>
      <w:r w:rsidR="00EC2113" w:rsidRPr="00AD66FE">
        <w:rPr>
          <w:i/>
        </w:rPr>
        <w:t>председател</w:t>
      </w:r>
      <w:r w:rsidRPr="00AD66FE">
        <w:rPr>
          <w:i/>
        </w:rPr>
        <w:t>,</w:t>
      </w:r>
      <w:r w:rsidRPr="00AD66FE">
        <w:rPr>
          <w:i/>
        </w:rPr>
        <w:br/>
      </w:r>
      <w:r w:rsidRPr="00AD66FE">
        <w:tab/>
      </w:r>
      <w:r w:rsidR="002914C7" w:rsidRPr="00AD66FE">
        <w:t xml:space="preserve">Гана </w:t>
      </w:r>
      <w:proofErr w:type="spellStart"/>
      <w:r w:rsidR="002914C7" w:rsidRPr="00AD66FE">
        <w:t>Юдкивска</w:t>
      </w:r>
      <w:proofErr w:type="spellEnd"/>
      <w:r w:rsidR="002914C7" w:rsidRPr="00AD66FE">
        <w:t xml:space="preserve"> [</w:t>
      </w:r>
      <w:proofErr w:type="spellStart"/>
      <w:r w:rsidRPr="00AD66FE">
        <w:t>Ganna</w:t>
      </w:r>
      <w:proofErr w:type="spellEnd"/>
      <w:r w:rsidRPr="00AD66FE">
        <w:t xml:space="preserve"> </w:t>
      </w:r>
      <w:proofErr w:type="spellStart"/>
      <w:r w:rsidRPr="00AD66FE">
        <w:t>Yudkivska</w:t>
      </w:r>
      <w:proofErr w:type="spellEnd"/>
      <w:r w:rsidR="002914C7" w:rsidRPr="00AD66FE">
        <w:t>]</w:t>
      </w:r>
      <w:r w:rsidRPr="00AD66FE">
        <w:t>,</w:t>
      </w:r>
      <w:r w:rsidRPr="00AD66FE">
        <w:rPr>
          <w:i/>
        </w:rPr>
        <w:br/>
      </w:r>
      <w:r w:rsidRPr="00AD66FE">
        <w:tab/>
      </w:r>
      <w:r w:rsidR="002914C7" w:rsidRPr="00AD66FE">
        <w:t>Йонко Грозев [</w:t>
      </w:r>
      <w:proofErr w:type="spellStart"/>
      <w:r w:rsidRPr="00AD66FE">
        <w:t>Yonko</w:t>
      </w:r>
      <w:proofErr w:type="spellEnd"/>
      <w:r w:rsidRPr="00AD66FE">
        <w:t xml:space="preserve"> </w:t>
      </w:r>
      <w:proofErr w:type="spellStart"/>
      <w:r w:rsidRPr="00AD66FE">
        <w:t>Grozev</w:t>
      </w:r>
      <w:proofErr w:type="spellEnd"/>
      <w:r w:rsidR="002914C7" w:rsidRPr="00AD66FE">
        <w:t>]</w:t>
      </w:r>
      <w:r w:rsidRPr="00AD66FE">
        <w:t>,</w:t>
      </w:r>
      <w:r w:rsidRPr="00AD66FE">
        <w:rPr>
          <w:i/>
        </w:rPr>
        <w:br/>
      </w:r>
      <w:r w:rsidRPr="00AD66FE">
        <w:tab/>
      </w:r>
      <w:proofErr w:type="spellStart"/>
      <w:r w:rsidR="002914C7" w:rsidRPr="00AD66FE">
        <w:t>Мартин</w:t>
      </w:r>
      <w:r w:rsidR="004F7036" w:rsidRPr="00AD66FE">
        <w:t>ш</w:t>
      </w:r>
      <w:proofErr w:type="spellEnd"/>
      <w:r w:rsidR="002914C7" w:rsidRPr="00AD66FE">
        <w:t xml:space="preserve"> </w:t>
      </w:r>
      <w:proofErr w:type="spellStart"/>
      <w:r w:rsidR="002914C7" w:rsidRPr="00AD66FE">
        <w:t>Митс</w:t>
      </w:r>
      <w:proofErr w:type="spellEnd"/>
      <w:r w:rsidR="002914C7" w:rsidRPr="00AD66FE">
        <w:t xml:space="preserve"> [</w:t>
      </w:r>
      <w:proofErr w:type="spellStart"/>
      <w:r w:rsidRPr="00AD66FE">
        <w:t>Mārtiņš</w:t>
      </w:r>
      <w:proofErr w:type="spellEnd"/>
      <w:r w:rsidRPr="00AD66FE">
        <w:t xml:space="preserve"> </w:t>
      </w:r>
      <w:proofErr w:type="spellStart"/>
      <w:r w:rsidRPr="00AD66FE">
        <w:t>Mits</w:t>
      </w:r>
      <w:proofErr w:type="spellEnd"/>
      <w:r w:rsidR="002914C7" w:rsidRPr="00AD66FE">
        <w:t>]</w:t>
      </w:r>
      <w:r w:rsidRPr="00AD66FE">
        <w:t>,</w:t>
      </w:r>
      <w:r w:rsidRPr="00AD66FE">
        <w:rPr>
          <w:i/>
        </w:rPr>
        <w:br/>
      </w:r>
      <w:r w:rsidRPr="00AD66FE">
        <w:tab/>
      </w:r>
      <w:r w:rsidR="002914C7" w:rsidRPr="00AD66FE">
        <w:t>Л</w:t>
      </w:r>
      <w:r w:rsidR="00E43F2C" w:rsidRPr="00AD66FE">
        <w:t>е</w:t>
      </w:r>
      <w:r w:rsidR="002914C7" w:rsidRPr="00AD66FE">
        <w:t>тиф Хюсе</w:t>
      </w:r>
      <w:r w:rsidR="00E43F2C" w:rsidRPr="00AD66FE">
        <w:t>и</w:t>
      </w:r>
      <w:r w:rsidR="002914C7" w:rsidRPr="00AD66FE">
        <w:t>нов [</w:t>
      </w:r>
      <w:proofErr w:type="spellStart"/>
      <w:r w:rsidRPr="00AD66FE">
        <w:t>Lәtif</w:t>
      </w:r>
      <w:proofErr w:type="spellEnd"/>
      <w:r w:rsidRPr="00AD66FE">
        <w:t xml:space="preserve"> </w:t>
      </w:r>
      <w:proofErr w:type="spellStart"/>
      <w:r w:rsidRPr="00AD66FE">
        <w:t>Hüseynov</w:t>
      </w:r>
      <w:proofErr w:type="spellEnd"/>
      <w:r w:rsidR="002914C7" w:rsidRPr="00AD66FE">
        <w:t>]</w:t>
      </w:r>
      <w:r w:rsidRPr="00AD66FE">
        <w:t>,</w:t>
      </w:r>
      <w:r w:rsidRPr="00AD66FE">
        <w:rPr>
          <w:i/>
        </w:rPr>
        <w:br/>
      </w:r>
      <w:r w:rsidRPr="00AD66FE">
        <w:tab/>
      </w:r>
      <w:proofErr w:type="spellStart"/>
      <w:r w:rsidR="002914C7" w:rsidRPr="00AD66FE">
        <w:t>Ладо</w:t>
      </w:r>
      <w:proofErr w:type="spellEnd"/>
      <w:r w:rsidR="002914C7" w:rsidRPr="00AD66FE">
        <w:t xml:space="preserve"> </w:t>
      </w:r>
      <w:proofErr w:type="spellStart"/>
      <w:r w:rsidR="002914C7" w:rsidRPr="00AD66FE">
        <w:t>Чантурия</w:t>
      </w:r>
      <w:proofErr w:type="spellEnd"/>
      <w:r w:rsidR="002914C7" w:rsidRPr="00AD66FE">
        <w:t xml:space="preserve"> [</w:t>
      </w:r>
      <w:proofErr w:type="spellStart"/>
      <w:r w:rsidRPr="00AD66FE">
        <w:t>Lado</w:t>
      </w:r>
      <w:proofErr w:type="spellEnd"/>
      <w:r w:rsidRPr="00AD66FE">
        <w:t xml:space="preserve"> </w:t>
      </w:r>
      <w:proofErr w:type="spellStart"/>
      <w:r w:rsidRPr="00AD66FE">
        <w:t>Chanturia</w:t>
      </w:r>
      <w:proofErr w:type="spellEnd"/>
      <w:r w:rsidR="002914C7" w:rsidRPr="00AD66FE">
        <w:t>]</w:t>
      </w:r>
      <w:r w:rsidRPr="00AD66FE">
        <w:t>,</w:t>
      </w:r>
      <w:r w:rsidRPr="00AD66FE">
        <w:rPr>
          <w:i/>
        </w:rPr>
        <w:br/>
      </w:r>
      <w:r w:rsidRPr="00AD66FE">
        <w:tab/>
      </w:r>
      <w:proofErr w:type="spellStart"/>
      <w:r w:rsidR="002914C7" w:rsidRPr="00AD66FE">
        <w:t>Аня</w:t>
      </w:r>
      <w:proofErr w:type="spellEnd"/>
      <w:r w:rsidR="002914C7" w:rsidRPr="00AD66FE">
        <w:t xml:space="preserve"> </w:t>
      </w:r>
      <w:proofErr w:type="spellStart"/>
      <w:r w:rsidR="002914C7" w:rsidRPr="00AD66FE">
        <w:t>Сийберт</w:t>
      </w:r>
      <w:proofErr w:type="spellEnd"/>
      <w:r w:rsidR="002914C7" w:rsidRPr="00AD66FE">
        <w:t>-Фор [</w:t>
      </w:r>
      <w:proofErr w:type="spellStart"/>
      <w:r w:rsidRPr="00AD66FE">
        <w:t>Anja</w:t>
      </w:r>
      <w:proofErr w:type="spellEnd"/>
      <w:r w:rsidRPr="00AD66FE">
        <w:t xml:space="preserve"> </w:t>
      </w:r>
      <w:proofErr w:type="spellStart"/>
      <w:r w:rsidRPr="00AD66FE">
        <w:t>Seibert-Fohr</w:t>
      </w:r>
      <w:proofErr w:type="spellEnd"/>
      <w:r w:rsidR="002914C7" w:rsidRPr="00AD66FE">
        <w:t>]</w:t>
      </w:r>
      <w:r w:rsidRPr="00AD66FE">
        <w:t>,</w:t>
      </w:r>
      <w:r w:rsidRPr="00AD66FE">
        <w:rPr>
          <w:i/>
        </w:rPr>
        <w:t xml:space="preserve"> </w:t>
      </w:r>
      <w:r w:rsidR="00EC2113" w:rsidRPr="00AD66FE">
        <w:rPr>
          <w:i/>
        </w:rPr>
        <w:t>съдии</w:t>
      </w:r>
      <w:r w:rsidRPr="00AD66FE">
        <w:rPr>
          <w:i/>
        </w:rPr>
        <w:t>,</w:t>
      </w:r>
      <w:r w:rsidRPr="00AD66FE">
        <w:rPr>
          <w:i/>
        </w:rPr>
        <w:br/>
      </w:r>
      <w:r w:rsidR="00EC2113" w:rsidRPr="00AD66FE">
        <w:t>и</w:t>
      </w:r>
      <w:r w:rsidRPr="00AD66FE">
        <w:t xml:space="preserve"> </w:t>
      </w:r>
      <w:r w:rsidR="002914C7" w:rsidRPr="00AD66FE">
        <w:t xml:space="preserve">Виктор </w:t>
      </w:r>
      <w:proofErr w:type="spellStart"/>
      <w:r w:rsidR="002914C7" w:rsidRPr="00AD66FE">
        <w:t>Соловейчик</w:t>
      </w:r>
      <w:proofErr w:type="spellEnd"/>
      <w:r w:rsidR="002914C7" w:rsidRPr="00AD66FE">
        <w:t xml:space="preserve"> [</w:t>
      </w:r>
      <w:proofErr w:type="spellStart"/>
      <w:r w:rsidRPr="00AD66FE">
        <w:t>Victor</w:t>
      </w:r>
      <w:proofErr w:type="spellEnd"/>
      <w:r w:rsidRPr="00AD66FE">
        <w:t xml:space="preserve"> </w:t>
      </w:r>
      <w:proofErr w:type="spellStart"/>
      <w:r w:rsidRPr="00AD66FE">
        <w:t>Soloveytchik</w:t>
      </w:r>
      <w:proofErr w:type="spellEnd"/>
      <w:r w:rsidR="002914C7" w:rsidRPr="00AD66FE">
        <w:t>]</w:t>
      </w:r>
      <w:r w:rsidRPr="00AD66FE">
        <w:t xml:space="preserve">, </w:t>
      </w:r>
      <w:r w:rsidR="00630D9D" w:rsidRPr="00AD66FE">
        <w:rPr>
          <w:i/>
        </w:rPr>
        <w:t>замес</w:t>
      </w:r>
      <w:r w:rsidR="00EC2113" w:rsidRPr="00AD66FE">
        <w:rPr>
          <w:i/>
        </w:rPr>
        <w:t>тник-секретар на отделение</w:t>
      </w:r>
      <w:r w:rsidR="002914C7" w:rsidRPr="00AD66FE">
        <w:rPr>
          <w:i/>
        </w:rPr>
        <w:t>то</w:t>
      </w:r>
      <w:r w:rsidRPr="00AD66FE">
        <w:rPr>
          <w:i/>
        </w:rPr>
        <w:t>,</w:t>
      </w:r>
    </w:p>
    <w:p w:rsidR="001A4238" w:rsidRPr="00AD66FE" w:rsidRDefault="00EC2113" w:rsidP="00BA13D9">
      <w:pPr>
        <w:pStyle w:val="ECHRPara"/>
      </w:pPr>
      <w:bookmarkStart w:id="2" w:name="ITMARKHavingStart"/>
      <w:bookmarkEnd w:id="2"/>
      <w:r w:rsidRPr="00AD66FE">
        <w:t>с</w:t>
      </w:r>
      <w:r w:rsidR="00475200" w:rsidRPr="00AD66FE">
        <w:t>лед закрито заседание, проведено на 12 май 2020</w:t>
      </w:r>
      <w:r w:rsidR="00AA3B58" w:rsidRPr="00CE43FC">
        <w:t xml:space="preserve"> </w:t>
      </w:r>
      <w:r w:rsidR="00475200" w:rsidRPr="00AD66FE">
        <w:t>г.,</w:t>
      </w:r>
    </w:p>
    <w:p w:rsidR="001A4238" w:rsidRPr="00AD66FE" w:rsidRDefault="00EC2113" w:rsidP="00BA13D9">
      <w:pPr>
        <w:pStyle w:val="ECHRPara"/>
      </w:pPr>
      <w:r w:rsidRPr="00AD66FE">
        <w:t>п</w:t>
      </w:r>
      <w:r w:rsidR="00475200" w:rsidRPr="00AD66FE">
        <w:t>остановява следното решение, прието на същата дата:</w:t>
      </w:r>
    </w:p>
    <w:p w:rsidR="00B64935" w:rsidRPr="00AD66FE" w:rsidRDefault="00B64935" w:rsidP="00BA13D9">
      <w:pPr>
        <w:pStyle w:val="ECHRTitle1"/>
      </w:pPr>
      <w:r w:rsidRPr="00AD66FE">
        <w:t>ПРОЦЕДУРА</w:t>
      </w:r>
      <w:r w:rsidR="003B4265" w:rsidRPr="00AD66FE">
        <w:t>ТА</w:t>
      </w:r>
    </w:p>
    <w:p w:rsidR="00B64935" w:rsidRPr="00AD66FE" w:rsidRDefault="00D00517" w:rsidP="00BA13D9">
      <w:pPr>
        <w:pStyle w:val="ECHRPara"/>
      </w:pPr>
      <w:fldSimple w:instr=" SEQ level0 \*arabic ">
        <w:r w:rsidR="00D20DF1">
          <w:rPr>
            <w:noProof/>
          </w:rPr>
          <w:t>1</w:t>
        </w:r>
      </w:fldSimple>
      <w:r w:rsidR="00B64935" w:rsidRPr="00AD66FE">
        <w:t>.  Делото е образувано по жалба (№ 48786/09) срещу Република България, подадена в Съда на основание чл. 34 от Конвенцията за защита на правата на човека и основните свободи (</w:t>
      </w:r>
      <w:r w:rsidR="00E40221" w:rsidRPr="00AD66FE">
        <w:t>„</w:t>
      </w:r>
      <w:r w:rsidR="00B64935" w:rsidRPr="00AD66FE">
        <w:t>Конвенцията</w:t>
      </w:r>
      <w:r w:rsidR="00E40221" w:rsidRPr="00AD66FE">
        <w:t>“</w:t>
      </w:r>
      <w:r w:rsidR="00B64935" w:rsidRPr="00AD66FE">
        <w:t>) от българско дружество с ограничена отговорност, „Авенди“ ООД („дружеството жалбоподател“) със седалище в гр. София, на 24 август 2009 г.</w:t>
      </w:r>
    </w:p>
    <w:p w:rsidR="00B64935" w:rsidRPr="00AD66FE" w:rsidRDefault="00D00517" w:rsidP="00BA13D9">
      <w:pPr>
        <w:pStyle w:val="ECHRPara"/>
      </w:pPr>
      <w:fldSimple w:instr=" SEQ level0 \*arabic ">
        <w:r w:rsidR="00D20DF1">
          <w:rPr>
            <w:noProof/>
          </w:rPr>
          <w:t>2</w:t>
        </w:r>
      </w:fldSimple>
      <w:r w:rsidR="00B64935" w:rsidRPr="00AD66FE">
        <w:t xml:space="preserve">.  Дружеството жалбоподател се представлява от г-н Г. Калинов и г-н В. </w:t>
      </w:r>
      <w:proofErr w:type="spellStart"/>
      <w:r w:rsidR="00B64935" w:rsidRPr="00AD66FE">
        <w:t>Драмов</w:t>
      </w:r>
      <w:proofErr w:type="spellEnd"/>
      <w:r w:rsidR="00B64935" w:rsidRPr="00AD66FE">
        <w:t>, адвокати, практикуващи в София. Българското правителство („Правителството”) се представлява от правителствения агент г-жа М. Димитрова от Министерство на правосъдието.</w:t>
      </w:r>
    </w:p>
    <w:p w:rsidR="00B64935" w:rsidRPr="00AD66FE" w:rsidRDefault="00D00517" w:rsidP="00BA13D9">
      <w:pPr>
        <w:pStyle w:val="ECHRPara"/>
      </w:pPr>
      <w:fldSimple w:instr=" SEQ level0 \*arabic ">
        <w:r w:rsidR="00D20DF1">
          <w:rPr>
            <w:noProof/>
          </w:rPr>
          <w:t>3</w:t>
        </w:r>
      </w:fldSimple>
      <w:r w:rsidR="00B64935" w:rsidRPr="00AD66FE">
        <w:t>.  </w:t>
      </w:r>
      <w:r w:rsidR="00CE43FC">
        <w:t>Дружеството-</w:t>
      </w:r>
      <w:r w:rsidR="00E40221" w:rsidRPr="00AD66FE">
        <w:t xml:space="preserve">жалбоподател се оплаква от неизпълнение от </w:t>
      </w:r>
      <w:r w:rsidR="002612A7" w:rsidRPr="00AD66FE">
        <w:t xml:space="preserve">страна на </w:t>
      </w:r>
      <w:r w:rsidR="00E40221" w:rsidRPr="00AD66FE">
        <w:t>властите на окончателно съдебно решение на националния съд, с което се разпорежда връщането на</w:t>
      </w:r>
      <w:r w:rsidR="00275F9A" w:rsidRPr="00AD66FE">
        <w:t xml:space="preserve"> принадлежащ</w:t>
      </w:r>
      <w:r w:rsidR="004D1D57" w:rsidRPr="00AD66FE">
        <w:t>а</w:t>
      </w:r>
      <w:r w:rsidR="00275F9A" w:rsidRPr="00AD66FE">
        <w:t xml:space="preserve"> на дружеството сток</w:t>
      </w:r>
      <w:r w:rsidR="004D1D57" w:rsidRPr="00AD66FE">
        <w:t>а</w:t>
      </w:r>
      <w:r w:rsidR="00275F9A" w:rsidRPr="00AD66FE">
        <w:t>, ко</w:t>
      </w:r>
      <w:r w:rsidR="004D1D57" w:rsidRPr="00AD66FE">
        <w:t>я</w:t>
      </w:r>
      <w:r w:rsidR="00275F9A" w:rsidRPr="00AD66FE">
        <w:t xml:space="preserve">то </w:t>
      </w:r>
      <w:r w:rsidR="004D1D57" w:rsidRPr="00AD66FE">
        <w:t>е</w:t>
      </w:r>
      <w:r w:rsidR="00275F9A" w:rsidRPr="00AD66FE">
        <w:t xml:space="preserve"> бил</w:t>
      </w:r>
      <w:r w:rsidR="004D1D57" w:rsidRPr="00AD66FE">
        <w:t>а</w:t>
      </w:r>
      <w:r w:rsidR="00275F9A" w:rsidRPr="00AD66FE">
        <w:t xml:space="preserve"> иззет</w:t>
      </w:r>
      <w:r w:rsidR="004D1D57" w:rsidRPr="00AD66FE">
        <w:t>а</w:t>
      </w:r>
      <w:r w:rsidR="00275F9A" w:rsidRPr="00AD66FE">
        <w:t xml:space="preserve"> като доказателство в наказателно производство</w:t>
      </w:r>
      <w:r w:rsidR="00B64935" w:rsidRPr="00AD66FE">
        <w:t>.</w:t>
      </w:r>
      <w:r w:rsidR="00275F9A" w:rsidRPr="00AD66FE">
        <w:t xml:space="preserve"> Дружеството твърди, че в резултат на това е понесло </w:t>
      </w:r>
      <w:r w:rsidR="002612A7" w:rsidRPr="00AD66FE">
        <w:t>имуществени вреди</w:t>
      </w:r>
      <w:r w:rsidR="00275F9A" w:rsidRPr="00AD66FE">
        <w:t xml:space="preserve"> и няма ефективно правно средство на разположение в тази връзка</w:t>
      </w:r>
      <w:r w:rsidR="00B64935" w:rsidRPr="00AD66FE">
        <w:t>.</w:t>
      </w:r>
      <w:r w:rsidR="00CE43FC">
        <w:t xml:space="preserve"> Дружеството-</w:t>
      </w:r>
      <w:r w:rsidR="00275F9A" w:rsidRPr="00AD66FE">
        <w:t xml:space="preserve">жалбоподател се позовава на чл. </w:t>
      </w:r>
      <w:r w:rsidR="00B64935" w:rsidRPr="00AD66FE">
        <w:t>6 § 1</w:t>
      </w:r>
      <w:r w:rsidR="00275F9A" w:rsidRPr="00AD66FE">
        <w:t xml:space="preserve"> от Конвенцията и на чл. 1 от Протокол № 1 самостоятелно и във връзка с чл. </w:t>
      </w:r>
      <w:r w:rsidR="00B64935" w:rsidRPr="00AD66FE">
        <w:t xml:space="preserve">13 </w:t>
      </w:r>
      <w:r w:rsidR="00275F9A" w:rsidRPr="00AD66FE">
        <w:t>от Конвенцията</w:t>
      </w:r>
      <w:r w:rsidR="00B64935" w:rsidRPr="00AD66FE">
        <w:t>.</w:t>
      </w:r>
    </w:p>
    <w:p w:rsidR="00B64935" w:rsidRPr="00AD66FE" w:rsidRDefault="00D00517" w:rsidP="00BA13D9">
      <w:pPr>
        <w:pStyle w:val="ECHRPara"/>
      </w:pPr>
      <w:fldSimple w:instr=" SEQ level0 \*arabic ">
        <w:r w:rsidR="00D20DF1">
          <w:rPr>
            <w:noProof/>
          </w:rPr>
          <w:t>4</w:t>
        </w:r>
      </w:fldSimple>
      <w:r w:rsidR="00CE43FC">
        <w:t xml:space="preserve">.  На </w:t>
      </w:r>
      <w:r w:rsidR="00B64935" w:rsidRPr="00AD66FE">
        <w:t>8 ноември 2017</w:t>
      </w:r>
      <w:r w:rsidR="00FC7610" w:rsidRPr="00AD66FE">
        <w:t xml:space="preserve"> </w:t>
      </w:r>
      <w:r w:rsidR="00B64935" w:rsidRPr="00AD66FE">
        <w:t xml:space="preserve">г. Правителството е уведомено за </w:t>
      </w:r>
      <w:r w:rsidR="00CE43FC" w:rsidRPr="00CE43FC">
        <w:t>[</w:t>
      </w:r>
      <w:r w:rsidR="00CE43FC">
        <w:t>някои</w:t>
      </w:r>
      <w:r w:rsidR="00CE43FC" w:rsidRPr="00CE43FC">
        <w:t xml:space="preserve">] </w:t>
      </w:r>
      <w:r w:rsidR="00B64935" w:rsidRPr="00AD66FE">
        <w:t>оплаквания, а останалата част от жалбата е обявена за недопустима съгласно правило 54 § 3 от Правилника на Съда.</w:t>
      </w:r>
    </w:p>
    <w:p w:rsidR="00B64935" w:rsidRPr="00AD66FE" w:rsidRDefault="00B64935" w:rsidP="00BA13D9">
      <w:pPr>
        <w:pStyle w:val="ECHRTitle1"/>
      </w:pPr>
      <w:r w:rsidRPr="00AD66FE">
        <w:lastRenderedPageBreak/>
        <w:t>ФАКТИТЕ</w:t>
      </w:r>
    </w:p>
    <w:p w:rsidR="00B64935" w:rsidRPr="00AD66FE" w:rsidRDefault="00664BC2" w:rsidP="00BA13D9">
      <w:pPr>
        <w:pStyle w:val="ECHRHeading1"/>
      </w:pPr>
      <w:r w:rsidRPr="00AD66FE">
        <w:t>I.  ОБСТОЯТЕЛСТВА</w:t>
      </w:r>
      <w:r w:rsidR="00B64935" w:rsidRPr="00AD66FE">
        <w:t xml:space="preserve"> ПО ДЕЛОТО</w:t>
      </w:r>
    </w:p>
    <w:p w:rsidR="00B64935" w:rsidRPr="00AD66FE" w:rsidRDefault="00D00517" w:rsidP="00BA13D9">
      <w:pPr>
        <w:pStyle w:val="ECHRPara"/>
      </w:pPr>
      <w:fldSimple w:instr=" SEQ level0 \*arabic ">
        <w:r w:rsidR="00D20DF1">
          <w:rPr>
            <w:noProof/>
          </w:rPr>
          <w:t>5</w:t>
        </w:r>
      </w:fldSimple>
      <w:r w:rsidR="00B64935" w:rsidRPr="00AD66FE">
        <w:t>.  </w:t>
      </w:r>
      <w:r w:rsidR="00CE43FC">
        <w:t>Дружеството</w:t>
      </w:r>
      <w:r w:rsidR="00CE43FC" w:rsidRPr="00CE43FC">
        <w:t>-</w:t>
      </w:r>
      <w:r w:rsidR="00630D9D" w:rsidRPr="00AD66FE">
        <w:t>жалбоподател</w:t>
      </w:r>
      <w:r w:rsidR="00CE2513" w:rsidRPr="00AD66FE">
        <w:t xml:space="preserve"> търгува с алкохолни напитки, които подлежат на ак</w:t>
      </w:r>
      <w:r w:rsidR="004B2441" w:rsidRPr="00AD66FE">
        <w:t>ц</w:t>
      </w:r>
      <w:r w:rsidR="00CE2513" w:rsidRPr="00AD66FE">
        <w:t>из съг</w:t>
      </w:r>
      <w:r w:rsidR="004B2441" w:rsidRPr="00AD66FE">
        <w:t>л</w:t>
      </w:r>
      <w:r w:rsidR="00CE2513" w:rsidRPr="00AD66FE">
        <w:t>асно българското данъчно законодателство</w:t>
      </w:r>
      <w:r w:rsidR="00B64935" w:rsidRPr="00AD66FE">
        <w:t>.</w:t>
      </w:r>
    </w:p>
    <w:p w:rsidR="00B64935" w:rsidRPr="00AD66FE" w:rsidRDefault="00B64935" w:rsidP="00BA13D9">
      <w:pPr>
        <w:pStyle w:val="ECHRHeading2"/>
      </w:pPr>
      <w:r w:rsidRPr="00AD66FE">
        <w:t>A.  </w:t>
      </w:r>
      <w:r w:rsidR="00CE2513" w:rsidRPr="00AD66FE">
        <w:t>Изземване на сток</w:t>
      </w:r>
      <w:r w:rsidR="004D1D57" w:rsidRPr="00AD66FE">
        <w:t>а</w:t>
      </w:r>
      <w:r w:rsidR="00CE2513" w:rsidRPr="00AD66FE">
        <w:t xml:space="preserve"> на дружеството жалбоподател по наказателно производство срещу първата група трети страни</w:t>
      </w:r>
    </w:p>
    <w:bookmarkStart w:id="3" w:name="Para6"/>
    <w:p w:rsidR="00B64935" w:rsidRPr="00AD66FE" w:rsidRDefault="00B64935" w:rsidP="00BA13D9">
      <w:pPr>
        <w:pStyle w:val="ECHRPara"/>
        <w:tabs>
          <w:tab w:val="left" w:pos="2977"/>
        </w:tabs>
      </w:pPr>
      <w:r w:rsidRPr="00AD66FE">
        <w:fldChar w:fldCharType="begin"/>
      </w:r>
      <w:r w:rsidRPr="00AD66FE">
        <w:instrText xml:space="preserve"> SEQ level0 \*arabic </w:instrText>
      </w:r>
      <w:r w:rsidRPr="00AD66FE">
        <w:fldChar w:fldCharType="separate"/>
      </w:r>
      <w:r w:rsidR="00D20DF1">
        <w:rPr>
          <w:noProof/>
        </w:rPr>
        <w:t>6</w:t>
      </w:r>
      <w:r w:rsidRPr="00AD66FE">
        <w:fldChar w:fldCharType="end"/>
      </w:r>
      <w:bookmarkEnd w:id="3"/>
      <w:r w:rsidRPr="00AD66FE">
        <w:t>.  </w:t>
      </w:r>
      <w:r w:rsidR="00CE2513" w:rsidRPr="00AD66FE">
        <w:t>На</w:t>
      </w:r>
      <w:r w:rsidRPr="00AD66FE">
        <w:t xml:space="preserve"> 6 </w:t>
      </w:r>
      <w:r w:rsidR="00CE2513" w:rsidRPr="00AD66FE">
        <w:t xml:space="preserve">и </w:t>
      </w:r>
      <w:r w:rsidRPr="00AD66FE">
        <w:t xml:space="preserve">7 </w:t>
      </w:r>
      <w:r w:rsidR="00CE2513" w:rsidRPr="00AD66FE">
        <w:t xml:space="preserve">януари </w:t>
      </w:r>
      <w:r w:rsidRPr="00AD66FE">
        <w:t>2005</w:t>
      </w:r>
      <w:r w:rsidR="00CE2513" w:rsidRPr="00AD66FE">
        <w:t xml:space="preserve"> г. </w:t>
      </w:r>
      <w:r w:rsidR="00CE43FC">
        <w:t xml:space="preserve">местната </w:t>
      </w:r>
      <w:r w:rsidR="00CE2513" w:rsidRPr="00AD66FE">
        <w:t>полиция</w:t>
      </w:r>
      <w:r w:rsidR="00CE43FC">
        <w:t xml:space="preserve"> във</w:t>
      </w:r>
      <w:r w:rsidR="00CE2513" w:rsidRPr="00AD66FE">
        <w:t xml:space="preserve"> Варна провежда операция </w:t>
      </w:r>
      <w:r w:rsidR="00907EA7" w:rsidRPr="00AD66FE">
        <w:t>по</w:t>
      </w:r>
      <w:r w:rsidR="00CE2513" w:rsidRPr="00AD66FE">
        <w:t xml:space="preserve"> претърсване и изземване в склад, в който се съхранява сток</w:t>
      </w:r>
      <w:r w:rsidR="004D1D57" w:rsidRPr="00AD66FE">
        <w:t>а</w:t>
      </w:r>
      <w:r w:rsidR="00CE2513" w:rsidRPr="00AD66FE">
        <w:t>, притежава</w:t>
      </w:r>
      <w:r w:rsidR="004D1D57" w:rsidRPr="00AD66FE">
        <w:t>на</w:t>
      </w:r>
      <w:r w:rsidR="00CE43FC">
        <w:t xml:space="preserve"> от дружеството-</w:t>
      </w:r>
      <w:r w:rsidR="00CE2513" w:rsidRPr="00AD66FE">
        <w:t>жалбоподател</w:t>
      </w:r>
      <w:r w:rsidRPr="00AD66FE">
        <w:t>.</w:t>
      </w:r>
      <w:r w:rsidR="0084039C" w:rsidRPr="00AD66FE">
        <w:t xml:space="preserve"> По </w:t>
      </w:r>
      <w:r w:rsidR="00B97159" w:rsidRPr="00AD66FE">
        <w:t xml:space="preserve">време </w:t>
      </w:r>
      <w:r w:rsidR="0084039C" w:rsidRPr="00AD66FE">
        <w:t xml:space="preserve">на операцията изземва като доказателства </w:t>
      </w:r>
      <w:r w:rsidRPr="00AD66FE">
        <w:t>53</w:t>
      </w:r>
      <w:r w:rsidR="0084039C" w:rsidRPr="00AD66FE">
        <w:t> </w:t>
      </w:r>
      <w:r w:rsidRPr="00AD66FE">
        <w:t>857</w:t>
      </w:r>
      <w:r w:rsidR="0084039C" w:rsidRPr="00AD66FE">
        <w:t xml:space="preserve"> бутилки с алкохолни напитки от различни видове, сред които </w:t>
      </w:r>
      <w:r w:rsidRPr="00AD66FE">
        <w:t>26</w:t>
      </w:r>
      <w:r w:rsidR="0084039C" w:rsidRPr="00AD66FE">
        <w:t> </w:t>
      </w:r>
      <w:r w:rsidRPr="00AD66FE">
        <w:t>748</w:t>
      </w:r>
      <w:r w:rsidR="0084039C" w:rsidRPr="00AD66FE">
        <w:t xml:space="preserve"> бутилки крем ликьор  „</w:t>
      </w:r>
      <w:proofErr w:type="spellStart"/>
      <w:r w:rsidR="0084039C" w:rsidRPr="00AD66FE">
        <w:t>Бейлис</w:t>
      </w:r>
      <w:proofErr w:type="spellEnd"/>
      <w:r w:rsidR="0084039C" w:rsidRPr="00AD66FE">
        <w:t>“</w:t>
      </w:r>
      <w:r w:rsidR="00CE43FC">
        <w:t>, принадлежащи на дружеството-</w:t>
      </w:r>
      <w:r w:rsidR="004B2441" w:rsidRPr="00AD66FE">
        <w:t>жалбоподател</w:t>
      </w:r>
      <w:r w:rsidRPr="00AD66FE">
        <w:t>.</w:t>
      </w:r>
      <w:r w:rsidR="004B2441" w:rsidRPr="00AD66FE">
        <w:t xml:space="preserve"> Мярката е </w:t>
      </w:r>
      <w:r w:rsidR="005931DF" w:rsidRPr="00AD66FE">
        <w:t>предприета в хода на</w:t>
      </w:r>
      <w:r w:rsidR="004B2441" w:rsidRPr="00AD66FE">
        <w:t xml:space="preserve"> наказателно производство срещу трети </w:t>
      </w:r>
      <w:r w:rsidR="00F43B68" w:rsidRPr="00AD66FE">
        <w:t>лица</w:t>
      </w:r>
      <w:r w:rsidR="004B2441" w:rsidRPr="00AD66FE">
        <w:t xml:space="preserve"> – </w:t>
      </w:r>
      <w:r w:rsidRPr="00AD66FE">
        <w:t>M.M.</w:t>
      </w:r>
      <w:r w:rsidR="004B2441" w:rsidRPr="00AD66FE">
        <w:t xml:space="preserve"> и С.С. – по подозрения за съхраняване на акцизни стоки без задължителни акцизни бандероли</w:t>
      </w:r>
      <w:r w:rsidRPr="00AD66FE">
        <w:t>.</w:t>
      </w:r>
      <w:r w:rsidR="004B2441" w:rsidRPr="00AD66FE">
        <w:t xml:space="preserve"> След това </w:t>
      </w:r>
      <w:r w:rsidR="00630D9D" w:rsidRPr="00AD66FE">
        <w:t>иззетите</w:t>
      </w:r>
      <w:r w:rsidR="00CE43FC">
        <w:t xml:space="preserve"> напитки</w:t>
      </w:r>
      <w:r w:rsidRPr="00AD66FE">
        <w:t xml:space="preserve"> </w:t>
      </w:r>
      <w:r w:rsidR="004B2441" w:rsidRPr="00AD66FE">
        <w:t xml:space="preserve">се съхраняват в склад на </w:t>
      </w:r>
      <w:r w:rsidR="00E43F2C" w:rsidRPr="00AD66FE">
        <w:t xml:space="preserve">Регионална </w:t>
      </w:r>
      <w:r w:rsidR="00641CD7" w:rsidRPr="00AD66FE">
        <w:t>данъчна дирекция</w:t>
      </w:r>
      <w:r w:rsidR="00E43F2C" w:rsidRPr="00AD66FE">
        <w:t>-Добрич</w:t>
      </w:r>
      <w:r w:rsidRPr="00AD66FE">
        <w:t>.</w:t>
      </w:r>
    </w:p>
    <w:bookmarkStart w:id="4" w:name="Para7"/>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7</w:t>
      </w:r>
      <w:r w:rsidRPr="00AD66FE">
        <w:fldChar w:fldCharType="end"/>
      </w:r>
      <w:bookmarkEnd w:id="4"/>
      <w:r w:rsidRPr="00AD66FE">
        <w:t>.  </w:t>
      </w:r>
      <w:r w:rsidR="007B5DCB" w:rsidRPr="00AD66FE">
        <w:t>С решение от 7 ноември 2</w:t>
      </w:r>
      <w:r w:rsidRPr="00AD66FE">
        <w:t>005</w:t>
      </w:r>
      <w:r w:rsidR="007B5DCB" w:rsidRPr="00AD66FE">
        <w:t xml:space="preserve"> г. </w:t>
      </w:r>
      <w:r w:rsidR="005931DF" w:rsidRPr="00AD66FE">
        <w:t>Районен съд-Варна</w:t>
      </w:r>
      <w:r w:rsidR="007B5DCB" w:rsidRPr="00AD66FE">
        <w:t xml:space="preserve"> оправдава М.М. и С.С</w:t>
      </w:r>
      <w:r w:rsidRPr="00AD66FE">
        <w:t>.</w:t>
      </w:r>
      <w:r w:rsidR="007B5DCB" w:rsidRPr="00AD66FE">
        <w:t xml:space="preserve"> Това решение е потвърдено от </w:t>
      </w:r>
      <w:r w:rsidR="005931DF" w:rsidRPr="00AD66FE">
        <w:t>Окръжен съд-Варна</w:t>
      </w:r>
      <w:r w:rsidR="007B5DCB" w:rsidRPr="00AD66FE">
        <w:t xml:space="preserve"> на 17 април </w:t>
      </w:r>
      <w:r w:rsidRPr="00AD66FE">
        <w:t>2006</w:t>
      </w:r>
      <w:r w:rsidR="007B5DCB" w:rsidRPr="00AD66FE">
        <w:t xml:space="preserve"> г. и влиза в сила на 5 май </w:t>
      </w:r>
      <w:r w:rsidRPr="00AD66FE">
        <w:t>2006</w:t>
      </w:r>
      <w:r w:rsidR="007B5DCB" w:rsidRPr="00AD66FE">
        <w:t> г</w:t>
      </w:r>
      <w:r w:rsidRPr="00AD66FE">
        <w:t>.</w:t>
      </w:r>
    </w:p>
    <w:bookmarkStart w:id="5" w:name="Para8"/>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8</w:t>
      </w:r>
      <w:r w:rsidRPr="00AD66FE">
        <w:fldChar w:fldCharType="end"/>
      </w:r>
      <w:bookmarkEnd w:id="5"/>
      <w:r w:rsidRPr="00AD66FE">
        <w:t>.  </w:t>
      </w:r>
      <w:r w:rsidR="00CE43FC">
        <w:t>Междувременно дружеството-</w:t>
      </w:r>
      <w:r w:rsidR="00851E9F" w:rsidRPr="00AD66FE">
        <w:t xml:space="preserve">жалбоподател </w:t>
      </w:r>
      <w:r w:rsidR="005931DF" w:rsidRPr="00AD66FE">
        <w:t xml:space="preserve">иска </w:t>
      </w:r>
      <w:r w:rsidR="00851E9F" w:rsidRPr="00AD66FE">
        <w:t xml:space="preserve">връщането на стоката, иззета като доказателство, </w:t>
      </w:r>
      <w:r w:rsidR="005931DF" w:rsidRPr="00AD66FE">
        <w:t>твърдейки</w:t>
      </w:r>
      <w:r w:rsidR="00851E9F" w:rsidRPr="00AD66FE">
        <w:t>, че има опасност от изтичане на срока на годност на напитките</w:t>
      </w:r>
      <w:r w:rsidRPr="00AD66FE">
        <w:t xml:space="preserve">. </w:t>
      </w:r>
      <w:r w:rsidR="00E80FC6" w:rsidRPr="00AD66FE">
        <w:t xml:space="preserve">С решение от 21 ноември </w:t>
      </w:r>
      <w:r w:rsidRPr="00AD66FE">
        <w:t>2005</w:t>
      </w:r>
      <w:r w:rsidR="00E80FC6" w:rsidRPr="00AD66FE">
        <w:t xml:space="preserve"> г. </w:t>
      </w:r>
      <w:r w:rsidR="005931DF" w:rsidRPr="00AD66FE">
        <w:t>Районен съд-Варна</w:t>
      </w:r>
      <w:r w:rsidR="00E80FC6" w:rsidRPr="00AD66FE">
        <w:t xml:space="preserve"> отбелязва, че в решението си по същество от 7 ноември </w:t>
      </w:r>
      <w:r w:rsidRPr="00AD66FE">
        <w:t>2005</w:t>
      </w:r>
      <w:r w:rsidR="00E80FC6" w:rsidRPr="00AD66FE">
        <w:t xml:space="preserve"> г. </w:t>
      </w:r>
      <w:r w:rsidR="005931DF" w:rsidRPr="00AD66FE">
        <w:t>Окръжен съд-Варна</w:t>
      </w:r>
      <w:r w:rsidR="00E80FC6" w:rsidRPr="00AD66FE">
        <w:t xml:space="preserve"> </w:t>
      </w:r>
      <w:r w:rsidR="005931DF" w:rsidRPr="00AD66FE">
        <w:t xml:space="preserve">пропуска </w:t>
      </w:r>
      <w:r w:rsidR="00E80FC6" w:rsidRPr="00AD66FE">
        <w:t xml:space="preserve">да </w:t>
      </w:r>
      <w:r w:rsidR="00940EF6" w:rsidRPr="00AD66FE">
        <w:t>се произнесе</w:t>
      </w:r>
      <w:r w:rsidR="00E80FC6" w:rsidRPr="00AD66FE">
        <w:t xml:space="preserve"> по въпроса за иззетите бутилки и разпорежда връщането им на дружеството жалбоподател, </w:t>
      </w:r>
      <w:r w:rsidR="00D73F2C" w:rsidRPr="00AD66FE">
        <w:t>посочвайки</w:t>
      </w:r>
      <w:r w:rsidR="00E80FC6" w:rsidRPr="00AD66FE">
        <w:t xml:space="preserve"> </w:t>
      </w:r>
      <w:r w:rsidRPr="00AD66FE">
        <w:t>53</w:t>
      </w:r>
      <w:r w:rsidR="00E80FC6" w:rsidRPr="00AD66FE">
        <w:t> </w:t>
      </w:r>
      <w:r w:rsidRPr="00AD66FE">
        <w:t>857</w:t>
      </w:r>
      <w:r w:rsidR="00E80FC6" w:rsidRPr="00AD66FE">
        <w:t xml:space="preserve"> бутилки. Съдът взима предвид, че обвиняемите са оправдани и собствеността върху бутилките на дружеството жалбоподател</w:t>
      </w:r>
      <w:r w:rsidR="00D73F2C" w:rsidRPr="00AD66FE">
        <w:t xml:space="preserve"> не е оспорена</w:t>
      </w:r>
      <w:r w:rsidRPr="00AD66FE">
        <w:t>.</w:t>
      </w:r>
      <w:r w:rsidR="005F6B88" w:rsidRPr="00AD66FE">
        <w:t xml:space="preserve"> Решението </w:t>
      </w:r>
      <w:r w:rsidR="00CE43FC">
        <w:t xml:space="preserve">не </w:t>
      </w:r>
      <w:r w:rsidR="00D73F2C" w:rsidRPr="00AD66FE">
        <w:t>е обжалва</w:t>
      </w:r>
      <w:r w:rsidR="00CE43FC">
        <w:t>но</w:t>
      </w:r>
      <w:r w:rsidR="005F6B88" w:rsidRPr="00AD66FE">
        <w:t xml:space="preserve"> и влиза в сила на </w:t>
      </w:r>
      <w:r w:rsidRPr="00AD66FE">
        <w:t>7</w:t>
      </w:r>
      <w:r w:rsidR="005F6B88" w:rsidRPr="00AD66FE">
        <w:t xml:space="preserve"> декември </w:t>
      </w:r>
      <w:r w:rsidRPr="00AD66FE">
        <w:t>2005</w:t>
      </w:r>
      <w:r w:rsidR="005F6B88" w:rsidRPr="00AD66FE">
        <w:t> г</w:t>
      </w:r>
      <w:r w:rsidRPr="00AD66FE">
        <w:t>.</w:t>
      </w:r>
    </w:p>
    <w:p w:rsidR="00B64935" w:rsidRPr="00AD66FE" w:rsidRDefault="0098125A" w:rsidP="00BA13D9">
      <w:pPr>
        <w:pStyle w:val="ECHRHeading2"/>
      </w:pPr>
      <w:r w:rsidRPr="00AD66FE">
        <w:t>Б</w:t>
      </w:r>
      <w:r w:rsidR="00B64935" w:rsidRPr="00AD66FE">
        <w:t>.  </w:t>
      </w:r>
      <w:r w:rsidR="00B66020" w:rsidRPr="00AD66FE">
        <w:t>Административно производство срещу дружеството</w:t>
      </w:r>
      <w:r w:rsidR="00CE43FC">
        <w:t>-</w:t>
      </w:r>
      <w:r w:rsidR="00B66020" w:rsidRPr="00AD66FE">
        <w:t xml:space="preserve"> жалбоподател</w:t>
      </w:r>
    </w:p>
    <w:bookmarkStart w:id="6" w:name="Para9"/>
    <w:p w:rsidR="00B64935" w:rsidRPr="008E0A65"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9</w:t>
      </w:r>
      <w:r w:rsidRPr="00AD66FE">
        <w:fldChar w:fldCharType="end"/>
      </w:r>
      <w:bookmarkEnd w:id="6"/>
      <w:r w:rsidRPr="00AD66FE">
        <w:t>.  </w:t>
      </w:r>
      <w:r w:rsidR="00B66020" w:rsidRPr="00AD66FE">
        <w:t xml:space="preserve">Междувременно на 11 август </w:t>
      </w:r>
      <w:r w:rsidRPr="00AD66FE">
        <w:t>2005</w:t>
      </w:r>
      <w:r w:rsidR="00B66020" w:rsidRPr="00AD66FE">
        <w:t xml:space="preserve"> г. данъчните власти образуват административно производство </w:t>
      </w:r>
      <w:r w:rsidR="00630D9D" w:rsidRPr="00AD66FE">
        <w:t>срещу</w:t>
      </w:r>
      <w:r w:rsidR="00CE43FC">
        <w:t xml:space="preserve"> дружеството-</w:t>
      </w:r>
      <w:r w:rsidR="00B66020" w:rsidRPr="00AD66FE">
        <w:t xml:space="preserve">жалбоподател по Закона за акцизите </w:t>
      </w:r>
      <w:r w:rsidR="00CE43FC">
        <w:t>относно</w:t>
      </w:r>
      <w:r w:rsidR="00491921" w:rsidRPr="00AD66FE">
        <w:t xml:space="preserve"> съхраняване на акцизни стоки без необходимите бандероли. В акт за административно наруш</w:t>
      </w:r>
      <w:r w:rsidR="000621D8">
        <w:t>ение, издаден срещу дружеството-</w:t>
      </w:r>
      <w:r w:rsidR="00491921" w:rsidRPr="00AD66FE">
        <w:lastRenderedPageBreak/>
        <w:t xml:space="preserve">жалбоподател на същата дата, </w:t>
      </w:r>
      <w:r w:rsidR="00E43F2C" w:rsidRPr="00AD66FE">
        <w:t>Регионална данъчна дирекция-Варна</w:t>
      </w:r>
      <w:r w:rsidR="000621D8">
        <w:t xml:space="preserve"> установява, че дружеството-</w:t>
      </w:r>
      <w:r w:rsidR="00491921" w:rsidRPr="00AD66FE">
        <w:t xml:space="preserve">жалбоподател съхранява </w:t>
      </w:r>
      <w:r w:rsidRPr="00AD66FE">
        <w:t>54</w:t>
      </w:r>
      <w:r w:rsidR="00491921" w:rsidRPr="00AD66FE">
        <w:t> </w:t>
      </w:r>
      <w:r w:rsidRPr="00AD66FE">
        <w:t>181</w:t>
      </w:r>
      <w:r w:rsidR="00491921" w:rsidRPr="00AD66FE">
        <w:t xml:space="preserve"> бутилки с алкохолни напитки без необходимите бандероли</w:t>
      </w:r>
      <w:r w:rsidRPr="00AD66FE">
        <w:t>.</w:t>
      </w:r>
      <w:r w:rsidR="00375916" w:rsidRPr="00AD66FE">
        <w:t xml:space="preserve"> В акта се посочва, че бутилките са били обект на проверка, извършена от данъчните власти на 6 януари </w:t>
      </w:r>
      <w:r w:rsidRPr="00AD66FE">
        <w:t>2005</w:t>
      </w:r>
      <w:r w:rsidR="00375916" w:rsidRPr="00AD66FE">
        <w:t> г</w:t>
      </w:r>
      <w:r w:rsidRPr="00AD66FE">
        <w:t xml:space="preserve">. </w:t>
      </w:r>
      <w:r w:rsidR="00375916" w:rsidRPr="00AD66FE">
        <w:t xml:space="preserve">Посочва се още, че въпросните бутилки са описани в </w:t>
      </w:r>
      <w:r w:rsidR="000621D8">
        <w:t>протокола</w:t>
      </w:r>
      <w:r w:rsidR="00375916" w:rsidRPr="00AD66FE">
        <w:t xml:space="preserve"> </w:t>
      </w:r>
      <w:r w:rsidR="00D73F2C" w:rsidRPr="00AD66FE">
        <w:t>за</w:t>
      </w:r>
      <w:r w:rsidR="00375916" w:rsidRPr="00AD66FE">
        <w:t xml:space="preserve"> претърсването и изземването </w:t>
      </w:r>
      <w:r w:rsidR="002A28ED" w:rsidRPr="00AD66FE">
        <w:t xml:space="preserve">от </w:t>
      </w:r>
      <w:r w:rsidR="00375916" w:rsidRPr="00AD66FE">
        <w:t xml:space="preserve">6 и 7 януари </w:t>
      </w:r>
      <w:r w:rsidRPr="00AD66FE">
        <w:t>2005</w:t>
      </w:r>
      <w:r w:rsidR="00375916" w:rsidRPr="00AD66FE">
        <w:t> г.</w:t>
      </w:r>
      <w:r w:rsidRPr="00AD66FE">
        <w:t>,</w:t>
      </w:r>
      <w:r w:rsidR="00375916" w:rsidRPr="00AD66FE">
        <w:t xml:space="preserve"> издаден в рамките на наказателното производство срещу първата група трети </w:t>
      </w:r>
      <w:r w:rsidR="000474C5" w:rsidRPr="00AD66FE">
        <w:t>лица</w:t>
      </w:r>
      <w:r w:rsidR="00375916" w:rsidRPr="00AD66FE">
        <w:t xml:space="preserve">, след което бутилките са иззети за </w:t>
      </w:r>
      <w:r w:rsidR="00630D9D" w:rsidRPr="00AD66FE">
        <w:t>целите</w:t>
      </w:r>
      <w:r w:rsidR="00375916" w:rsidRPr="00AD66FE">
        <w:t xml:space="preserve"> на това производство</w:t>
      </w:r>
      <w:r w:rsidRPr="00AD66FE">
        <w:t>.</w:t>
      </w:r>
      <w:r w:rsidR="00375916" w:rsidRPr="00AD66FE">
        <w:t xml:space="preserve"> </w:t>
      </w:r>
      <w:r w:rsidR="00375916" w:rsidRPr="008E0A65">
        <w:t xml:space="preserve">В акта за административно нарушение не се посочва, че бутилките са </w:t>
      </w:r>
      <w:r w:rsidR="007D2A57" w:rsidRPr="008E0A65">
        <w:t>представени или иззети като доказателство по административното производство</w:t>
      </w:r>
      <w:r w:rsidRPr="008E0A65">
        <w:t>.</w:t>
      </w:r>
    </w:p>
    <w:bookmarkStart w:id="7" w:name="Para10"/>
    <w:p w:rsidR="00B64935" w:rsidRPr="00AD66FE" w:rsidRDefault="00B64935" w:rsidP="00BA13D9">
      <w:pPr>
        <w:pStyle w:val="ECHRPara"/>
      </w:pPr>
      <w:r w:rsidRPr="008E0A65">
        <w:fldChar w:fldCharType="begin"/>
      </w:r>
      <w:r w:rsidRPr="008E0A65">
        <w:instrText xml:space="preserve"> SEQ level0 \*arabic </w:instrText>
      </w:r>
      <w:r w:rsidRPr="008E0A65">
        <w:fldChar w:fldCharType="separate"/>
      </w:r>
      <w:r w:rsidR="00D20DF1">
        <w:rPr>
          <w:noProof/>
        </w:rPr>
        <w:t>10</w:t>
      </w:r>
      <w:r w:rsidRPr="008E0A65">
        <w:fldChar w:fldCharType="end"/>
      </w:r>
      <w:bookmarkEnd w:id="7"/>
      <w:r w:rsidRPr="008E0A65">
        <w:t>.  </w:t>
      </w:r>
      <w:r w:rsidR="00AB2486" w:rsidRPr="008E0A65">
        <w:t>С наказателно постановление</w:t>
      </w:r>
      <w:r w:rsidR="00A71EBB" w:rsidRPr="008E0A65">
        <w:t xml:space="preserve"> от 23 декември </w:t>
      </w:r>
      <w:r w:rsidRPr="008E0A65">
        <w:t>2005</w:t>
      </w:r>
      <w:r w:rsidR="00A71EBB" w:rsidRPr="008E0A65">
        <w:t> г.</w:t>
      </w:r>
      <w:r w:rsidRPr="00AD66FE">
        <w:t xml:space="preserve"> </w:t>
      </w:r>
      <w:r w:rsidR="00E43F2C" w:rsidRPr="00AD66FE">
        <w:t>Регионална</w:t>
      </w:r>
      <w:r w:rsidR="00D96FA2" w:rsidRPr="00AD66FE">
        <w:t xml:space="preserve"> данъчна дирекция</w:t>
      </w:r>
      <w:r w:rsidR="00A71EBB" w:rsidRPr="00AD66FE">
        <w:t xml:space="preserve"> </w:t>
      </w:r>
      <w:r w:rsidR="00E43F2C" w:rsidRPr="00AD66FE">
        <w:t xml:space="preserve">Варна </w:t>
      </w:r>
      <w:r w:rsidR="00A71EBB" w:rsidRPr="00AD66FE">
        <w:t>налага административно наказание на дружеството жалбоподател. Освен други наказания то засяга отнемането</w:t>
      </w:r>
      <w:r w:rsidR="00554C19" w:rsidRPr="00AD66FE">
        <w:t xml:space="preserve"> в полза на държавата</w:t>
      </w:r>
      <w:r w:rsidR="00A71EBB" w:rsidRPr="00AD66FE">
        <w:t xml:space="preserve"> на 54 </w:t>
      </w:r>
      <w:r w:rsidRPr="00AD66FE">
        <w:t>181</w:t>
      </w:r>
      <w:r w:rsidR="00A71EBB" w:rsidRPr="00AD66FE">
        <w:t xml:space="preserve"> бутилки с алкохолни напитки, притежавани от него, включително бутилките, иззети от полицията на </w:t>
      </w:r>
      <w:r w:rsidRPr="00AD66FE">
        <w:t xml:space="preserve">6 </w:t>
      </w:r>
      <w:r w:rsidR="00A71EBB" w:rsidRPr="00AD66FE">
        <w:t xml:space="preserve">и </w:t>
      </w:r>
      <w:r w:rsidRPr="00AD66FE">
        <w:t>7</w:t>
      </w:r>
      <w:r w:rsidR="00A71EBB" w:rsidRPr="00AD66FE">
        <w:t xml:space="preserve"> януари </w:t>
      </w:r>
      <w:r w:rsidRPr="00AD66FE">
        <w:t>2005</w:t>
      </w:r>
      <w:r w:rsidR="00A71EBB" w:rsidRPr="00AD66FE">
        <w:t> г</w:t>
      </w:r>
      <w:r w:rsidRPr="00AD66FE">
        <w:t>.</w:t>
      </w:r>
      <w:r w:rsidR="00A71EBB" w:rsidRPr="00AD66FE">
        <w:t xml:space="preserve"> В описанието на доказателствата, представени в административното произ</w:t>
      </w:r>
      <w:r w:rsidR="000621D8">
        <w:t>водство, в решението се цитира протоколът</w:t>
      </w:r>
      <w:r w:rsidR="00D95E90" w:rsidRPr="00AD66FE">
        <w:t xml:space="preserve"> </w:t>
      </w:r>
      <w:r w:rsidR="00A71EBB" w:rsidRPr="00AD66FE">
        <w:t>за претърсването и изземването от посочената дата</w:t>
      </w:r>
      <w:r w:rsidRPr="00AD66FE">
        <w:t>.</w:t>
      </w:r>
      <w:r w:rsidR="00A71EBB" w:rsidRPr="00AD66FE">
        <w:t xml:space="preserve"> Не се посочва, че бутилките </w:t>
      </w:r>
      <w:r w:rsidR="00274AF7" w:rsidRPr="00AD66FE">
        <w:t xml:space="preserve">представляват </w:t>
      </w:r>
      <w:r w:rsidR="00A71EBB" w:rsidRPr="00AD66FE">
        <w:t>част от доказателствата по административното производство</w:t>
      </w:r>
      <w:r w:rsidRPr="00AD66FE">
        <w:t>.</w:t>
      </w:r>
      <w:r w:rsidR="00A71EBB" w:rsidRPr="00AD66FE">
        <w:t xml:space="preserve"> </w:t>
      </w:r>
      <w:r w:rsidR="00E43F2C" w:rsidRPr="00AD66FE">
        <w:t>Д</w:t>
      </w:r>
      <w:r w:rsidR="00A71EBB" w:rsidRPr="00AD66FE">
        <w:t>анъчни</w:t>
      </w:r>
      <w:r w:rsidR="00E43F2C" w:rsidRPr="00AD66FE">
        <w:t>те</w:t>
      </w:r>
      <w:r w:rsidR="00A71EBB" w:rsidRPr="00AD66FE">
        <w:t xml:space="preserve"> власти</w:t>
      </w:r>
      <w:r w:rsidR="00E43F2C" w:rsidRPr="00AD66FE">
        <w:t xml:space="preserve"> във Варна</w:t>
      </w:r>
      <w:r w:rsidR="00A71EBB" w:rsidRPr="00AD66FE">
        <w:t xml:space="preserve"> не разпореждат предварително изпълнение на решението за отнемане</w:t>
      </w:r>
      <w:r w:rsidRPr="00AD66FE">
        <w:t>.</w:t>
      </w:r>
    </w:p>
    <w:bookmarkStart w:id="8" w:name="Para11"/>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11</w:t>
      </w:r>
      <w:r w:rsidRPr="00AD66FE">
        <w:fldChar w:fldCharType="end"/>
      </w:r>
      <w:bookmarkEnd w:id="8"/>
      <w:r w:rsidRPr="00AD66FE">
        <w:t>.  </w:t>
      </w:r>
      <w:r w:rsidR="005C3B09" w:rsidRPr="00AD66FE">
        <w:t>На</w:t>
      </w:r>
      <w:r w:rsidRPr="00AD66FE">
        <w:t xml:space="preserve"> 27</w:t>
      </w:r>
      <w:r w:rsidR="005C3B09" w:rsidRPr="00AD66FE">
        <w:t xml:space="preserve"> януари </w:t>
      </w:r>
      <w:r w:rsidRPr="00AD66FE">
        <w:t>2006</w:t>
      </w:r>
      <w:r w:rsidR="000621D8">
        <w:t> г. дружеството-</w:t>
      </w:r>
      <w:r w:rsidR="005C3B09" w:rsidRPr="00AD66FE">
        <w:t xml:space="preserve">жалбоподател </w:t>
      </w:r>
      <w:r w:rsidR="00274AF7" w:rsidRPr="00AD66FE">
        <w:t xml:space="preserve">обжалва </w:t>
      </w:r>
      <w:r w:rsidR="005C3B09" w:rsidRPr="00AD66FE">
        <w:t xml:space="preserve">решението пред съда. С решение от 19 май </w:t>
      </w:r>
      <w:r w:rsidRPr="00AD66FE">
        <w:t>2006</w:t>
      </w:r>
      <w:r w:rsidR="005C3B09" w:rsidRPr="00AD66FE">
        <w:t xml:space="preserve"> г. </w:t>
      </w:r>
      <w:r w:rsidR="00411C3D" w:rsidRPr="00AD66FE">
        <w:t>Районен съд-Варна</w:t>
      </w:r>
      <w:r w:rsidR="005C3B09" w:rsidRPr="00AD66FE">
        <w:t xml:space="preserve"> прекратява производството, като </w:t>
      </w:r>
      <w:r w:rsidR="00411C3D" w:rsidRPr="00AD66FE">
        <w:t>констатира</w:t>
      </w:r>
      <w:r w:rsidR="005C3B09" w:rsidRPr="00AD66FE">
        <w:t xml:space="preserve">, че фактите по делото се отнасят до престъпление и </w:t>
      </w:r>
      <w:r w:rsidR="00274AF7" w:rsidRPr="00AD66FE">
        <w:t xml:space="preserve">отнася случая към </w:t>
      </w:r>
      <w:r w:rsidR="00411C3D" w:rsidRPr="00AD66FE">
        <w:t>Районна прокуратура-Варна</w:t>
      </w:r>
      <w:r w:rsidRPr="00AD66FE">
        <w:t>.</w:t>
      </w:r>
      <w:r w:rsidR="005C3B09" w:rsidRPr="00AD66FE">
        <w:t xml:space="preserve"> От друга страна, с решение от 24 юли 2006 г. </w:t>
      </w:r>
      <w:r w:rsidR="00411C3D" w:rsidRPr="00AD66FE">
        <w:t>Окръжен съд-Варна</w:t>
      </w:r>
      <w:r w:rsidR="005C3B09" w:rsidRPr="00AD66FE">
        <w:t xml:space="preserve"> отменя това решение и връща делото на Районния съд</w:t>
      </w:r>
      <w:r w:rsidRPr="00AD66FE">
        <w:t>.</w:t>
      </w:r>
    </w:p>
    <w:p w:rsidR="00B64935" w:rsidRPr="00AD66FE" w:rsidRDefault="00D00517" w:rsidP="00BA13D9">
      <w:pPr>
        <w:pStyle w:val="ECHRPara"/>
      </w:pPr>
      <w:fldSimple w:instr=" SEQ level0 \*arabic ">
        <w:r w:rsidR="00D20DF1">
          <w:rPr>
            <w:noProof/>
          </w:rPr>
          <w:t>12</w:t>
        </w:r>
      </w:fldSimple>
      <w:r w:rsidR="00B64935" w:rsidRPr="00AD66FE">
        <w:t>.  </w:t>
      </w:r>
      <w:r w:rsidR="005C3B09" w:rsidRPr="00AD66FE">
        <w:t xml:space="preserve">С решение от 9 октомври </w:t>
      </w:r>
      <w:r w:rsidR="00B64935" w:rsidRPr="00AD66FE">
        <w:t>2006</w:t>
      </w:r>
      <w:r w:rsidR="005C3B09" w:rsidRPr="00AD66FE">
        <w:t xml:space="preserve"> г. </w:t>
      </w:r>
      <w:r w:rsidR="00274AF7" w:rsidRPr="00AD66FE">
        <w:t>Районен съд-Варна</w:t>
      </w:r>
      <w:r w:rsidR="005C3B09" w:rsidRPr="00AD66FE">
        <w:t xml:space="preserve"> отменя решението</w:t>
      </w:r>
      <w:r w:rsidR="00274AF7" w:rsidRPr="00AD66FE">
        <w:t xml:space="preserve"> на</w:t>
      </w:r>
      <w:r w:rsidR="005C3B09" w:rsidRPr="00AD66FE">
        <w:t xml:space="preserve"> Териториална данъчна дирекция –Варна по отношение на отнемането на сток</w:t>
      </w:r>
      <w:r w:rsidR="004D1D57" w:rsidRPr="00AD66FE">
        <w:t xml:space="preserve">ата </w:t>
      </w:r>
      <w:r w:rsidR="00554C19" w:rsidRPr="00AD66FE">
        <w:t xml:space="preserve">в полза на държавата </w:t>
      </w:r>
      <w:r w:rsidR="005C3B09" w:rsidRPr="00AD66FE">
        <w:t xml:space="preserve">и го потвърждава по отношение на другите </w:t>
      </w:r>
      <w:r w:rsidR="002913F6" w:rsidRPr="00AD66FE">
        <w:t>наказания</w:t>
      </w:r>
      <w:r w:rsidR="00B64935" w:rsidRPr="00AD66FE">
        <w:t>.</w:t>
      </w:r>
      <w:r w:rsidR="005C3B09" w:rsidRPr="00AD66FE">
        <w:t xml:space="preserve"> Що се отнася до отнемането, съдът се позовава на принципа за </w:t>
      </w:r>
      <w:r w:rsidR="00EA4B66" w:rsidRPr="00AD66FE">
        <w:t xml:space="preserve">забрана на прилагането с обратна сила на </w:t>
      </w:r>
      <w:r w:rsidR="00630D9D" w:rsidRPr="00AD66FE">
        <w:t>наказателното</w:t>
      </w:r>
      <w:r w:rsidR="005C3B09" w:rsidRPr="00AD66FE">
        <w:t xml:space="preserve"> право, залегнал и в Закона за административните нарушения и наказания, съгласно който съдилищата следва да прилагат законовите разпоредби, които са </w:t>
      </w:r>
      <w:r w:rsidR="00EA4B66" w:rsidRPr="00AD66FE">
        <w:t>по</w:t>
      </w:r>
      <w:r w:rsidR="005C3B09" w:rsidRPr="00AD66FE">
        <w:t>-благоприятни за подсъдимите</w:t>
      </w:r>
      <w:r w:rsidR="00B64935" w:rsidRPr="00AD66FE">
        <w:t>.</w:t>
      </w:r>
      <w:r w:rsidR="00A01F71" w:rsidRPr="00AD66FE">
        <w:t xml:space="preserve"> Съдът приема, че </w:t>
      </w:r>
      <w:r w:rsidR="00EA4B66" w:rsidRPr="00AD66FE">
        <w:t>по</w:t>
      </w:r>
      <w:r w:rsidR="00A01F71" w:rsidRPr="00AD66FE">
        <w:t>-благоприятните разпоредби за дружеството жалбоподател са влезли в сила на 1 януари 2006 г. с приемането на новия Закон за акцизите и данъчните складове, който отменя предишния Закон за акцизите</w:t>
      </w:r>
      <w:r w:rsidR="00B64935" w:rsidRPr="00AD66FE">
        <w:t>.</w:t>
      </w:r>
      <w:r w:rsidR="00A01F71" w:rsidRPr="00AD66FE">
        <w:t xml:space="preserve"> По-</w:t>
      </w:r>
      <w:r w:rsidR="002906FB" w:rsidRPr="00AD66FE">
        <w:t xml:space="preserve">конкретно </w:t>
      </w:r>
      <w:r w:rsidR="00A01F71" w:rsidRPr="00AD66FE">
        <w:t>в новия Закон отнемането</w:t>
      </w:r>
      <w:r w:rsidR="00554C19" w:rsidRPr="00AD66FE">
        <w:t xml:space="preserve"> в полза на държавата</w:t>
      </w:r>
      <w:r w:rsidR="00A01F71" w:rsidRPr="00AD66FE">
        <w:t xml:space="preserve"> не е предвидено като наказание за разглежданото административно нарушение</w:t>
      </w:r>
      <w:r w:rsidR="00B64935" w:rsidRPr="00AD66FE">
        <w:t>.</w:t>
      </w:r>
    </w:p>
    <w:bookmarkStart w:id="9" w:name="Para13"/>
    <w:p w:rsidR="00B64935" w:rsidRPr="00AD66FE" w:rsidRDefault="00B64935" w:rsidP="00BA13D9">
      <w:pPr>
        <w:pStyle w:val="ECHRPara"/>
        <w:rPr>
          <w:strike/>
        </w:rPr>
      </w:pPr>
      <w:r w:rsidRPr="00AD66FE">
        <w:lastRenderedPageBreak/>
        <w:fldChar w:fldCharType="begin"/>
      </w:r>
      <w:r w:rsidRPr="00AD66FE">
        <w:instrText xml:space="preserve"> SEQ level0 \*arabic </w:instrText>
      </w:r>
      <w:r w:rsidRPr="00AD66FE">
        <w:fldChar w:fldCharType="separate"/>
      </w:r>
      <w:r w:rsidR="00D20DF1">
        <w:rPr>
          <w:noProof/>
        </w:rPr>
        <w:t>13</w:t>
      </w:r>
      <w:r w:rsidRPr="00AD66FE">
        <w:fldChar w:fldCharType="end"/>
      </w:r>
      <w:bookmarkEnd w:id="9"/>
      <w:r w:rsidRPr="00AD66FE">
        <w:t>.  </w:t>
      </w:r>
      <w:r w:rsidR="00590F63" w:rsidRPr="00AD66FE">
        <w:t xml:space="preserve">С окончателно решение от 18 декември </w:t>
      </w:r>
      <w:r w:rsidRPr="00AD66FE">
        <w:t>2006</w:t>
      </w:r>
      <w:r w:rsidR="005B2AE3" w:rsidRPr="00AD66FE">
        <w:t xml:space="preserve"> г. </w:t>
      </w:r>
      <w:r w:rsidR="002906FB" w:rsidRPr="00AD66FE">
        <w:t xml:space="preserve">Окръжен съд-Варна </w:t>
      </w:r>
      <w:r w:rsidR="005B2AE3" w:rsidRPr="00AD66FE">
        <w:t xml:space="preserve">потвърждава установеното от съда от по-долна инстанция относно отнемането и отменя частта относно другите наказания, наложени от данъчните власти на 23 декември </w:t>
      </w:r>
      <w:r w:rsidRPr="00AD66FE">
        <w:t>2005</w:t>
      </w:r>
      <w:r w:rsidR="005B2AE3" w:rsidRPr="00AD66FE">
        <w:t> г</w:t>
      </w:r>
      <w:r w:rsidRPr="00AD66FE">
        <w:t>.</w:t>
      </w:r>
      <w:r w:rsidR="005B2AE3" w:rsidRPr="00AD66FE">
        <w:t xml:space="preserve"> В мотивите си за отмяна на тази част от решението съдът първо се позовава на </w:t>
      </w:r>
      <w:r w:rsidR="002B6769" w:rsidRPr="00AD66FE">
        <w:t>несъответствието</w:t>
      </w:r>
      <w:r w:rsidR="005B2AE3" w:rsidRPr="00AD66FE">
        <w:t xml:space="preserve"> в броя бутилки, посочени в доклада за претърсване и изземване на 6 и 7 януари </w:t>
      </w:r>
      <w:r w:rsidRPr="00AD66FE">
        <w:t>2005</w:t>
      </w:r>
      <w:r w:rsidR="005B2AE3" w:rsidRPr="00AD66FE">
        <w:t> г., и ко</w:t>
      </w:r>
      <w:r w:rsidR="00AB2486">
        <w:t>личеството, посочено в постановлението</w:t>
      </w:r>
      <w:r w:rsidR="005B2AE3" w:rsidRPr="00AD66FE">
        <w:t xml:space="preserve"> от 23 декември </w:t>
      </w:r>
      <w:r w:rsidRPr="00AD66FE">
        <w:t>2005</w:t>
      </w:r>
      <w:r w:rsidR="005B2AE3" w:rsidRPr="00AD66FE">
        <w:t> г</w:t>
      </w:r>
      <w:r w:rsidRPr="00AD66FE">
        <w:t xml:space="preserve">. </w:t>
      </w:r>
      <w:r w:rsidR="00F32E18" w:rsidRPr="00AD66FE">
        <w:t>Според предста</w:t>
      </w:r>
      <w:r w:rsidR="002B6769" w:rsidRPr="00AD66FE">
        <w:t>вените документни доказателства</w:t>
      </w:r>
      <w:r w:rsidR="00F32E18" w:rsidRPr="00AD66FE">
        <w:t xml:space="preserve">, в наказателното производство са посочени </w:t>
      </w:r>
      <w:r w:rsidRPr="00AD66FE">
        <w:t>53</w:t>
      </w:r>
      <w:r w:rsidR="00F32E18" w:rsidRPr="00AD66FE">
        <w:t> </w:t>
      </w:r>
      <w:r w:rsidRPr="00AD66FE">
        <w:t>857</w:t>
      </w:r>
      <w:r w:rsidR="00F32E18" w:rsidRPr="00AD66FE">
        <w:t xml:space="preserve"> бутилки, а административното производство е </w:t>
      </w:r>
      <w:r w:rsidR="002906FB" w:rsidRPr="00AD66FE">
        <w:t xml:space="preserve">образувано </w:t>
      </w:r>
      <w:r w:rsidR="00F32E18" w:rsidRPr="00AD66FE">
        <w:t>срещу дружеството жалбоподател по повод съхраняването на 54 </w:t>
      </w:r>
      <w:r w:rsidRPr="00AD66FE">
        <w:t>181</w:t>
      </w:r>
      <w:r w:rsidR="00F32E18" w:rsidRPr="00AD66FE">
        <w:t xml:space="preserve"> бутилки без </w:t>
      </w:r>
      <w:r w:rsidR="00742E3D" w:rsidRPr="00AD66FE">
        <w:t>необходимите</w:t>
      </w:r>
      <w:r w:rsidR="00F32E18" w:rsidRPr="00AD66FE">
        <w:t xml:space="preserve"> бандероли. Окръжният съд приема, че това е явно несъответствие, което по-долна</w:t>
      </w:r>
      <w:r w:rsidR="00E21662">
        <w:t>та</w:t>
      </w:r>
      <w:r w:rsidR="00F32E18" w:rsidRPr="00AD66FE">
        <w:t xml:space="preserve"> инстанция не е установил</w:t>
      </w:r>
      <w:r w:rsidR="00E21662">
        <w:t>а</w:t>
      </w:r>
      <w:r w:rsidR="00F32E18" w:rsidRPr="00AD66FE">
        <w:t xml:space="preserve"> </w:t>
      </w:r>
      <w:r w:rsidR="002906FB" w:rsidRPr="00AD66FE">
        <w:t>при</w:t>
      </w:r>
      <w:r w:rsidR="00F32E18" w:rsidRPr="00AD66FE">
        <w:t xml:space="preserve"> преценката на събраните доказателства</w:t>
      </w:r>
      <w:r w:rsidRPr="00AD66FE">
        <w:t>.</w:t>
      </w:r>
      <w:r w:rsidR="00F32E18" w:rsidRPr="00AD66FE">
        <w:t xml:space="preserve"> </w:t>
      </w:r>
      <w:r w:rsidR="002906FB" w:rsidRPr="00AD66FE">
        <w:t>Освен това</w:t>
      </w:r>
      <w:r w:rsidR="00F32E18" w:rsidRPr="00AD66FE">
        <w:t xml:space="preserve"> съдът отбелязва още, че съгласно документните доказателства по преписката акцизът относно оспорванат</w:t>
      </w:r>
      <w:r w:rsidR="00E21662">
        <w:t>а стока е платен от дружеството-</w:t>
      </w:r>
      <w:r w:rsidR="00F32E18" w:rsidRPr="00AD66FE">
        <w:t>вносител Д.Б., което първоначално продава бутилките на друже</w:t>
      </w:r>
      <w:r w:rsidR="00C23750" w:rsidRPr="00AD66FE">
        <w:t>с</w:t>
      </w:r>
      <w:r w:rsidR="00E21662">
        <w:t>твото-</w:t>
      </w:r>
      <w:r w:rsidR="00F32E18" w:rsidRPr="00AD66FE">
        <w:t>жалбоподател</w:t>
      </w:r>
      <w:r w:rsidRPr="00AD66FE">
        <w:t xml:space="preserve">. </w:t>
      </w:r>
      <w:r w:rsidR="00C23750" w:rsidRPr="00AD66FE">
        <w:t>Това дружество е получило задължителните бандероли и неговите подизпълнители са започнали поставянето им върху бутилките</w:t>
      </w:r>
      <w:r w:rsidRPr="00AD66FE">
        <w:t>.</w:t>
      </w:r>
      <w:r w:rsidR="00C23750" w:rsidRPr="00AD66FE">
        <w:t xml:space="preserve"> Вярно е, че процесът на поставяне на бандеролите не е завършен навреме и това представлява административно нарушение</w:t>
      </w:r>
      <w:r w:rsidRPr="00AD66FE">
        <w:t>.</w:t>
      </w:r>
      <w:r w:rsidR="0067085E" w:rsidRPr="00AD66FE">
        <w:t xml:space="preserve"> От друга страна, това нарушение предшества </w:t>
      </w:r>
      <w:r w:rsidR="002906FB" w:rsidRPr="00AD66FE">
        <w:t>момента</w:t>
      </w:r>
      <w:r w:rsidR="0067085E" w:rsidRPr="00AD66FE">
        <w:t xml:space="preserve">, </w:t>
      </w:r>
      <w:r w:rsidR="002906FB" w:rsidRPr="00AD66FE">
        <w:t>в който</w:t>
      </w:r>
      <w:r w:rsidR="004D02D5">
        <w:t xml:space="preserve"> дружеството-</w:t>
      </w:r>
      <w:r w:rsidR="0067085E" w:rsidRPr="00AD66FE">
        <w:t>жалбоподател закупува стоката</w:t>
      </w:r>
      <w:r w:rsidRPr="00AD66FE">
        <w:t>.</w:t>
      </w:r>
      <w:r w:rsidR="0067085E" w:rsidRPr="00AD66FE">
        <w:t xml:space="preserve"> По времето на проверката бутилките все още се считат за стока в процес на внос и за тази цел се съхраняват в склад</w:t>
      </w:r>
      <w:r w:rsidRPr="00AD66FE">
        <w:t>.</w:t>
      </w:r>
      <w:r w:rsidR="0067085E" w:rsidRPr="00AD66FE">
        <w:t xml:space="preserve"> Задължителните бандероли са в сейф в склада. С оглед на тези </w:t>
      </w:r>
      <w:r w:rsidR="003F2564" w:rsidRPr="00AD66FE">
        <w:t xml:space="preserve">обстоятелства </w:t>
      </w:r>
      <w:r w:rsidR="0067085E" w:rsidRPr="00AD66FE">
        <w:t xml:space="preserve">Окръжният съд </w:t>
      </w:r>
      <w:r w:rsidR="003F2564" w:rsidRPr="00AD66FE">
        <w:t>констатира</w:t>
      </w:r>
      <w:r w:rsidR="004D02D5">
        <w:t xml:space="preserve">, че нарушението - </w:t>
      </w:r>
      <w:r w:rsidR="0067085E" w:rsidRPr="00AD66FE">
        <w:t>предмет на административното производство</w:t>
      </w:r>
      <w:r w:rsidR="004D02D5">
        <w:t>,</w:t>
      </w:r>
      <w:r w:rsidR="0067085E" w:rsidRPr="00AD66FE">
        <w:t xml:space="preserve"> не е извършено от дружеството жалбоподател</w:t>
      </w:r>
      <w:r w:rsidRPr="00AD66FE">
        <w:t>.</w:t>
      </w:r>
    </w:p>
    <w:p w:rsidR="00B64935" w:rsidRPr="00AD66FE" w:rsidRDefault="0098125A" w:rsidP="00BA13D9">
      <w:pPr>
        <w:pStyle w:val="ECHRHeading2"/>
      </w:pPr>
      <w:r w:rsidRPr="00AD66FE">
        <w:t>В</w:t>
      </w:r>
      <w:r w:rsidR="00B64935" w:rsidRPr="00AD66FE">
        <w:t>.  </w:t>
      </w:r>
      <w:r w:rsidR="00556AFA" w:rsidRPr="00AD66FE">
        <w:t>Адм</w:t>
      </w:r>
      <w:r w:rsidR="001325F9" w:rsidRPr="00AD66FE">
        <w:t>и</w:t>
      </w:r>
      <w:r w:rsidR="007C0286" w:rsidRPr="00AD66FE">
        <w:t>нистративно и наказателно</w:t>
      </w:r>
      <w:r w:rsidR="00556AFA" w:rsidRPr="00AD66FE">
        <w:t xml:space="preserve"> производство срещу втората група трети </w:t>
      </w:r>
      <w:r w:rsidR="000474C5" w:rsidRPr="00AD66FE">
        <w:t>лица</w:t>
      </w:r>
    </w:p>
    <w:bookmarkStart w:id="10" w:name="Para14New"/>
    <w:p w:rsidR="00B64935" w:rsidRPr="00AD66FE" w:rsidRDefault="00B64935" w:rsidP="00BA13D9">
      <w:pPr>
        <w:pStyle w:val="ECHRPara"/>
        <w:ind w:firstLine="232"/>
      </w:pPr>
      <w:r w:rsidRPr="00AD66FE">
        <w:fldChar w:fldCharType="begin"/>
      </w:r>
      <w:r w:rsidRPr="00AD66FE">
        <w:instrText xml:space="preserve"> SEQ level0 \*arabic </w:instrText>
      </w:r>
      <w:r w:rsidRPr="00AD66FE">
        <w:fldChar w:fldCharType="separate"/>
      </w:r>
      <w:r w:rsidR="00D20DF1">
        <w:rPr>
          <w:noProof/>
        </w:rPr>
        <w:t>14</w:t>
      </w:r>
      <w:r w:rsidRPr="00AD66FE">
        <w:fldChar w:fldCharType="end"/>
      </w:r>
      <w:bookmarkEnd w:id="10"/>
      <w:r w:rsidRPr="00AD66FE">
        <w:t>.  </w:t>
      </w:r>
      <w:r w:rsidR="00267E34" w:rsidRPr="00AD66FE">
        <w:t xml:space="preserve">От </w:t>
      </w:r>
      <w:r w:rsidR="004D02D5">
        <w:t>материалите по делото</w:t>
      </w:r>
      <w:r w:rsidR="00267E34" w:rsidRPr="00AD66FE">
        <w:t xml:space="preserve"> се установява, че отделно административно производство е </w:t>
      </w:r>
      <w:r w:rsidR="00B74D18" w:rsidRPr="00AD66FE">
        <w:t xml:space="preserve">образувано </w:t>
      </w:r>
      <w:r w:rsidR="00267E34" w:rsidRPr="00AD66FE">
        <w:t>срещу дружеството вносител Д.Б</w:t>
      </w:r>
      <w:r w:rsidR="004D02D5">
        <w:t>.</w:t>
      </w:r>
      <w:r w:rsidR="00267E34" w:rsidRPr="00AD66FE">
        <w:t>, което първоначално п</w:t>
      </w:r>
      <w:r w:rsidR="004D02D5">
        <w:t>родава бутилките на дружеството-</w:t>
      </w:r>
      <w:r w:rsidR="00267E34" w:rsidRPr="00AD66FE">
        <w:t>жалбоподател, във връзка със същите бутилки</w:t>
      </w:r>
      <w:r w:rsidRPr="00AD66FE">
        <w:t>.</w:t>
      </w:r>
      <w:r w:rsidR="007079E9" w:rsidRPr="00AD66FE">
        <w:t xml:space="preserve"> С решение от </w:t>
      </w:r>
      <w:r w:rsidRPr="00AD66FE">
        <w:t xml:space="preserve">10 </w:t>
      </w:r>
      <w:r w:rsidR="007079E9" w:rsidRPr="00AD66FE">
        <w:t xml:space="preserve">февруари </w:t>
      </w:r>
      <w:r w:rsidRPr="00AD66FE">
        <w:t>2006</w:t>
      </w:r>
      <w:r w:rsidR="007079E9" w:rsidRPr="00AD66FE">
        <w:t xml:space="preserve"> г. </w:t>
      </w:r>
      <w:r w:rsidR="004D02D5">
        <w:t>и</w:t>
      </w:r>
      <w:r w:rsidR="00742E3D" w:rsidRPr="00AD66FE">
        <w:t>зпълнителният</w:t>
      </w:r>
      <w:r w:rsidR="007079E9" w:rsidRPr="00AD66FE">
        <w:t xml:space="preserve"> директор на Националната агенция </w:t>
      </w:r>
      <w:r w:rsidR="00087B2C" w:rsidRPr="00AD66FE">
        <w:t>за</w:t>
      </w:r>
      <w:r w:rsidR="007079E9" w:rsidRPr="00AD66FE">
        <w:t xml:space="preserve"> приходите налага административно наказание на дружеството Д.Б</w:t>
      </w:r>
      <w:r w:rsidRPr="00AD66FE">
        <w:t xml:space="preserve">. </w:t>
      </w:r>
      <w:r w:rsidR="00226191" w:rsidRPr="00AD66FE">
        <w:t xml:space="preserve">От друга страна, с последващо решение от 20 юни </w:t>
      </w:r>
      <w:r w:rsidRPr="00AD66FE">
        <w:t>2006</w:t>
      </w:r>
      <w:r w:rsidR="00226191" w:rsidRPr="00AD66FE">
        <w:t xml:space="preserve"> г. </w:t>
      </w:r>
      <w:r w:rsidR="00B74D18" w:rsidRPr="00AD66FE">
        <w:t>Районен съд-Варна</w:t>
      </w:r>
      <w:r w:rsidR="00226191" w:rsidRPr="00AD66FE">
        <w:t xml:space="preserve"> прекратява производството, </w:t>
      </w:r>
      <w:r w:rsidR="004D02D5">
        <w:t>конста</w:t>
      </w:r>
      <w:r w:rsidR="00B74D18" w:rsidRPr="00AD66FE">
        <w:t>тирайки</w:t>
      </w:r>
      <w:r w:rsidR="00226191" w:rsidRPr="00AD66FE">
        <w:t xml:space="preserve">, че данните по преписката сочат вероятно </w:t>
      </w:r>
      <w:r w:rsidR="00B74D18" w:rsidRPr="00AD66FE">
        <w:t xml:space="preserve">престъпление </w:t>
      </w:r>
      <w:r w:rsidR="00226191" w:rsidRPr="00AD66FE">
        <w:t xml:space="preserve">и препраща преписката на </w:t>
      </w:r>
      <w:r w:rsidR="00B74D18" w:rsidRPr="00AD66FE">
        <w:t>Районна прокуратура-Варна</w:t>
      </w:r>
      <w:r w:rsidRPr="00AD66FE">
        <w:t>.</w:t>
      </w:r>
    </w:p>
    <w:bookmarkStart w:id="11" w:name="Para15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15</w:t>
      </w:r>
      <w:r w:rsidRPr="00AD66FE">
        <w:fldChar w:fldCharType="end"/>
      </w:r>
      <w:bookmarkEnd w:id="11"/>
      <w:r w:rsidRPr="00AD66FE">
        <w:t>.  </w:t>
      </w:r>
      <w:r w:rsidR="00617523" w:rsidRPr="00AD66FE">
        <w:t>На</w:t>
      </w:r>
      <w:r w:rsidRPr="00AD66FE">
        <w:t xml:space="preserve"> 8 </w:t>
      </w:r>
      <w:r w:rsidR="00617523" w:rsidRPr="00AD66FE">
        <w:t xml:space="preserve">февруари </w:t>
      </w:r>
      <w:r w:rsidRPr="00AD66FE">
        <w:t>2007</w:t>
      </w:r>
      <w:r w:rsidR="00617523" w:rsidRPr="00AD66FE">
        <w:t xml:space="preserve"> г. </w:t>
      </w:r>
      <w:r w:rsidR="00B74D18" w:rsidRPr="00AD66FE">
        <w:t>Районна прокуратура-Варна</w:t>
      </w:r>
      <w:r w:rsidR="00617523" w:rsidRPr="00AD66FE">
        <w:t xml:space="preserve"> </w:t>
      </w:r>
      <w:r w:rsidR="00742E3D" w:rsidRPr="00AD66FE">
        <w:t>предявява</w:t>
      </w:r>
      <w:r w:rsidR="00617523" w:rsidRPr="00AD66FE">
        <w:t xml:space="preserve"> обвинения на Е.Г., представител на дружеството Д.Б</w:t>
      </w:r>
      <w:r w:rsidRPr="00AD66FE">
        <w:t xml:space="preserve">, </w:t>
      </w:r>
      <w:r w:rsidR="00617523" w:rsidRPr="00AD66FE">
        <w:t>за продажба на напитките</w:t>
      </w:r>
      <w:r w:rsidR="00B74D18" w:rsidRPr="00AD66FE">
        <w:t xml:space="preserve"> без задължителните бандероли </w:t>
      </w:r>
      <w:r w:rsidR="004D02D5">
        <w:t>на дружеството-</w:t>
      </w:r>
      <w:r w:rsidR="00617523" w:rsidRPr="00AD66FE">
        <w:t>жалбоподател</w:t>
      </w:r>
      <w:r w:rsidRPr="00AD66FE">
        <w:t xml:space="preserve">. </w:t>
      </w:r>
      <w:r w:rsidR="00766E98">
        <w:t>С</w:t>
      </w:r>
      <w:r w:rsidR="00D65C44" w:rsidRPr="00AD66FE">
        <w:t xml:space="preserve"> решение от 14 март </w:t>
      </w:r>
      <w:r w:rsidRPr="00AD66FE">
        <w:t>2007</w:t>
      </w:r>
      <w:r w:rsidR="00D65C44" w:rsidRPr="00AD66FE">
        <w:t> г.</w:t>
      </w:r>
      <w:r w:rsidR="00766E98">
        <w:t xml:space="preserve"> обаче</w:t>
      </w:r>
      <w:r w:rsidR="00D65C44" w:rsidRPr="00AD66FE">
        <w:t xml:space="preserve"> </w:t>
      </w:r>
      <w:r w:rsidR="00AC280B" w:rsidRPr="00AD66FE">
        <w:t>Районна прокуратура-Варна</w:t>
      </w:r>
      <w:r w:rsidR="00D65C44" w:rsidRPr="00AD66FE">
        <w:t xml:space="preserve"> прекратява производството, тъй като събраните по време на </w:t>
      </w:r>
      <w:r w:rsidR="00AC280B" w:rsidRPr="00AD66FE">
        <w:t xml:space="preserve">разследването </w:t>
      </w:r>
      <w:r w:rsidR="00D65C44" w:rsidRPr="00AD66FE">
        <w:t>данни не сочат извършването на престъпление</w:t>
      </w:r>
      <w:r w:rsidRPr="00AD66FE">
        <w:t>.</w:t>
      </w:r>
      <w:r w:rsidR="00D65C44" w:rsidRPr="00AD66FE">
        <w:t xml:space="preserve"> В </w:t>
      </w:r>
      <w:r w:rsidR="00766E98">
        <w:t>постановлението</w:t>
      </w:r>
      <w:r w:rsidR="00D65C44" w:rsidRPr="00AD66FE">
        <w:t xml:space="preserve"> си прокурорът </w:t>
      </w:r>
      <w:r w:rsidR="00D12632" w:rsidRPr="00AD66FE">
        <w:t>споменава</w:t>
      </w:r>
      <w:r w:rsidR="00D65C44" w:rsidRPr="00AD66FE">
        <w:t xml:space="preserve"> сток</w:t>
      </w:r>
      <w:r w:rsidR="004D1D57" w:rsidRPr="00AD66FE">
        <w:t xml:space="preserve">ата </w:t>
      </w:r>
      <w:r w:rsidR="00766E98">
        <w:t>на дружеството-</w:t>
      </w:r>
      <w:r w:rsidR="00D65C44" w:rsidRPr="00AD66FE">
        <w:t>жалбоподател</w:t>
      </w:r>
      <w:r w:rsidR="00D12632" w:rsidRPr="00AD66FE">
        <w:t xml:space="preserve"> като</w:t>
      </w:r>
      <w:r w:rsidR="00D65C44" w:rsidRPr="00AD66FE">
        <w:t xml:space="preserve"> иззет</w:t>
      </w:r>
      <w:r w:rsidR="004D1D57" w:rsidRPr="00AD66FE">
        <w:t>а</w:t>
      </w:r>
      <w:r w:rsidR="00D65C44" w:rsidRPr="00AD66FE">
        <w:t xml:space="preserve"> в хода на наказателно производство срещу първата група трети </w:t>
      </w:r>
      <w:r w:rsidR="000474C5" w:rsidRPr="00AD66FE">
        <w:t>лица</w:t>
      </w:r>
      <w:r w:rsidRPr="00AD66FE">
        <w:t>.</w:t>
      </w:r>
      <w:r w:rsidR="002C66EB" w:rsidRPr="00AD66FE">
        <w:t xml:space="preserve"> Тя отбелязва още, че </w:t>
      </w:r>
      <w:r w:rsidR="00D12632" w:rsidRPr="00AD66FE">
        <w:t xml:space="preserve">не е налице </w:t>
      </w:r>
      <w:r w:rsidR="002C66EB" w:rsidRPr="00AD66FE">
        <w:t>произнасяне относно бутилките нит</w:t>
      </w:r>
      <w:r w:rsidR="006016DB" w:rsidRPr="00AD66FE">
        <w:t xml:space="preserve">о в решението на </w:t>
      </w:r>
      <w:r w:rsidR="00D12632" w:rsidRPr="00AD66FE">
        <w:t>Районен съд-Варна</w:t>
      </w:r>
      <w:r w:rsidR="002C66EB" w:rsidRPr="00AD66FE">
        <w:t xml:space="preserve"> от 7 ноември </w:t>
      </w:r>
      <w:r w:rsidRPr="00AD66FE">
        <w:t>2005</w:t>
      </w:r>
      <w:r w:rsidR="002C66EB" w:rsidRPr="00AD66FE">
        <w:t xml:space="preserve"> г., нито в решението на </w:t>
      </w:r>
      <w:r w:rsidR="00D12632" w:rsidRPr="00AD66FE">
        <w:t xml:space="preserve">Окръжен съд-Варна </w:t>
      </w:r>
      <w:r w:rsidR="002C66EB" w:rsidRPr="00AD66FE">
        <w:t xml:space="preserve"> от 17 април </w:t>
      </w:r>
      <w:r w:rsidRPr="00AD66FE">
        <w:t>2006</w:t>
      </w:r>
      <w:r w:rsidR="002C66EB" w:rsidRPr="00AD66FE">
        <w:t> г., с което наказателно</w:t>
      </w:r>
      <w:r w:rsidR="00D12632" w:rsidRPr="00AD66FE">
        <w:t>то производство се прекратява</w:t>
      </w:r>
      <w:r w:rsidR="002C66EB" w:rsidRPr="00AD66FE">
        <w:t xml:space="preserve"> (вж. параграф </w:t>
      </w:r>
      <w:r w:rsidRPr="00AD66FE">
        <w:fldChar w:fldCharType="begin"/>
      </w:r>
      <w:r w:rsidRPr="00AD66FE">
        <w:instrText xml:space="preserve"> REF Para7 \h  \* MERGEFORMAT </w:instrText>
      </w:r>
      <w:r w:rsidRPr="00AD66FE">
        <w:fldChar w:fldCharType="separate"/>
      </w:r>
      <w:r w:rsidR="00D20DF1">
        <w:t>7</w:t>
      </w:r>
      <w:r w:rsidRPr="00AD66FE">
        <w:fldChar w:fldCharType="end"/>
      </w:r>
      <w:r w:rsidRPr="00AD66FE">
        <w:t xml:space="preserve"> </w:t>
      </w:r>
      <w:r w:rsidR="002C66EB" w:rsidRPr="00AD66FE">
        <w:t>по-горе</w:t>
      </w:r>
      <w:r w:rsidRPr="00AD66FE">
        <w:t xml:space="preserve">). </w:t>
      </w:r>
      <w:r w:rsidR="006016DB" w:rsidRPr="00AD66FE">
        <w:t xml:space="preserve">В решението на прокурора не </w:t>
      </w:r>
      <w:r w:rsidR="00D12632" w:rsidRPr="00AD66FE">
        <w:t>е споменато</w:t>
      </w:r>
      <w:r w:rsidR="006016DB" w:rsidRPr="00AD66FE">
        <w:t xml:space="preserve"> другото решение на </w:t>
      </w:r>
      <w:r w:rsidR="00D12632" w:rsidRPr="00AD66FE">
        <w:t>Районен съд-Варна</w:t>
      </w:r>
      <w:r w:rsidR="006016DB" w:rsidRPr="00AD66FE">
        <w:t xml:space="preserve"> от 21 ноември </w:t>
      </w:r>
      <w:r w:rsidRPr="00AD66FE">
        <w:t>2005</w:t>
      </w:r>
      <w:r w:rsidR="006016DB" w:rsidRPr="00AD66FE">
        <w:t> г.</w:t>
      </w:r>
      <w:r w:rsidRPr="00AD66FE">
        <w:t>,</w:t>
      </w:r>
      <w:r w:rsidR="006016DB" w:rsidRPr="00AD66FE">
        <w:t xml:space="preserve"> с което се разпорежда връщане на бутилките (вж. параграф </w:t>
      </w:r>
      <w:r w:rsidRPr="00AD66FE">
        <w:fldChar w:fldCharType="begin"/>
      </w:r>
      <w:r w:rsidRPr="00AD66FE">
        <w:instrText xml:space="preserve"> REF Para8 \h </w:instrText>
      </w:r>
      <w:r w:rsidR="00AD66FE">
        <w:instrText xml:space="preserve"> \* MERGEFORMAT </w:instrText>
      </w:r>
      <w:r w:rsidRPr="00AD66FE">
        <w:fldChar w:fldCharType="separate"/>
      </w:r>
      <w:r w:rsidR="00D20DF1">
        <w:t>8</w:t>
      </w:r>
      <w:r w:rsidRPr="00AD66FE">
        <w:fldChar w:fldCharType="end"/>
      </w:r>
      <w:r w:rsidRPr="00AD66FE">
        <w:t xml:space="preserve"> </w:t>
      </w:r>
      <w:r w:rsidR="006016DB" w:rsidRPr="00AD66FE">
        <w:t>по-горе</w:t>
      </w:r>
      <w:r w:rsidRPr="00AD66FE">
        <w:t>).</w:t>
      </w:r>
      <w:r w:rsidR="006016DB" w:rsidRPr="00AD66FE">
        <w:t xml:space="preserve"> Прокурорът </w:t>
      </w:r>
      <w:r w:rsidR="00D12632" w:rsidRPr="00AD66FE">
        <w:t>констатира</w:t>
      </w:r>
      <w:r w:rsidR="006016DB" w:rsidRPr="00AD66FE">
        <w:t xml:space="preserve">, че тъй като на директора на </w:t>
      </w:r>
      <w:r w:rsidR="00E43F2C" w:rsidRPr="00AD66FE">
        <w:t xml:space="preserve">Териториална </w:t>
      </w:r>
      <w:r w:rsidR="006016DB" w:rsidRPr="00AD66FE">
        <w:t>данъчна дирекция</w:t>
      </w:r>
      <w:r w:rsidR="00E43F2C" w:rsidRPr="00AD66FE">
        <w:t xml:space="preserve"> Варна</w:t>
      </w:r>
      <w:r w:rsidR="006016DB" w:rsidRPr="00AD66FE">
        <w:t xml:space="preserve"> са предста</w:t>
      </w:r>
      <w:r w:rsidR="00AB2486">
        <w:t>вени доказателства, че постановлението</w:t>
      </w:r>
      <w:r w:rsidR="006016DB" w:rsidRPr="00AD66FE">
        <w:t xml:space="preserve"> от 23 декември </w:t>
      </w:r>
      <w:r w:rsidRPr="00AD66FE">
        <w:t>2005</w:t>
      </w:r>
      <w:r w:rsidR="006016DB" w:rsidRPr="00AD66FE">
        <w:t xml:space="preserve"> г. е отменено с окончателно решение на </w:t>
      </w:r>
      <w:r w:rsidR="00D12632" w:rsidRPr="00AD66FE">
        <w:t>Окръжен съд-Варна</w:t>
      </w:r>
      <w:r w:rsidR="006016DB" w:rsidRPr="00AD66FE">
        <w:t xml:space="preserve"> от 18 декември </w:t>
      </w:r>
      <w:r w:rsidRPr="00AD66FE">
        <w:t>2006</w:t>
      </w:r>
      <w:r w:rsidR="006016DB" w:rsidRPr="00AD66FE">
        <w:t> г.</w:t>
      </w:r>
      <w:r w:rsidRPr="00AD66FE">
        <w:t>,</w:t>
      </w:r>
      <w:r w:rsidR="006016DB" w:rsidRPr="00AD66FE">
        <w:t xml:space="preserve"> напитките следва да се върнат на собственика им</w:t>
      </w:r>
      <w:r w:rsidRPr="00AD66FE">
        <w:t>.</w:t>
      </w:r>
    </w:p>
    <w:p w:rsidR="00B64935" w:rsidRPr="00AD66FE" w:rsidRDefault="007C0286" w:rsidP="00BA13D9">
      <w:pPr>
        <w:pStyle w:val="ECHRHeading2"/>
      </w:pPr>
      <w:r w:rsidRPr="00AD66FE">
        <w:t>Г</w:t>
      </w:r>
      <w:r w:rsidR="00B64935" w:rsidRPr="00AD66FE">
        <w:t>.  </w:t>
      </w:r>
      <w:r w:rsidR="006C4DD6">
        <w:t>Опити на дружеството</w:t>
      </w:r>
      <w:r w:rsidR="006C4DD6" w:rsidRPr="006C4DD6">
        <w:t>-</w:t>
      </w:r>
      <w:r w:rsidR="003F5629" w:rsidRPr="00AD66FE">
        <w:t xml:space="preserve">жалбоподател да си върне </w:t>
      </w:r>
      <w:r w:rsidR="004D1D57" w:rsidRPr="00AD66FE">
        <w:t>стоката</w:t>
      </w:r>
    </w:p>
    <w:bookmarkStart w:id="12" w:name="Para14"/>
    <w:bookmarkStart w:id="13" w:name="Para16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16</w:t>
      </w:r>
      <w:r w:rsidRPr="00AD66FE">
        <w:fldChar w:fldCharType="end"/>
      </w:r>
      <w:bookmarkEnd w:id="12"/>
      <w:bookmarkEnd w:id="13"/>
      <w:r w:rsidRPr="00AD66FE">
        <w:t>.  </w:t>
      </w:r>
      <w:r w:rsidR="00E20662" w:rsidRPr="00AD66FE">
        <w:t xml:space="preserve">Междувременно, на 22 декември </w:t>
      </w:r>
      <w:r w:rsidRPr="00AD66FE">
        <w:t>2005</w:t>
      </w:r>
      <w:r w:rsidR="00E20662" w:rsidRPr="00AD66FE">
        <w:t xml:space="preserve"> г. дружеството жалбоподател </w:t>
      </w:r>
      <w:r w:rsidR="005E1E2A" w:rsidRPr="00AD66FE">
        <w:t>отправя искане</w:t>
      </w:r>
      <w:r w:rsidR="00E20662" w:rsidRPr="00AD66FE">
        <w:t xml:space="preserve"> до </w:t>
      </w:r>
      <w:r w:rsidR="00E43F2C" w:rsidRPr="00AD66FE">
        <w:t>Териториална</w:t>
      </w:r>
      <w:r w:rsidR="00D96FA2" w:rsidRPr="00AD66FE">
        <w:t xml:space="preserve"> данъчна дирекция</w:t>
      </w:r>
      <w:r w:rsidR="00E43F2C" w:rsidRPr="00AD66FE">
        <w:t>-Добрич</w:t>
      </w:r>
      <w:r w:rsidR="00E20662" w:rsidRPr="00AD66FE">
        <w:t>, в чийто склад се съхранява стоката му, за връщане на иззетите напитки</w:t>
      </w:r>
      <w:r w:rsidRPr="00AD66FE">
        <w:t>.</w:t>
      </w:r>
      <w:r w:rsidR="00E20662" w:rsidRPr="00AD66FE">
        <w:t xml:space="preserve"> </w:t>
      </w:r>
      <w:r w:rsidR="005E1E2A" w:rsidRPr="00AD66FE">
        <w:t xml:space="preserve">Искането </w:t>
      </w:r>
      <w:r w:rsidR="00E20662" w:rsidRPr="00AD66FE">
        <w:t xml:space="preserve">се </w:t>
      </w:r>
      <w:r w:rsidR="005E1E2A" w:rsidRPr="00AD66FE">
        <w:t xml:space="preserve">основава </w:t>
      </w:r>
      <w:r w:rsidR="00E20662" w:rsidRPr="00AD66FE">
        <w:t xml:space="preserve">на решението на </w:t>
      </w:r>
      <w:r w:rsidR="005E1E2A" w:rsidRPr="00AD66FE">
        <w:t>Р</w:t>
      </w:r>
      <w:r w:rsidR="00E20662" w:rsidRPr="00AD66FE">
        <w:t>айонен съд</w:t>
      </w:r>
      <w:r w:rsidR="005E1E2A" w:rsidRPr="00AD66FE">
        <w:t>-Варна</w:t>
      </w:r>
      <w:r w:rsidR="00E20662" w:rsidRPr="00AD66FE">
        <w:t xml:space="preserve">, което влиза в сила на 7 декември </w:t>
      </w:r>
      <w:r w:rsidRPr="00AD66FE">
        <w:t>2005</w:t>
      </w:r>
      <w:r w:rsidR="00E20662" w:rsidRPr="00AD66FE">
        <w:t> г.</w:t>
      </w:r>
      <w:r w:rsidRPr="00AD66FE">
        <w:t xml:space="preserve"> (</w:t>
      </w:r>
      <w:r w:rsidR="00E20662" w:rsidRPr="00AD66FE">
        <w:t xml:space="preserve">вж. параграф </w:t>
      </w:r>
      <w:r w:rsidRPr="00AD66FE">
        <w:t xml:space="preserve">8 </w:t>
      </w:r>
      <w:r w:rsidR="00E20662" w:rsidRPr="00AD66FE">
        <w:t>по-горе</w:t>
      </w:r>
      <w:r w:rsidRPr="00AD66FE">
        <w:t xml:space="preserve">). </w:t>
      </w:r>
      <w:r w:rsidR="000D35E0" w:rsidRPr="00AD66FE">
        <w:t xml:space="preserve">На </w:t>
      </w:r>
      <w:r w:rsidRPr="00AD66FE">
        <w:t>14</w:t>
      </w:r>
      <w:r w:rsidR="000D35E0" w:rsidRPr="00AD66FE">
        <w:t xml:space="preserve"> март </w:t>
      </w:r>
      <w:r w:rsidRPr="00AD66FE">
        <w:t>2006</w:t>
      </w:r>
      <w:r w:rsidR="000D35E0" w:rsidRPr="00AD66FE">
        <w:t> г. тези власти уведомяват дружеството жалбоподател,</w:t>
      </w:r>
      <w:r w:rsidR="004D1D57" w:rsidRPr="00AD66FE">
        <w:t xml:space="preserve"> че не могат да върнат стоката</w:t>
      </w:r>
      <w:r w:rsidR="000D35E0" w:rsidRPr="00AD66FE">
        <w:t xml:space="preserve">, тъй като компетентните органи, към които следва да се обърне в тази връзка, са </w:t>
      </w:r>
      <w:r w:rsidR="008111E5" w:rsidRPr="00AD66FE">
        <w:t>Районната полиция в гр. Варна</w:t>
      </w:r>
      <w:r w:rsidR="000D35E0" w:rsidRPr="00AD66FE">
        <w:t xml:space="preserve"> и </w:t>
      </w:r>
      <w:r w:rsidR="008111E5" w:rsidRPr="00AD66FE">
        <w:t xml:space="preserve">териториална </w:t>
      </w:r>
      <w:r w:rsidR="00D96FA2" w:rsidRPr="00AD66FE">
        <w:t>данъчна дирекция</w:t>
      </w:r>
      <w:r w:rsidR="008111E5" w:rsidRPr="00AD66FE">
        <w:t>-Варна</w:t>
      </w:r>
      <w:r w:rsidR="000D35E0" w:rsidRPr="00AD66FE">
        <w:t xml:space="preserve">, като данъчните власти в Добрич </w:t>
      </w:r>
      <w:r w:rsidR="005E1E2A" w:rsidRPr="00AD66FE">
        <w:t xml:space="preserve">са в качеството единствено на </w:t>
      </w:r>
      <w:r w:rsidR="00C3772B" w:rsidRPr="00AD66FE">
        <w:t>пазач на сток</w:t>
      </w:r>
      <w:r w:rsidR="004D1D57" w:rsidRPr="00AD66FE">
        <w:t>ата</w:t>
      </w:r>
      <w:r w:rsidRPr="00AD66FE">
        <w:t>.</w:t>
      </w:r>
      <w:r w:rsidR="00C3772B" w:rsidRPr="00AD66FE">
        <w:t xml:space="preserve"> </w:t>
      </w:r>
      <w:r w:rsidR="005E1E2A" w:rsidRPr="00AD66FE">
        <w:t>Освен това инспекторатът в Добрич</w:t>
      </w:r>
      <w:r w:rsidR="00C3772B" w:rsidRPr="00AD66FE">
        <w:t xml:space="preserve"> твърди, че сток</w:t>
      </w:r>
      <w:r w:rsidR="00F43C4C" w:rsidRPr="00AD66FE">
        <w:t xml:space="preserve">ата е </w:t>
      </w:r>
      <w:r w:rsidR="00C3772B" w:rsidRPr="00AD66FE">
        <w:t xml:space="preserve">обект на висящо административно производство срещу дружеството жалбоподател, по което е </w:t>
      </w:r>
      <w:r w:rsidR="00F43C4C" w:rsidRPr="00AD66FE">
        <w:t>наложено отнемане на стоката</w:t>
      </w:r>
      <w:r w:rsidR="00C3772B" w:rsidRPr="00AD66FE">
        <w:t>, както и на наказателното производство сре</w:t>
      </w:r>
      <w:r w:rsidR="00F43C4C" w:rsidRPr="00AD66FE">
        <w:t>щ</w:t>
      </w:r>
      <w:r w:rsidR="00C3772B" w:rsidRPr="00AD66FE">
        <w:t xml:space="preserve">у първата група трети лица, а именно М.М. и С.С., които все още </w:t>
      </w:r>
      <w:r w:rsidR="005E1E2A" w:rsidRPr="00AD66FE">
        <w:t>са в ход в този период</w:t>
      </w:r>
      <w:r w:rsidRPr="00AD66FE">
        <w:t>.</w:t>
      </w:r>
    </w:p>
    <w:bookmarkStart w:id="14" w:name="Para15"/>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17</w:t>
      </w:r>
      <w:r w:rsidRPr="00AD66FE">
        <w:fldChar w:fldCharType="end"/>
      </w:r>
      <w:bookmarkEnd w:id="14"/>
      <w:r w:rsidRPr="00AD66FE">
        <w:t>.  </w:t>
      </w:r>
      <w:r w:rsidR="002B73F2" w:rsidRPr="00AD66FE">
        <w:t>На</w:t>
      </w:r>
      <w:r w:rsidRPr="00AD66FE">
        <w:t xml:space="preserve"> 4</w:t>
      </w:r>
      <w:r w:rsidR="002B73F2" w:rsidRPr="00AD66FE">
        <w:t xml:space="preserve"> април </w:t>
      </w:r>
      <w:r w:rsidRPr="00AD66FE">
        <w:t>2006</w:t>
      </w:r>
      <w:r w:rsidR="002B73F2" w:rsidRPr="00AD66FE">
        <w:t> г. дружеството жалбоподател</w:t>
      </w:r>
      <w:r w:rsidR="001539B5" w:rsidRPr="00AD66FE">
        <w:t xml:space="preserve"> </w:t>
      </w:r>
      <w:r w:rsidR="005E1E2A" w:rsidRPr="00AD66FE">
        <w:t>отправя искане</w:t>
      </w:r>
      <w:r w:rsidR="001539B5" w:rsidRPr="00AD66FE">
        <w:t xml:space="preserve"> до </w:t>
      </w:r>
      <w:r w:rsidR="008111E5" w:rsidRPr="00AD66FE">
        <w:t>Териториална</w:t>
      </w:r>
      <w:r w:rsidR="003D769C" w:rsidRPr="00AD66FE">
        <w:t xml:space="preserve"> данъчна дирекция</w:t>
      </w:r>
      <w:r w:rsidR="008111E5" w:rsidRPr="00AD66FE">
        <w:t>-Варна</w:t>
      </w:r>
      <w:r w:rsidR="003D769C" w:rsidRPr="00AD66FE">
        <w:t xml:space="preserve"> </w:t>
      </w:r>
      <w:r w:rsidR="001539B5" w:rsidRPr="00AD66FE">
        <w:t>за връщане на стоката му</w:t>
      </w:r>
      <w:r w:rsidRPr="00AD66FE">
        <w:t>.</w:t>
      </w:r>
      <w:r w:rsidR="001539B5" w:rsidRPr="00AD66FE">
        <w:t xml:space="preserve"> То отново се позовава на решението на </w:t>
      </w:r>
      <w:r w:rsidR="005E1E2A" w:rsidRPr="00AD66FE">
        <w:t>Районен съд-Варна</w:t>
      </w:r>
      <w:r w:rsidR="001539B5" w:rsidRPr="00AD66FE">
        <w:t>, което разпорежда връщане</w:t>
      </w:r>
      <w:r w:rsidR="005E1E2A" w:rsidRPr="00AD66FE">
        <w:t>то</w:t>
      </w:r>
      <w:r w:rsidR="001539B5" w:rsidRPr="00AD66FE">
        <w:t xml:space="preserve"> на напитките, влязло в сила на 7 декември </w:t>
      </w:r>
      <w:r w:rsidRPr="00AD66FE">
        <w:t>2005</w:t>
      </w:r>
      <w:r w:rsidR="00DF7254" w:rsidRPr="00AD66FE">
        <w:t> г</w:t>
      </w:r>
      <w:r w:rsidRPr="00AD66FE">
        <w:t xml:space="preserve">. </w:t>
      </w:r>
      <w:r w:rsidR="00C42CDE" w:rsidRPr="00AD66FE">
        <w:t>Дружеството твърди още, че в</w:t>
      </w:r>
      <w:r w:rsidR="00AB2486">
        <w:t xml:space="preserve"> постановлението</w:t>
      </w:r>
      <w:r w:rsidR="00C42CDE" w:rsidRPr="00AD66FE">
        <w:t xml:space="preserve"> си от 23 декември 2005 г. </w:t>
      </w:r>
      <w:r w:rsidR="008111E5" w:rsidRPr="00AD66FE">
        <w:t>Териториална</w:t>
      </w:r>
      <w:r w:rsidR="003D769C" w:rsidRPr="00AD66FE">
        <w:t xml:space="preserve"> данъчна дирекция</w:t>
      </w:r>
      <w:r w:rsidR="008111E5" w:rsidRPr="00AD66FE">
        <w:t>-Варна</w:t>
      </w:r>
      <w:r w:rsidR="003D769C" w:rsidRPr="00AD66FE">
        <w:t xml:space="preserve"> </w:t>
      </w:r>
      <w:r w:rsidR="00C42CDE" w:rsidRPr="00AD66FE">
        <w:t xml:space="preserve">не е предвидила предварително изпълнение на наложеното отнемане и че самото решение не подлежи на изпълнение </w:t>
      </w:r>
      <w:r w:rsidRPr="00AD66FE">
        <w:t>(</w:t>
      </w:r>
      <w:r w:rsidR="00C42CDE" w:rsidRPr="00AD66FE">
        <w:t xml:space="preserve">вж. параграф </w:t>
      </w:r>
      <w:r w:rsidRPr="00AD66FE">
        <w:fldChar w:fldCharType="begin"/>
      </w:r>
      <w:r w:rsidRPr="00AD66FE">
        <w:instrText xml:space="preserve"> REF Para10 \h </w:instrText>
      </w:r>
      <w:r w:rsidR="00AD66FE">
        <w:instrText xml:space="preserve"> \* MERGEFORMAT </w:instrText>
      </w:r>
      <w:r w:rsidRPr="00AD66FE">
        <w:fldChar w:fldCharType="separate"/>
      </w:r>
      <w:r w:rsidR="00D20DF1">
        <w:t>10</w:t>
      </w:r>
      <w:r w:rsidRPr="00AD66FE">
        <w:fldChar w:fldCharType="end"/>
      </w:r>
      <w:r w:rsidRPr="00AD66FE">
        <w:t xml:space="preserve"> </w:t>
      </w:r>
      <w:r w:rsidR="00C42CDE" w:rsidRPr="00AD66FE">
        <w:t>по-горе</w:t>
      </w:r>
      <w:r w:rsidRPr="00AD66FE">
        <w:t>).</w:t>
      </w:r>
      <w:r w:rsidR="0031752E" w:rsidRPr="00AD66FE">
        <w:t xml:space="preserve"> С писмо от 31 май </w:t>
      </w:r>
      <w:r w:rsidRPr="00AD66FE">
        <w:t>2006</w:t>
      </w:r>
      <w:r w:rsidR="0031752E" w:rsidRPr="00AD66FE">
        <w:t> г. властите отговарят, че стоката представлява доказателств</w:t>
      </w:r>
      <w:r w:rsidR="0022356B" w:rsidRPr="00AD66FE">
        <w:t>о</w:t>
      </w:r>
      <w:r w:rsidR="0031752E" w:rsidRPr="00AD66FE">
        <w:t xml:space="preserve"> в административно</w:t>
      </w:r>
      <w:r w:rsidR="00CE29E3">
        <w:t xml:space="preserve"> производство срещу дружеството-</w:t>
      </w:r>
      <w:r w:rsidR="0031752E" w:rsidRPr="00AD66FE">
        <w:t xml:space="preserve">жалбоподател, което е все още </w:t>
      </w:r>
      <w:r w:rsidR="005E1E2A" w:rsidRPr="00AD66FE">
        <w:t>в ход пред</w:t>
      </w:r>
      <w:r w:rsidR="0031752E" w:rsidRPr="00AD66FE">
        <w:t xml:space="preserve"> съда</w:t>
      </w:r>
      <w:r w:rsidRPr="00AD66FE">
        <w:t xml:space="preserve">. </w:t>
      </w:r>
      <w:r w:rsidR="00CE29E3">
        <w:t>Д</w:t>
      </w:r>
      <w:r w:rsidR="00D03828" w:rsidRPr="00AD66FE">
        <w:t>анъчни</w:t>
      </w:r>
      <w:r w:rsidR="008111E5" w:rsidRPr="00AD66FE">
        <w:t>те</w:t>
      </w:r>
      <w:r w:rsidR="00D03828" w:rsidRPr="00AD66FE">
        <w:t xml:space="preserve"> власти </w:t>
      </w:r>
      <w:r w:rsidR="008111E5" w:rsidRPr="00AD66FE">
        <w:t>във Варна</w:t>
      </w:r>
      <w:r w:rsidR="00CE29E3">
        <w:t xml:space="preserve"> </w:t>
      </w:r>
      <w:r w:rsidR="00D03828" w:rsidRPr="00AD66FE">
        <w:t xml:space="preserve">добавят, че компетентният орган, който следва да се произнесе относно връщането на напитките, е </w:t>
      </w:r>
      <w:r w:rsidR="005E1E2A" w:rsidRPr="00AD66FE">
        <w:t>Районен съд-Варна</w:t>
      </w:r>
      <w:r w:rsidR="00D03828" w:rsidRPr="00AD66FE">
        <w:t xml:space="preserve"> и че </w:t>
      </w:r>
      <w:r w:rsidR="00CE29E3">
        <w:t xml:space="preserve">е пренасочило </w:t>
      </w:r>
      <w:r w:rsidR="005E1E2A" w:rsidRPr="00AD66FE">
        <w:t>искането</w:t>
      </w:r>
      <w:r w:rsidR="00CE29E3">
        <w:t xml:space="preserve"> на дружеството-</w:t>
      </w:r>
      <w:r w:rsidR="00D03828" w:rsidRPr="00AD66FE">
        <w:t xml:space="preserve">жалбоподател </w:t>
      </w:r>
      <w:r w:rsidR="005E1E2A" w:rsidRPr="00AD66FE">
        <w:t xml:space="preserve">към </w:t>
      </w:r>
      <w:r w:rsidR="00D03828" w:rsidRPr="00AD66FE">
        <w:t>този съд</w:t>
      </w:r>
      <w:r w:rsidRPr="00AD66FE">
        <w:t>.</w:t>
      </w:r>
    </w:p>
    <w:p w:rsidR="00B64935" w:rsidRPr="00AD66FE" w:rsidRDefault="00D00517" w:rsidP="00BA13D9">
      <w:pPr>
        <w:pStyle w:val="ECHRPara"/>
      </w:pPr>
      <w:fldSimple w:instr=" SEQ level0 \*arabic ">
        <w:r w:rsidR="00D20DF1">
          <w:rPr>
            <w:noProof/>
          </w:rPr>
          <w:t>18</w:t>
        </w:r>
      </w:fldSimple>
      <w:r w:rsidR="00B64935" w:rsidRPr="00AD66FE">
        <w:t>.  </w:t>
      </w:r>
      <w:r w:rsidR="00865D76" w:rsidRPr="00AD66FE">
        <w:t>На</w:t>
      </w:r>
      <w:r w:rsidR="00B64935" w:rsidRPr="00AD66FE">
        <w:t xml:space="preserve"> 13</w:t>
      </w:r>
      <w:r w:rsidR="00865D76" w:rsidRPr="00AD66FE">
        <w:t xml:space="preserve"> юни </w:t>
      </w:r>
      <w:r w:rsidR="00B64935" w:rsidRPr="00AD66FE">
        <w:t>2006</w:t>
      </w:r>
      <w:r w:rsidR="00865D76" w:rsidRPr="00AD66FE">
        <w:t xml:space="preserve"> г. </w:t>
      </w:r>
      <w:r w:rsidR="008111E5" w:rsidRPr="00AD66FE">
        <w:t>Районна полиция-Варна</w:t>
      </w:r>
      <w:r w:rsidR="00865D76" w:rsidRPr="00AD66FE">
        <w:t xml:space="preserve"> изпраща писмо на </w:t>
      </w:r>
      <w:r w:rsidR="009B7D82" w:rsidRPr="00AD66FE">
        <w:t>Районен съд-Варна</w:t>
      </w:r>
      <w:r w:rsidR="00865D76" w:rsidRPr="00AD66FE">
        <w:t xml:space="preserve">, </w:t>
      </w:r>
      <w:r w:rsidR="008111E5" w:rsidRPr="00AD66FE">
        <w:t xml:space="preserve">Териториална </w:t>
      </w:r>
      <w:r w:rsidR="00F36044" w:rsidRPr="00AD66FE">
        <w:t>данъчна дирекция</w:t>
      </w:r>
      <w:r w:rsidR="008111E5" w:rsidRPr="00AD66FE">
        <w:t>-Варна</w:t>
      </w:r>
      <w:r w:rsidR="00F36044" w:rsidRPr="00AD66FE">
        <w:t xml:space="preserve"> </w:t>
      </w:r>
      <w:r w:rsidR="00865D76" w:rsidRPr="00AD66FE">
        <w:t>и дружеството жалбоподател, като ги уведомява, че не може да изпълни решението за връщането на стоката</w:t>
      </w:r>
      <w:r w:rsidR="009B7D82" w:rsidRPr="00AD66FE">
        <w:t xml:space="preserve"> на Районен съд-Варна</w:t>
      </w:r>
      <w:r w:rsidR="00865D76" w:rsidRPr="00AD66FE">
        <w:t xml:space="preserve">, влязло в сила на 7 декември </w:t>
      </w:r>
      <w:r w:rsidR="00B64935" w:rsidRPr="00AD66FE">
        <w:t>2005</w:t>
      </w:r>
      <w:r w:rsidR="00865D76" w:rsidRPr="00AD66FE">
        <w:t> г</w:t>
      </w:r>
      <w:r w:rsidR="00B64935" w:rsidRPr="00AD66FE">
        <w:t>.</w:t>
      </w:r>
      <w:r w:rsidR="00B51D2F" w:rsidRPr="00AD66FE">
        <w:t xml:space="preserve"> Това се дължи на факта, че </w:t>
      </w:r>
      <w:r w:rsidR="0015453B" w:rsidRPr="00AD66FE">
        <w:t xml:space="preserve">на 30 май 2006 г. </w:t>
      </w:r>
      <w:r w:rsidR="009B7D82" w:rsidRPr="00AD66FE">
        <w:t>Районен съд-Варна</w:t>
      </w:r>
      <w:r w:rsidR="00B51D2F" w:rsidRPr="00AD66FE">
        <w:t xml:space="preserve"> </w:t>
      </w:r>
      <w:r w:rsidR="009B7D82" w:rsidRPr="00AD66FE">
        <w:t>изпраща</w:t>
      </w:r>
      <w:r w:rsidR="00B51D2F" w:rsidRPr="00AD66FE">
        <w:t xml:space="preserve"> писмо, с което уведомява полицията, че доказателствата, иззети за целите на наказателното производство срещу първата група трети лица</w:t>
      </w:r>
      <w:r w:rsidR="002823E2" w:rsidRPr="00AD66FE">
        <w:t>,</w:t>
      </w:r>
      <w:r w:rsidR="00B51D2F" w:rsidRPr="00AD66FE">
        <w:t xml:space="preserve"> не може да бъдат върнати докато „не бъде решен въпросът за отговорността на обвинените лица“</w:t>
      </w:r>
      <w:r w:rsidR="00B64935" w:rsidRPr="00AD66FE">
        <w:t>.</w:t>
      </w:r>
      <w:r w:rsidR="00B51D2F" w:rsidRPr="00AD66FE">
        <w:t xml:space="preserve"> Полицията твърди още, че се намира в невъзможност да работи по случая, тъй като напитките се държат в склад на </w:t>
      </w:r>
      <w:r w:rsidR="008111E5" w:rsidRPr="00AD66FE">
        <w:t xml:space="preserve">Териториална </w:t>
      </w:r>
      <w:r w:rsidR="00184E50" w:rsidRPr="00AD66FE">
        <w:t>данъчна дирекция</w:t>
      </w:r>
      <w:r w:rsidR="008111E5" w:rsidRPr="00AD66FE">
        <w:t>-Добрич</w:t>
      </w:r>
      <w:r w:rsidR="00B64935" w:rsidRPr="00AD66FE">
        <w:t>.</w:t>
      </w:r>
    </w:p>
    <w:bookmarkStart w:id="15" w:name="Para16"/>
    <w:bookmarkStart w:id="16" w:name="Para17"/>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19</w:t>
      </w:r>
      <w:r w:rsidRPr="00AD66FE">
        <w:fldChar w:fldCharType="end"/>
      </w:r>
      <w:bookmarkEnd w:id="15"/>
      <w:bookmarkEnd w:id="16"/>
      <w:r w:rsidRPr="00AD66FE">
        <w:t>.  </w:t>
      </w:r>
      <w:r w:rsidR="002823E2" w:rsidRPr="00AD66FE">
        <w:t>На</w:t>
      </w:r>
      <w:r w:rsidRPr="00AD66FE">
        <w:t xml:space="preserve"> 7 </w:t>
      </w:r>
      <w:r w:rsidR="002823E2" w:rsidRPr="00AD66FE">
        <w:t xml:space="preserve">юли </w:t>
      </w:r>
      <w:r w:rsidRPr="00AD66FE">
        <w:t>2006</w:t>
      </w:r>
      <w:r w:rsidR="00303245">
        <w:t> г. дружеството-</w:t>
      </w:r>
      <w:r w:rsidR="002823E2" w:rsidRPr="00AD66FE">
        <w:t xml:space="preserve">жалбоподател </w:t>
      </w:r>
      <w:r w:rsidR="00DF533C" w:rsidRPr="00AD66FE">
        <w:t>отправя искане</w:t>
      </w:r>
      <w:r w:rsidR="00645358" w:rsidRPr="00AD66FE">
        <w:t xml:space="preserve"> до данъчни</w:t>
      </w:r>
      <w:r w:rsidR="008111E5" w:rsidRPr="00AD66FE">
        <w:t>те</w:t>
      </w:r>
      <w:r w:rsidR="00645358" w:rsidRPr="00AD66FE">
        <w:t xml:space="preserve"> власти</w:t>
      </w:r>
      <w:r w:rsidR="008111E5" w:rsidRPr="00AD66FE">
        <w:t xml:space="preserve"> във Варна</w:t>
      </w:r>
      <w:r w:rsidR="00645358" w:rsidRPr="00AD66FE">
        <w:t xml:space="preserve"> за връщането на стоката</w:t>
      </w:r>
      <w:r w:rsidRPr="00AD66FE">
        <w:t>.</w:t>
      </w:r>
      <w:r w:rsidR="00645358" w:rsidRPr="00AD66FE">
        <w:t xml:space="preserve"> С писмо от 11 юли </w:t>
      </w:r>
      <w:r w:rsidRPr="00AD66FE">
        <w:t>2006</w:t>
      </w:r>
      <w:r w:rsidR="00645358" w:rsidRPr="00AD66FE">
        <w:t xml:space="preserve"> г. тези власти </w:t>
      </w:r>
      <w:r w:rsidR="00DF533C" w:rsidRPr="00AD66FE">
        <w:t>посочват</w:t>
      </w:r>
      <w:r w:rsidR="00645358" w:rsidRPr="00AD66FE">
        <w:t xml:space="preserve">, че не са компетентни да се произнесат по </w:t>
      </w:r>
      <w:r w:rsidR="00DF533C" w:rsidRPr="00AD66FE">
        <w:t xml:space="preserve">искането </w:t>
      </w:r>
      <w:r w:rsidR="00645358" w:rsidRPr="00AD66FE">
        <w:t xml:space="preserve">и </w:t>
      </w:r>
      <w:r w:rsidR="00DF533C" w:rsidRPr="00AD66FE">
        <w:t>го отнасят до</w:t>
      </w:r>
      <w:r w:rsidR="00645358" w:rsidRPr="00AD66FE">
        <w:t xml:space="preserve"> </w:t>
      </w:r>
      <w:r w:rsidR="008111E5" w:rsidRPr="00AD66FE">
        <w:t>Р</w:t>
      </w:r>
      <w:r w:rsidR="00645358" w:rsidRPr="00AD66FE">
        <w:t>айонна прокуратура</w:t>
      </w:r>
      <w:r w:rsidR="008111E5" w:rsidRPr="00AD66FE">
        <w:t>-Варна</w:t>
      </w:r>
      <w:r w:rsidR="00645358" w:rsidRPr="00AD66FE">
        <w:t xml:space="preserve"> предвид решението на </w:t>
      </w:r>
      <w:r w:rsidR="00DF533C" w:rsidRPr="00AD66FE">
        <w:t>Р</w:t>
      </w:r>
      <w:r w:rsidR="00645358" w:rsidRPr="00AD66FE">
        <w:t>айонен съд</w:t>
      </w:r>
      <w:r w:rsidR="00DF533C" w:rsidRPr="00AD66FE">
        <w:t>-Варна</w:t>
      </w:r>
      <w:r w:rsidR="00645358" w:rsidRPr="00AD66FE">
        <w:t xml:space="preserve"> от </w:t>
      </w:r>
      <w:r w:rsidRPr="00AD66FE">
        <w:t>19</w:t>
      </w:r>
      <w:r w:rsidR="00645358" w:rsidRPr="00AD66FE">
        <w:t xml:space="preserve"> май </w:t>
      </w:r>
      <w:r w:rsidRPr="00AD66FE">
        <w:t>2006</w:t>
      </w:r>
      <w:r w:rsidR="00645358" w:rsidRPr="00AD66FE">
        <w:t> г. за прекратяване на административното</w:t>
      </w:r>
      <w:r w:rsidR="00303245">
        <w:t xml:space="preserve"> производство срещу дружеството-</w:t>
      </w:r>
      <w:r w:rsidR="00645358" w:rsidRPr="00AD66FE">
        <w:t xml:space="preserve">жалбоподател (вж. параграф </w:t>
      </w:r>
      <w:r w:rsidRPr="00AD66FE">
        <w:fldChar w:fldCharType="begin"/>
      </w:r>
      <w:r w:rsidRPr="00AD66FE">
        <w:instrText xml:space="preserve"> REF Para11 \h </w:instrText>
      </w:r>
      <w:r w:rsidR="00AD66FE">
        <w:instrText xml:space="preserve"> \* MERGEFORMAT </w:instrText>
      </w:r>
      <w:r w:rsidRPr="00AD66FE">
        <w:fldChar w:fldCharType="separate"/>
      </w:r>
      <w:r w:rsidR="00D20DF1">
        <w:t>11</w:t>
      </w:r>
      <w:r w:rsidRPr="00AD66FE">
        <w:fldChar w:fldCharType="end"/>
      </w:r>
      <w:r w:rsidRPr="00AD66FE">
        <w:t xml:space="preserve"> </w:t>
      </w:r>
      <w:r w:rsidR="00645358" w:rsidRPr="00AD66FE">
        <w:t>по-горе</w:t>
      </w:r>
      <w:r w:rsidRPr="00AD66FE">
        <w:t>).</w:t>
      </w:r>
      <w:r w:rsidR="00823E12" w:rsidRPr="00AD66FE">
        <w:t xml:space="preserve"> След решението на </w:t>
      </w:r>
      <w:r w:rsidR="00DF533C" w:rsidRPr="00AD66FE">
        <w:t>О</w:t>
      </w:r>
      <w:r w:rsidR="00823E12" w:rsidRPr="00AD66FE">
        <w:t>кръжен съд</w:t>
      </w:r>
      <w:r w:rsidR="00DF533C" w:rsidRPr="00AD66FE">
        <w:t>-Варна</w:t>
      </w:r>
      <w:r w:rsidR="00823E12" w:rsidRPr="00AD66FE">
        <w:t xml:space="preserve"> от </w:t>
      </w:r>
      <w:r w:rsidRPr="00AD66FE">
        <w:t>24</w:t>
      </w:r>
      <w:r w:rsidR="00823E12" w:rsidRPr="00AD66FE">
        <w:t xml:space="preserve"> юли </w:t>
      </w:r>
      <w:r w:rsidRPr="00AD66FE">
        <w:t>2006</w:t>
      </w:r>
      <w:r w:rsidR="00823E12" w:rsidRPr="00AD66FE">
        <w:t xml:space="preserve"> г. да върне случая на Районния съд (вж. параграф </w:t>
      </w:r>
      <w:r w:rsidRPr="00AD66FE">
        <w:fldChar w:fldCharType="begin"/>
      </w:r>
      <w:r w:rsidRPr="00AD66FE">
        <w:instrText xml:space="preserve"> REF Para11 \h </w:instrText>
      </w:r>
      <w:r w:rsidR="00AD66FE">
        <w:instrText xml:space="preserve"> \* MERGEFORMAT </w:instrText>
      </w:r>
      <w:r w:rsidRPr="00AD66FE">
        <w:fldChar w:fldCharType="separate"/>
      </w:r>
      <w:r w:rsidR="00D20DF1">
        <w:t>11</w:t>
      </w:r>
      <w:r w:rsidRPr="00AD66FE">
        <w:fldChar w:fldCharType="end"/>
      </w:r>
      <w:r w:rsidRPr="00AD66FE">
        <w:t xml:space="preserve"> </w:t>
      </w:r>
      <w:r w:rsidR="00823E12" w:rsidRPr="00AD66FE">
        <w:t>по-горе)</w:t>
      </w:r>
      <w:r w:rsidRPr="00AD66FE">
        <w:t>,</w:t>
      </w:r>
      <w:r w:rsidR="00823E12" w:rsidRPr="00AD66FE">
        <w:t xml:space="preserve"> дружеството жалбоподател </w:t>
      </w:r>
      <w:r w:rsidR="00CA5067" w:rsidRPr="00AD66FE">
        <w:t>отправя друго искане</w:t>
      </w:r>
      <w:r w:rsidR="00823E12" w:rsidRPr="00AD66FE">
        <w:t xml:space="preserve"> до данъчни</w:t>
      </w:r>
      <w:r w:rsidR="00303245">
        <w:t>те</w:t>
      </w:r>
      <w:r w:rsidR="00823E12" w:rsidRPr="00AD66FE">
        <w:t xml:space="preserve"> власти</w:t>
      </w:r>
      <w:r w:rsidR="008111E5" w:rsidRPr="00AD66FE">
        <w:t xml:space="preserve"> във Варна</w:t>
      </w:r>
      <w:r w:rsidR="00823E12" w:rsidRPr="00AD66FE">
        <w:t xml:space="preserve"> на </w:t>
      </w:r>
      <w:r w:rsidRPr="00AD66FE">
        <w:t>10</w:t>
      </w:r>
      <w:r w:rsidR="00823E12" w:rsidRPr="00AD66FE">
        <w:t> август 2</w:t>
      </w:r>
      <w:r w:rsidRPr="00AD66FE">
        <w:t>006</w:t>
      </w:r>
      <w:r w:rsidR="00823E12" w:rsidRPr="00AD66FE">
        <w:t> г</w:t>
      </w:r>
      <w:r w:rsidRPr="00AD66FE">
        <w:t xml:space="preserve">. </w:t>
      </w:r>
      <w:r w:rsidR="00303245">
        <w:t>Дружеството-</w:t>
      </w:r>
      <w:r w:rsidR="00823E12" w:rsidRPr="00AD66FE">
        <w:t xml:space="preserve">жалбоподател се позовава на факта, че новият Закон за акцизите и данъчните складове, влязъл в сила на 1 януари 2006 г., е по-благоприятен за него </w:t>
      </w:r>
      <w:r w:rsidR="00303245">
        <w:t>в смисъл, че отнемането не</w:t>
      </w:r>
      <w:r w:rsidR="00823E12" w:rsidRPr="00AD66FE">
        <w:t xml:space="preserve"> представлява наказание за въпросно</w:t>
      </w:r>
      <w:r w:rsidR="00303245">
        <w:t>то административно нарушение.</w:t>
      </w:r>
      <w:r w:rsidR="008111E5" w:rsidRPr="00AD66FE">
        <w:t xml:space="preserve"> </w:t>
      </w:r>
      <w:r w:rsidR="00303245">
        <w:t>Д</w:t>
      </w:r>
      <w:r w:rsidR="00823E12" w:rsidRPr="00AD66FE">
        <w:t>анъчни</w:t>
      </w:r>
      <w:r w:rsidR="00303245">
        <w:t>те</w:t>
      </w:r>
      <w:r w:rsidR="00823E12" w:rsidRPr="00AD66FE">
        <w:t xml:space="preserve"> власти </w:t>
      </w:r>
      <w:r w:rsidR="008111E5" w:rsidRPr="00AD66FE">
        <w:t xml:space="preserve">във Варна </w:t>
      </w:r>
      <w:r w:rsidR="00823E12" w:rsidRPr="00AD66FE">
        <w:t xml:space="preserve">отговарят на 17 август </w:t>
      </w:r>
      <w:r w:rsidRPr="00AD66FE">
        <w:t>2006</w:t>
      </w:r>
      <w:r w:rsidR="00823E12" w:rsidRPr="00AD66FE">
        <w:t> г.</w:t>
      </w:r>
      <w:r w:rsidRPr="00AD66FE">
        <w:t>,</w:t>
      </w:r>
      <w:r w:rsidR="00DF224F" w:rsidRPr="00AD66FE">
        <w:t xml:space="preserve"> като отново посочват, че не са компетентни да се произнесат относно връщането на бутилките, тъй като въззивн</w:t>
      </w:r>
      <w:r w:rsidR="00AB2486">
        <w:t>ото производство срещу постановлението</w:t>
      </w:r>
      <w:r w:rsidR="00DF224F" w:rsidRPr="00AD66FE">
        <w:t xml:space="preserve"> от 23 декември </w:t>
      </w:r>
      <w:r w:rsidRPr="00AD66FE">
        <w:t>2005</w:t>
      </w:r>
      <w:r w:rsidR="00DF224F" w:rsidRPr="00AD66FE">
        <w:t xml:space="preserve"> г. относно админист</w:t>
      </w:r>
      <w:r w:rsidR="00E27CE2" w:rsidRPr="00AD66FE">
        <w:t>р</w:t>
      </w:r>
      <w:r w:rsidR="00DF224F" w:rsidRPr="00AD66FE">
        <w:t xml:space="preserve">ативните наказания срещу дружеството жалбоподател </w:t>
      </w:r>
      <w:r w:rsidR="00CA5067" w:rsidRPr="00AD66FE">
        <w:t>не е приключено</w:t>
      </w:r>
      <w:r w:rsidR="00DF224F" w:rsidRPr="00AD66FE">
        <w:t xml:space="preserve"> пред </w:t>
      </w:r>
      <w:r w:rsidR="00CA5067" w:rsidRPr="00AD66FE">
        <w:t>Р</w:t>
      </w:r>
      <w:r w:rsidR="00DF224F" w:rsidRPr="00AD66FE">
        <w:t>айонен съд</w:t>
      </w:r>
      <w:r w:rsidR="00CA5067" w:rsidRPr="00AD66FE">
        <w:t>-Варна</w:t>
      </w:r>
      <w:r w:rsidRPr="00AD66FE">
        <w:t xml:space="preserve">. </w:t>
      </w:r>
      <w:r w:rsidR="008111E5" w:rsidRPr="00AD66FE">
        <w:t>Д</w:t>
      </w:r>
      <w:r w:rsidR="00E27CE2" w:rsidRPr="00AD66FE">
        <w:t>анъчни</w:t>
      </w:r>
      <w:r w:rsidR="008111E5" w:rsidRPr="00AD66FE">
        <w:t>те</w:t>
      </w:r>
      <w:r w:rsidR="00E27CE2" w:rsidRPr="00AD66FE">
        <w:t xml:space="preserve"> власти </w:t>
      </w:r>
      <w:r w:rsidR="008111E5" w:rsidRPr="00AD66FE">
        <w:t xml:space="preserve">във Варна </w:t>
      </w:r>
      <w:r w:rsidR="00E27CE2" w:rsidRPr="00AD66FE">
        <w:t xml:space="preserve">твърдят, че посоченият съд е компетентният орган, който следва да се произнесе </w:t>
      </w:r>
      <w:r w:rsidR="004E62D5" w:rsidRPr="00AD66FE">
        <w:t>относно</w:t>
      </w:r>
      <w:r w:rsidR="00E27CE2" w:rsidRPr="00AD66FE">
        <w:t xml:space="preserve"> връщането на стоката, която е представена като доказателство по </w:t>
      </w:r>
      <w:r w:rsidR="00CA5067" w:rsidRPr="00AD66FE">
        <w:t xml:space="preserve">висящото </w:t>
      </w:r>
      <w:r w:rsidR="00E27CE2" w:rsidRPr="00AD66FE">
        <w:t>пред него дело</w:t>
      </w:r>
      <w:r w:rsidRPr="00AD66FE">
        <w:t xml:space="preserve">. </w:t>
      </w:r>
      <w:r w:rsidR="004E62D5" w:rsidRPr="00AD66FE">
        <w:t xml:space="preserve">В допълнение, наказателното </w:t>
      </w:r>
      <w:r w:rsidR="00CA5067" w:rsidRPr="00AD66FE">
        <w:t xml:space="preserve">разследване </w:t>
      </w:r>
      <w:r w:rsidR="004E62D5" w:rsidRPr="00AD66FE">
        <w:t xml:space="preserve">срещу втората група трети лица </w:t>
      </w:r>
      <w:r w:rsidR="00742E3D" w:rsidRPr="00AD66FE">
        <w:t>относно</w:t>
      </w:r>
      <w:r w:rsidR="004E62D5" w:rsidRPr="00AD66FE">
        <w:t xml:space="preserve"> напитките също </w:t>
      </w:r>
      <w:r w:rsidR="00CA5067" w:rsidRPr="00AD66FE">
        <w:t xml:space="preserve">е в ход </w:t>
      </w:r>
      <w:r w:rsidR="004E62D5" w:rsidRPr="00AD66FE">
        <w:t>в</w:t>
      </w:r>
      <w:r w:rsidR="00CA5067" w:rsidRPr="00AD66FE">
        <w:t xml:space="preserve"> Районна прокуратура-Варна</w:t>
      </w:r>
      <w:r w:rsidRPr="00AD66FE">
        <w:t>.</w:t>
      </w:r>
      <w:r w:rsidR="004E62D5" w:rsidRPr="00AD66FE">
        <w:t xml:space="preserve"> С оглед на тези фактори, </w:t>
      </w:r>
      <w:r w:rsidR="008111E5" w:rsidRPr="00AD66FE">
        <w:t>Д</w:t>
      </w:r>
      <w:r w:rsidR="004E62D5" w:rsidRPr="00AD66FE">
        <w:t>анъчни</w:t>
      </w:r>
      <w:r w:rsidR="008111E5" w:rsidRPr="00AD66FE">
        <w:t>те</w:t>
      </w:r>
      <w:r w:rsidR="004E62D5" w:rsidRPr="00AD66FE">
        <w:t xml:space="preserve"> власти</w:t>
      </w:r>
      <w:r w:rsidR="008111E5" w:rsidRPr="00AD66FE">
        <w:t xml:space="preserve"> във Варна</w:t>
      </w:r>
      <w:r w:rsidR="004E62D5" w:rsidRPr="00AD66FE">
        <w:t xml:space="preserve"> уведомяват още дружеството жалбоподател, че са препратили </w:t>
      </w:r>
      <w:r w:rsidR="00CA5067" w:rsidRPr="00AD66FE">
        <w:t xml:space="preserve">искането </w:t>
      </w:r>
      <w:r w:rsidR="004E62D5" w:rsidRPr="00AD66FE">
        <w:t xml:space="preserve">му както на </w:t>
      </w:r>
      <w:r w:rsidR="00CA5067" w:rsidRPr="00AD66FE">
        <w:t>Р</w:t>
      </w:r>
      <w:r w:rsidR="004E62D5" w:rsidRPr="00AD66FE">
        <w:t>айонен съд</w:t>
      </w:r>
      <w:r w:rsidR="00CA5067" w:rsidRPr="00AD66FE">
        <w:t>-Варна</w:t>
      </w:r>
      <w:r w:rsidR="004E62D5" w:rsidRPr="00AD66FE">
        <w:t>, така и на Районната прокуратура</w:t>
      </w:r>
      <w:r w:rsidRPr="00AD66FE">
        <w:t>.</w:t>
      </w:r>
    </w:p>
    <w:p w:rsidR="00B64935" w:rsidRPr="00AD66FE" w:rsidRDefault="0000054C" w:rsidP="00BA13D9">
      <w:pPr>
        <w:pStyle w:val="ECHRHeading2"/>
      </w:pPr>
      <w:r w:rsidRPr="00AD66FE">
        <w:t>Д</w:t>
      </w:r>
      <w:r w:rsidR="00B64935" w:rsidRPr="00AD66FE">
        <w:t>.  </w:t>
      </w:r>
      <w:r w:rsidR="001C12A3" w:rsidRPr="00AD66FE">
        <w:t>Връщане н</w:t>
      </w:r>
      <w:r w:rsidR="00303245">
        <w:t>а иззетата стока на дружеството-</w:t>
      </w:r>
      <w:r w:rsidR="001C12A3" w:rsidRPr="00AD66FE">
        <w:t>жалбоподател</w:t>
      </w:r>
    </w:p>
    <w:p w:rsidR="00B64935" w:rsidRPr="00AD66FE" w:rsidRDefault="00D00517" w:rsidP="00BA13D9">
      <w:pPr>
        <w:pStyle w:val="ECHRPara"/>
      </w:pPr>
      <w:fldSimple w:instr=" SEQ level0 \*arabic ">
        <w:r w:rsidR="00D20DF1">
          <w:rPr>
            <w:noProof/>
          </w:rPr>
          <w:t>20</w:t>
        </w:r>
      </w:fldSimple>
      <w:r w:rsidR="00B64935" w:rsidRPr="00AD66FE">
        <w:t>.  </w:t>
      </w:r>
      <w:r w:rsidR="003410A3" w:rsidRPr="00AD66FE">
        <w:t>На</w:t>
      </w:r>
      <w:r w:rsidR="00B64935" w:rsidRPr="00AD66FE">
        <w:t xml:space="preserve"> 9</w:t>
      </w:r>
      <w:r w:rsidR="003410A3" w:rsidRPr="00AD66FE">
        <w:t xml:space="preserve"> януари </w:t>
      </w:r>
      <w:r w:rsidR="00B64935" w:rsidRPr="00AD66FE">
        <w:t>2007</w:t>
      </w:r>
      <w:r w:rsidR="00303245">
        <w:t> г. дружеството-</w:t>
      </w:r>
      <w:r w:rsidR="003410A3" w:rsidRPr="00AD66FE">
        <w:t xml:space="preserve">жалбоподател изпраща ново писмо </w:t>
      </w:r>
      <w:r w:rsidR="00661C19" w:rsidRPr="00AD66FE">
        <w:t xml:space="preserve">до </w:t>
      </w:r>
      <w:r w:rsidR="003410A3" w:rsidRPr="00AD66FE">
        <w:t>данъчни</w:t>
      </w:r>
      <w:r w:rsidR="008111E5" w:rsidRPr="00AD66FE">
        <w:t>те</w:t>
      </w:r>
      <w:r w:rsidR="003410A3" w:rsidRPr="00AD66FE">
        <w:t xml:space="preserve"> власти във Варна и Добрич, както и на </w:t>
      </w:r>
      <w:r w:rsidR="004C6C56" w:rsidRPr="00AD66FE">
        <w:t>Н</w:t>
      </w:r>
      <w:r w:rsidR="003410A3" w:rsidRPr="00AD66FE">
        <w:t xml:space="preserve">ационалната агенция </w:t>
      </w:r>
      <w:r w:rsidR="00087B2C" w:rsidRPr="00AD66FE">
        <w:t>за</w:t>
      </w:r>
      <w:r w:rsidR="003410A3" w:rsidRPr="00AD66FE">
        <w:t xml:space="preserve"> приходите</w:t>
      </w:r>
      <w:r w:rsidR="00B64935" w:rsidRPr="00AD66FE">
        <w:t>.</w:t>
      </w:r>
      <w:r w:rsidR="003410A3" w:rsidRPr="00AD66FE">
        <w:t xml:space="preserve"> То иска връщане на напитките </w:t>
      </w:r>
      <w:r w:rsidR="004C6C56" w:rsidRPr="00AD66FE">
        <w:t>в</w:t>
      </w:r>
      <w:r w:rsidR="003410A3" w:rsidRPr="00AD66FE">
        <w:t>ъз основа на окончателното решение от 18 декември</w:t>
      </w:r>
      <w:r w:rsidR="00661C19" w:rsidRPr="00AD66FE">
        <w:t xml:space="preserve"> </w:t>
      </w:r>
      <w:r w:rsidR="00B64935" w:rsidRPr="00AD66FE">
        <w:t>2006</w:t>
      </w:r>
      <w:r w:rsidR="003410A3" w:rsidRPr="00AD66FE">
        <w:t> г.</w:t>
      </w:r>
      <w:r w:rsidR="00661C19" w:rsidRPr="00AD66FE">
        <w:t xml:space="preserve"> на Окръжен съд-Варна</w:t>
      </w:r>
      <w:r w:rsidR="003410A3" w:rsidRPr="00AD66FE">
        <w:t>, с което</w:t>
      </w:r>
      <w:r w:rsidR="00661C19" w:rsidRPr="00AD66FE">
        <w:t xml:space="preserve"> </w:t>
      </w:r>
      <w:r w:rsidR="003410A3" w:rsidRPr="00AD66FE">
        <w:t xml:space="preserve">отнемането на напитките като административно наказание </w:t>
      </w:r>
      <w:r w:rsidR="00661C19" w:rsidRPr="00AD66FE">
        <w:t>е окончателно отменено</w:t>
      </w:r>
      <w:r w:rsidR="003410A3" w:rsidRPr="00AD66FE">
        <w:t xml:space="preserve"> (вж. параграфи </w:t>
      </w:r>
      <w:r w:rsidR="00B64935" w:rsidRPr="00AD66FE">
        <w:fldChar w:fldCharType="begin"/>
      </w:r>
      <w:r w:rsidR="00B64935" w:rsidRPr="00AD66FE">
        <w:instrText xml:space="preserve"> REF Para10 \h </w:instrText>
      </w:r>
      <w:r w:rsidR="00AD66FE">
        <w:instrText xml:space="preserve"> \* MERGEFORMAT </w:instrText>
      </w:r>
      <w:r w:rsidR="00B64935" w:rsidRPr="00AD66FE">
        <w:fldChar w:fldCharType="separate"/>
      </w:r>
      <w:r w:rsidR="00D20DF1">
        <w:t>10</w:t>
      </w:r>
      <w:r w:rsidR="00B64935" w:rsidRPr="00AD66FE">
        <w:fldChar w:fldCharType="end"/>
      </w:r>
      <w:r w:rsidR="00B64935" w:rsidRPr="00AD66FE">
        <w:t>-</w:t>
      </w:r>
      <w:r w:rsidR="00B64935" w:rsidRPr="00AD66FE">
        <w:fldChar w:fldCharType="begin"/>
      </w:r>
      <w:r w:rsidR="00B64935" w:rsidRPr="00AD66FE">
        <w:instrText xml:space="preserve"> REF Para13 \h </w:instrText>
      </w:r>
      <w:r w:rsidR="00AD66FE">
        <w:instrText xml:space="preserve"> \* MERGEFORMAT </w:instrText>
      </w:r>
      <w:r w:rsidR="00B64935" w:rsidRPr="00AD66FE">
        <w:fldChar w:fldCharType="separate"/>
      </w:r>
      <w:r w:rsidR="00D20DF1">
        <w:t>13</w:t>
      </w:r>
      <w:r w:rsidR="00B64935" w:rsidRPr="00AD66FE">
        <w:fldChar w:fldCharType="end"/>
      </w:r>
      <w:r w:rsidR="00B64935" w:rsidRPr="00AD66FE">
        <w:t xml:space="preserve"> </w:t>
      </w:r>
      <w:r w:rsidR="003410A3" w:rsidRPr="00AD66FE">
        <w:t>по-горе</w:t>
      </w:r>
      <w:r w:rsidR="00B64935" w:rsidRPr="00AD66FE">
        <w:t>).</w:t>
      </w:r>
    </w:p>
    <w:bookmarkStart w:id="17" w:name="Para21bis"/>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21</w:t>
      </w:r>
      <w:r w:rsidRPr="00AD66FE">
        <w:fldChar w:fldCharType="end"/>
      </w:r>
      <w:bookmarkEnd w:id="17"/>
      <w:r w:rsidRPr="00AD66FE">
        <w:t>.  </w:t>
      </w:r>
      <w:r w:rsidR="003A4306" w:rsidRPr="00AD66FE">
        <w:t>На</w:t>
      </w:r>
      <w:r w:rsidRPr="00AD66FE">
        <w:t xml:space="preserve"> 28, 29</w:t>
      </w:r>
      <w:r w:rsidR="003A4306" w:rsidRPr="00AD66FE">
        <w:t xml:space="preserve"> и </w:t>
      </w:r>
      <w:r w:rsidRPr="00AD66FE">
        <w:t>30</w:t>
      </w:r>
      <w:r w:rsidR="003A4306" w:rsidRPr="00AD66FE">
        <w:t xml:space="preserve"> март </w:t>
      </w:r>
      <w:r w:rsidRPr="00AD66FE">
        <w:t>2007</w:t>
      </w:r>
      <w:r w:rsidR="003A4306" w:rsidRPr="00AD66FE">
        <w:t> г. в присъствието на полиция</w:t>
      </w:r>
      <w:r w:rsidR="00661C19" w:rsidRPr="00AD66FE">
        <w:t>та в гр. Варна</w:t>
      </w:r>
      <w:r w:rsidR="003A4306" w:rsidRPr="00AD66FE">
        <w:t xml:space="preserve"> бутилките са върна</w:t>
      </w:r>
      <w:r w:rsidR="00303245">
        <w:t>ти на дружеството-</w:t>
      </w:r>
      <w:r w:rsidR="003A4306" w:rsidRPr="00AD66FE">
        <w:t>жалбоподател</w:t>
      </w:r>
      <w:r w:rsidRPr="00AD66FE">
        <w:t>.</w:t>
      </w:r>
      <w:r w:rsidR="003A4306" w:rsidRPr="00AD66FE">
        <w:t xml:space="preserve"> След </w:t>
      </w:r>
      <w:r w:rsidR="007F0CE1">
        <w:t>това възстановяване дружеството-</w:t>
      </w:r>
      <w:r w:rsidR="003A4306" w:rsidRPr="00AD66FE">
        <w:t>жалбоподател възлага</w:t>
      </w:r>
      <w:r w:rsidR="00661C19" w:rsidRPr="00AD66FE">
        <w:t xml:space="preserve"> извършването на</w:t>
      </w:r>
      <w:r w:rsidR="003A4306" w:rsidRPr="00AD66FE">
        <w:t xml:space="preserve"> две частни </w:t>
      </w:r>
      <w:r w:rsidR="00742E3D" w:rsidRPr="00AD66FE">
        <w:t>експертизи</w:t>
      </w:r>
      <w:r w:rsidR="003A4306" w:rsidRPr="00AD66FE">
        <w:t>, за да провери дали напитките, които имат определен с</w:t>
      </w:r>
      <w:r w:rsidR="00382404" w:rsidRPr="00AD66FE">
        <w:t>р</w:t>
      </w:r>
      <w:r w:rsidR="003A4306" w:rsidRPr="00AD66FE">
        <w:t>ок на годност, са годни за консумация</w:t>
      </w:r>
      <w:r w:rsidRPr="00BB33F7">
        <w:t>.</w:t>
      </w:r>
      <w:r w:rsidR="003A4306" w:rsidRPr="00BB33F7">
        <w:t xml:space="preserve"> </w:t>
      </w:r>
      <w:r w:rsidR="00661C19" w:rsidRPr="00BB33F7">
        <w:t>Д</w:t>
      </w:r>
      <w:r w:rsidR="003A4306" w:rsidRPr="00BB33F7">
        <w:t xml:space="preserve">вете експертизи, и двете от 30 март </w:t>
      </w:r>
      <w:r w:rsidRPr="00BB33F7">
        <w:t>2007</w:t>
      </w:r>
      <w:r w:rsidR="003A4306" w:rsidRPr="00BB33F7">
        <w:t> г.</w:t>
      </w:r>
      <w:r w:rsidRPr="00BB33F7">
        <w:t xml:space="preserve">, </w:t>
      </w:r>
      <w:r w:rsidR="003A4306" w:rsidRPr="00BB33F7">
        <w:t xml:space="preserve">установяват, че срокът на годност на </w:t>
      </w:r>
      <w:r w:rsidRPr="00BB33F7">
        <w:t>26</w:t>
      </w:r>
      <w:r w:rsidR="003A4306" w:rsidRPr="00BB33F7">
        <w:t> </w:t>
      </w:r>
      <w:r w:rsidRPr="00BB33F7">
        <w:t>743</w:t>
      </w:r>
      <w:r w:rsidR="003A4306" w:rsidRPr="00BB33F7">
        <w:t xml:space="preserve"> бутилки крем ликьор „</w:t>
      </w:r>
      <w:proofErr w:type="spellStart"/>
      <w:r w:rsidR="003A4306" w:rsidRPr="00BB33F7">
        <w:t>Бейлис</w:t>
      </w:r>
      <w:proofErr w:type="spellEnd"/>
      <w:r w:rsidR="003A4306" w:rsidRPr="00BB33F7">
        <w:t xml:space="preserve">“ от цялата стока е изтекъл през септември и октомври </w:t>
      </w:r>
      <w:r w:rsidRPr="00BB33F7">
        <w:t>2006</w:t>
      </w:r>
      <w:r w:rsidR="003A4306" w:rsidRPr="00BB33F7">
        <w:t> г</w:t>
      </w:r>
      <w:r w:rsidRPr="00BB33F7">
        <w:t>.</w:t>
      </w:r>
      <w:r w:rsidRPr="00AD66FE">
        <w:t xml:space="preserve"> </w:t>
      </w:r>
      <w:r w:rsidR="00087B2C" w:rsidRPr="00AD66FE">
        <w:t>В експертизите се отбелязва още, че освен този брой има още бутилки, които са счупени</w:t>
      </w:r>
      <w:r w:rsidRPr="00AD66FE">
        <w:t>.</w:t>
      </w:r>
      <w:r w:rsidR="00087B2C" w:rsidRPr="00AD66FE">
        <w:t xml:space="preserve"> Експертизите стигат до заключението, се напитките вече не могат да се предлагат на пазара. Според тях на всички други напитки не е отбелязан срок на годност</w:t>
      </w:r>
      <w:r w:rsidRPr="00AD66FE">
        <w:t>.</w:t>
      </w:r>
    </w:p>
    <w:p w:rsidR="00B64935" w:rsidRPr="00AD66FE" w:rsidRDefault="0000054C" w:rsidP="00BA13D9">
      <w:pPr>
        <w:pStyle w:val="ECHRHeading2"/>
      </w:pPr>
      <w:r w:rsidRPr="00AD66FE">
        <w:t>Е</w:t>
      </w:r>
      <w:r w:rsidR="00B64935" w:rsidRPr="00AD66FE">
        <w:t>.  </w:t>
      </w:r>
      <w:r w:rsidR="007F0CE1">
        <w:t>Иск за вреди на дружеството-</w:t>
      </w:r>
      <w:r w:rsidR="00087B2C" w:rsidRPr="00AD66FE">
        <w:t>жалбоподател срещу държавата</w:t>
      </w:r>
    </w:p>
    <w:bookmarkStart w:id="18" w:name="Para21"/>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22</w:t>
      </w:r>
      <w:r w:rsidRPr="00AD66FE">
        <w:fldChar w:fldCharType="end"/>
      </w:r>
      <w:bookmarkEnd w:id="18"/>
      <w:r w:rsidRPr="00AD66FE">
        <w:t>.  </w:t>
      </w:r>
      <w:r w:rsidR="00087B2C" w:rsidRPr="00AD66FE">
        <w:t>На</w:t>
      </w:r>
      <w:r w:rsidRPr="00AD66FE">
        <w:t xml:space="preserve"> 17</w:t>
      </w:r>
      <w:r w:rsidR="00087B2C" w:rsidRPr="00AD66FE">
        <w:t xml:space="preserve"> март </w:t>
      </w:r>
      <w:r w:rsidRPr="00AD66FE">
        <w:t>2008</w:t>
      </w:r>
      <w:r w:rsidR="007F0CE1">
        <w:t xml:space="preserve"> г. дружеството-</w:t>
      </w:r>
      <w:r w:rsidR="00087B2C" w:rsidRPr="00AD66FE">
        <w:t xml:space="preserve">жалбоподател </w:t>
      </w:r>
      <w:r w:rsidR="00661C19" w:rsidRPr="00AD66FE">
        <w:t xml:space="preserve">предявява </w:t>
      </w:r>
      <w:r w:rsidR="00087B2C" w:rsidRPr="00AD66FE">
        <w:t>иск срещу Националната агенция за приходите</w:t>
      </w:r>
      <w:r w:rsidR="00655E2F" w:rsidRPr="00AD66FE">
        <w:t xml:space="preserve"> по Закона за отговорността на държавата и общините за вреди пред Административен съд </w:t>
      </w:r>
      <w:r w:rsidR="00387918" w:rsidRPr="00AD66FE">
        <w:t xml:space="preserve">– </w:t>
      </w:r>
      <w:r w:rsidR="00655E2F" w:rsidRPr="00AD66FE">
        <w:t>София</w:t>
      </w:r>
      <w:r w:rsidR="00387918" w:rsidRPr="00AD66FE">
        <w:t xml:space="preserve"> </w:t>
      </w:r>
      <w:r w:rsidR="00655E2F" w:rsidRPr="00AD66FE">
        <w:t>град</w:t>
      </w:r>
      <w:r w:rsidRPr="00AD66FE">
        <w:t>.</w:t>
      </w:r>
      <w:r w:rsidR="007F0CE1">
        <w:t xml:space="preserve"> Дружеството-</w:t>
      </w:r>
      <w:r w:rsidR="006B4E06" w:rsidRPr="00AD66FE">
        <w:t xml:space="preserve">жалбоподател </w:t>
      </w:r>
      <w:r w:rsidR="00661C19" w:rsidRPr="00AD66FE">
        <w:t xml:space="preserve">иска </w:t>
      </w:r>
      <w:r w:rsidR="007F0CE1">
        <w:t>съдът</w:t>
      </w:r>
      <w:r w:rsidR="006B4E06" w:rsidRPr="00AD66FE">
        <w:t xml:space="preserve"> да обяви </w:t>
      </w:r>
      <w:r w:rsidR="00661C19" w:rsidRPr="00AD66FE">
        <w:t>нищожността на</w:t>
      </w:r>
      <w:r w:rsidR="006B4E06" w:rsidRPr="00AD66FE">
        <w:t xml:space="preserve"> решението на данъчните власти за задържане на стоката и отказа им да я върнат след 7 декември </w:t>
      </w:r>
      <w:r w:rsidRPr="00AD66FE">
        <w:t>2005</w:t>
      </w:r>
      <w:r w:rsidR="006B4E06" w:rsidRPr="00AD66FE">
        <w:t> г.</w:t>
      </w:r>
      <w:r w:rsidRPr="00AD66FE">
        <w:t>,</w:t>
      </w:r>
      <w:r w:rsidR="006B4E06" w:rsidRPr="00AD66FE">
        <w:t xml:space="preserve"> когато влиза в сила решението на </w:t>
      </w:r>
      <w:r w:rsidR="00661C19" w:rsidRPr="00AD66FE">
        <w:t>Р</w:t>
      </w:r>
      <w:r w:rsidR="006B4E06" w:rsidRPr="00AD66FE">
        <w:t>айонен съд</w:t>
      </w:r>
      <w:r w:rsidR="00661C19" w:rsidRPr="00AD66FE">
        <w:t>-Варна</w:t>
      </w:r>
      <w:r w:rsidR="006B4E06" w:rsidRPr="00AD66FE">
        <w:t xml:space="preserve">, с което се разпорежда връщане на стоката (вж. параграф </w:t>
      </w:r>
      <w:r w:rsidRPr="00AD66FE">
        <w:fldChar w:fldCharType="begin"/>
      </w:r>
      <w:r w:rsidRPr="00AD66FE">
        <w:instrText xml:space="preserve"> REF Para8 \h </w:instrText>
      </w:r>
      <w:r w:rsidR="00AD66FE">
        <w:instrText xml:space="preserve"> \* MERGEFORMAT </w:instrText>
      </w:r>
      <w:r w:rsidRPr="00AD66FE">
        <w:fldChar w:fldCharType="separate"/>
      </w:r>
      <w:r w:rsidR="00D20DF1">
        <w:t>8</w:t>
      </w:r>
      <w:r w:rsidRPr="00AD66FE">
        <w:fldChar w:fldCharType="end"/>
      </w:r>
      <w:r w:rsidRPr="00AD66FE">
        <w:t xml:space="preserve"> </w:t>
      </w:r>
      <w:r w:rsidR="006B4E06" w:rsidRPr="00AD66FE">
        <w:t>по-горе</w:t>
      </w:r>
      <w:r w:rsidRPr="00AD66FE">
        <w:t xml:space="preserve">). </w:t>
      </w:r>
      <w:r w:rsidR="00FB3DC5">
        <w:t>Дружеството-</w:t>
      </w:r>
      <w:r w:rsidR="005D7523" w:rsidRPr="00AD66FE">
        <w:t>жалбоподател претендира за обезщетение за вреди и пропуснати ползи по отношение на бутилките крем ликьор „</w:t>
      </w:r>
      <w:proofErr w:type="spellStart"/>
      <w:r w:rsidR="005D7523" w:rsidRPr="00AD66FE">
        <w:t>Бейлис</w:t>
      </w:r>
      <w:proofErr w:type="spellEnd"/>
      <w:r w:rsidR="005D7523" w:rsidRPr="00AD66FE">
        <w:t>“, чи</w:t>
      </w:r>
      <w:r w:rsidR="00FB3DC5">
        <w:t>й</w:t>
      </w:r>
      <w:r w:rsidR="005D7523" w:rsidRPr="00AD66FE">
        <w:t>то срок на годност е изтекъл, и за невъзможността да продаде тези напитки, както и за невъзможността да се разпореди с напитките, чи</w:t>
      </w:r>
      <w:r w:rsidR="00FB3DC5">
        <w:t>й</w:t>
      </w:r>
      <w:r w:rsidR="005D7523" w:rsidRPr="00AD66FE">
        <w:t xml:space="preserve">то срок на годност не изтича по време на периода на задържането им и е можело да </w:t>
      </w:r>
      <w:r w:rsidR="00A5092D" w:rsidRPr="00AD66FE">
        <w:t>бъдат</w:t>
      </w:r>
      <w:r w:rsidR="005D7523" w:rsidRPr="00AD66FE">
        <w:t xml:space="preserve"> предлож</w:t>
      </w:r>
      <w:r w:rsidR="00BF4434" w:rsidRPr="00AD66FE">
        <w:t xml:space="preserve">ени </w:t>
      </w:r>
      <w:r w:rsidR="00FB3DC5">
        <w:t>на пазара след връщането</w:t>
      </w:r>
      <w:r w:rsidRPr="00AD66FE">
        <w:t xml:space="preserve">. </w:t>
      </w:r>
      <w:r w:rsidR="00A5092D" w:rsidRPr="00AD66FE">
        <w:t xml:space="preserve">С </w:t>
      </w:r>
      <w:r w:rsidR="00661C19" w:rsidRPr="00AD66FE">
        <w:t xml:space="preserve">определение </w:t>
      </w:r>
      <w:r w:rsidR="00A5092D" w:rsidRPr="00AD66FE">
        <w:t xml:space="preserve">от </w:t>
      </w:r>
      <w:r w:rsidRPr="00AD66FE">
        <w:t>28</w:t>
      </w:r>
      <w:r w:rsidR="00FB3DC5">
        <w:t> юли </w:t>
      </w:r>
      <w:r w:rsidRPr="00AD66FE">
        <w:t>2008</w:t>
      </w:r>
      <w:r w:rsidR="00A5092D" w:rsidRPr="00AD66FE">
        <w:t xml:space="preserve"> г. Административен съд </w:t>
      </w:r>
      <w:r w:rsidR="00387918" w:rsidRPr="00AD66FE">
        <w:t xml:space="preserve">– </w:t>
      </w:r>
      <w:r w:rsidR="00A5092D" w:rsidRPr="00AD66FE">
        <w:t>София град</w:t>
      </w:r>
      <w:r w:rsidR="008C089F" w:rsidRPr="00AD66FE">
        <w:t xml:space="preserve"> </w:t>
      </w:r>
      <w:r w:rsidR="00661C19" w:rsidRPr="00AD66FE">
        <w:t>се произнася</w:t>
      </w:r>
      <w:r w:rsidR="002B5527" w:rsidRPr="00AD66FE">
        <w:t xml:space="preserve">, че искът следва да бъде разгледан в три отделни производства. Първите две производства </w:t>
      </w:r>
      <w:r w:rsidR="003352F8" w:rsidRPr="00AD66FE">
        <w:t xml:space="preserve">се отнасят за </w:t>
      </w:r>
      <w:r w:rsidR="002B5527" w:rsidRPr="00AD66FE">
        <w:t xml:space="preserve">твърдяната нищожност на решенията на данъчните власти съответно преди и след 1 януари </w:t>
      </w:r>
      <w:r w:rsidRPr="00AD66FE">
        <w:t>2006</w:t>
      </w:r>
      <w:r w:rsidR="002B5527" w:rsidRPr="00AD66FE">
        <w:t> г., а третото производство се отнася до иска за обезщетение на дружеството</w:t>
      </w:r>
      <w:r w:rsidR="00FB3DC5">
        <w:t>-</w:t>
      </w:r>
      <w:r w:rsidR="002B5527" w:rsidRPr="00AD66FE">
        <w:t xml:space="preserve"> жалбоподател</w:t>
      </w:r>
      <w:r w:rsidRPr="00AD66FE">
        <w:t>.</w:t>
      </w:r>
    </w:p>
    <w:p w:rsidR="00B64935" w:rsidRPr="00AD66FE" w:rsidRDefault="00B64935" w:rsidP="00BA13D9">
      <w:pPr>
        <w:pStyle w:val="ECHRHeading3"/>
      </w:pPr>
      <w:r w:rsidRPr="00AD66FE">
        <w:t>1.  </w:t>
      </w:r>
      <w:r w:rsidR="008C089F" w:rsidRPr="00AD66FE">
        <w:t>Иск за</w:t>
      </w:r>
      <w:r w:rsidR="00207D24" w:rsidRPr="00AD66FE">
        <w:t xml:space="preserve"> прогласяване на</w:t>
      </w:r>
      <w:r w:rsidR="008C089F" w:rsidRPr="00AD66FE">
        <w:t xml:space="preserve"> нищожност по отношение на отказа на данъчните власти за връщане на стоката преди </w:t>
      </w:r>
      <w:r w:rsidRPr="00AD66FE">
        <w:t xml:space="preserve">1 </w:t>
      </w:r>
      <w:r w:rsidR="008C089F" w:rsidRPr="00AD66FE">
        <w:t xml:space="preserve">януари </w:t>
      </w:r>
      <w:r w:rsidRPr="00AD66FE">
        <w:t>2006</w:t>
      </w:r>
      <w:r w:rsidR="008C089F" w:rsidRPr="00AD66FE">
        <w:t> г.</w:t>
      </w:r>
    </w:p>
    <w:bookmarkStart w:id="19" w:name="Para22"/>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23</w:t>
      </w:r>
      <w:r w:rsidRPr="00AD66FE">
        <w:fldChar w:fldCharType="end"/>
      </w:r>
      <w:bookmarkEnd w:id="19"/>
      <w:r w:rsidRPr="00AD66FE">
        <w:t>.  </w:t>
      </w:r>
      <w:r w:rsidR="00686837" w:rsidRPr="00AD66FE">
        <w:t xml:space="preserve">С решение от 13 октомври </w:t>
      </w:r>
      <w:r w:rsidRPr="00AD66FE">
        <w:t>2008</w:t>
      </w:r>
      <w:r w:rsidR="00686837" w:rsidRPr="00AD66FE">
        <w:t xml:space="preserve"> г. Административен съд </w:t>
      </w:r>
      <w:r w:rsidR="0082044C" w:rsidRPr="00AD66FE">
        <w:t xml:space="preserve">– </w:t>
      </w:r>
      <w:r w:rsidR="00686837" w:rsidRPr="00AD66FE">
        <w:t xml:space="preserve">София град изпраща делото на Административен съд – Добрич, който според него е </w:t>
      </w:r>
      <w:r w:rsidR="00207D24" w:rsidRPr="00AD66FE">
        <w:t>компетентен да</w:t>
      </w:r>
      <w:r w:rsidR="00686837" w:rsidRPr="00AD66FE">
        <w:t xml:space="preserve"> разгледа иска</w:t>
      </w:r>
      <w:r w:rsidRPr="00AD66FE">
        <w:t>.</w:t>
      </w:r>
      <w:r w:rsidR="00686837" w:rsidRPr="00AD66FE">
        <w:t xml:space="preserve"> С решение от </w:t>
      </w:r>
      <w:r w:rsidRPr="00AD66FE">
        <w:t>19 </w:t>
      </w:r>
      <w:r w:rsidR="00686837" w:rsidRPr="00AD66FE">
        <w:t>март</w:t>
      </w:r>
      <w:r w:rsidRPr="00AD66FE">
        <w:t xml:space="preserve"> 2009</w:t>
      </w:r>
      <w:r w:rsidR="00686837" w:rsidRPr="00AD66FE">
        <w:t> г. Административен съд – Добрич</w:t>
      </w:r>
      <w:r w:rsidR="00207D24" w:rsidRPr="00AD66FE">
        <w:t xml:space="preserve"> </w:t>
      </w:r>
      <w:r w:rsidR="00686837" w:rsidRPr="00AD66FE">
        <w:t xml:space="preserve">прекратява производството </w:t>
      </w:r>
      <w:r w:rsidR="00207D24" w:rsidRPr="00AD66FE">
        <w:t xml:space="preserve">частично </w:t>
      </w:r>
      <w:r w:rsidR="00686837" w:rsidRPr="00AD66FE">
        <w:t>и отхвърля иска</w:t>
      </w:r>
      <w:r w:rsidR="00207D24" w:rsidRPr="00AD66FE">
        <w:t xml:space="preserve"> частично</w:t>
      </w:r>
      <w:r w:rsidRPr="00AD66FE">
        <w:t>.</w:t>
      </w:r>
      <w:r w:rsidR="00FB3DC5">
        <w:t xml:space="preserve"> Дружеството-</w:t>
      </w:r>
      <w:r w:rsidR="00686837" w:rsidRPr="00AD66FE">
        <w:t xml:space="preserve">жалбоподател обжалва решението пред Върховния административен съд, който потвърждава решението </w:t>
      </w:r>
      <w:r w:rsidR="0092183F" w:rsidRPr="00AD66FE">
        <w:t>за</w:t>
      </w:r>
      <w:r w:rsidR="00686837" w:rsidRPr="00AD66FE">
        <w:t xml:space="preserve"> прекратяване на производството и обявява отхвърлената част на иска за недопустима </w:t>
      </w:r>
      <w:r w:rsidR="0092183F" w:rsidRPr="00AD66FE">
        <w:t>с окончателно решение, което вл</w:t>
      </w:r>
      <w:r w:rsidR="00686837" w:rsidRPr="00AD66FE">
        <w:t>и</w:t>
      </w:r>
      <w:r w:rsidR="0092183F" w:rsidRPr="00AD66FE">
        <w:t>з</w:t>
      </w:r>
      <w:r w:rsidR="00686837" w:rsidRPr="00AD66FE">
        <w:t xml:space="preserve">а в сила на 28 октомври </w:t>
      </w:r>
      <w:r w:rsidRPr="00AD66FE">
        <w:t>2009</w:t>
      </w:r>
      <w:r w:rsidR="00686837" w:rsidRPr="00AD66FE">
        <w:t> г</w:t>
      </w:r>
      <w:r w:rsidRPr="00AD66FE">
        <w:t>.</w:t>
      </w:r>
      <w:r w:rsidR="00BE66BC" w:rsidRPr="00AD66FE">
        <w:t xml:space="preserve"> Този съд </w:t>
      </w:r>
      <w:r w:rsidR="00207D24" w:rsidRPr="00AD66FE">
        <w:t>констатира</w:t>
      </w:r>
      <w:r w:rsidR="00BE66BC" w:rsidRPr="00AD66FE">
        <w:t xml:space="preserve">, че фактите по делото не се отнасят до неизпълнение на изисквани по закон действия, а </w:t>
      </w:r>
      <w:r w:rsidR="00BA079E" w:rsidRPr="00AD66FE">
        <w:t xml:space="preserve">до </w:t>
      </w:r>
      <w:r w:rsidR="00BE66BC" w:rsidRPr="00AD66FE">
        <w:t>неизпълнението на окончателно съдебно решение</w:t>
      </w:r>
      <w:r w:rsidRPr="00AD66FE">
        <w:t>.</w:t>
      </w:r>
      <w:r w:rsidR="00BE66BC" w:rsidRPr="00AD66FE">
        <w:t xml:space="preserve"> С други думи, съдилищата могат да разглеждат единствено ситуации, в които задължението за </w:t>
      </w:r>
      <w:r w:rsidR="00FB3DC5">
        <w:t>издаване</w:t>
      </w:r>
      <w:r w:rsidR="00BE66BC" w:rsidRPr="00AD66FE">
        <w:t xml:space="preserve"> на административен акт се изисква пряко по закон, което не е така в конкретния случай</w:t>
      </w:r>
      <w:r w:rsidRPr="00AD66FE">
        <w:t>.</w:t>
      </w:r>
      <w:r w:rsidR="00BE66BC" w:rsidRPr="00AD66FE">
        <w:t xml:space="preserve"> Задължението на административни власти</w:t>
      </w:r>
      <w:r w:rsidR="00C85E0B" w:rsidRPr="00AD66FE">
        <w:t xml:space="preserve"> в Добрич</w:t>
      </w:r>
      <w:r w:rsidR="00BE66BC" w:rsidRPr="00AD66FE">
        <w:t xml:space="preserve"> </w:t>
      </w:r>
      <w:r w:rsidR="00D74346" w:rsidRPr="00AD66FE">
        <w:t>да</w:t>
      </w:r>
      <w:r w:rsidR="00BE66BC" w:rsidRPr="00AD66FE">
        <w:t xml:space="preserve"> върнат бутилките е </w:t>
      </w:r>
      <w:r w:rsidR="00C85E0B" w:rsidRPr="00AD66FE">
        <w:t>след</w:t>
      </w:r>
      <w:r w:rsidR="00FB3DC5">
        <w:t>ств</w:t>
      </w:r>
      <w:r w:rsidR="00C85E0B" w:rsidRPr="00AD66FE">
        <w:t>ие на</w:t>
      </w:r>
      <w:r w:rsidR="00BE66BC" w:rsidRPr="00AD66FE">
        <w:t xml:space="preserve"> обвързващо съдебно решение, а </w:t>
      </w:r>
      <w:r w:rsidR="00DA791C" w:rsidRPr="00AD66FE">
        <w:t>н</w:t>
      </w:r>
      <w:r w:rsidR="00BE66BC" w:rsidRPr="00AD66FE">
        <w:t>е</w:t>
      </w:r>
      <w:r w:rsidR="00C85E0B" w:rsidRPr="00AD66FE">
        <w:t xml:space="preserve"> произтича</w:t>
      </w:r>
      <w:r w:rsidR="00BE66BC" w:rsidRPr="00AD66FE">
        <w:t xml:space="preserve"> пряко от законова разпоредба</w:t>
      </w:r>
      <w:r w:rsidRPr="00AD66FE">
        <w:t>.</w:t>
      </w:r>
    </w:p>
    <w:p w:rsidR="00B64935" w:rsidRPr="00AD66FE" w:rsidRDefault="00B64935" w:rsidP="00BA13D9">
      <w:pPr>
        <w:pStyle w:val="ECHRHeading3"/>
      </w:pPr>
      <w:r w:rsidRPr="00AD66FE">
        <w:t>2.  </w:t>
      </w:r>
      <w:r w:rsidR="00DA791C" w:rsidRPr="00AD66FE">
        <w:t xml:space="preserve">Иск за </w:t>
      </w:r>
      <w:r w:rsidR="00207D24" w:rsidRPr="00AD66FE">
        <w:t xml:space="preserve">прогласяване на </w:t>
      </w:r>
      <w:r w:rsidR="00DA791C" w:rsidRPr="00AD66FE">
        <w:t>нищожност по отношение на отказа на данъчните власти за връщане на стоката след 1 януари 2006 г.</w:t>
      </w:r>
    </w:p>
    <w:bookmarkStart w:id="20" w:name="Para23"/>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24</w:t>
      </w:r>
      <w:r w:rsidRPr="00AD66FE">
        <w:fldChar w:fldCharType="end"/>
      </w:r>
      <w:bookmarkEnd w:id="20"/>
      <w:r w:rsidRPr="00AD66FE">
        <w:t>.  </w:t>
      </w:r>
      <w:r w:rsidR="00A913C0" w:rsidRPr="00AD66FE">
        <w:t xml:space="preserve">С решение от </w:t>
      </w:r>
      <w:r w:rsidRPr="00AD66FE">
        <w:t>3</w:t>
      </w:r>
      <w:r w:rsidR="00A913C0" w:rsidRPr="00AD66FE">
        <w:t xml:space="preserve"> ноември </w:t>
      </w:r>
      <w:r w:rsidRPr="00AD66FE">
        <w:t>2008</w:t>
      </w:r>
      <w:r w:rsidR="00A913C0" w:rsidRPr="00AD66FE">
        <w:t> г.</w:t>
      </w:r>
      <w:r w:rsidR="0086592D" w:rsidRPr="00AD66FE">
        <w:t xml:space="preserve"> </w:t>
      </w:r>
      <w:r w:rsidR="00A913C0" w:rsidRPr="00AD66FE">
        <w:t xml:space="preserve">Административен съд </w:t>
      </w:r>
      <w:r w:rsidR="0082044C" w:rsidRPr="00AD66FE">
        <w:t xml:space="preserve">– </w:t>
      </w:r>
      <w:r w:rsidR="00A913C0" w:rsidRPr="00AD66FE">
        <w:t>София град</w:t>
      </w:r>
      <w:r w:rsidR="00BF2B0D" w:rsidRPr="00AD66FE">
        <w:t xml:space="preserve"> изпраща делото на Административен съд – Варна, който според него е компетентният съд да разгледа иска</w:t>
      </w:r>
      <w:r w:rsidRPr="00AD66FE">
        <w:t xml:space="preserve">. </w:t>
      </w:r>
      <w:r w:rsidR="0086592D" w:rsidRPr="00AD66FE">
        <w:t>С решение от 13 ноември 2008 г. Административен съд – Варна отхвърля иска на дружеството жалбоподател и прекратява производството</w:t>
      </w:r>
      <w:r w:rsidRPr="00AD66FE">
        <w:t>.</w:t>
      </w:r>
      <w:r w:rsidR="0086592D" w:rsidRPr="00AD66FE">
        <w:t xml:space="preserve"> Съдът </w:t>
      </w:r>
      <w:r w:rsidR="00C85E0B" w:rsidRPr="00AD66FE">
        <w:t>счита</w:t>
      </w:r>
      <w:r w:rsidR="0086592D" w:rsidRPr="00AD66FE">
        <w:t xml:space="preserve">, че по същество искът представлява </w:t>
      </w:r>
      <w:r w:rsidR="00DA6C52" w:rsidRPr="00AD66FE">
        <w:t>оплакване</w:t>
      </w:r>
      <w:r w:rsidR="0086592D" w:rsidRPr="00AD66FE">
        <w:t xml:space="preserve"> за отказа на данъчни</w:t>
      </w:r>
      <w:r w:rsidR="0022763D">
        <w:t>те</w:t>
      </w:r>
      <w:r w:rsidR="0086592D" w:rsidRPr="00AD66FE">
        <w:t xml:space="preserve"> власти да вземат решение по въпроса за връщането на бутилките</w:t>
      </w:r>
      <w:r w:rsidRPr="00AD66FE">
        <w:t>.</w:t>
      </w:r>
      <w:r w:rsidR="0086592D" w:rsidRPr="00AD66FE">
        <w:t xml:space="preserve"> </w:t>
      </w:r>
      <w:r w:rsidR="0022763D">
        <w:t>С</w:t>
      </w:r>
      <w:r w:rsidR="0086592D" w:rsidRPr="00AD66FE">
        <w:t>ъдът стига до заключението,</w:t>
      </w:r>
      <w:r w:rsidR="0022763D">
        <w:t xml:space="preserve"> обаче,</w:t>
      </w:r>
      <w:r w:rsidR="0086592D" w:rsidRPr="00AD66FE">
        <w:t xml:space="preserve"> че като препраща </w:t>
      </w:r>
      <w:r w:rsidR="00C85E0B" w:rsidRPr="00AD66FE">
        <w:t xml:space="preserve">исканията </w:t>
      </w:r>
      <w:r w:rsidR="0022763D">
        <w:t>на дружеството-</w:t>
      </w:r>
      <w:r w:rsidR="0086592D" w:rsidRPr="00AD66FE">
        <w:t xml:space="preserve">жалбоподател на други компетентни органи </w:t>
      </w:r>
      <w:r w:rsidR="0022763D">
        <w:t>на основание</w:t>
      </w:r>
      <w:r w:rsidR="0086592D" w:rsidRPr="00AD66FE">
        <w:t>, че не е компетентна сама да ги разгледа</w:t>
      </w:r>
      <w:r w:rsidR="008B11FD" w:rsidRPr="00AD66FE">
        <w:t>,</w:t>
      </w:r>
      <w:r w:rsidR="0086592D" w:rsidRPr="00AD66FE">
        <w:t xml:space="preserve"> и по-к</w:t>
      </w:r>
      <w:r w:rsidR="0022763D">
        <w:t>ъсно като уведомява дружеството-</w:t>
      </w:r>
      <w:r w:rsidR="0086592D" w:rsidRPr="00AD66FE">
        <w:t xml:space="preserve">жалбоподател, </w:t>
      </w:r>
      <w:r w:rsidR="008111E5" w:rsidRPr="00AD66FE">
        <w:t xml:space="preserve">Териториалната </w:t>
      </w:r>
      <w:r w:rsidR="00184E50" w:rsidRPr="00AD66FE">
        <w:t xml:space="preserve">данъчна дирекция </w:t>
      </w:r>
      <w:r w:rsidR="008111E5" w:rsidRPr="00AD66FE">
        <w:t xml:space="preserve">Варна </w:t>
      </w:r>
      <w:r w:rsidR="0022763D">
        <w:t>е взела</w:t>
      </w:r>
      <w:r w:rsidR="0086592D" w:rsidRPr="00AD66FE">
        <w:t xml:space="preserve"> </w:t>
      </w:r>
      <w:r w:rsidR="0022763D">
        <w:t>отношение по тях</w:t>
      </w:r>
      <w:r w:rsidRPr="00AD66FE">
        <w:t>.</w:t>
      </w:r>
      <w:r w:rsidR="0086592D" w:rsidRPr="00AD66FE">
        <w:t xml:space="preserve"> Съдът добавя, че ако </w:t>
      </w:r>
      <w:r w:rsidR="0022763D">
        <w:t>се приеме, че дружеството-</w:t>
      </w:r>
      <w:r w:rsidR="0086592D" w:rsidRPr="00AD66FE">
        <w:t xml:space="preserve">жалбоподател оспорва </w:t>
      </w:r>
      <w:r w:rsidR="008B11FD" w:rsidRPr="00AD66FE">
        <w:t>д</w:t>
      </w:r>
      <w:r w:rsidR="0086592D" w:rsidRPr="00AD66FE">
        <w:t xml:space="preserve">вете писма от 31 май 2006 г. и 17 август 2006 г. (вж. параграфи </w:t>
      </w:r>
      <w:r w:rsidRPr="00AD66FE">
        <w:fldChar w:fldCharType="begin"/>
      </w:r>
      <w:r w:rsidRPr="00AD66FE">
        <w:instrText xml:space="preserve"> REF Para15 \h </w:instrText>
      </w:r>
      <w:r w:rsidR="00AD66FE">
        <w:instrText xml:space="preserve"> \* MERGEFORMAT </w:instrText>
      </w:r>
      <w:r w:rsidRPr="00AD66FE">
        <w:fldChar w:fldCharType="separate"/>
      </w:r>
      <w:r w:rsidR="00D20DF1">
        <w:t>17</w:t>
      </w:r>
      <w:r w:rsidRPr="00AD66FE">
        <w:fldChar w:fldCharType="end"/>
      </w:r>
      <w:r w:rsidRPr="00AD66FE">
        <w:t xml:space="preserve"> </w:t>
      </w:r>
      <w:r w:rsidR="0086592D" w:rsidRPr="00AD66FE">
        <w:t xml:space="preserve">и </w:t>
      </w:r>
      <w:r w:rsidRPr="00AD66FE">
        <w:fldChar w:fldCharType="begin"/>
      </w:r>
      <w:r w:rsidRPr="00AD66FE">
        <w:instrText xml:space="preserve"> REF Para17 \h </w:instrText>
      </w:r>
      <w:r w:rsidR="00AD66FE">
        <w:instrText xml:space="preserve"> \* MERGEFORMAT </w:instrText>
      </w:r>
      <w:r w:rsidRPr="00AD66FE">
        <w:fldChar w:fldCharType="separate"/>
      </w:r>
      <w:r w:rsidR="00D20DF1">
        <w:t>19</w:t>
      </w:r>
      <w:r w:rsidRPr="00AD66FE">
        <w:fldChar w:fldCharType="end"/>
      </w:r>
      <w:r w:rsidRPr="00AD66FE">
        <w:t xml:space="preserve"> </w:t>
      </w:r>
      <w:r w:rsidR="0086592D" w:rsidRPr="00AD66FE">
        <w:t>по-горе</w:t>
      </w:r>
      <w:r w:rsidRPr="00AD66FE">
        <w:t>),</w:t>
      </w:r>
      <w:r w:rsidR="0086592D" w:rsidRPr="00AD66FE">
        <w:t xml:space="preserve"> то </w:t>
      </w:r>
      <w:r w:rsidR="0022763D">
        <w:t>това оспорване</w:t>
      </w:r>
      <w:r w:rsidR="0086592D" w:rsidRPr="00AD66FE">
        <w:t xml:space="preserve"> е направено извън предвидените в закона срокове. С</w:t>
      </w:r>
      <w:r w:rsidR="008B11FD" w:rsidRPr="00AD66FE">
        <w:t xml:space="preserve"> окончателно решение от 14 </w:t>
      </w:r>
      <w:r w:rsidR="0086592D" w:rsidRPr="00AD66FE">
        <w:t xml:space="preserve">януари </w:t>
      </w:r>
      <w:r w:rsidRPr="00AD66FE">
        <w:t>2009</w:t>
      </w:r>
      <w:r w:rsidR="0086592D" w:rsidRPr="00AD66FE">
        <w:t> г. Върховният административен съд потвърждава решението на долна</w:t>
      </w:r>
      <w:r w:rsidR="00CA62D3">
        <w:t>та</w:t>
      </w:r>
      <w:r w:rsidR="0086592D" w:rsidRPr="00AD66FE">
        <w:t xml:space="preserve"> инстанция</w:t>
      </w:r>
      <w:r w:rsidRPr="00AD66FE">
        <w:t>.</w:t>
      </w:r>
    </w:p>
    <w:p w:rsidR="00B64935" w:rsidRPr="00AD66FE" w:rsidRDefault="00B64935" w:rsidP="00BA13D9">
      <w:pPr>
        <w:pStyle w:val="ECHRHeading3"/>
      </w:pPr>
      <w:r w:rsidRPr="00AD66FE">
        <w:t>3.  </w:t>
      </w:r>
      <w:r w:rsidR="00595F23" w:rsidRPr="00AD66FE">
        <w:t>Иск за обезщетение</w:t>
      </w:r>
    </w:p>
    <w:bookmarkStart w:id="21" w:name="Para24"/>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25</w:t>
      </w:r>
      <w:r w:rsidRPr="00AD66FE">
        <w:fldChar w:fldCharType="end"/>
      </w:r>
      <w:bookmarkEnd w:id="21"/>
      <w:r w:rsidRPr="00AD66FE">
        <w:t>.  </w:t>
      </w:r>
      <w:r w:rsidR="001673C9" w:rsidRPr="00AD66FE">
        <w:t>С реше</w:t>
      </w:r>
      <w:r w:rsidR="00547913" w:rsidRPr="00AD66FE">
        <w:t>н</w:t>
      </w:r>
      <w:r w:rsidR="001673C9" w:rsidRPr="00AD66FE">
        <w:t xml:space="preserve">ие от </w:t>
      </w:r>
      <w:r w:rsidRPr="00AD66FE">
        <w:t>30</w:t>
      </w:r>
      <w:r w:rsidR="001673C9" w:rsidRPr="00AD66FE">
        <w:t xml:space="preserve"> ноември </w:t>
      </w:r>
      <w:r w:rsidRPr="00AD66FE">
        <w:t>2010</w:t>
      </w:r>
      <w:r w:rsidR="001673C9" w:rsidRPr="00AD66FE">
        <w:t xml:space="preserve"> г. Административен съд </w:t>
      </w:r>
      <w:r w:rsidR="006C4DD6" w:rsidRPr="006C4DD6">
        <w:t xml:space="preserve">- </w:t>
      </w:r>
      <w:r w:rsidR="006C4DD6">
        <w:t xml:space="preserve">София </w:t>
      </w:r>
      <w:r w:rsidR="001673C9" w:rsidRPr="00AD66FE">
        <w:t>град отхвърля иска за обезщетение на дружеството жалбоподател</w:t>
      </w:r>
      <w:r w:rsidRPr="00AD66FE">
        <w:t>.</w:t>
      </w:r>
    </w:p>
    <w:p w:rsidR="00B64935" w:rsidRPr="00AD66FE" w:rsidRDefault="00D00517" w:rsidP="00BA13D9">
      <w:pPr>
        <w:pStyle w:val="ECHRPara"/>
      </w:pPr>
      <w:fldSimple w:instr=" SEQ level0 \*arabic ">
        <w:r w:rsidR="00D20DF1">
          <w:rPr>
            <w:noProof/>
          </w:rPr>
          <w:t>26</w:t>
        </w:r>
      </w:fldSimple>
      <w:r w:rsidR="00B64935" w:rsidRPr="00AD66FE">
        <w:t>.  </w:t>
      </w:r>
      <w:r w:rsidR="00547913" w:rsidRPr="00AD66FE">
        <w:t xml:space="preserve">На първо място този съд отбелязва заключенията, до които са достигнали административните съдилища по предходните две производства, с които се отхвърля искането на дружеството жалбоподател за </w:t>
      </w:r>
      <w:r w:rsidR="00786598" w:rsidRPr="00AD66FE">
        <w:t xml:space="preserve">прогласяване </w:t>
      </w:r>
      <w:r w:rsidR="00547913" w:rsidRPr="00AD66FE">
        <w:t xml:space="preserve">на нищожност на административни действия или бездействия </w:t>
      </w:r>
      <w:r w:rsidR="00B64935" w:rsidRPr="00AD66FE">
        <w:t>(</w:t>
      </w:r>
      <w:r w:rsidR="00547913" w:rsidRPr="00AD66FE">
        <w:t xml:space="preserve">вж. параграфи </w:t>
      </w:r>
      <w:r w:rsidR="00B64935" w:rsidRPr="00AD66FE">
        <w:fldChar w:fldCharType="begin"/>
      </w:r>
      <w:r w:rsidR="00B64935" w:rsidRPr="00AD66FE">
        <w:instrText xml:space="preserve"> REF Para22 \h </w:instrText>
      </w:r>
      <w:r w:rsidR="00AD66FE">
        <w:instrText xml:space="preserve"> \* MERGEFORMAT </w:instrText>
      </w:r>
      <w:r w:rsidR="00B64935" w:rsidRPr="00AD66FE">
        <w:fldChar w:fldCharType="separate"/>
      </w:r>
      <w:r w:rsidR="00D20DF1">
        <w:t>23</w:t>
      </w:r>
      <w:r w:rsidR="00B64935" w:rsidRPr="00AD66FE">
        <w:fldChar w:fldCharType="end"/>
      </w:r>
      <w:r w:rsidR="00B64935" w:rsidRPr="00AD66FE">
        <w:t xml:space="preserve"> </w:t>
      </w:r>
      <w:r w:rsidR="00547913" w:rsidRPr="00AD66FE">
        <w:t xml:space="preserve">и </w:t>
      </w:r>
      <w:r w:rsidR="00B64935" w:rsidRPr="00AD66FE">
        <w:fldChar w:fldCharType="begin"/>
      </w:r>
      <w:r w:rsidR="00B64935" w:rsidRPr="00AD66FE">
        <w:instrText xml:space="preserve"> REF Para23 \h </w:instrText>
      </w:r>
      <w:r w:rsidR="00AD66FE">
        <w:instrText xml:space="preserve"> \* MERGEFORMAT </w:instrText>
      </w:r>
      <w:r w:rsidR="00B64935" w:rsidRPr="00AD66FE">
        <w:fldChar w:fldCharType="separate"/>
      </w:r>
      <w:r w:rsidR="00D20DF1">
        <w:t>24</w:t>
      </w:r>
      <w:r w:rsidR="00B64935" w:rsidRPr="00AD66FE">
        <w:fldChar w:fldCharType="end"/>
      </w:r>
      <w:r w:rsidR="00B64935" w:rsidRPr="00AD66FE">
        <w:t xml:space="preserve"> </w:t>
      </w:r>
      <w:r w:rsidR="00547913" w:rsidRPr="00AD66FE">
        <w:t>по-горе</w:t>
      </w:r>
      <w:r w:rsidR="00B64935" w:rsidRPr="00AD66FE">
        <w:t>).</w:t>
      </w:r>
    </w:p>
    <w:bookmarkStart w:id="22" w:name="FAER"/>
    <w:p w:rsidR="00CF64F4" w:rsidRPr="00AD66FE" w:rsidRDefault="00B64935" w:rsidP="00CF64F4">
      <w:pPr>
        <w:pStyle w:val="ECHRPara"/>
      </w:pPr>
      <w:r w:rsidRPr="00AD66FE">
        <w:fldChar w:fldCharType="begin"/>
      </w:r>
      <w:r w:rsidRPr="00AD66FE">
        <w:instrText xml:space="preserve"> SEQ level0 \*arabic </w:instrText>
      </w:r>
      <w:r w:rsidRPr="00AD66FE">
        <w:fldChar w:fldCharType="separate"/>
      </w:r>
      <w:r w:rsidR="00D20DF1">
        <w:rPr>
          <w:noProof/>
        </w:rPr>
        <w:t>27</w:t>
      </w:r>
      <w:r w:rsidRPr="00AD66FE">
        <w:fldChar w:fldCharType="end"/>
      </w:r>
      <w:bookmarkEnd w:id="22"/>
      <w:r w:rsidRPr="00AD66FE">
        <w:t>.  </w:t>
      </w:r>
      <w:r w:rsidR="00684A29" w:rsidRPr="008E0A65">
        <w:t>В своето решение Административен съд</w:t>
      </w:r>
      <w:r w:rsidR="00786598" w:rsidRPr="008E0A65">
        <w:t>-</w:t>
      </w:r>
      <w:r w:rsidR="00684A29" w:rsidRPr="008E0A65">
        <w:t xml:space="preserve">София </w:t>
      </w:r>
      <w:r w:rsidR="006C4DD6" w:rsidRPr="008E0A65">
        <w:t xml:space="preserve">град </w:t>
      </w:r>
      <w:r w:rsidR="00684A29" w:rsidRPr="008E0A65">
        <w:t>посочва също, че в хода на производството е назначен ек</w:t>
      </w:r>
      <w:r w:rsidR="006C4DD6" w:rsidRPr="008E0A65">
        <w:t>сперт, който да представи експертиза</w:t>
      </w:r>
      <w:r w:rsidR="00684A29" w:rsidRPr="008E0A65">
        <w:t xml:space="preserve"> за цената, която дружеството жалбоподател е платило първоначално (покупна цена</w:t>
      </w:r>
      <w:r w:rsidRPr="008E0A65">
        <w:t>)</w:t>
      </w:r>
      <w:r w:rsidR="00684A29" w:rsidRPr="008E0A65">
        <w:t xml:space="preserve"> за иззетите бутилки, както и за тяхната пазарна стойно</w:t>
      </w:r>
      <w:r w:rsidR="004B01D4" w:rsidRPr="008E0A65">
        <w:t>ст и законната лихва за забава</w:t>
      </w:r>
      <w:r w:rsidR="00684A29" w:rsidRPr="008E0A65">
        <w:t xml:space="preserve"> за периода на задържане.</w:t>
      </w:r>
      <w:r w:rsidR="00684A29" w:rsidRPr="00AD66FE">
        <w:t xml:space="preserve"> По отношение </w:t>
      </w:r>
      <w:r w:rsidR="006C4DD6">
        <w:t>на бутилките, посочени в протокола</w:t>
      </w:r>
      <w:r w:rsidR="00684A29" w:rsidRPr="00AD66FE">
        <w:t xml:space="preserve"> за претърсване и изземване на 6 и 7 януари 2005 г. (вж. параграф </w:t>
      </w:r>
      <w:r w:rsidRPr="00AD66FE">
        <w:fldChar w:fldCharType="begin"/>
      </w:r>
      <w:r w:rsidRPr="00AD66FE">
        <w:instrText xml:space="preserve"> REF Para6 \h  \* MERGEFORMAT </w:instrText>
      </w:r>
      <w:r w:rsidRPr="00AD66FE">
        <w:fldChar w:fldCharType="separate"/>
      </w:r>
      <w:r w:rsidR="00D20DF1">
        <w:t>6</w:t>
      </w:r>
      <w:r w:rsidRPr="00AD66FE">
        <w:fldChar w:fldCharType="end"/>
      </w:r>
      <w:r w:rsidRPr="00AD66FE">
        <w:t xml:space="preserve"> </w:t>
      </w:r>
      <w:r w:rsidR="00684A29" w:rsidRPr="00AD66FE">
        <w:t>по-горе</w:t>
      </w:r>
      <w:r w:rsidRPr="00AD66FE">
        <w:t>),</w:t>
      </w:r>
      <w:r w:rsidR="006C4DD6">
        <w:t xml:space="preserve"> в експертизата</w:t>
      </w:r>
      <w:r w:rsidR="00684A29" w:rsidRPr="00AD66FE">
        <w:t xml:space="preserve"> освен друго се </w:t>
      </w:r>
      <w:r w:rsidR="00786598" w:rsidRPr="00AD66FE">
        <w:t>посочва</w:t>
      </w:r>
      <w:r w:rsidR="006C4DD6">
        <w:t>, че дружеството-</w:t>
      </w:r>
      <w:r w:rsidR="00684A29" w:rsidRPr="00AD66FE">
        <w:t xml:space="preserve">жалбоподател </w:t>
      </w:r>
      <w:r w:rsidR="00CC5D93" w:rsidRPr="00AD66FE">
        <w:t>е похарчило, според наличните фактури за покупки, общо BGN </w:t>
      </w:r>
      <w:r w:rsidRPr="00AD66FE">
        <w:t>466</w:t>
      </w:r>
      <w:r w:rsidR="00CC5D93" w:rsidRPr="00AD66FE">
        <w:t> </w:t>
      </w:r>
      <w:r w:rsidRPr="00AD66FE">
        <w:t>159</w:t>
      </w:r>
      <w:r w:rsidR="00CC5D93" w:rsidRPr="00AD66FE">
        <w:t>,</w:t>
      </w:r>
      <w:r w:rsidRPr="00AD66FE">
        <w:t>96</w:t>
      </w:r>
      <w:r w:rsidR="00CC5D93" w:rsidRPr="00AD66FE">
        <w:t xml:space="preserve"> </w:t>
      </w:r>
      <w:r w:rsidRPr="00AD66FE">
        <w:t>(</w:t>
      </w:r>
      <w:r w:rsidR="00CC5D93" w:rsidRPr="00AD66FE">
        <w:t>български лева</w:t>
      </w:r>
      <w:r w:rsidRPr="00AD66FE">
        <w:t>) (</w:t>
      </w:r>
      <w:r w:rsidR="00CC5D93" w:rsidRPr="00AD66FE">
        <w:t>EUR 238 </w:t>
      </w:r>
      <w:r w:rsidRPr="00AD66FE">
        <w:t>3</w:t>
      </w:r>
      <w:r w:rsidR="00CC5D93" w:rsidRPr="00AD66FE">
        <w:t>43,</w:t>
      </w:r>
      <w:r w:rsidRPr="00AD66FE">
        <w:t xml:space="preserve">80) </w:t>
      </w:r>
      <w:r w:rsidR="00CC5D93" w:rsidRPr="00AD66FE">
        <w:t xml:space="preserve">за придобиването на </w:t>
      </w:r>
      <w:r w:rsidRPr="00AD66FE">
        <w:t>25</w:t>
      </w:r>
      <w:r w:rsidR="00CC5D93" w:rsidRPr="00AD66FE">
        <w:t> </w:t>
      </w:r>
      <w:r w:rsidRPr="00AD66FE">
        <w:t>748</w:t>
      </w:r>
      <w:r w:rsidR="00CC5D93" w:rsidRPr="00AD66FE">
        <w:t xml:space="preserve"> бутилки крем ликьор „</w:t>
      </w:r>
      <w:proofErr w:type="spellStart"/>
      <w:r w:rsidR="00CC5D93" w:rsidRPr="00AD66FE">
        <w:t>Бейлис</w:t>
      </w:r>
      <w:proofErr w:type="spellEnd"/>
      <w:r w:rsidR="00CC5D93" w:rsidRPr="00AD66FE">
        <w:t>“</w:t>
      </w:r>
      <w:r w:rsidRPr="00AD66FE">
        <w:t>.</w:t>
      </w:r>
      <w:r w:rsidR="006C4DD6">
        <w:t xml:space="preserve"> В експертизата</w:t>
      </w:r>
      <w:r w:rsidR="00CC5D93" w:rsidRPr="00AD66FE">
        <w:t xml:space="preserve"> е добавено, че срокът на годност на тези напитки е изтекъл през септември и октомври </w:t>
      </w:r>
      <w:r w:rsidRPr="00AD66FE">
        <w:t>2006</w:t>
      </w:r>
      <w:r w:rsidR="00CC5D93" w:rsidRPr="00AD66FE">
        <w:t> г</w:t>
      </w:r>
      <w:r w:rsidRPr="00AD66FE">
        <w:t xml:space="preserve">. </w:t>
      </w:r>
      <w:r w:rsidR="004B01D4" w:rsidRPr="00AD66FE">
        <w:t>Законна</w:t>
      </w:r>
      <w:r w:rsidR="005162E2" w:rsidRPr="00AD66FE">
        <w:t>та лихва за забава върху тази сума е BGN </w:t>
      </w:r>
      <w:r w:rsidRPr="00AD66FE">
        <w:t>196</w:t>
      </w:r>
      <w:r w:rsidR="005162E2" w:rsidRPr="00AD66FE">
        <w:t> </w:t>
      </w:r>
      <w:r w:rsidRPr="00AD66FE">
        <w:t>429</w:t>
      </w:r>
      <w:r w:rsidR="005162E2" w:rsidRPr="00AD66FE">
        <w:t>,71 (EUR </w:t>
      </w:r>
      <w:r w:rsidRPr="00AD66FE">
        <w:t>100</w:t>
      </w:r>
      <w:r w:rsidR="005162E2" w:rsidRPr="00AD66FE">
        <w:t> </w:t>
      </w:r>
      <w:r w:rsidRPr="00AD66FE">
        <w:t>432</w:t>
      </w:r>
      <w:r w:rsidR="005162E2" w:rsidRPr="00AD66FE">
        <w:t>,</w:t>
      </w:r>
      <w:r w:rsidRPr="00AD66FE">
        <w:t>92)</w:t>
      </w:r>
      <w:r w:rsidR="005162E2" w:rsidRPr="00AD66FE">
        <w:t xml:space="preserve"> за периода между 7 януари </w:t>
      </w:r>
      <w:r w:rsidRPr="00AD66FE">
        <w:t>2005</w:t>
      </w:r>
      <w:r w:rsidR="005162E2" w:rsidRPr="00AD66FE">
        <w:t xml:space="preserve"> г. и </w:t>
      </w:r>
      <w:r w:rsidRPr="00AD66FE">
        <w:t xml:space="preserve">17 </w:t>
      </w:r>
      <w:r w:rsidR="005162E2" w:rsidRPr="00AD66FE">
        <w:t xml:space="preserve">март </w:t>
      </w:r>
      <w:r w:rsidRPr="00AD66FE">
        <w:t>2008</w:t>
      </w:r>
      <w:r w:rsidR="005162E2" w:rsidRPr="00AD66FE">
        <w:t> г., BGN 140 480,68 (EUR 71 826,</w:t>
      </w:r>
      <w:r w:rsidRPr="00AD66FE">
        <w:t xml:space="preserve">63) </w:t>
      </w:r>
      <w:r w:rsidR="005162E2" w:rsidRPr="00AD66FE">
        <w:t xml:space="preserve">за периода между 1 януари </w:t>
      </w:r>
      <w:r w:rsidRPr="00AD66FE">
        <w:t>2006</w:t>
      </w:r>
      <w:r w:rsidR="005162E2" w:rsidRPr="00AD66FE">
        <w:t xml:space="preserve"> г. и </w:t>
      </w:r>
      <w:r w:rsidRPr="00AD66FE">
        <w:t xml:space="preserve">17 </w:t>
      </w:r>
      <w:r w:rsidR="005162E2" w:rsidRPr="00AD66FE">
        <w:t xml:space="preserve">март </w:t>
      </w:r>
      <w:r w:rsidRPr="00AD66FE">
        <w:t>2008</w:t>
      </w:r>
      <w:r w:rsidR="005162E2" w:rsidRPr="00AD66FE">
        <w:t> г. и BGN 82 923,52 (EUR 42 398,</w:t>
      </w:r>
      <w:r w:rsidRPr="00AD66FE">
        <w:t xml:space="preserve">12) </w:t>
      </w:r>
      <w:r w:rsidR="005162E2" w:rsidRPr="00AD66FE">
        <w:t xml:space="preserve">за периода между </w:t>
      </w:r>
      <w:r w:rsidRPr="00AD66FE">
        <w:t>18</w:t>
      </w:r>
      <w:r w:rsidR="005162E2" w:rsidRPr="00AD66FE">
        <w:t xml:space="preserve"> декември </w:t>
      </w:r>
      <w:r w:rsidRPr="00AD66FE">
        <w:t>2006</w:t>
      </w:r>
      <w:r w:rsidR="005162E2" w:rsidRPr="00AD66FE">
        <w:t xml:space="preserve"> г. и 17 март </w:t>
      </w:r>
      <w:r w:rsidRPr="00AD66FE">
        <w:t>2008</w:t>
      </w:r>
      <w:r w:rsidR="005162E2" w:rsidRPr="00AD66FE">
        <w:t> г</w:t>
      </w:r>
      <w:r w:rsidRPr="00AD66FE">
        <w:t>.</w:t>
      </w:r>
      <w:r w:rsidR="005162E2" w:rsidRPr="00AD66FE">
        <w:t xml:space="preserve"> </w:t>
      </w:r>
      <w:r w:rsidR="001E5C0D" w:rsidRPr="00AD66FE">
        <w:t>В допълнение, в съдебното решение се посо</w:t>
      </w:r>
      <w:r w:rsidR="006C4DD6">
        <w:t>чва, че според експертизата</w:t>
      </w:r>
      <w:r w:rsidR="001E5C0D" w:rsidRPr="00AD66FE">
        <w:t xml:space="preserve"> пазарната цена към момента на изземване на напитките (7 януари 2005 г.</w:t>
      </w:r>
      <w:r w:rsidRPr="00AD66FE">
        <w:t>)</w:t>
      </w:r>
      <w:r w:rsidR="001E5C0D" w:rsidRPr="00AD66FE">
        <w:t xml:space="preserve"> е по-висока от покупната им цена, като разликата между тях се оценява на </w:t>
      </w:r>
      <w:r w:rsidRPr="00AD66FE">
        <w:t>BGN</w:t>
      </w:r>
      <w:r w:rsidR="001E5C0D" w:rsidRPr="00AD66FE">
        <w:t> </w:t>
      </w:r>
      <w:r w:rsidRPr="00AD66FE">
        <w:t>134</w:t>
      </w:r>
      <w:r w:rsidR="001E5C0D" w:rsidRPr="00AD66FE">
        <w:t> </w:t>
      </w:r>
      <w:r w:rsidRPr="00AD66FE">
        <w:t>527,70 (EUR</w:t>
      </w:r>
      <w:r w:rsidR="001E5C0D" w:rsidRPr="00AD66FE">
        <w:t> </w:t>
      </w:r>
      <w:r w:rsidRPr="00AD66FE">
        <w:t>68</w:t>
      </w:r>
      <w:r w:rsidR="001E5C0D" w:rsidRPr="00AD66FE">
        <w:t> </w:t>
      </w:r>
      <w:r w:rsidRPr="00AD66FE">
        <w:t>782</w:t>
      </w:r>
      <w:r w:rsidR="001E5C0D" w:rsidRPr="00AD66FE">
        <w:t>,</w:t>
      </w:r>
      <w:r w:rsidRPr="00AD66FE">
        <w:t xml:space="preserve">92). </w:t>
      </w:r>
      <w:r w:rsidR="00E3500D" w:rsidRPr="00AD66FE">
        <w:t>Без да се посочват конкретни цифри, в решението се</w:t>
      </w:r>
      <w:r w:rsidR="006C4DD6">
        <w:t xml:space="preserve"> посочва, че в експертизата</w:t>
      </w:r>
      <w:r w:rsidR="00E3500D" w:rsidRPr="00AD66FE">
        <w:t xml:space="preserve"> е изчислена законна лихва и върху тази сума</w:t>
      </w:r>
      <w:r w:rsidRPr="00AD66FE">
        <w:t>.</w:t>
      </w:r>
      <w:r w:rsidR="006C4DD6">
        <w:t xml:space="preserve"> На последно място, в експертизата</w:t>
      </w:r>
      <w:r w:rsidR="00E3500D" w:rsidRPr="00AD66FE">
        <w:t xml:space="preserve"> се посочват и три различни суми, съответстващи на законната лихва за забава за задържането на бутилки, които не са имали срок на годност и е можело да бъдат предложени на пазара след връщането им</w:t>
      </w:r>
      <w:r w:rsidRPr="00AD66FE">
        <w:t>.</w:t>
      </w:r>
      <w:r w:rsidR="00E11D98" w:rsidRPr="00AD66FE">
        <w:t xml:space="preserve"> Броят на тези напитки не е посочен в решението. Трите различни суми за законната лихва за забава се отнасят до три периода и три различни пазарни оценки за цената на бутилките, без да се дават повече подробности, както следва</w:t>
      </w:r>
      <w:r w:rsidRPr="00AD66FE">
        <w:t>:</w:t>
      </w:r>
      <w:r w:rsidR="00065B48" w:rsidRPr="00AD66FE">
        <w:t xml:space="preserve"> a) BGN 111 926,24 (EUR 57 226,</w:t>
      </w:r>
      <w:r w:rsidRPr="00AD66FE">
        <w:t xml:space="preserve">98) </w:t>
      </w:r>
      <w:r w:rsidR="00065B48" w:rsidRPr="00AD66FE">
        <w:t xml:space="preserve">за периода между </w:t>
      </w:r>
      <w:r w:rsidR="002A51D9" w:rsidRPr="00AD66FE">
        <w:t>7 </w:t>
      </w:r>
      <w:r w:rsidR="00065B48" w:rsidRPr="00AD66FE">
        <w:t xml:space="preserve">януари </w:t>
      </w:r>
      <w:r w:rsidRPr="00AD66FE">
        <w:t>2005</w:t>
      </w:r>
      <w:r w:rsidR="00825BC5" w:rsidRPr="00AD66FE">
        <w:t> г.</w:t>
      </w:r>
      <w:r w:rsidR="002A51D9" w:rsidRPr="00AD66FE">
        <w:t xml:space="preserve"> и 30 </w:t>
      </w:r>
      <w:r w:rsidR="00065B48" w:rsidRPr="00AD66FE">
        <w:t xml:space="preserve">март </w:t>
      </w:r>
      <w:r w:rsidRPr="00AD66FE">
        <w:t>2007</w:t>
      </w:r>
      <w:r w:rsidR="00825BC5" w:rsidRPr="00AD66FE">
        <w:t> </w:t>
      </w:r>
      <w:r w:rsidR="00065B48" w:rsidRPr="00AD66FE">
        <w:t>г. по отношение на сумата от BGN 396 896,86 (EUR </w:t>
      </w:r>
      <w:r w:rsidRPr="00AD66FE">
        <w:t>20</w:t>
      </w:r>
      <w:r w:rsidR="00065B48" w:rsidRPr="00AD66FE">
        <w:t>2 930,14); b) BGN 69 694,98 (EUR 35 634,</w:t>
      </w:r>
      <w:r w:rsidRPr="00AD66FE">
        <w:t>48)</w:t>
      </w:r>
      <w:r w:rsidR="00065B48" w:rsidRPr="00AD66FE">
        <w:t xml:space="preserve"> за периода между 1 януари </w:t>
      </w:r>
      <w:r w:rsidRPr="00AD66FE">
        <w:t>2006</w:t>
      </w:r>
      <w:r w:rsidR="00065B48" w:rsidRPr="00AD66FE">
        <w:t xml:space="preserve"> г. и </w:t>
      </w:r>
      <w:r w:rsidR="002A51D9" w:rsidRPr="00AD66FE">
        <w:t>30 </w:t>
      </w:r>
      <w:r w:rsidR="00065B48" w:rsidRPr="00AD66FE">
        <w:t xml:space="preserve">март </w:t>
      </w:r>
      <w:r w:rsidRPr="00AD66FE">
        <w:t>2007</w:t>
      </w:r>
      <w:r w:rsidR="00065B48" w:rsidRPr="00AD66FE">
        <w:t> г. по отношение на сумата от BGN 430 263,26 (EUR 219 990,</w:t>
      </w:r>
      <w:r w:rsidRPr="00AD66FE">
        <w:t xml:space="preserve">11); </w:t>
      </w:r>
      <w:r w:rsidR="00065B48" w:rsidRPr="00AD66FE">
        <w:t>и c) BGN 14 338,36 (EUR 7 331,</w:t>
      </w:r>
      <w:r w:rsidRPr="00AD66FE">
        <w:t xml:space="preserve">08) </w:t>
      </w:r>
      <w:r w:rsidR="00065B48" w:rsidRPr="00AD66FE">
        <w:t xml:space="preserve">за периода между 18 декември </w:t>
      </w:r>
      <w:r w:rsidRPr="00AD66FE">
        <w:t>2006</w:t>
      </w:r>
      <w:r w:rsidR="00065B48" w:rsidRPr="00AD66FE">
        <w:t xml:space="preserve"> г. и </w:t>
      </w:r>
      <w:r w:rsidRPr="00AD66FE">
        <w:t>30</w:t>
      </w:r>
      <w:r w:rsidR="00065B48" w:rsidRPr="00AD66FE">
        <w:t xml:space="preserve"> март </w:t>
      </w:r>
      <w:r w:rsidRPr="00AD66FE">
        <w:t>2007</w:t>
      </w:r>
      <w:r w:rsidR="00065B48" w:rsidRPr="00AD66FE">
        <w:t> г. по отношение на сумата от BGN 372 314,72 (EUR 190 361,</w:t>
      </w:r>
      <w:r w:rsidRPr="00AD66FE">
        <w:t>49).</w:t>
      </w:r>
      <w:r w:rsidR="00065B48" w:rsidRPr="00AD66FE">
        <w:t xml:space="preserve"> Съдът отбелязва, че експертните заключения не са оспорени от страните</w:t>
      </w:r>
      <w:r w:rsidRPr="00AD66FE">
        <w:t>.</w:t>
      </w:r>
      <w:r w:rsidR="00AF650C" w:rsidRPr="00AD66FE">
        <w:t xml:space="preserve"> Той </w:t>
      </w:r>
      <w:r w:rsidR="00386FCB" w:rsidRPr="00AD66FE">
        <w:t xml:space="preserve">счита </w:t>
      </w:r>
      <w:r w:rsidR="00AF650C" w:rsidRPr="00AD66FE">
        <w:t>доклад</w:t>
      </w:r>
      <w:r w:rsidR="00386FCB" w:rsidRPr="00AD66FE">
        <w:t>а</w:t>
      </w:r>
      <w:r w:rsidR="00AF650C" w:rsidRPr="00AD66FE">
        <w:t xml:space="preserve"> за добре обоснован и съответстващ на останалите доказателства по делото</w:t>
      </w:r>
      <w:r w:rsidRPr="00AD66FE">
        <w:t>.</w:t>
      </w:r>
      <w:r w:rsidR="00AF650C" w:rsidRPr="00AD66FE">
        <w:t xml:space="preserve"> </w:t>
      </w:r>
      <w:r w:rsidR="006C4DD6">
        <w:t>Самата експертиза</w:t>
      </w:r>
      <w:r w:rsidR="00AF650C" w:rsidRPr="00AD66FE">
        <w:t xml:space="preserve"> не е представен</w:t>
      </w:r>
      <w:r w:rsidR="006C4DD6">
        <w:t>а</w:t>
      </w:r>
      <w:r w:rsidR="00AF650C" w:rsidRPr="00AD66FE">
        <w:t xml:space="preserve"> пред Съда в предвидения срок в настоящото производство</w:t>
      </w:r>
      <w:r w:rsidRPr="00AD66FE">
        <w:t>.</w:t>
      </w:r>
    </w:p>
    <w:p w:rsidR="00B64935" w:rsidRPr="00AD66FE" w:rsidRDefault="00D00517" w:rsidP="00BA13D9">
      <w:pPr>
        <w:pStyle w:val="ECHRPara"/>
      </w:pPr>
      <w:fldSimple w:instr=" SEQ level0 \*arabic ">
        <w:r w:rsidR="00D20DF1">
          <w:rPr>
            <w:noProof/>
          </w:rPr>
          <w:t>28</w:t>
        </w:r>
      </w:fldSimple>
      <w:r w:rsidR="00B64935" w:rsidRPr="00AD66FE">
        <w:t>.  </w:t>
      </w:r>
      <w:r w:rsidR="00E81909" w:rsidRPr="00AD66FE">
        <w:t>Съдът отбелязва още, че твърдяната вреда е настъпила в резултат на следните действия и бездействия на администрацията</w:t>
      </w:r>
      <w:r w:rsidR="00B64935" w:rsidRPr="00AD66FE">
        <w:t>: (a) </w:t>
      </w:r>
      <w:r w:rsidR="00E81909" w:rsidRPr="00AD66FE">
        <w:t xml:space="preserve">задържане на стоката на </w:t>
      </w:r>
      <w:r w:rsidR="00B64935" w:rsidRPr="00AD66FE">
        <w:t>6-7</w:t>
      </w:r>
      <w:r w:rsidR="00E81909" w:rsidRPr="00AD66FE">
        <w:t xml:space="preserve"> януари </w:t>
      </w:r>
      <w:r w:rsidR="00B64935" w:rsidRPr="00AD66FE">
        <w:t>2005</w:t>
      </w:r>
      <w:r w:rsidR="006C4DD6">
        <w:t> г., състояща се в</w:t>
      </w:r>
      <w:r w:rsidR="00E81909" w:rsidRPr="00AD66FE">
        <w:t xml:space="preserve"> </w:t>
      </w:r>
      <w:proofErr w:type="spellStart"/>
      <w:r w:rsidR="00B64935" w:rsidRPr="00AD66FE">
        <w:rPr>
          <w:i/>
        </w:rPr>
        <w:t>de</w:t>
      </w:r>
      <w:proofErr w:type="spellEnd"/>
      <w:r w:rsidR="00B64935" w:rsidRPr="00AD66FE">
        <w:rPr>
          <w:i/>
        </w:rPr>
        <w:t xml:space="preserve"> </w:t>
      </w:r>
      <w:proofErr w:type="spellStart"/>
      <w:r w:rsidR="00B64935" w:rsidRPr="00AD66FE">
        <w:rPr>
          <w:i/>
        </w:rPr>
        <w:t>facto</w:t>
      </w:r>
      <w:proofErr w:type="spellEnd"/>
      <w:r w:rsidR="00B64935" w:rsidRPr="00AD66FE">
        <w:rPr>
          <w:i/>
        </w:rPr>
        <w:t xml:space="preserve"> </w:t>
      </w:r>
      <w:r w:rsidR="00E81909" w:rsidRPr="00AD66FE">
        <w:t>отнемане</w:t>
      </w:r>
      <w:r w:rsidR="00F86E6A" w:rsidRPr="00AD66FE">
        <w:t>; (</w:t>
      </w:r>
      <w:r w:rsidR="00502A6F" w:rsidRPr="00AD66FE">
        <w:t>б</w:t>
      </w:r>
      <w:r w:rsidR="00F86E6A" w:rsidRPr="00AD66FE">
        <w:t xml:space="preserve">) бездействие от страна на административните власти </w:t>
      </w:r>
      <w:r w:rsidR="007420DB" w:rsidRPr="00AD66FE">
        <w:t>да</w:t>
      </w:r>
      <w:r w:rsidR="00F86E6A" w:rsidRPr="00AD66FE">
        <w:t xml:space="preserve"> върнат стоката след влизането в сила на съдебното решение на 7 декември </w:t>
      </w:r>
      <w:r w:rsidR="00B64935" w:rsidRPr="00AD66FE">
        <w:t>2005</w:t>
      </w:r>
      <w:r w:rsidR="00F86E6A" w:rsidRPr="00AD66FE">
        <w:t xml:space="preserve"> г., с което се разпорежда нейното връщане (вж. параграф </w:t>
      </w:r>
      <w:r w:rsidR="00B64935" w:rsidRPr="00AD66FE">
        <w:fldChar w:fldCharType="begin"/>
      </w:r>
      <w:r w:rsidR="00B64935" w:rsidRPr="00AD66FE">
        <w:instrText xml:space="preserve"> REF Para8 \h </w:instrText>
      </w:r>
      <w:r w:rsidR="00AD66FE">
        <w:instrText xml:space="preserve"> \* MERGEFORMAT </w:instrText>
      </w:r>
      <w:r w:rsidR="00B64935" w:rsidRPr="00AD66FE">
        <w:fldChar w:fldCharType="separate"/>
      </w:r>
      <w:r w:rsidR="00D20DF1">
        <w:t>8</w:t>
      </w:r>
      <w:r w:rsidR="00B64935" w:rsidRPr="00AD66FE">
        <w:fldChar w:fldCharType="end"/>
      </w:r>
      <w:r w:rsidR="00B64935" w:rsidRPr="00AD66FE">
        <w:t xml:space="preserve"> </w:t>
      </w:r>
      <w:r w:rsidR="00F86E6A" w:rsidRPr="00AD66FE">
        <w:t>по-горе)</w:t>
      </w:r>
      <w:r w:rsidR="00B64935" w:rsidRPr="00AD66FE">
        <w:t>,</w:t>
      </w:r>
      <w:r w:rsidR="00F86E6A" w:rsidRPr="00AD66FE">
        <w:t xml:space="preserve"> до 30 март </w:t>
      </w:r>
      <w:r w:rsidR="00B64935" w:rsidRPr="00AD66FE">
        <w:t>2007</w:t>
      </w:r>
      <w:r w:rsidR="00F86E6A" w:rsidRPr="00AD66FE">
        <w:t xml:space="preserve"> г., когато задържането </w:t>
      </w:r>
      <w:r w:rsidR="00386FCB" w:rsidRPr="00AD66FE">
        <w:t>при</w:t>
      </w:r>
      <w:r w:rsidR="006C4DD6">
        <w:t>к</w:t>
      </w:r>
      <w:r w:rsidR="00386FCB" w:rsidRPr="00AD66FE">
        <w:t>лючва</w:t>
      </w:r>
      <w:r w:rsidR="00F86E6A" w:rsidRPr="00AD66FE">
        <w:t>, по-конкретно като се има предвид, че в акта за администр</w:t>
      </w:r>
      <w:r w:rsidR="00A91DE2" w:rsidRPr="00AD66FE">
        <w:t>а</w:t>
      </w:r>
      <w:r w:rsidR="00F86E6A" w:rsidRPr="00AD66FE">
        <w:t>тивно нарушение</w:t>
      </w:r>
      <w:r w:rsidR="007420DB" w:rsidRPr="00AD66FE">
        <w:t xml:space="preserve">, издаден от </w:t>
      </w:r>
      <w:r w:rsidR="008111E5" w:rsidRPr="00AD66FE">
        <w:t xml:space="preserve">Териториалната </w:t>
      </w:r>
      <w:r w:rsidR="007420DB" w:rsidRPr="00AD66FE">
        <w:t>данъчна дирек</w:t>
      </w:r>
      <w:r w:rsidR="00641CD7" w:rsidRPr="00AD66FE">
        <w:t>ц</w:t>
      </w:r>
      <w:r w:rsidR="007420DB" w:rsidRPr="00AD66FE">
        <w:t>ия</w:t>
      </w:r>
      <w:r w:rsidR="008111E5" w:rsidRPr="00AD66FE">
        <w:t>-Варна</w:t>
      </w:r>
      <w:r w:rsidR="007420DB" w:rsidRPr="00AD66FE">
        <w:t>,</w:t>
      </w:r>
      <w:r w:rsidR="00F86E6A" w:rsidRPr="00AD66FE">
        <w:t xml:space="preserve"> не е посочено, че бутилките трябва да бъдат иззети и</w:t>
      </w:r>
      <w:r w:rsidR="007420DB" w:rsidRPr="00AD66FE">
        <w:t>л</w:t>
      </w:r>
      <w:r w:rsidR="00F86E6A" w:rsidRPr="00AD66FE">
        <w:t>и отнети в рамките на административното производство</w:t>
      </w:r>
      <w:r w:rsidR="00B64935" w:rsidRPr="00AD66FE">
        <w:t>; (</w:t>
      </w:r>
      <w:r w:rsidR="00502A6F" w:rsidRPr="00AD66FE">
        <w:t>в</w:t>
      </w:r>
      <w:r w:rsidR="00B64935" w:rsidRPr="00AD66FE">
        <w:t>) </w:t>
      </w:r>
      <w:r w:rsidR="003C7465">
        <w:t>постановлението</w:t>
      </w:r>
      <w:r w:rsidR="007420DB" w:rsidRPr="00AD66FE">
        <w:t xml:space="preserve"> от 23 декември </w:t>
      </w:r>
      <w:r w:rsidR="00B64935" w:rsidRPr="00AD66FE">
        <w:t>2005</w:t>
      </w:r>
      <w:r w:rsidR="007420DB" w:rsidRPr="00AD66FE">
        <w:t> г. на</w:t>
      </w:r>
      <w:r w:rsidR="00DA5B98" w:rsidRPr="00AD66FE">
        <w:t xml:space="preserve"> </w:t>
      </w:r>
      <w:r w:rsidR="008111E5" w:rsidRPr="00AD66FE">
        <w:t xml:space="preserve">Териториалната </w:t>
      </w:r>
      <w:r w:rsidR="00DA5B98" w:rsidRPr="00AD66FE">
        <w:t>данъчна дирекция</w:t>
      </w:r>
      <w:r w:rsidR="008111E5" w:rsidRPr="00AD66FE">
        <w:t xml:space="preserve"> Варна</w:t>
      </w:r>
      <w:r w:rsidR="00DA5B98" w:rsidRPr="00AD66FE">
        <w:t xml:space="preserve"> за изземване на бутилките, което в крайна сметка е отменено</w:t>
      </w:r>
      <w:r w:rsidR="00B64935" w:rsidRPr="00AD66FE">
        <w:t>;</w:t>
      </w:r>
      <w:r w:rsidR="00DA5B98" w:rsidRPr="00AD66FE">
        <w:t xml:space="preserve"> и </w:t>
      </w:r>
      <w:r w:rsidR="00B64935" w:rsidRPr="00AD66FE">
        <w:t>(</w:t>
      </w:r>
      <w:r w:rsidR="00502A6F" w:rsidRPr="00AD66FE">
        <w:t>г</w:t>
      </w:r>
      <w:r w:rsidR="00B64935" w:rsidRPr="00AD66FE">
        <w:t>) </w:t>
      </w:r>
      <w:r w:rsidR="00460029" w:rsidRPr="00AD66FE">
        <w:t xml:space="preserve">липса на действия въпреки законното задължение за връщане на стоката след </w:t>
      </w:r>
      <w:r w:rsidR="00B64935" w:rsidRPr="00AD66FE">
        <w:t>18</w:t>
      </w:r>
      <w:r w:rsidR="00460029" w:rsidRPr="00AD66FE">
        <w:t xml:space="preserve"> декември </w:t>
      </w:r>
      <w:r w:rsidR="00B64935" w:rsidRPr="00AD66FE">
        <w:t>2006</w:t>
      </w:r>
      <w:r w:rsidR="00460029" w:rsidRPr="00AD66FE">
        <w:t> г.</w:t>
      </w:r>
      <w:r w:rsidR="00B64935" w:rsidRPr="00AD66FE">
        <w:t>,</w:t>
      </w:r>
      <w:r w:rsidR="00460029" w:rsidRPr="00AD66FE">
        <w:t xml:space="preserve"> датата, на която влиза в сила решението на </w:t>
      </w:r>
      <w:r w:rsidR="00386FCB" w:rsidRPr="00AD66FE">
        <w:t>О</w:t>
      </w:r>
      <w:r w:rsidR="00460029" w:rsidRPr="00AD66FE">
        <w:t>кръжен съд</w:t>
      </w:r>
      <w:r w:rsidR="00386FCB" w:rsidRPr="00AD66FE">
        <w:t>-Варна</w:t>
      </w:r>
      <w:r w:rsidR="003C7465">
        <w:t xml:space="preserve"> за отмяна на постановлението</w:t>
      </w:r>
      <w:r w:rsidR="00460029" w:rsidRPr="00AD66FE">
        <w:t xml:space="preserve"> от 23 декември </w:t>
      </w:r>
      <w:r w:rsidR="00B64935" w:rsidRPr="00AD66FE">
        <w:t>2005</w:t>
      </w:r>
      <w:r w:rsidR="00460029" w:rsidRPr="00AD66FE">
        <w:t> г. в неговата цялост</w:t>
      </w:r>
      <w:r w:rsidR="00B64935" w:rsidRPr="00AD66FE">
        <w:t>.</w:t>
      </w:r>
    </w:p>
    <w:bookmarkStart w:id="23" w:name="Para28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29</w:t>
      </w:r>
      <w:r w:rsidRPr="00AD66FE">
        <w:fldChar w:fldCharType="end"/>
      </w:r>
      <w:bookmarkEnd w:id="23"/>
      <w:r w:rsidRPr="00AD66FE">
        <w:t>.  </w:t>
      </w:r>
      <w:r w:rsidR="00896E7F" w:rsidRPr="00AD66FE">
        <w:t xml:space="preserve">В тази връзка </w:t>
      </w:r>
      <w:r w:rsidR="00CB60FF" w:rsidRPr="00AD66FE">
        <w:t>Административен съд</w:t>
      </w:r>
      <w:r w:rsidR="0082044C" w:rsidRPr="00AD66FE">
        <w:t xml:space="preserve"> – </w:t>
      </w:r>
      <w:r w:rsidR="00CB60FF" w:rsidRPr="00AD66FE">
        <w:t xml:space="preserve">София град </w:t>
      </w:r>
      <w:r w:rsidR="00896E7F" w:rsidRPr="00AD66FE">
        <w:t xml:space="preserve">приема, че изземването на бутилките, извършено на </w:t>
      </w:r>
      <w:r w:rsidRPr="00AD66FE">
        <w:t>6</w:t>
      </w:r>
      <w:r w:rsidR="00896E7F" w:rsidRPr="00AD66FE">
        <w:t xml:space="preserve"> и </w:t>
      </w:r>
      <w:r w:rsidRPr="00AD66FE">
        <w:t>7</w:t>
      </w:r>
      <w:r w:rsidR="00896E7F" w:rsidRPr="00AD66FE">
        <w:t xml:space="preserve"> януари </w:t>
      </w:r>
      <w:r w:rsidRPr="00AD66FE">
        <w:t>2005</w:t>
      </w:r>
      <w:r w:rsidR="00896E7F" w:rsidRPr="00AD66FE">
        <w:t xml:space="preserve"> г. от </w:t>
      </w:r>
      <w:r w:rsidR="008111E5" w:rsidRPr="00AD66FE">
        <w:t>Районна</w:t>
      </w:r>
      <w:r w:rsidR="00896E7F" w:rsidRPr="00AD66FE">
        <w:t xml:space="preserve"> полиция</w:t>
      </w:r>
      <w:r w:rsidR="008111E5" w:rsidRPr="00AD66FE">
        <w:t xml:space="preserve"> във Варна</w:t>
      </w:r>
      <w:r w:rsidR="00896E7F" w:rsidRPr="00AD66FE">
        <w:t xml:space="preserve"> в рамките на наказателно производство не представлява „администра</w:t>
      </w:r>
      <w:r w:rsidR="00866548">
        <w:t>тивен акт“ по смисъла на</w:t>
      </w:r>
      <w:r w:rsidR="00896E7F" w:rsidRPr="00AD66FE">
        <w:t xml:space="preserve"> чл. </w:t>
      </w:r>
      <w:r w:rsidRPr="00AD66FE">
        <w:t>21</w:t>
      </w:r>
      <w:r w:rsidR="00866548">
        <w:t xml:space="preserve"> от Административнопроцесуалния</w:t>
      </w:r>
      <w:r w:rsidR="00896E7F" w:rsidRPr="00AD66FE">
        <w:t xml:space="preserve"> кодекс. </w:t>
      </w:r>
      <w:r w:rsidR="00386FCB" w:rsidRPr="00AD66FE">
        <w:t>Освен това</w:t>
      </w:r>
      <w:r w:rsidR="00AB2486">
        <w:t xml:space="preserve"> не е установено, че съществуват други</w:t>
      </w:r>
      <w:r w:rsidR="00896E7F" w:rsidRPr="00AD66FE">
        <w:t xml:space="preserve"> административни актове</w:t>
      </w:r>
      <w:r w:rsidR="00AB2486">
        <w:t xml:space="preserve"> за задържане на бутилките, издадени преди тази дата</w:t>
      </w:r>
      <w:r w:rsidRPr="00AD66FE">
        <w:t>.</w:t>
      </w:r>
      <w:r w:rsidR="00896E7F" w:rsidRPr="00AD66FE">
        <w:t xml:space="preserve"> Следователно съдът не може да стигне до заключението, че стоката е задържана в резултат на актове, издадени от данъчните власти</w:t>
      </w:r>
      <w:r w:rsidRPr="00AD66FE">
        <w:t>.</w:t>
      </w:r>
      <w:r w:rsidR="00896E7F" w:rsidRPr="00AD66FE">
        <w:t xml:space="preserve"> Съдът приема заключенията, достигнати от административните съдилища при предходните производства, че няма решения на данъчните власти, които да бъдат обявени за нищожни (вж. параграфи</w:t>
      </w:r>
      <w:r w:rsidRPr="00AD66FE">
        <w:t> </w:t>
      </w:r>
      <w:r w:rsidRPr="00AD66FE">
        <w:fldChar w:fldCharType="begin"/>
      </w:r>
      <w:r w:rsidRPr="00AD66FE">
        <w:instrText xml:space="preserve"> REF Para22 \h </w:instrText>
      </w:r>
      <w:r w:rsidR="00AD66FE">
        <w:instrText xml:space="preserve"> \* MERGEFORMAT </w:instrText>
      </w:r>
      <w:r w:rsidRPr="00AD66FE">
        <w:fldChar w:fldCharType="separate"/>
      </w:r>
      <w:r w:rsidR="00D20DF1">
        <w:t>23</w:t>
      </w:r>
      <w:r w:rsidRPr="00AD66FE">
        <w:fldChar w:fldCharType="end"/>
      </w:r>
      <w:r w:rsidRPr="00AD66FE">
        <w:t xml:space="preserve"> </w:t>
      </w:r>
      <w:r w:rsidR="00896E7F" w:rsidRPr="00AD66FE">
        <w:t xml:space="preserve">и </w:t>
      </w:r>
      <w:r w:rsidRPr="00AD66FE">
        <w:fldChar w:fldCharType="begin"/>
      </w:r>
      <w:r w:rsidRPr="00AD66FE">
        <w:instrText xml:space="preserve"> REF Para23 \h </w:instrText>
      </w:r>
      <w:r w:rsidR="00AD66FE">
        <w:instrText xml:space="preserve"> \* MERGEFORMAT </w:instrText>
      </w:r>
      <w:r w:rsidRPr="00AD66FE">
        <w:fldChar w:fldCharType="separate"/>
      </w:r>
      <w:r w:rsidR="00D20DF1">
        <w:t>24</w:t>
      </w:r>
      <w:r w:rsidRPr="00AD66FE">
        <w:fldChar w:fldCharType="end"/>
      </w:r>
      <w:r w:rsidRPr="00AD66FE">
        <w:t xml:space="preserve"> </w:t>
      </w:r>
      <w:r w:rsidR="00896E7F" w:rsidRPr="00AD66FE">
        <w:t>по-горе</w:t>
      </w:r>
      <w:r w:rsidRPr="00AD66FE">
        <w:t>).</w:t>
      </w:r>
    </w:p>
    <w:p w:rsidR="00B64935" w:rsidRPr="00AD66FE" w:rsidRDefault="00D00517" w:rsidP="00BA13D9">
      <w:pPr>
        <w:pStyle w:val="ECHRPara"/>
      </w:pPr>
      <w:fldSimple w:instr=" SEQ level0 \*arabic ">
        <w:r w:rsidR="00D20DF1">
          <w:rPr>
            <w:noProof/>
          </w:rPr>
          <w:t>30</w:t>
        </w:r>
      </w:fldSimple>
      <w:r w:rsidR="00B64935" w:rsidRPr="00AD66FE">
        <w:t>.  </w:t>
      </w:r>
      <w:r w:rsidR="00386FCB" w:rsidRPr="00AD66FE">
        <w:t xml:space="preserve">Следователно </w:t>
      </w:r>
      <w:r w:rsidR="00904BD2" w:rsidRPr="00AD66FE">
        <w:t>единственият иск за обезщетение, който следва да бъде разгледан, е този, основава</w:t>
      </w:r>
      <w:r w:rsidR="00B21019" w:rsidRPr="00AD66FE">
        <w:t>щ се</w:t>
      </w:r>
      <w:r w:rsidR="00904BD2" w:rsidRPr="00AD66FE">
        <w:t xml:space="preserve"> на фак</w:t>
      </w:r>
      <w:r w:rsidR="003C7465">
        <w:t>та, че наказателното постановление</w:t>
      </w:r>
      <w:r w:rsidR="00904BD2" w:rsidRPr="00AD66FE">
        <w:t xml:space="preserve"> от 23 декември 2005 г. след това е отменено</w:t>
      </w:r>
      <w:r w:rsidR="00B64935" w:rsidRPr="00AD66FE">
        <w:t>.</w:t>
      </w:r>
    </w:p>
    <w:p w:rsidR="00B64935" w:rsidRPr="00AD66FE" w:rsidRDefault="00D00517" w:rsidP="00BA13D9">
      <w:pPr>
        <w:pStyle w:val="ECHRPara"/>
      </w:pPr>
      <w:fldSimple w:instr=" SEQ level0 \*arabic ">
        <w:r w:rsidR="00D20DF1">
          <w:rPr>
            <w:noProof/>
          </w:rPr>
          <w:t>31</w:t>
        </w:r>
      </w:fldSimple>
      <w:r w:rsidR="00B64935" w:rsidRPr="00AD66FE">
        <w:t>.  </w:t>
      </w:r>
      <w:r w:rsidR="00866548">
        <w:t>О</w:t>
      </w:r>
      <w:r w:rsidR="001B2857" w:rsidRPr="00AD66FE">
        <w:t xml:space="preserve">тговорност от държавни институции </w:t>
      </w:r>
      <w:r w:rsidR="00930FF2">
        <w:t>може да се търси по реда на</w:t>
      </w:r>
      <w:r w:rsidR="001B2857" w:rsidRPr="00AD66FE">
        <w:t xml:space="preserve"> чл. </w:t>
      </w:r>
      <w:r w:rsidR="00B64935" w:rsidRPr="00AD66FE">
        <w:t>1</w:t>
      </w:r>
      <w:r w:rsidR="00742E3D" w:rsidRPr="00AD66FE">
        <w:t xml:space="preserve">, ал. </w:t>
      </w:r>
      <w:r w:rsidR="00B64935" w:rsidRPr="00AD66FE">
        <w:t>1</w:t>
      </w:r>
      <w:r w:rsidR="001B2857" w:rsidRPr="00AD66FE">
        <w:t xml:space="preserve"> от Закона за отговорността на държавата и общините за вреди от </w:t>
      </w:r>
      <w:r w:rsidR="00B64935" w:rsidRPr="00AD66FE">
        <w:t>1988</w:t>
      </w:r>
      <w:r w:rsidR="001B2857" w:rsidRPr="00AD66FE">
        <w:t> г.</w:t>
      </w:r>
      <w:r w:rsidR="00B64935" w:rsidRPr="00AD66FE">
        <w:t xml:space="preserve"> (</w:t>
      </w:r>
      <w:r w:rsidR="001B2857" w:rsidRPr="00AD66FE">
        <w:t>ЗОДОВ</w:t>
      </w:r>
      <w:r w:rsidR="00B64935" w:rsidRPr="00AD66FE">
        <w:t>)</w:t>
      </w:r>
      <w:r w:rsidR="001B2857" w:rsidRPr="00AD66FE">
        <w:t xml:space="preserve"> за вреди</w:t>
      </w:r>
      <w:r w:rsidR="00EF704E" w:rsidRPr="00AD66FE">
        <w:t>те</w:t>
      </w:r>
      <w:r w:rsidR="001B2857" w:rsidRPr="00AD66FE">
        <w:t xml:space="preserve">, </w:t>
      </w:r>
      <w:r w:rsidR="00386FCB" w:rsidRPr="00AD66FE">
        <w:t xml:space="preserve">произтичащи </w:t>
      </w:r>
      <w:r w:rsidR="00EF704E" w:rsidRPr="00AD66FE">
        <w:t>само</w:t>
      </w:r>
      <w:r w:rsidR="001B2857" w:rsidRPr="00AD66FE">
        <w:t xml:space="preserve"> от тези индивидуални административни актове, чиято законност може да бъде оспорена съгласно новоприетия Административен процесуален кодекс (който влиза в сила на 12 юли </w:t>
      </w:r>
      <w:r w:rsidR="00B64935" w:rsidRPr="00AD66FE">
        <w:t>2006</w:t>
      </w:r>
      <w:r w:rsidR="001B2857" w:rsidRPr="00AD66FE">
        <w:t> г.</w:t>
      </w:r>
      <w:r w:rsidR="00930FF2">
        <w:t xml:space="preserve"> Наказателните постановления</w:t>
      </w:r>
      <w:r w:rsidR="006D21BB" w:rsidRPr="00AD66FE">
        <w:t>, с които се налагат администра</w:t>
      </w:r>
      <w:r w:rsidR="003C7465">
        <w:t>тивни наказания – като постановлението</w:t>
      </w:r>
      <w:r w:rsidR="006D21BB" w:rsidRPr="00AD66FE">
        <w:t xml:space="preserve"> от 23 декември </w:t>
      </w:r>
      <w:r w:rsidR="00B64935" w:rsidRPr="00AD66FE">
        <w:t>2005</w:t>
      </w:r>
      <w:r w:rsidR="006D21BB" w:rsidRPr="00AD66FE">
        <w:t> г.</w:t>
      </w:r>
      <w:r w:rsidR="00C12EC2" w:rsidRPr="00AD66FE">
        <w:t>,</w:t>
      </w:r>
      <w:r w:rsidR="00B64935" w:rsidRPr="00AD66FE">
        <w:t xml:space="preserve"> </w:t>
      </w:r>
      <w:r w:rsidR="006D21BB" w:rsidRPr="00AD66FE">
        <w:t>– не попадат в тази категория</w:t>
      </w:r>
      <w:r w:rsidR="00B64935" w:rsidRPr="00AD66FE">
        <w:t xml:space="preserve">. </w:t>
      </w:r>
      <w:r w:rsidR="00930FF2">
        <w:t>Тези постановления</w:t>
      </w:r>
      <w:r w:rsidR="001E3ED4" w:rsidRPr="00AD66FE">
        <w:t xml:space="preserve"> подлежат на обжалване пред районните съдилища, като се прилага </w:t>
      </w:r>
      <w:r w:rsidR="0011681D" w:rsidRPr="00AD66FE">
        <w:t>Законът</w:t>
      </w:r>
      <w:r w:rsidR="001E3ED4" w:rsidRPr="00AD66FE">
        <w:t xml:space="preserve"> за административните нарушения и наказания от </w:t>
      </w:r>
      <w:r w:rsidR="00B64935" w:rsidRPr="00AD66FE">
        <w:t>1969</w:t>
      </w:r>
      <w:r w:rsidR="001E3ED4" w:rsidRPr="00AD66FE">
        <w:t> г.</w:t>
      </w:r>
      <w:r w:rsidR="00B64935" w:rsidRPr="00AD66FE">
        <w:t>,</w:t>
      </w:r>
      <w:r w:rsidR="001E3ED4" w:rsidRPr="00AD66FE">
        <w:t xml:space="preserve"> който </w:t>
      </w:r>
      <w:r w:rsidR="0011681D" w:rsidRPr="00AD66FE">
        <w:t>се явява</w:t>
      </w:r>
      <w:r w:rsidR="001E3ED4" w:rsidRPr="00AD66FE">
        <w:t xml:space="preserve"> </w:t>
      </w:r>
      <w:r w:rsidR="00B64935" w:rsidRPr="00AD66FE">
        <w:rPr>
          <w:i/>
        </w:rPr>
        <w:t>lex specialis</w:t>
      </w:r>
      <w:r w:rsidR="00B64935" w:rsidRPr="00AD66FE">
        <w:t xml:space="preserve"> </w:t>
      </w:r>
      <w:r w:rsidR="001E3ED4" w:rsidRPr="00AD66FE">
        <w:t>в тази сфера</w:t>
      </w:r>
      <w:r w:rsidR="00B64935" w:rsidRPr="00AD66FE">
        <w:t>.</w:t>
      </w:r>
      <w:r w:rsidR="001E3ED4" w:rsidRPr="00AD66FE">
        <w:t xml:space="preserve"> С други думи,</w:t>
      </w:r>
      <w:r w:rsidR="00CF7065" w:rsidRPr="00AD66FE">
        <w:t xml:space="preserve"> според Административен съд </w:t>
      </w:r>
      <w:r w:rsidR="0082044C" w:rsidRPr="00AD66FE">
        <w:t xml:space="preserve">– </w:t>
      </w:r>
      <w:r w:rsidR="00CF7065" w:rsidRPr="00AD66FE">
        <w:t>София град, влизането в сила на Администр</w:t>
      </w:r>
      <w:r w:rsidR="00930FF2">
        <w:t>ативния процесуален кодекс ограничава</w:t>
      </w:r>
      <w:r w:rsidR="00CF7065" w:rsidRPr="00AD66FE">
        <w:t xml:space="preserve"> материалния обхват на чл. </w:t>
      </w:r>
      <w:r w:rsidR="00B64935" w:rsidRPr="00AD66FE">
        <w:t>1</w:t>
      </w:r>
      <w:r w:rsidR="00A866F9" w:rsidRPr="00AD66FE">
        <w:t xml:space="preserve">, ал. </w:t>
      </w:r>
      <w:r w:rsidR="00B64935" w:rsidRPr="00AD66FE">
        <w:t>1</w:t>
      </w:r>
      <w:r w:rsidR="00CF7065" w:rsidRPr="00AD66FE">
        <w:t xml:space="preserve"> ЗОДОВ в смисъл, че отговорност не може да се търси от държавни институции по този закон за вреди</w:t>
      </w:r>
      <w:r w:rsidR="00930FF2">
        <w:t xml:space="preserve"> в резултат на незаконно постановление</w:t>
      </w:r>
      <w:r w:rsidR="00CF7065" w:rsidRPr="00AD66FE">
        <w:t xml:space="preserve">, с което се налага административно наказание съгласно Закона за административните нарушения и наказания от </w:t>
      </w:r>
      <w:r w:rsidR="00B64935" w:rsidRPr="00AD66FE">
        <w:t>1969</w:t>
      </w:r>
      <w:r w:rsidR="00CF7065" w:rsidRPr="00AD66FE">
        <w:t> г</w:t>
      </w:r>
      <w:r w:rsidR="00B64935" w:rsidRPr="00AD66FE">
        <w:t>.</w:t>
      </w:r>
      <w:r w:rsidR="00F34434" w:rsidRPr="00AD66FE">
        <w:t xml:space="preserve"> </w:t>
      </w:r>
      <w:r w:rsidR="00386E01" w:rsidRPr="00AD66FE">
        <w:t xml:space="preserve">Следователно </w:t>
      </w:r>
      <w:r w:rsidR="00F34434" w:rsidRPr="00AD66FE">
        <w:t xml:space="preserve">Административен съд </w:t>
      </w:r>
      <w:r w:rsidR="0082044C" w:rsidRPr="00AD66FE">
        <w:t xml:space="preserve">– </w:t>
      </w:r>
      <w:r w:rsidR="00F34434" w:rsidRPr="00AD66FE">
        <w:t>София град стига до извода, че не е необходимо да разглежда по-нататък останалите изисквания на чл. </w:t>
      </w:r>
      <w:r w:rsidR="00B64935" w:rsidRPr="00AD66FE">
        <w:t>1</w:t>
      </w:r>
      <w:r w:rsidR="00A866F9" w:rsidRPr="00AD66FE">
        <w:t>, ал. </w:t>
      </w:r>
      <w:r w:rsidR="00B64935" w:rsidRPr="00AD66FE">
        <w:t>1</w:t>
      </w:r>
      <w:r w:rsidR="00F34434" w:rsidRPr="00AD66FE">
        <w:t xml:space="preserve"> ЗОДОВ</w:t>
      </w:r>
      <w:r w:rsidR="00B64935" w:rsidRPr="00AD66FE">
        <w:t>.</w:t>
      </w:r>
    </w:p>
    <w:p w:rsidR="00B64935" w:rsidRPr="00AD66FE" w:rsidRDefault="00D00517" w:rsidP="00BA13D9">
      <w:pPr>
        <w:pStyle w:val="ECHRPara"/>
      </w:pPr>
      <w:fldSimple w:instr=" SEQ level0 \*arabic ">
        <w:r w:rsidR="00D20DF1">
          <w:rPr>
            <w:noProof/>
          </w:rPr>
          <w:t>32</w:t>
        </w:r>
      </w:fldSimple>
      <w:r w:rsidR="00B64935" w:rsidRPr="00AD66FE">
        <w:t>.  </w:t>
      </w:r>
      <w:r w:rsidR="0011681D" w:rsidRPr="00AD66FE">
        <w:t xml:space="preserve">Съдът </w:t>
      </w:r>
      <w:r w:rsidR="00386E01" w:rsidRPr="00AD66FE">
        <w:t xml:space="preserve">твърди </w:t>
      </w:r>
      <w:r w:rsidR="0011681D" w:rsidRPr="00AD66FE">
        <w:t>още, че дори и тази разпоредба да е приложима, следва да се отбележи, че твърдяната вреда н</w:t>
      </w:r>
      <w:r w:rsidR="003C7465">
        <w:t>е е пряка последица от постановлението</w:t>
      </w:r>
      <w:r w:rsidR="0011681D" w:rsidRPr="00AD66FE">
        <w:t xml:space="preserve"> от </w:t>
      </w:r>
      <w:r w:rsidR="00B64935" w:rsidRPr="00AD66FE">
        <w:t>23</w:t>
      </w:r>
      <w:r w:rsidR="0011681D" w:rsidRPr="00AD66FE">
        <w:t xml:space="preserve"> декември </w:t>
      </w:r>
      <w:r w:rsidR="00B64935" w:rsidRPr="00AD66FE">
        <w:t>2005</w:t>
      </w:r>
      <w:r w:rsidR="0011681D" w:rsidRPr="00AD66FE">
        <w:t> г</w:t>
      </w:r>
      <w:r w:rsidR="00B64935" w:rsidRPr="00AD66FE">
        <w:t xml:space="preserve">. </w:t>
      </w:r>
      <w:r w:rsidR="0011681D" w:rsidRPr="00AD66FE">
        <w:t>В действителност, актът, който засяга правата на друж</w:t>
      </w:r>
      <w:r w:rsidR="003C7465">
        <w:t>еството жалбоподател, е протоколът</w:t>
      </w:r>
      <w:r w:rsidR="0011681D" w:rsidRPr="00AD66FE">
        <w:t xml:space="preserve"> за претърсването и изземването от </w:t>
      </w:r>
      <w:r w:rsidR="00B64935" w:rsidRPr="00AD66FE">
        <w:t>6</w:t>
      </w:r>
      <w:r w:rsidR="0011681D" w:rsidRPr="00AD66FE">
        <w:t xml:space="preserve"> и </w:t>
      </w:r>
      <w:r w:rsidR="00B64935" w:rsidRPr="00AD66FE">
        <w:t>7</w:t>
      </w:r>
      <w:r w:rsidR="0011681D" w:rsidRPr="00AD66FE">
        <w:t xml:space="preserve"> януари </w:t>
      </w:r>
      <w:r w:rsidR="00B64935" w:rsidRPr="00AD66FE">
        <w:t>2005</w:t>
      </w:r>
      <w:r w:rsidR="0011681D" w:rsidRPr="00AD66FE">
        <w:t xml:space="preserve"> г.</w:t>
      </w:r>
      <w:r w:rsidR="00B64935" w:rsidRPr="00AD66FE">
        <w:t>,</w:t>
      </w:r>
      <w:r w:rsidR="0011681D" w:rsidRPr="00AD66FE">
        <w:t xml:space="preserve"> издаден от полицейските власти в контекста на наказателно производство срещу трети лица (вж. параграф </w:t>
      </w:r>
      <w:r w:rsidR="00B64935" w:rsidRPr="00AD66FE">
        <w:fldChar w:fldCharType="begin"/>
      </w:r>
      <w:r w:rsidR="00B64935" w:rsidRPr="00AD66FE">
        <w:instrText xml:space="preserve"> REF Para6 \h </w:instrText>
      </w:r>
      <w:r w:rsidR="00AD66FE">
        <w:instrText xml:space="preserve"> \* MERGEFORMAT </w:instrText>
      </w:r>
      <w:r w:rsidR="00B64935" w:rsidRPr="00AD66FE">
        <w:fldChar w:fldCharType="separate"/>
      </w:r>
      <w:r w:rsidR="00D20DF1">
        <w:t>6</w:t>
      </w:r>
      <w:r w:rsidR="00B64935" w:rsidRPr="00AD66FE">
        <w:fldChar w:fldCharType="end"/>
      </w:r>
      <w:r w:rsidR="00B64935" w:rsidRPr="00AD66FE">
        <w:t xml:space="preserve"> </w:t>
      </w:r>
      <w:r w:rsidR="0011681D" w:rsidRPr="00AD66FE">
        <w:t>по-горе</w:t>
      </w:r>
      <w:r w:rsidR="00B64935" w:rsidRPr="00AD66FE">
        <w:t>).</w:t>
      </w:r>
    </w:p>
    <w:bookmarkStart w:id="24" w:name="Para32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33</w:t>
      </w:r>
      <w:r w:rsidRPr="00AD66FE">
        <w:fldChar w:fldCharType="end"/>
      </w:r>
      <w:bookmarkEnd w:id="24"/>
      <w:r w:rsidRPr="00AD66FE">
        <w:t>.  </w:t>
      </w:r>
      <w:r w:rsidR="00930FF2">
        <w:t>След подаване на жалба,</w:t>
      </w:r>
      <w:r w:rsidR="008B4E45" w:rsidRPr="00AD66FE">
        <w:t xml:space="preserve"> с окончателно решение от 27 април </w:t>
      </w:r>
      <w:r w:rsidRPr="00AD66FE">
        <w:t>2011</w:t>
      </w:r>
      <w:r w:rsidR="008B4E45" w:rsidRPr="00AD66FE">
        <w:t> г. Върховният административен съд потв</w:t>
      </w:r>
      <w:r w:rsidR="004426C9">
        <w:t xml:space="preserve">ърждава решението на </w:t>
      </w:r>
      <w:r w:rsidR="008B4E45" w:rsidRPr="00AD66FE">
        <w:t>долна</w:t>
      </w:r>
      <w:r w:rsidR="004426C9">
        <w:t>та</w:t>
      </w:r>
      <w:r w:rsidR="008B4E45" w:rsidRPr="00AD66FE">
        <w:t xml:space="preserve"> инс</w:t>
      </w:r>
      <w:r w:rsidR="004426C9">
        <w:t>танция, като променя мотивите</w:t>
      </w:r>
      <w:r w:rsidRPr="00AD66FE">
        <w:t>.</w:t>
      </w:r>
      <w:r w:rsidR="008B4E45" w:rsidRPr="00AD66FE">
        <w:t xml:space="preserve"> Съдът при</w:t>
      </w:r>
      <w:r w:rsidR="004426C9">
        <w:t>ема, че в случая на дружеството-</w:t>
      </w:r>
      <w:r w:rsidR="008B4E45" w:rsidRPr="00AD66FE">
        <w:t>жалбоподател задължението за връщане на иззетите като доказателство бутилки произтича от съдебно решение, а не от законово изискване</w:t>
      </w:r>
      <w:r w:rsidRPr="00AD66FE">
        <w:t>.</w:t>
      </w:r>
      <w:r w:rsidR="008B4E45" w:rsidRPr="00AD66FE">
        <w:t xml:space="preserve"> Съдът добавя, че е налице друго правно средство за защита при такъв вид ситуация, без да посочва кое е това средство за защита</w:t>
      </w:r>
      <w:r w:rsidRPr="00AD66FE">
        <w:t>.</w:t>
      </w:r>
      <w:r w:rsidR="008B4E45" w:rsidRPr="00AD66FE">
        <w:t xml:space="preserve"> В този смисъл не е необходимо издаването на друг съдебен акт или административно решение, за да може бутилките да бъдат върнати на дружеството жалбоподател</w:t>
      </w:r>
      <w:r w:rsidRPr="00AD66FE">
        <w:t>.</w:t>
      </w:r>
    </w:p>
    <w:p w:rsidR="00B64935" w:rsidRPr="00AD66FE" w:rsidRDefault="00B64935" w:rsidP="00BA13D9">
      <w:pPr>
        <w:pStyle w:val="ECHRHeading1"/>
      </w:pPr>
      <w:r w:rsidRPr="00AD66FE">
        <w:t>II.  </w:t>
      </w:r>
      <w:r w:rsidR="00BA6707" w:rsidRPr="00AD66FE">
        <w:t xml:space="preserve">ПРИЛОЖИМО ВЪТРЕШНО </w:t>
      </w:r>
      <w:r w:rsidR="0076076C" w:rsidRPr="00AD66FE">
        <w:t>ПРАВО И ПРАКТИКА</w:t>
      </w:r>
    </w:p>
    <w:p w:rsidR="00B64935" w:rsidRPr="00AD66FE" w:rsidRDefault="00B64935" w:rsidP="00BA13D9">
      <w:pPr>
        <w:pStyle w:val="ECHRHeading2"/>
      </w:pPr>
      <w:r w:rsidRPr="00AD66FE">
        <w:t>A.  </w:t>
      </w:r>
      <w:r w:rsidR="0076076C" w:rsidRPr="00AD66FE">
        <w:t xml:space="preserve">Задържане на </w:t>
      </w:r>
      <w:r w:rsidR="00386E01" w:rsidRPr="00AD66FE">
        <w:t xml:space="preserve">веществени </w:t>
      </w:r>
      <w:r w:rsidR="0076076C" w:rsidRPr="00AD66FE">
        <w:t>доказателства по време на наказателно производство</w:t>
      </w:r>
    </w:p>
    <w:p w:rsidR="00B64935" w:rsidRPr="00AD66FE" w:rsidRDefault="00D00517" w:rsidP="00BA13D9">
      <w:pPr>
        <w:pStyle w:val="ECHRPara"/>
        <w:rPr>
          <w:snapToGrid w:val="0"/>
        </w:rPr>
      </w:pPr>
      <w:fldSimple w:instr=" SEQ level0 \*arabic ">
        <w:bookmarkStart w:id="25" w:name="Para33New"/>
        <w:r w:rsidR="00D20DF1">
          <w:rPr>
            <w:noProof/>
          </w:rPr>
          <w:t>34</w:t>
        </w:r>
        <w:bookmarkEnd w:id="25"/>
      </w:fldSimple>
      <w:r w:rsidR="00B64935" w:rsidRPr="00AD66FE">
        <w:t>.  </w:t>
      </w:r>
      <w:r w:rsidR="00851010" w:rsidRPr="00AD66FE">
        <w:t xml:space="preserve">Релевантните разпоредби на </w:t>
      </w:r>
      <w:r w:rsidR="00386E01" w:rsidRPr="00AD66FE">
        <w:t xml:space="preserve">вътрешното </w:t>
      </w:r>
      <w:r w:rsidR="00851010" w:rsidRPr="00AD66FE">
        <w:t xml:space="preserve">право относно задържането на </w:t>
      </w:r>
      <w:r w:rsidR="00386E01" w:rsidRPr="00AD66FE">
        <w:t xml:space="preserve">веществените </w:t>
      </w:r>
      <w:r w:rsidR="00851010" w:rsidRPr="00AD66FE">
        <w:t xml:space="preserve">доказателства по време на наказателно производство са представени в резюме в решението на Съда по делото </w:t>
      </w:r>
      <w:proofErr w:type="spellStart"/>
      <w:r w:rsidR="00851010" w:rsidRPr="00AD66FE">
        <w:rPr>
          <w:i/>
        </w:rPr>
        <w:t>Преждарови</w:t>
      </w:r>
      <w:proofErr w:type="spellEnd"/>
      <w:r w:rsidR="00851010" w:rsidRPr="00AD66FE">
        <w:rPr>
          <w:i/>
        </w:rPr>
        <w:t xml:space="preserve"> срещу България </w:t>
      </w:r>
      <w:r w:rsidR="00B64935" w:rsidRPr="00AD66FE">
        <w:t>(</w:t>
      </w:r>
      <w:r w:rsidR="00851010" w:rsidRPr="00AD66FE">
        <w:t xml:space="preserve">№ </w:t>
      </w:r>
      <w:r w:rsidR="00B64935" w:rsidRPr="00AD66FE">
        <w:t>8429/05</w:t>
      </w:r>
      <w:r w:rsidR="00B64935" w:rsidRPr="00AD66FE">
        <w:rPr>
          <w:snapToGrid w:val="0"/>
        </w:rPr>
        <w:t xml:space="preserve">, § 29, </w:t>
      </w:r>
      <w:r w:rsidR="00B64935" w:rsidRPr="00AD66FE">
        <w:t>30</w:t>
      </w:r>
      <w:r w:rsidR="00B64935" w:rsidRPr="00AD66FE">
        <w:rPr>
          <w:snapToGrid w:val="0"/>
        </w:rPr>
        <w:t> </w:t>
      </w:r>
      <w:r w:rsidR="00851010" w:rsidRPr="00AD66FE">
        <w:rPr>
          <w:snapToGrid w:val="0"/>
        </w:rPr>
        <w:t xml:space="preserve">септември </w:t>
      </w:r>
      <w:r w:rsidR="00B64935" w:rsidRPr="00AD66FE">
        <w:rPr>
          <w:snapToGrid w:val="0"/>
        </w:rPr>
        <w:t>2014</w:t>
      </w:r>
      <w:r w:rsidR="00851010" w:rsidRPr="00AD66FE">
        <w:rPr>
          <w:snapToGrid w:val="0"/>
        </w:rPr>
        <w:t> г.</w:t>
      </w:r>
      <w:r w:rsidR="00B64935" w:rsidRPr="00AD66FE">
        <w:rPr>
          <w:snapToGrid w:val="0"/>
        </w:rPr>
        <w:t>).</w:t>
      </w:r>
    </w:p>
    <w:bookmarkStart w:id="26" w:name="Para27"/>
    <w:p w:rsidR="00B64935" w:rsidRPr="00AD66FE" w:rsidRDefault="00B64935" w:rsidP="00BA13D9">
      <w:pPr>
        <w:pStyle w:val="ECHRPara"/>
        <w:rPr>
          <w:snapToGrid w:val="0"/>
        </w:rPr>
      </w:pPr>
      <w:r w:rsidRPr="00AD66FE">
        <w:rPr>
          <w:snapToGrid w:val="0"/>
        </w:rPr>
        <w:fldChar w:fldCharType="begin"/>
      </w:r>
      <w:r w:rsidRPr="00AD66FE">
        <w:rPr>
          <w:snapToGrid w:val="0"/>
        </w:rPr>
        <w:instrText xml:space="preserve"> SEQ level0 \*arabic </w:instrText>
      </w:r>
      <w:r w:rsidRPr="00AD66FE">
        <w:rPr>
          <w:snapToGrid w:val="0"/>
        </w:rPr>
        <w:fldChar w:fldCharType="separate"/>
      </w:r>
      <w:r w:rsidR="00D20DF1">
        <w:rPr>
          <w:noProof/>
          <w:snapToGrid w:val="0"/>
        </w:rPr>
        <w:t>35</w:t>
      </w:r>
      <w:r w:rsidRPr="00AD66FE">
        <w:rPr>
          <w:snapToGrid w:val="0"/>
        </w:rPr>
        <w:fldChar w:fldCharType="end"/>
      </w:r>
      <w:bookmarkEnd w:id="26"/>
      <w:r w:rsidRPr="00AD66FE">
        <w:rPr>
          <w:snapToGrid w:val="0"/>
        </w:rPr>
        <w:t>.  </w:t>
      </w:r>
      <w:r w:rsidR="00142898">
        <w:rPr>
          <w:snapToGrid w:val="0"/>
        </w:rPr>
        <w:t xml:space="preserve">Към </w:t>
      </w:r>
      <w:r w:rsidR="00487B89" w:rsidRPr="00AD66FE">
        <w:rPr>
          <w:snapToGrid w:val="0"/>
        </w:rPr>
        <w:t>момент</w:t>
      </w:r>
      <w:r w:rsidR="00142898">
        <w:rPr>
          <w:snapToGrid w:val="0"/>
        </w:rPr>
        <w:t>а на фактите по делото</w:t>
      </w:r>
      <w:r w:rsidR="00487B89" w:rsidRPr="00AD66FE">
        <w:rPr>
          <w:snapToGrid w:val="0"/>
        </w:rPr>
        <w:t xml:space="preserve"> в чл.</w:t>
      </w:r>
      <w:r w:rsidR="0064670F" w:rsidRPr="00AD66FE">
        <w:rPr>
          <w:snapToGrid w:val="0"/>
        </w:rPr>
        <w:t> 107</w:t>
      </w:r>
      <w:r w:rsidR="00DA5333" w:rsidRPr="00AD66FE">
        <w:rPr>
          <w:snapToGrid w:val="0"/>
        </w:rPr>
        <w:t>, ал. </w:t>
      </w:r>
      <w:r w:rsidRPr="00AD66FE">
        <w:rPr>
          <w:snapToGrid w:val="0"/>
        </w:rPr>
        <w:t>2</w:t>
      </w:r>
      <w:r w:rsidR="00487B89" w:rsidRPr="00AD66FE">
        <w:rPr>
          <w:snapToGrid w:val="0"/>
        </w:rPr>
        <w:t xml:space="preserve"> от </w:t>
      </w:r>
      <w:proofErr w:type="spellStart"/>
      <w:r w:rsidR="00487B89" w:rsidRPr="00AD66FE">
        <w:rPr>
          <w:snapToGrid w:val="0"/>
        </w:rPr>
        <w:t>Наказате</w:t>
      </w:r>
      <w:r w:rsidR="00142898">
        <w:rPr>
          <w:snapToGrid w:val="0"/>
        </w:rPr>
        <w:t>лнo</w:t>
      </w:r>
      <w:proofErr w:type="spellEnd"/>
      <w:r w:rsidR="00142898">
        <w:rPr>
          <w:snapToGrid w:val="0"/>
        </w:rPr>
        <w:t>-процесуал</w:t>
      </w:r>
      <w:r w:rsidR="00487B89" w:rsidRPr="00AD66FE">
        <w:rPr>
          <w:snapToGrid w:val="0"/>
        </w:rPr>
        <w:t>н</w:t>
      </w:r>
      <w:r w:rsidR="00142898">
        <w:rPr>
          <w:snapToGrid w:val="0"/>
        </w:rPr>
        <w:t>ия</w:t>
      </w:r>
      <w:r w:rsidR="00487B89" w:rsidRPr="00AD66FE">
        <w:rPr>
          <w:snapToGrid w:val="0"/>
        </w:rPr>
        <w:t xml:space="preserve"> кодекс е предвид</w:t>
      </w:r>
      <w:r w:rsidR="00142898">
        <w:rPr>
          <w:snapToGrid w:val="0"/>
        </w:rPr>
        <w:t xml:space="preserve">ено, че </w:t>
      </w:r>
      <w:r w:rsidR="00386E01" w:rsidRPr="00AD66FE">
        <w:rPr>
          <w:snapToGrid w:val="0"/>
        </w:rPr>
        <w:t>веществени</w:t>
      </w:r>
      <w:r w:rsidR="00142898">
        <w:rPr>
          <w:snapToGrid w:val="0"/>
        </w:rPr>
        <w:t>те</w:t>
      </w:r>
      <w:r w:rsidR="00386E01" w:rsidRPr="00AD66FE">
        <w:rPr>
          <w:snapToGrid w:val="0"/>
        </w:rPr>
        <w:t xml:space="preserve"> </w:t>
      </w:r>
      <w:r w:rsidR="00487B89" w:rsidRPr="00AD66FE">
        <w:rPr>
          <w:snapToGrid w:val="0"/>
        </w:rPr>
        <w:t xml:space="preserve">доказателства </w:t>
      </w:r>
      <w:r w:rsidR="00142898">
        <w:rPr>
          <w:snapToGrid w:val="0"/>
        </w:rPr>
        <w:t xml:space="preserve">следва да се приложат по делото </w:t>
      </w:r>
      <w:r w:rsidR="00487B89" w:rsidRPr="00AD66FE">
        <w:rPr>
          <w:snapToGrid w:val="0"/>
        </w:rPr>
        <w:t xml:space="preserve">и да се предприемат мерки за предпазването им от </w:t>
      </w:r>
      <w:r w:rsidR="00386E01" w:rsidRPr="00AD66FE">
        <w:rPr>
          <w:snapToGrid w:val="0"/>
        </w:rPr>
        <w:t xml:space="preserve">повреждане </w:t>
      </w:r>
      <w:r w:rsidR="00487B89" w:rsidRPr="00AD66FE">
        <w:rPr>
          <w:snapToGrid w:val="0"/>
        </w:rPr>
        <w:t xml:space="preserve">или </w:t>
      </w:r>
      <w:r w:rsidR="00142898">
        <w:rPr>
          <w:snapToGrid w:val="0"/>
        </w:rPr>
        <w:t>про</w:t>
      </w:r>
      <w:r w:rsidR="00386E01" w:rsidRPr="00AD66FE">
        <w:rPr>
          <w:snapToGrid w:val="0"/>
        </w:rPr>
        <w:t>мяна</w:t>
      </w:r>
      <w:r w:rsidRPr="00AD66FE">
        <w:rPr>
          <w:snapToGrid w:val="0"/>
        </w:rPr>
        <w:t xml:space="preserve">. </w:t>
      </w:r>
      <w:r w:rsidR="00142898">
        <w:rPr>
          <w:snapToGrid w:val="0"/>
        </w:rPr>
        <w:t>В Наказателно- процесуал</w:t>
      </w:r>
      <w:r w:rsidR="00BA5390" w:rsidRPr="00AD66FE">
        <w:rPr>
          <w:snapToGrid w:val="0"/>
        </w:rPr>
        <w:t>н</w:t>
      </w:r>
      <w:r w:rsidR="00142898">
        <w:rPr>
          <w:snapToGrid w:val="0"/>
        </w:rPr>
        <w:t>ия</w:t>
      </w:r>
      <w:r w:rsidR="00BA5390" w:rsidRPr="00AD66FE">
        <w:rPr>
          <w:snapToGrid w:val="0"/>
        </w:rPr>
        <w:t xml:space="preserve"> кодекс от 2005 г. се съдържа идентична разпоредба </w:t>
      </w:r>
      <w:r w:rsidRPr="00AD66FE">
        <w:rPr>
          <w:snapToGrid w:val="0"/>
        </w:rPr>
        <w:t>(</w:t>
      </w:r>
      <w:r w:rsidR="00BA5390" w:rsidRPr="00AD66FE">
        <w:rPr>
          <w:snapToGrid w:val="0"/>
        </w:rPr>
        <w:t xml:space="preserve">чл. </w:t>
      </w:r>
      <w:r w:rsidRPr="00AD66FE">
        <w:rPr>
          <w:snapToGrid w:val="0"/>
        </w:rPr>
        <w:t>110</w:t>
      </w:r>
      <w:r w:rsidR="00DA5333" w:rsidRPr="00AD66FE">
        <w:rPr>
          <w:snapToGrid w:val="0"/>
        </w:rPr>
        <w:t>, ал. </w:t>
      </w:r>
      <w:r w:rsidRPr="00AD66FE">
        <w:rPr>
          <w:snapToGrid w:val="0"/>
        </w:rPr>
        <w:t>2).</w:t>
      </w:r>
    </w:p>
    <w:bookmarkStart w:id="27" w:name="Para28"/>
    <w:p w:rsidR="00B64935" w:rsidRPr="00AD66FE" w:rsidRDefault="00B64935" w:rsidP="00BA13D9">
      <w:pPr>
        <w:pStyle w:val="ECHRPara"/>
        <w:rPr>
          <w:snapToGrid w:val="0"/>
        </w:rPr>
      </w:pPr>
      <w:r w:rsidRPr="00AD66FE">
        <w:rPr>
          <w:snapToGrid w:val="0"/>
        </w:rPr>
        <w:fldChar w:fldCharType="begin"/>
      </w:r>
      <w:r w:rsidRPr="00AD66FE">
        <w:rPr>
          <w:snapToGrid w:val="0"/>
        </w:rPr>
        <w:instrText xml:space="preserve"> SEQ level0 \*arabic </w:instrText>
      </w:r>
      <w:r w:rsidRPr="00AD66FE">
        <w:rPr>
          <w:snapToGrid w:val="0"/>
        </w:rPr>
        <w:fldChar w:fldCharType="separate"/>
      </w:r>
      <w:r w:rsidR="00D20DF1">
        <w:rPr>
          <w:noProof/>
          <w:snapToGrid w:val="0"/>
        </w:rPr>
        <w:t>36</w:t>
      </w:r>
      <w:r w:rsidRPr="00AD66FE">
        <w:rPr>
          <w:snapToGrid w:val="0"/>
        </w:rPr>
        <w:fldChar w:fldCharType="end"/>
      </w:r>
      <w:bookmarkEnd w:id="27"/>
      <w:r w:rsidRPr="00AD66FE">
        <w:rPr>
          <w:snapToGrid w:val="0"/>
        </w:rPr>
        <w:t>.  </w:t>
      </w:r>
      <w:r w:rsidR="00BA5390" w:rsidRPr="00AD66FE">
        <w:rPr>
          <w:snapToGrid w:val="0"/>
        </w:rPr>
        <w:t xml:space="preserve">В чл. </w:t>
      </w:r>
      <w:r w:rsidRPr="00AD66FE">
        <w:rPr>
          <w:snapToGrid w:val="0"/>
        </w:rPr>
        <w:t>107</w:t>
      </w:r>
      <w:r w:rsidR="001670FE" w:rsidRPr="00AD66FE">
        <w:rPr>
          <w:snapToGrid w:val="0"/>
        </w:rPr>
        <w:t>, ал. </w:t>
      </w:r>
      <w:r w:rsidRPr="00AD66FE">
        <w:rPr>
          <w:snapToGrid w:val="0"/>
        </w:rPr>
        <w:t>3</w:t>
      </w:r>
      <w:r w:rsidR="00142898">
        <w:rPr>
          <w:snapToGrid w:val="0"/>
        </w:rPr>
        <w:t xml:space="preserve"> от Наказателно-процесуал</w:t>
      </w:r>
      <w:r w:rsidR="00BA5390" w:rsidRPr="00AD66FE">
        <w:rPr>
          <w:snapToGrid w:val="0"/>
        </w:rPr>
        <w:t>н</w:t>
      </w:r>
      <w:r w:rsidR="00142898">
        <w:rPr>
          <w:snapToGrid w:val="0"/>
        </w:rPr>
        <w:t>ия</w:t>
      </w:r>
      <w:r w:rsidR="00BA5390" w:rsidRPr="00AD66FE">
        <w:rPr>
          <w:snapToGrid w:val="0"/>
        </w:rPr>
        <w:t xml:space="preserve"> кодекс от </w:t>
      </w:r>
      <w:r w:rsidRPr="00AD66FE">
        <w:rPr>
          <w:snapToGrid w:val="0"/>
        </w:rPr>
        <w:t>1974</w:t>
      </w:r>
      <w:r w:rsidR="00BA5390" w:rsidRPr="00AD66FE">
        <w:rPr>
          <w:snapToGrid w:val="0"/>
        </w:rPr>
        <w:t xml:space="preserve"> г. е </w:t>
      </w:r>
      <w:r w:rsidR="004A34C4">
        <w:rPr>
          <w:snapToGrid w:val="0"/>
        </w:rPr>
        <w:t>предвидено, че при предаването</w:t>
      </w:r>
      <w:r w:rsidR="00BA5390" w:rsidRPr="00AD66FE">
        <w:rPr>
          <w:snapToGrid w:val="0"/>
        </w:rPr>
        <w:t xml:space="preserve"> на </w:t>
      </w:r>
      <w:r w:rsidR="00142898">
        <w:rPr>
          <w:snapToGrid w:val="0"/>
        </w:rPr>
        <w:t xml:space="preserve">преписката </w:t>
      </w:r>
      <w:r w:rsidR="00BA5390" w:rsidRPr="00AD66FE">
        <w:rPr>
          <w:snapToGrid w:val="0"/>
        </w:rPr>
        <w:t xml:space="preserve">от един държавен </w:t>
      </w:r>
      <w:r w:rsidR="00142898">
        <w:rPr>
          <w:snapToGrid w:val="0"/>
        </w:rPr>
        <w:t>орган на друг, приложените</w:t>
      </w:r>
      <w:r w:rsidR="00BA5390" w:rsidRPr="00AD66FE">
        <w:rPr>
          <w:snapToGrid w:val="0"/>
        </w:rPr>
        <w:t xml:space="preserve"> </w:t>
      </w:r>
      <w:r w:rsidR="00386E01" w:rsidRPr="00AD66FE">
        <w:rPr>
          <w:snapToGrid w:val="0"/>
        </w:rPr>
        <w:t xml:space="preserve">веществени </w:t>
      </w:r>
      <w:r w:rsidR="004A34C4">
        <w:rPr>
          <w:snapToGrid w:val="0"/>
        </w:rPr>
        <w:t>доказателства се предават</w:t>
      </w:r>
      <w:r w:rsidR="00142898">
        <w:rPr>
          <w:snapToGrid w:val="0"/>
        </w:rPr>
        <w:t xml:space="preserve"> с нея. В Наказателно-процесуалния</w:t>
      </w:r>
      <w:r w:rsidR="00BA5390" w:rsidRPr="00AD66FE">
        <w:rPr>
          <w:snapToGrid w:val="0"/>
        </w:rPr>
        <w:t xml:space="preserve"> кодекс от 2005 г. се съдържа идентична разпоредба (чл. </w:t>
      </w:r>
      <w:r w:rsidRPr="00AD66FE">
        <w:rPr>
          <w:snapToGrid w:val="0"/>
        </w:rPr>
        <w:t>110</w:t>
      </w:r>
      <w:r w:rsidR="0076193C" w:rsidRPr="00AD66FE">
        <w:rPr>
          <w:snapToGrid w:val="0"/>
        </w:rPr>
        <w:t>, ал. </w:t>
      </w:r>
      <w:r w:rsidRPr="00AD66FE">
        <w:rPr>
          <w:snapToGrid w:val="0"/>
        </w:rPr>
        <w:t>3).</w:t>
      </w:r>
    </w:p>
    <w:p w:rsidR="00B64935" w:rsidRPr="00AD66FE" w:rsidRDefault="002A39AE" w:rsidP="00BA13D9">
      <w:pPr>
        <w:pStyle w:val="ECHRHeading2"/>
      </w:pPr>
      <w:r w:rsidRPr="00AD66FE">
        <w:t>Б</w:t>
      </w:r>
      <w:r w:rsidR="00B64935" w:rsidRPr="00AD66FE">
        <w:t>.  </w:t>
      </w:r>
      <w:r w:rsidR="004A34C4">
        <w:t>Административно-</w:t>
      </w:r>
      <w:r w:rsidR="005C4C24" w:rsidRPr="00AD66FE">
        <w:t xml:space="preserve">процесуален кодекс от </w:t>
      </w:r>
      <w:r w:rsidR="00B64935" w:rsidRPr="00AD66FE">
        <w:t>2006</w:t>
      </w:r>
      <w:r w:rsidR="005C4C24" w:rsidRPr="00AD66FE">
        <w:t> г.</w:t>
      </w:r>
    </w:p>
    <w:p w:rsidR="00B64935" w:rsidRPr="00AD66FE" w:rsidRDefault="00D00517" w:rsidP="00BA13D9">
      <w:pPr>
        <w:pStyle w:val="ECHRPara"/>
      </w:pPr>
      <w:fldSimple w:instr=" SEQ level0 \*arabic ">
        <w:r w:rsidR="00D20DF1">
          <w:rPr>
            <w:noProof/>
          </w:rPr>
          <w:t>37</w:t>
        </w:r>
      </w:fldSimple>
      <w:r w:rsidR="00B64935" w:rsidRPr="00AD66FE">
        <w:t>.  </w:t>
      </w:r>
      <w:r w:rsidR="005C4C24" w:rsidRPr="00AD66FE">
        <w:t xml:space="preserve">Съгласно чл. </w:t>
      </w:r>
      <w:r w:rsidR="00B64935" w:rsidRPr="00AD66FE">
        <w:t>21</w:t>
      </w:r>
      <w:r w:rsidR="0076193C" w:rsidRPr="00AD66FE">
        <w:t>, ал. </w:t>
      </w:r>
      <w:r w:rsidR="00B64935" w:rsidRPr="00AD66FE">
        <w:t>1</w:t>
      </w:r>
      <w:r w:rsidR="004A34C4">
        <w:t xml:space="preserve"> от Административнопроцесуал</w:t>
      </w:r>
      <w:r w:rsidR="005C4C24" w:rsidRPr="00AD66FE">
        <w:t>н</w:t>
      </w:r>
      <w:r w:rsidR="004A34C4">
        <w:t>ия</w:t>
      </w:r>
      <w:r w:rsidR="005C4C24" w:rsidRPr="00AD66FE">
        <w:t xml:space="preserve"> кодекс от 2006 г., който влиза в сила на 12 юли </w:t>
      </w:r>
      <w:r w:rsidR="00B64935" w:rsidRPr="00AD66FE">
        <w:t>2006</w:t>
      </w:r>
      <w:r w:rsidR="005C4C24" w:rsidRPr="00AD66FE">
        <w:t> г. и е приложим към с</w:t>
      </w:r>
      <w:r w:rsidR="004A34C4">
        <w:t xml:space="preserve">ъответния момент, индивидуален „административен акт“ </w:t>
      </w:r>
      <w:r w:rsidR="003A0355" w:rsidRPr="00AD66FE">
        <w:t xml:space="preserve">е дефиниран като изрично </w:t>
      </w:r>
      <w:r w:rsidR="00BC50CC" w:rsidRPr="00AD66FE">
        <w:t xml:space="preserve">волеизявление </w:t>
      </w:r>
      <w:r w:rsidR="003A0355" w:rsidRPr="00AD66FE">
        <w:t xml:space="preserve">или </w:t>
      </w:r>
      <w:r w:rsidR="00BC50CC" w:rsidRPr="00AD66FE">
        <w:t xml:space="preserve">изразено с </w:t>
      </w:r>
      <w:r w:rsidR="003A0355" w:rsidRPr="00AD66FE">
        <w:t>действие или бе</w:t>
      </w:r>
      <w:r w:rsidR="00FB2379" w:rsidRPr="00AD66FE">
        <w:t>з</w:t>
      </w:r>
      <w:r w:rsidR="003A0355" w:rsidRPr="00AD66FE">
        <w:t xml:space="preserve">действие </w:t>
      </w:r>
      <w:r w:rsidR="00BC50CC" w:rsidRPr="00AD66FE">
        <w:t xml:space="preserve">волеизявление </w:t>
      </w:r>
      <w:r w:rsidR="003A0355" w:rsidRPr="00AD66FE">
        <w:t>от страна на административен орган или на друг овластен със закон за това орган или организация, с което пряко се създават права или задължения или непосредствено се засягат права, свободи или законни интереси на отделни граждани или организации. Отказът да бъде взето решение също представлява индивидуален административен акт</w:t>
      </w:r>
      <w:r w:rsidR="00B64935" w:rsidRPr="00AD66FE">
        <w:t>.</w:t>
      </w:r>
    </w:p>
    <w:p w:rsidR="00B64935" w:rsidRPr="00AD66FE" w:rsidRDefault="002A39AE" w:rsidP="00BA13D9">
      <w:pPr>
        <w:pStyle w:val="ECHRHeading2"/>
      </w:pPr>
      <w:r w:rsidRPr="00AD66FE">
        <w:rPr>
          <w:snapToGrid w:val="0"/>
        </w:rPr>
        <w:t>В</w:t>
      </w:r>
      <w:r w:rsidR="00B64935" w:rsidRPr="00AD66FE">
        <w:rPr>
          <w:snapToGrid w:val="0"/>
        </w:rPr>
        <w:t>.  </w:t>
      </w:r>
      <w:r w:rsidR="00761299" w:rsidRPr="00AD66FE">
        <w:rPr>
          <w:snapToGrid w:val="0"/>
        </w:rPr>
        <w:t xml:space="preserve">Закон за административните нарушения и наказания от </w:t>
      </w:r>
      <w:r w:rsidR="00B64935" w:rsidRPr="00AD66FE">
        <w:rPr>
          <w:snapToGrid w:val="0"/>
        </w:rPr>
        <w:t>1969</w:t>
      </w:r>
      <w:r w:rsidR="00761299" w:rsidRPr="00AD66FE">
        <w:rPr>
          <w:snapToGrid w:val="0"/>
        </w:rPr>
        <w:t> г.</w:t>
      </w:r>
    </w:p>
    <w:p w:rsidR="00B64935" w:rsidRPr="00AD66FE" w:rsidRDefault="00D00517" w:rsidP="00BA13D9">
      <w:pPr>
        <w:pStyle w:val="ECHRPara"/>
      </w:pPr>
      <w:fldSimple w:instr=" SEQ level0 \*arabic ">
        <w:r w:rsidR="00D20DF1">
          <w:rPr>
            <w:noProof/>
          </w:rPr>
          <w:t>38</w:t>
        </w:r>
      </w:fldSimple>
      <w:r w:rsidR="00B64935" w:rsidRPr="00AD66FE">
        <w:t>.  </w:t>
      </w:r>
      <w:r w:rsidR="002D31C1" w:rsidRPr="00AD66FE">
        <w:t>В чл.</w:t>
      </w:r>
      <w:r w:rsidR="00B64935" w:rsidRPr="00AD66FE">
        <w:t xml:space="preserve"> 3</w:t>
      </w:r>
      <w:r w:rsidR="006D1B58" w:rsidRPr="00AD66FE">
        <w:t xml:space="preserve">, ал. </w:t>
      </w:r>
      <w:r w:rsidR="00B64935" w:rsidRPr="00AD66FE">
        <w:t xml:space="preserve">2 </w:t>
      </w:r>
      <w:r w:rsidR="002D31C1" w:rsidRPr="00AD66FE">
        <w:t xml:space="preserve">от Закона за административните нарушения и наказания от </w:t>
      </w:r>
      <w:r w:rsidR="00B64935" w:rsidRPr="00AD66FE">
        <w:t>1969</w:t>
      </w:r>
      <w:r w:rsidR="002D31C1" w:rsidRPr="00AD66FE">
        <w:t> г.</w:t>
      </w:r>
      <w:r w:rsidR="00B64935" w:rsidRPr="00AD66FE">
        <w:t xml:space="preserve"> (</w:t>
      </w:r>
      <w:r w:rsidR="002D31C1" w:rsidRPr="00AD66FE">
        <w:t>„Закон от 1969 г.“</w:t>
      </w:r>
      <w:r w:rsidR="00B64935" w:rsidRPr="00AD66FE">
        <w:t>)</w:t>
      </w:r>
      <w:r w:rsidR="002D31C1" w:rsidRPr="00AD66FE">
        <w:t xml:space="preserve"> е предвидено, че когато се приемат различни закони между времето на извършване на админи</w:t>
      </w:r>
      <w:r w:rsidR="004A34C4">
        <w:t xml:space="preserve">стративно нарушение и датата на </w:t>
      </w:r>
      <w:proofErr w:type="spellStart"/>
      <w:r w:rsidR="004A34C4">
        <w:t>влиане</w:t>
      </w:r>
      <w:proofErr w:type="spellEnd"/>
      <w:r w:rsidR="004A34C4">
        <w:t xml:space="preserve"> в сила на наказателното постановление</w:t>
      </w:r>
      <w:r w:rsidR="002D31C1" w:rsidRPr="00AD66FE">
        <w:t xml:space="preserve"> за налагане на наказание става</w:t>
      </w:r>
      <w:r w:rsidR="004A34C4">
        <w:t xml:space="preserve"> окончателно, се прилага законът, който е </w:t>
      </w:r>
      <w:r w:rsidR="002D31C1" w:rsidRPr="00AD66FE">
        <w:t>по-благоприят</w:t>
      </w:r>
      <w:r w:rsidR="004A34C4">
        <w:t xml:space="preserve">ен </w:t>
      </w:r>
      <w:r w:rsidR="002D31C1" w:rsidRPr="00AD66FE">
        <w:t xml:space="preserve">за </w:t>
      </w:r>
      <w:r w:rsidR="00D96613" w:rsidRPr="00AD66FE">
        <w:t>нарушителя</w:t>
      </w:r>
      <w:r w:rsidR="00B64935" w:rsidRPr="00AD66FE">
        <w:t>.</w:t>
      </w:r>
    </w:p>
    <w:bookmarkStart w:id="28" w:name="Para32"/>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39</w:t>
      </w:r>
      <w:r w:rsidRPr="00AD66FE">
        <w:fldChar w:fldCharType="end"/>
      </w:r>
      <w:bookmarkEnd w:id="28"/>
      <w:r w:rsidRPr="00AD66FE">
        <w:t>.  </w:t>
      </w:r>
      <w:r w:rsidR="009C412C" w:rsidRPr="00AD66FE">
        <w:t xml:space="preserve">Когато определят наказание за административно нарушение, ако в съответния закон е предвидено, властите следва да постановят отнемане в полза на държавата </w:t>
      </w:r>
      <w:proofErr w:type="spellStart"/>
      <w:r w:rsidRPr="00AD66FE">
        <w:rPr>
          <w:i/>
        </w:rPr>
        <w:t>inter</w:t>
      </w:r>
      <w:proofErr w:type="spellEnd"/>
      <w:r w:rsidRPr="00AD66FE">
        <w:rPr>
          <w:i/>
        </w:rPr>
        <w:t xml:space="preserve"> </w:t>
      </w:r>
      <w:proofErr w:type="spellStart"/>
      <w:r w:rsidRPr="00AD66FE">
        <w:rPr>
          <w:i/>
        </w:rPr>
        <w:t>alia</w:t>
      </w:r>
      <w:proofErr w:type="spellEnd"/>
      <w:r w:rsidR="009C412C" w:rsidRPr="00AD66FE">
        <w:rPr>
          <w:i/>
        </w:rPr>
        <w:t xml:space="preserve"> </w:t>
      </w:r>
      <w:r w:rsidR="00BC0263" w:rsidRPr="00AD66FE">
        <w:t xml:space="preserve">на </w:t>
      </w:r>
      <w:r w:rsidR="009C412C" w:rsidRPr="00AD66FE">
        <w:t>стоките, които са предмет на нарушението и които принадлежат на нарушителя</w:t>
      </w:r>
      <w:r w:rsidRPr="00AD66FE">
        <w:t xml:space="preserve"> (</w:t>
      </w:r>
      <w:r w:rsidR="009C412C" w:rsidRPr="00AD66FE">
        <w:t xml:space="preserve">чл. </w:t>
      </w:r>
      <w:r w:rsidRPr="00AD66FE">
        <w:t>20</w:t>
      </w:r>
      <w:r w:rsidR="006D1B58" w:rsidRPr="00AD66FE">
        <w:t xml:space="preserve">, ал. </w:t>
      </w:r>
      <w:r w:rsidRPr="00AD66FE">
        <w:t>1</w:t>
      </w:r>
      <w:r w:rsidR="009C412C" w:rsidRPr="00AD66FE">
        <w:t xml:space="preserve"> и </w:t>
      </w:r>
      <w:r w:rsidRPr="00AD66FE">
        <w:t>3</w:t>
      </w:r>
      <w:r w:rsidR="009C412C" w:rsidRPr="00AD66FE">
        <w:t xml:space="preserve"> от Закона от </w:t>
      </w:r>
      <w:r w:rsidRPr="00AD66FE">
        <w:t>1969</w:t>
      </w:r>
      <w:r w:rsidR="009C412C" w:rsidRPr="00AD66FE">
        <w:t> г.</w:t>
      </w:r>
      <w:r w:rsidRPr="00AD66FE">
        <w:t xml:space="preserve">). </w:t>
      </w:r>
      <w:r w:rsidR="00BC0263" w:rsidRPr="00AD66FE">
        <w:t xml:space="preserve">Към съответния момент, чл. </w:t>
      </w:r>
      <w:r w:rsidRPr="00AD66FE">
        <w:t>17a</w:t>
      </w:r>
      <w:r w:rsidR="006D1B58" w:rsidRPr="00AD66FE">
        <w:t xml:space="preserve">, ал. </w:t>
      </w:r>
      <w:r w:rsidRPr="00AD66FE">
        <w:t>11</w:t>
      </w:r>
      <w:r w:rsidR="00BC0263" w:rsidRPr="00AD66FE">
        <w:t xml:space="preserve"> от Закона за акцизите от </w:t>
      </w:r>
      <w:r w:rsidRPr="00AD66FE">
        <w:t>1994</w:t>
      </w:r>
      <w:r w:rsidR="00BC0263" w:rsidRPr="00AD66FE">
        <w:t xml:space="preserve"> г. във връзка с чл. </w:t>
      </w:r>
      <w:r w:rsidRPr="00AD66FE">
        <w:t>17a</w:t>
      </w:r>
      <w:r w:rsidR="006D1B58" w:rsidRPr="00AD66FE">
        <w:t xml:space="preserve">, ал. </w:t>
      </w:r>
      <w:r w:rsidRPr="00AD66FE">
        <w:t>2</w:t>
      </w:r>
      <w:r w:rsidR="00BC0263" w:rsidRPr="00AD66FE">
        <w:t xml:space="preserve"> от същия </w:t>
      </w:r>
      <w:r w:rsidR="00090016" w:rsidRPr="00AD66FE">
        <w:t>З</w:t>
      </w:r>
      <w:r w:rsidR="00BC0263" w:rsidRPr="00AD66FE">
        <w:t xml:space="preserve">акон предвижда, че подлежащите на акциз стоки, съхранявани от дружество без задължителните акцизни бандероли, подлежат на отнемане в полза на държавата. В чл. </w:t>
      </w:r>
      <w:r w:rsidRPr="00AD66FE">
        <w:t xml:space="preserve">123 </w:t>
      </w:r>
      <w:r w:rsidR="00D13085" w:rsidRPr="00AD66FE">
        <w:t xml:space="preserve">от Закона за акцизите и данъчните складове от </w:t>
      </w:r>
      <w:r w:rsidRPr="00AD66FE">
        <w:t>2005</w:t>
      </w:r>
      <w:r w:rsidR="00D13085" w:rsidRPr="00AD66FE">
        <w:t> г.</w:t>
      </w:r>
      <w:r w:rsidRPr="00AD66FE">
        <w:t>,</w:t>
      </w:r>
      <w:r w:rsidR="00D13085" w:rsidRPr="00AD66FE">
        <w:t xml:space="preserve"> който </w:t>
      </w:r>
      <w:r w:rsidR="004F7CCF" w:rsidRPr="00AD66FE">
        <w:t xml:space="preserve">заменя посочените разпоредби от 1 януари </w:t>
      </w:r>
      <w:r w:rsidRPr="00AD66FE">
        <w:t>2006</w:t>
      </w:r>
      <w:r w:rsidR="004F7CCF" w:rsidRPr="00AD66FE">
        <w:t> г.</w:t>
      </w:r>
      <w:r w:rsidRPr="00AD66FE">
        <w:t>,</w:t>
      </w:r>
      <w:r w:rsidR="004F7CCF" w:rsidRPr="00AD66FE">
        <w:t xml:space="preserve"> не е предвидено отнемане в полза на държавата към съответния момент</w:t>
      </w:r>
      <w:r w:rsidRPr="00AD66FE">
        <w:t>.</w:t>
      </w:r>
      <w:r w:rsidR="004F7CCF" w:rsidRPr="00AD66FE">
        <w:t xml:space="preserve"> С изменение на чл. </w:t>
      </w:r>
      <w:r w:rsidRPr="00AD66FE">
        <w:t>124</w:t>
      </w:r>
      <w:r w:rsidR="004F7CCF" w:rsidRPr="00AD66FE">
        <w:t xml:space="preserve"> на този Закон от </w:t>
      </w:r>
      <w:r w:rsidRPr="00AD66FE">
        <w:t>22</w:t>
      </w:r>
      <w:r w:rsidR="004F7CCF" w:rsidRPr="00AD66FE">
        <w:t xml:space="preserve"> декември 2</w:t>
      </w:r>
      <w:r w:rsidRPr="00AD66FE">
        <w:t>006</w:t>
      </w:r>
      <w:r w:rsidR="004F7CCF" w:rsidRPr="00AD66FE">
        <w:t> г. отнемането в полза на държавата е въвед</w:t>
      </w:r>
      <w:r w:rsidR="00136AA3">
        <w:t>ено отново като административна</w:t>
      </w:r>
      <w:r w:rsidR="004F7CCF" w:rsidRPr="00AD66FE">
        <w:t xml:space="preserve"> мярка за подобно нарушение</w:t>
      </w:r>
      <w:r w:rsidRPr="00AD66FE">
        <w:t>.</w:t>
      </w:r>
    </w:p>
    <w:bookmarkStart w:id="29" w:name="Para33"/>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40</w:t>
      </w:r>
      <w:r w:rsidRPr="00AD66FE">
        <w:fldChar w:fldCharType="end"/>
      </w:r>
      <w:bookmarkEnd w:id="29"/>
      <w:r w:rsidRPr="00AD66FE">
        <w:t>.  </w:t>
      </w:r>
      <w:r w:rsidR="00637D93" w:rsidRPr="00AD66FE">
        <w:t xml:space="preserve">Съгласно чл. </w:t>
      </w:r>
      <w:r w:rsidRPr="00AD66FE">
        <w:t>20</w:t>
      </w:r>
      <w:r w:rsidR="006D1B58" w:rsidRPr="00AD66FE">
        <w:t xml:space="preserve">, ал. </w:t>
      </w:r>
      <w:r w:rsidRPr="00AD66FE">
        <w:t>2</w:t>
      </w:r>
      <w:r w:rsidR="00637D93" w:rsidRPr="00AD66FE">
        <w:t xml:space="preserve"> от Закона от </w:t>
      </w:r>
      <w:r w:rsidRPr="00AD66FE">
        <w:t>1969</w:t>
      </w:r>
      <w:r w:rsidR="00637D93" w:rsidRPr="00AD66FE">
        <w:t xml:space="preserve"> г., </w:t>
      </w:r>
      <w:r w:rsidR="00136AA3">
        <w:t>стоките, които са предмет</w:t>
      </w:r>
      <w:r w:rsidR="003D609E" w:rsidRPr="00AD66FE">
        <w:t xml:space="preserve"> на административно нарушение и чието </w:t>
      </w:r>
      <w:r w:rsidR="006C0D5E" w:rsidRPr="00AD66FE">
        <w:t xml:space="preserve">притежание </w:t>
      </w:r>
      <w:r w:rsidR="003D609E" w:rsidRPr="00AD66FE">
        <w:t>е забранено, също следва да бъдат отнети в полза на държавата</w:t>
      </w:r>
      <w:r w:rsidRPr="00AD66FE">
        <w:t>.</w:t>
      </w:r>
    </w:p>
    <w:bookmarkStart w:id="30" w:name="Para34"/>
    <w:bookmarkStart w:id="31" w:name="Para40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41</w:t>
      </w:r>
      <w:r w:rsidRPr="00AD66FE">
        <w:fldChar w:fldCharType="end"/>
      </w:r>
      <w:bookmarkEnd w:id="30"/>
      <w:bookmarkEnd w:id="31"/>
      <w:r w:rsidRPr="00AD66FE">
        <w:t>.  </w:t>
      </w:r>
      <w:r w:rsidR="002C43F1" w:rsidRPr="00AD66FE">
        <w:t xml:space="preserve">Съгласно чл. </w:t>
      </w:r>
      <w:r w:rsidRPr="00AD66FE">
        <w:t>42</w:t>
      </w:r>
      <w:r w:rsidR="006D1B58" w:rsidRPr="00AD66FE">
        <w:t xml:space="preserve">, ал. </w:t>
      </w:r>
      <w:r w:rsidRPr="00AD66FE">
        <w:t>10,</w:t>
      </w:r>
      <w:r w:rsidR="00C92BAF">
        <w:t xml:space="preserve"> актът за</w:t>
      </w:r>
      <w:r w:rsidRPr="00AD66FE">
        <w:t xml:space="preserve"> </w:t>
      </w:r>
      <w:r w:rsidR="00C92BAF">
        <w:t xml:space="preserve">административно нарушение </w:t>
      </w:r>
      <w:r w:rsidR="002C43F1" w:rsidRPr="00AD66FE">
        <w:t xml:space="preserve">следва да включва </w:t>
      </w:r>
      <w:proofErr w:type="spellStart"/>
      <w:r w:rsidRPr="00AD66FE">
        <w:rPr>
          <w:i/>
        </w:rPr>
        <w:t>inter</w:t>
      </w:r>
      <w:proofErr w:type="spellEnd"/>
      <w:r w:rsidRPr="00AD66FE">
        <w:rPr>
          <w:i/>
        </w:rPr>
        <w:t xml:space="preserve"> </w:t>
      </w:r>
      <w:proofErr w:type="spellStart"/>
      <w:r w:rsidRPr="00AD66FE">
        <w:rPr>
          <w:i/>
        </w:rPr>
        <w:t>alia</w:t>
      </w:r>
      <w:proofErr w:type="spellEnd"/>
      <w:r w:rsidRPr="00AD66FE">
        <w:t xml:space="preserve"> </w:t>
      </w:r>
      <w:r w:rsidR="00C92BAF">
        <w:t>списък на вещите</w:t>
      </w:r>
      <w:r w:rsidR="002C43F1" w:rsidRPr="00AD66FE">
        <w:t>, които са иззети, когато е приложимо, както и информация за лицето или институцията, които са отг</w:t>
      </w:r>
      <w:r w:rsidR="00C92BAF">
        <w:t>оворни за съхраняване на вещите</w:t>
      </w:r>
      <w:r w:rsidRPr="00AD66FE">
        <w:t>.</w:t>
      </w:r>
      <w:r w:rsidR="00C45944" w:rsidRPr="00AD66FE">
        <w:t xml:space="preserve"> В</w:t>
      </w:r>
      <w:r w:rsidR="00C92BAF">
        <w:t xml:space="preserve"> случаите, когато иззетите вещи</w:t>
      </w:r>
      <w:r w:rsidR="00C45944" w:rsidRPr="00AD66FE">
        <w:t xml:space="preserve"> са описани подробно и изпратени за съхранение с приемо-предавателен протокол в митнически склад, се приема, че изискването на чл.</w:t>
      </w:r>
      <w:r w:rsidRPr="00AD66FE">
        <w:t> 42</w:t>
      </w:r>
      <w:r w:rsidR="00393EDF" w:rsidRPr="00AD66FE">
        <w:t>, ал. </w:t>
      </w:r>
      <w:r w:rsidRPr="00AD66FE">
        <w:t>10</w:t>
      </w:r>
      <w:r w:rsidR="00C45944" w:rsidRPr="00AD66FE">
        <w:t xml:space="preserve"> е изпълнено (вж. решение</w:t>
      </w:r>
      <w:r w:rsidRPr="00AD66FE">
        <w:t xml:space="preserve">: решение № 148 от 16.03.2011 </w:t>
      </w:r>
      <w:r w:rsidR="00E2214C" w:rsidRPr="00AD66FE">
        <w:t xml:space="preserve">г. на </w:t>
      </w:r>
      <w:proofErr w:type="spellStart"/>
      <w:r w:rsidR="00E2214C" w:rsidRPr="00AD66FE">
        <w:t>АдмС</w:t>
      </w:r>
      <w:proofErr w:type="spellEnd"/>
      <w:r w:rsidR="00E2214C" w:rsidRPr="00AD66FE">
        <w:t xml:space="preserve"> - София област по к.а.н.</w:t>
      </w:r>
      <w:r w:rsidRPr="00AD66FE">
        <w:t xml:space="preserve">д. № 4/2011 г.). </w:t>
      </w:r>
      <w:r w:rsidR="00FF31C1" w:rsidRPr="00AD66FE">
        <w:t xml:space="preserve">Доколкото в чл. </w:t>
      </w:r>
      <w:r w:rsidRPr="00AD66FE">
        <w:t>42</w:t>
      </w:r>
      <w:r w:rsidR="00C92BAF">
        <w:t xml:space="preserve"> е описан минималният брой изисквания</w:t>
      </w:r>
      <w:r w:rsidR="00FF31C1" w:rsidRPr="00AD66FE">
        <w:t>, които следва да бъдат изпълнени, за да бъде решението законно, включително задължението за съставяне на списък</w:t>
      </w:r>
      <w:r w:rsidRPr="00AD66FE">
        <w:t>,</w:t>
      </w:r>
      <w:r w:rsidR="00FF31C1" w:rsidRPr="00AD66FE">
        <w:t xml:space="preserve"> неизпълнението на някоя от необходимите мерки ще доведе до нарушение на законно правило и, съответно, до незаконност на решението </w:t>
      </w:r>
      <w:r w:rsidRPr="00AD66FE">
        <w:t>(</w:t>
      </w:r>
      <w:r w:rsidR="00FF31C1" w:rsidRPr="00AD66FE">
        <w:t>вж. решение</w:t>
      </w:r>
      <w:r w:rsidRPr="00AD66FE">
        <w:t>: решение № 1429 от 4.</w:t>
      </w:r>
      <w:r w:rsidR="00E2214C" w:rsidRPr="00AD66FE">
        <w:t>01.2005 г. на РС - Петрич по н.а.х.</w:t>
      </w:r>
      <w:r w:rsidRPr="00AD66FE">
        <w:t>д.</w:t>
      </w:r>
      <w:r w:rsidR="00E2214C" w:rsidRPr="00AD66FE">
        <w:t>)</w:t>
      </w:r>
      <w:r w:rsidRPr="00AD66FE">
        <w:t xml:space="preserve"> </w:t>
      </w:r>
      <w:r w:rsidR="00864BB7" w:rsidRPr="00AD66FE">
        <w:t>Чл.</w:t>
      </w:r>
      <w:r w:rsidRPr="00AD66FE">
        <w:t xml:space="preserve"> 46</w:t>
      </w:r>
      <w:r w:rsidR="00393EDF" w:rsidRPr="00AD66FE">
        <w:t xml:space="preserve">, ал. </w:t>
      </w:r>
      <w:r w:rsidRPr="00AD66FE">
        <w:t>1, 2</w:t>
      </w:r>
      <w:r w:rsidR="00864BB7" w:rsidRPr="00AD66FE">
        <w:t xml:space="preserve"> и </w:t>
      </w:r>
      <w:r w:rsidRPr="00AD66FE">
        <w:t xml:space="preserve">3 </w:t>
      </w:r>
      <w:r w:rsidR="00864BB7" w:rsidRPr="00AD66FE">
        <w:t xml:space="preserve">предвижда, че </w:t>
      </w:r>
      <w:r w:rsidR="0092005A" w:rsidRPr="00AD66FE">
        <w:t>иззетите с</w:t>
      </w:r>
      <w:r w:rsidR="00AF3E6A" w:rsidRPr="00AD66FE">
        <w:t>т</w:t>
      </w:r>
      <w:r w:rsidR="0092005A" w:rsidRPr="00AD66FE">
        <w:t>оки се изпращат за безопасно съхранение съгласно установените правила</w:t>
      </w:r>
      <w:r w:rsidRPr="00AD66FE">
        <w:t xml:space="preserve">. </w:t>
      </w:r>
      <w:r w:rsidR="00AF3E6A" w:rsidRPr="00AD66FE">
        <w:t>Ако няма такива правила, стоките се изпращат за съхранение в звената на органа, кой</w:t>
      </w:r>
      <w:r w:rsidR="00C92BAF">
        <w:t>то установява нарушението, или при</w:t>
      </w:r>
      <w:r w:rsidR="00AF3E6A" w:rsidRPr="00AD66FE">
        <w:t xml:space="preserve"> съответните общински власти</w:t>
      </w:r>
      <w:r w:rsidRPr="00AD66FE">
        <w:t>.</w:t>
      </w:r>
      <w:r w:rsidR="00AF3E6A" w:rsidRPr="00AD66FE">
        <w:t xml:space="preserve"> В някои</w:t>
      </w:r>
      <w:r w:rsidR="00C92BAF">
        <w:t xml:space="preserve"> случаи може да бъде оправдано</w:t>
      </w:r>
      <w:r w:rsidR="00AF3E6A" w:rsidRPr="00AD66FE">
        <w:t xml:space="preserve"> съхранението на стоките да бъде възложено на нарушителя или друго лице</w:t>
      </w:r>
      <w:r w:rsidRPr="00AD66FE">
        <w:t>.</w:t>
      </w:r>
      <w:r w:rsidR="008C733C" w:rsidRPr="00AD66FE">
        <w:t xml:space="preserve"> Съгласно чл. </w:t>
      </w:r>
      <w:r w:rsidRPr="00AD66FE">
        <w:t>46</w:t>
      </w:r>
      <w:r w:rsidR="00EE016E" w:rsidRPr="00AD66FE">
        <w:t xml:space="preserve">, ал. </w:t>
      </w:r>
      <w:r w:rsidRPr="00AD66FE">
        <w:t>4</w:t>
      </w:r>
      <w:r w:rsidR="008C733C" w:rsidRPr="00AD66FE">
        <w:t xml:space="preserve"> иззетите нетрайни стоки трябва да бъдат продадени чрез държавни или общински предприятия и получената сума да бъде депозирана</w:t>
      </w:r>
      <w:r w:rsidRPr="00AD66FE">
        <w:t>.</w:t>
      </w:r>
    </w:p>
    <w:p w:rsidR="00B64935" w:rsidRPr="00AD66FE" w:rsidRDefault="00D00517" w:rsidP="00BA13D9">
      <w:pPr>
        <w:pStyle w:val="ECHRPara"/>
      </w:pPr>
      <w:fldSimple w:instr=" SEQ level0 \*arabic ">
        <w:r w:rsidR="00D20DF1">
          <w:rPr>
            <w:noProof/>
          </w:rPr>
          <w:t>42</w:t>
        </w:r>
      </w:fldSimple>
      <w:r w:rsidR="00B64935" w:rsidRPr="00AD66FE">
        <w:t>.  </w:t>
      </w:r>
      <w:r w:rsidR="00E75C15" w:rsidRPr="00AD66FE">
        <w:t xml:space="preserve">Съгласно чл. </w:t>
      </w:r>
      <w:r w:rsidR="00B64935" w:rsidRPr="00AD66FE">
        <w:t>54,</w:t>
      </w:r>
      <w:r w:rsidR="00893B7C" w:rsidRPr="00AD66FE">
        <w:t xml:space="preserve"> ако бъде установено, че извършеното действие не е нарушение, че нарушението не е извършено от лицето, </w:t>
      </w:r>
      <w:r w:rsidR="006C0D5E" w:rsidRPr="00AD66FE">
        <w:t>по</w:t>
      </w:r>
      <w:r w:rsidR="00893B7C" w:rsidRPr="00AD66FE">
        <w:t xml:space="preserve">сочено за негов извършител, или че </w:t>
      </w:r>
      <w:r w:rsidR="00FE730D" w:rsidRPr="00AD66FE">
        <w:t>то не може да му вмени вина</w:t>
      </w:r>
      <w:r w:rsidR="00B64935" w:rsidRPr="00AD66FE">
        <w:t>,</w:t>
      </w:r>
      <w:r w:rsidR="00893B7C" w:rsidRPr="00AD66FE">
        <w:t xml:space="preserve"> административният орган следва да </w:t>
      </w:r>
      <w:r w:rsidR="00857266" w:rsidRPr="00AD66FE">
        <w:t>прекрати производството</w:t>
      </w:r>
      <w:r w:rsidR="00893B7C" w:rsidRPr="00AD66FE">
        <w:t xml:space="preserve"> с </w:t>
      </w:r>
      <w:proofErr w:type="spellStart"/>
      <w:r w:rsidR="00893B7C" w:rsidRPr="00AD66FE">
        <w:t>мотивиран</w:t>
      </w:r>
      <w:r w:rsidR="00857266" w:rsidRPr="00AD66FE">
        <w:t>а</w:t>
      </w:r>
      <w:r w:rsidR="006C0D5E" w:rsidRPr="00AD66FE">
        <w:t>о</w:t>
      </w:r>
      <w:proofErr w:type="spellEnd"/>
      <w:r w:rsidR="006C0D5E" w:rsidRPr="00AD66FE">
        <w:t xml:space="preserve"> решение</w:t>
      </w:r>
      <w:r w:rsidR="00893B7C" w:rsidRPr="00AD66FE">
        <w:t>, с ко</w:t>
      </w:r>
      <w:r w:rsidR="006C0D5E" w:rsidRPr="00AD66FE">
        <w:t>е</w:t>
      </w:r>
      <w:r w:rsidR="00857266" w:rsidRPr="00AD66FE">
        <w:t>то постановява в</w:t>
      </w:r>
      <w:r w:rsidR="00C92BAF">
        <w:t>ръщането на иззетите вещи</w:t>
      </w:r>
      <w:r w:rsidR="00893B7C" w:rsidRPr="00AD66FE">
        <w:t xml:space="preserve">, ако </w:t>
      </w:r>
      <w:r w:rsidR="006C0D5E" w:rsidRPr="00AD66FE">
        <w:t xml:space="preserve">притежанието </w:t>
      </w:r>
      <w:r w:rsidR="00893B7C" w:rsidRPr="00AD66FE">
        <w:t xml:space="preserve">им не е забранено, или възстановяването на тяхната стойност в случаите по чл. </w:t>
      </w:r>
      <w:r w:rsidR="00B64935" w:rsidRPr="00AD66FE">
        <w:t>46</w:t>
      </w:r>
      <w:r w:rsidR="00EE016E" w:rsidRPr="00AD66FE">
        <w:t xml:space="preserve">, ал. </w:t>
      </w:r>
      <w:r w:rsidR="00B64935" w:rsidRPr="00AD66FE">
        <w:t>2.</w:t>
      </w:r>
    </w:p>
    <w:bookmarkStart w:id="32" w:name="Para35"/>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43</w:t>
      </w:r>
      <w:r w:rsidRPr="00AD66FE">
        <w:fldChar w:fldCharType="end"/>
      </w:r>
      <w:bookmarkEnd w:id="32"/>
      <w:r w:rsidRPr="00AD66FE">
        <w:t>.  </w:t>
      </w:r>
      <w:r w:rsidR="003B61EE" w:rsidRPr="00AD66FE">
        <w:t>Чл.</w:t>
      </w:r>
      <w:r w:rsidR="00EE016E" w:rsidRPr="00AD66FE">
        <w:t> </w:t>
      </w:r>
      <w:r w:rsidRPr="00AD66FE">
        <w:t>57</w:t>
      </w:r>
      <w:r w:rsidR="00EE016E" w:rsidRPr="00AD66FE">
        <w:t>, ал. </w:t>
      </w:r>
      <w:r w:rsidRPr="00AD66FE">
        <w:t>1</w:t>
      </w:r>
      <w:r w:rsidR="003B61EE" w:rsidRPr="00AD66FE">
        <w:t xml:space="preserve"> от Закона от </w:t>
      </w:r>
      <w:r w:rsidRPr="00AD66FE">
        <w:t>1969</w:t>
      </w:r>
      <w:r w:rsidR="003B61EE" w:rsidRPr="00AD66FE">
        <w:t> г. п</w:t>
      </w:r>
      <w:r w:rsidR="00C92BAF">
        <w:t>редвижда, че наказателните постановления</w:t>
      </w:r>
      <w:r w:rsidR="003B61EE" w:rsidRPr="00AD66FE">
        <w:t xml:space="preserve">, с които се налагат административни наказания, </w:t>
      </w:r>
      <w:r w:rsidR="00C92BAF">
        <w:t>трябва да съдържат описание на</w:t>
      </w:r>
      <w:r w:rsidR="003B61EE" w:rsidRPr="00AD66FE">
        <w:t xml:space="preserve"> </w:t>
      </w:r>
      <w:proofErr w:type="spellStart"/>
      <w:r w:rsidRPr="00AD66FE">
        <w:rPr>
          <w:i/>
        </w:rPr>
        <w:t>inter</w:t>
      </w:r>
      <w:proofErr w:type="spellEnd"/>
      <w:r w:rsidRPr="00AD66FE">
        <w:rPr>
          <w:i/>
        </w:rPr>
        <w:t xml:space="preserve"> </w:t>
      </w:r>
      <w:proofErr w:type="spellStart"/>
      <w:r w:rsidRPr="00AD66FE">
        <w:rPr>
          <w:i/>
        </w:rPr>
        <w:t>alia</w:t>
      </w:r>
      <w:proofErr w:type="spellEnd"/>
      <w:r w:rsidRPr="00AD66FE">
        <w:t xml:space="preserve"> </w:t>
      </w:r>
      <w:r w:rsidR="00C92BAF">
        <w:t>доказателствата, които установяват</w:t>
      </w:r>
      <w:r w:rsidR="003B61EE" w:rsidRPr="00AD66FE">
        <w:t xml:space="preserve"> фактите относно въпросното нарушение, както и отнетите в полза на държавата стоки</w:t>
      </w:r>
      <w:r w:rsidRPr="00AD66FE">
        <w:t>.</w:t>
      </w:r>
    </w:p>
    <w:p w:rsidR="00B64935" w:rsidRPr="00AD66FE" w:rsidRDefault="00D00517" w:rsidP="00BA13D9">
      <w:pPr>
        <w:pStyle w:val="ECHRPara"/>
      </w:pPr>
      <w:fldSimple w:instr=" SEQ level0 \*arabic ">
        <w:r w:rsidR="00D20DF1">
          <w:rPr>
            <w:noProof/>
          </w:rPr>
          <w:t>44</w:t>
        </w:r>
      </w:fldSimple>
      <w:r w:rsidR="00B64935" w:rsidRPr="00AD66FE">
        <w:t>.  </w:t>
      </w:r>
      <w:r w:rsidR="00C92BAF">
        <w:t>Член</w:t>
      </w:r>
      <w:r w:rsidR="00B64935" w:rsidRPr="00AD66FE">
        <w:t xml:space="preserve"> 84</w:t>
      </w:r>
      <w:r w:rsidR="009C398B" w:rsidRPr="00AD66FE">
        <w:t xml:space="preserve"> предвижда, че доколкото в Закона от 1969 г. не са заложени </w:t>
      </w:r>
      <w:r w:rsidR="00857266" w:rsidRPr="00AD66FE">
        <w:t>особени правила</w:t>
      </w:r>
      <w:r w:rsidR="00C92BAF">
        <w:t>, правилата на Наказателнопроцесуалния</w:t>
      </w:r>
      <w:r w:rsidR="009C398B" w:rsidRPr="00AD66FE">
        <w:t xml:space="preserve"> кодекс се прилагат </w:t>
      </w:r>
      <w:proofErr w:type="spellStart"/>
      <w:r w:rsidR="00B64935" w:rsidRPr="00AD66FE">
        <w:rPr>
          <w:i/>
        </w:rPr>
        <w:t>inter</w:t>
      </w:r>
      <w:proofErr w:type="spellEnd"/>
      <w:r w:rsidR="00B64935" w:rsidRPr="00AD66FE">
        <w:rPr>
          <w:i/>
        </w:rPr>
        <w:t xml:space="preserve"> </w:t>
      </w:r>
      <w:proofErr w:type="spellStart"/>
      <w:r w:rsidR="00B64935" w:rsidRPr="00AD66FE">
        <w:rPr>
          <w:i/>
        </w:rPr>
        <w:t>alia</w:t>
      </w:r>
      <w:proofErr w:type="spellEnd"/>
      <w:r w:rsidR="009C398B" w:rsidRPr="00AD66FE">
        <w:t xml:space="preserve"> </w:t>
      </w:r>
      <w:r w:rsidR="0092466A" w:rsidRPr="00AD66FE">
        <w:t xml:space="preserve">за </w:t>
      </w:r>
      <w:r w:rsidR="009C398B" w:rsidRPr="00AD66FE">
        <w:t>изземването на предмети и въззивни съдебни производства срещу административни решения, с които се налагат наказания</w:t>
      </w:r>
      <w:r w:rsidR="00B64935" w:rsidRPr="00AD66FE">
        <w:t>.</w:t>
      </w:r>
    </w:p>
    <w:p w:rsidR="00B64935" w:rsidRPr="00AD66FE" w:rsidRDefault="002A39AE" w:rsidP="00BA13D9">
      <w:pPr>
        <w:pStyle w:val="ECHRHeading2"/>
      </w:pPr>
      <w:r w:rsidRPr="00AD66FE">
        <w:t>Г</w:t>
      </w:r>
      <w:r w:rsidR="00B64935" w:rsidRPr="00AD66FE">
        <w:t>.  </w:t>
      </w:r>
      <w:r w:rsidR="00DA5333" w:rsidRPr="00AD66FE">
        <w:t xml:space="preserve">Наказателен кодекс от </w:t>
      </w:r>
      <w:r w:rsidR="00B64935" w:rsidRPr="00AD66FE">
        <w:t>1968</w:t>
      </w:r>
      <w:r w:rsidR="00DA5333" w:rsidRPr="00AD66FE">
        <w:t> г.</w:t>
      </w:r>
    </w:p>
    <w:bookmarkStart w:id="33" w:name="Para37"/>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45</w:t>
      </w:r>
      <w:r w:rsidRPr="00AD66FE">
        <w:fldChar w:fldCharType="end"/>
      </w:r>
      <w:bookmarkEnd w:id="33"/>
      <w:r w:rsidRPr="00AD66FE">
        <w:t>.  </w:t>
      </w:r>
      <w:r w:rsidR="00DA5333" w:rsidRPr="00AD66FE">
        <w:t>Чл.</w:t>
      </w:r>
      <w:r w:rsidRPr="00AD66FE">
        <w:t xml:space="preserve"> 234</w:t>
      </w:r>
      <w:r w:rsidR="003223F6" w:rsidRPr="00AD66FE">
        <w:t>, ал. </w:t>
      </w:r>
      <w:r w:rsidRPr="00AD66FE">
        <w:t xml:space="preserve">3 </w:t>
      </w:r>
      <w:r w:rsidR="00DA5333" w:rsidRPr="00AD66FE">
        <w:t xml:space="preserve">от Наказателния кодекс от </w:t>
      </w:r>
      <w:r w:rsidRPr="00AD66FE">
        <w:t>1968</w:t>
      </w:r>
      <w:r w:rsidR="00DA5333" w:rsidRPr="00AD66FE">
        <w:t> г.</w:t>
      </w:r>
      <w:r w:rsidRPr="00AD66FE">
        <w:t>,</w:t>
      </w:r>
      <w:r w:rsidR="00CE6BE8">
        <w:t xml:space="preserve"> в сила към релевантния</w:t>
      </w:r>
      <w:r w:rsidR="00F22558" w:rsidRPr="00AD66FE">
        <w:t xml:space="preserve"> момент, предвижда</w:t>
      </w:r>
      <w:r w:rsidR="00C96E0E" w:rsidRPr="00AD66FE">
        <w:t xml:space="preserve"> </w:t>
      </w:r>
      <w:r w:rsidR="00426B2D" w:rsidRPr="00AD66FE">
        <w:t xml:space="preserve">отнемането в полза на държавата на стоки, които са </w:t>
      </w:r>
      <w:r w:rsidR="000D6360">
        <w:t>предмет на престъплението</w:t>
      </w:r>
      <w:r w:rsidR="00A16DD9" w:rsidRPr="00AD66FE">
        <w:t xml:space="preserve"> </w:t>
      </w:r>
      <w:r w:rsidR="00426B2D" w:rsidRPr="00AD66FE">
        <w:t>държане на склад на стоки без задължителните акцизни бандероли</w:t>
      </w:r>
      <w:r w:rsidRPr="00AD66FE">
        <w:t>.</w:t>
      </w:r>
    </w:p>
    <w:p w:rsidR="00B64935" w:rsidRPr="00AD66FE" w:rsidRDefault="002A39AE" w:rsidP="00BA13D9">
      <w:pPr>
        <w:pStyle w:val="ECHRHeading2"/>
      </w:pPr>
      <w:r w:rsidRPr="00AD66FE">
        <w:t>Д</w:t>
      </w:r>
      <w:r w:rsidR="00B64935" w:rsidRPr="00AD66FE">
        <w:t>.  </w:t>
      </w:r>
      <w:r w:rsidR="00B8387E" w:rsidRPr="00AD66FE">
        <w:t xml:space="preserve">Закон за отговорността на държавата и общините за вреди от </w:t>
      </w:r>
      <w:r w:rsidR="00B64935" w:rsidRPr="00AD66FE">
        <w:t>1988</w:t>
      </w:r>
      <w:r w:rsidR="00B8387E" w:rsidRPr="00AD66FE">
        <w:t> г.</w:t>
      </w:r>
    </w:p>
    <w:p w:rsidR="00B64935" w:rsidRPr="00AD66FE" w:rsidRDefault="00D00517" w:rsidP="00BA13D9">
      <w:pPr>
        <w:pStyle w:val="ECHRPara"/>
      </w:pPr>
      <w:fldSimple w:instr=" SEQ level0 \*arabic ">
        <w:r w:rsidR="00D20DF1">
          <w:rPr>
            <w:noProof/>
          </w:rPr>
          <w:t>46</w:t>
        </w:r>
      </w:fldSimple>
      <w:r w:rsidR="00B64935" w:rsidRPr="00AD66FE">
        <w:t>.  </w:t>
      </w:r>
      <w:r w:rsidR="00325D80" w:rsidRPr="00AD66FE">
        <w:t xml:space="preserve">Приложимите разпоредби и съдебна практика на националните съдилища във връзка с дела за вреди по ЗОДОВ са представени в резюме в решенията на Съда по делата </w:t>
      </w:r>
      <w:r w:rsidR="00325D80" w:rsidRPr="00AD66FE">
        <w:rPr>
          <w:i/>
        </w:rPr>
        <w:t>Димитър Янакиев срещу България</w:t>
      </w:r>
      <w:r w:rsidR="00B64935" w:rsidRPr="00AD66FE">
        <w:rPr>
          <w:i/>
        </w:rPr>
        <w:t xml:space="preserve"> (</w:t>
      </w:r>
      <w:r w:rsidR="00325D80" w:rsidRPr="00AD66FE">
        <w:rPr>
          <w:i/>
        </w:rPr>
        <w:t xml:space="preserve">№ </w:t>
      </w:r>
      <w:r w:rsidR="00B64935" w:rsidRPr="00AD66FE">
        <w:rPr>
          <w:i/>
        </w:rPr>
        <w:t>2)</w:t>
      </w:r>
      <w:r w:rsidR="00B64935" w:rsidRPr="00AD66FE">
        <w:t xml:space="preserve"> (</w:t>
      </w:r>
      <w:r w:rsidR="00325D80" w:rsidRPr="00AD66FE">
        <w:t>№</w:t>
      </w:r>
      <w:r w:rsidR="00B64935" w:rsidRPr="00AD66FE">
        <w:t> 50346/07, §§ 36-37, 31</w:t>
      </w:r>
      <w:r w:rsidR="00325D80" w:rsidRPr="00AD66FE">
        <w:t xml:space="preserve"> март </w:t>
      </w:r>
      <w:r w:rsidR="00B64935" w:rsidRPr="00AD66FE">
        <w:t>2016</w:t>
      </w:r>
      <w:r w:rsidR="00325D80" w:rsidRPr="00AD66FE">
        <w:t xml:space="preserve"> г.</w:t>
      </w:r>
      <w:r w:rsidR="00B64935" w:rsidRPr="00AD66FE">
        <w:t xml:space="preserve">); </w:t>
      </w:r>
      <w:proofErr w:type="spellStart"/>
      <w:r w:rsidR="0064527C" w:rsidRPr="00AD66FE">
        <w:rPr>
          <w:i/>
        </w:rPr>
        <w:t>Гусева</w:t>
      </w:r>
      <w:proofErr w:type="spellEnd"/>
      <w:r w:rsidR="00325D80" w:rsidRPr="00AD66FE">
        <w:rPr>
          <w:i/>
        </w:rPr>
        <w:t xml:space="preserve"> срещу България </w:t>
      </w:r>
      <w:r w:rsidR="00B64935" w:rsidRPr="00AD66FE">
        <w:t>(</w:t>
      </w:r>
      <w:r w:rsidR="00325D80" w:rsidRPr="00AD66FE">
        <w:t xml:space="preserve">№ </w:t>
      </w:r>
      <w:r w:rsidR="00B64935" w:rsidRPr="00AD66FE">
        <w:t>6987/07</w:t>
      </w:r>
      <w:r w:rsidR="00B64935" w:rsidRPr="00AD66FE">
        <w:rPr>
          <w:snapToGrid w:val="0"/>
        </w:rPr>
        <w:t>, §§ 29-30, 1</w:t>
      </w:r>
      <w:r w:rsidR="00B64935" w:rsidRPr="00AD66FE">
        <w:t>7</w:t>
      </w:r>
      <w:r w:rsidR="00325D80" w:rsidRPr="00AD66FE">
        <w:t xml:space="preserve"> февруари </w:t>
      </w:r>
      <w:r w:rsidR="00B64935" w:rsidRPr="00AD66FE">
        <w:rPr>
          <w:snapToGrid w:val="0"/>
        </w:rPr>
        <w:t>2015</w:t>
      </w:r>
      <w:r w:rsidR="00325D80" w:rsidRPr="00AD66FE">
        <w:rPr>
          <w:snapToGrid w:val="0"/>
        </w:rPr>
        <w:t xml:space="preserve"> г.</w:t>
      </w:r>
      <w:r w:rsidR="00B64935" w:rsidRPr="00AD66FE">
        <w:rPr>
          <w:snapToGrid w:val="0"/>
        </w:rPr>
        <w:t>);</w:t>
      </w:r>
      <w:r w:rsidR="00325D80" w:rsidRPr="00AD66FE">
        <w:rPr>
          <w:snapToGrid w:val="0"/>
        </w:rPr>
        <w:t xml:space="preserve"> и </w:t>
      </w:r>
      <w:proofErr w:type="spellStart"/>
      <w:r w:rsidR="00325D80" w:rsidRPr="00AD66FE">
        <w:rPr>
          <w:i/>
        </w:rPr>
        <w:t>Посевини</w:t>
      </w:r>
      <w:proofErr w:type="spellEnd"/>
      <w:r w:rsidR="00325D80" w:rsidRPr="00AD66FE">
        <w:rPr>
          <w:i/>
        </w:rPr>
        <w:t xml:space="preserve"> срещу България </w:t>
      </w:r>
      <w:r w:rsidR="00B64935" w:rsidRPr="00AD66FE">
        <w:t>(</w:t>
      </w:r>
      <w:r w:rsidR="00325D80" w:rsidRPr="00AD66FE">
        <w:t xml:space="preserve">№ </w:t>
      </w:r>
      <w:r w:rsidR="00B64935" w:rsidRPr="00AD66FE">
        <w:t>63638/14, §§ 34-42, 19</w:t>
      </w:r>
      <w:r w:rsidR="00325D80" w:rsidRPr="00AD66FE">
        <w:t xml:space="preserve"> януари </w:t>
      </w:r>
      <w:r w:rsidR="00B64935" w:rsidRPr="00AD66FE">
        <w:t>2017</w:t>
      </w:r>
      <w:r w:rsidR="00325D80" w:rsidRPr="00AD66FE">
        <w:t xml:space="preserve"> г.</w:t>
      </w:r>
      <w:r w:rsidR="00B64935" w:rsidRPr="00AD66FE">
        <w:t>).</w:t>
      </w:r>
    </w:p>
    <w:bookmarkStart w:id="34" w:name="Para30"/>
    <w:p w:rsidR="00B64935" w:rsidRPr="00AD66FE" w:rsidRDefault="00B64935" w:rsidP="00BA13D9">
      <w:pPr>
        <w:pStyle w:val="ECHRPara"/>
        <w:rPr>
          <w:snapToGrid w:val="0"/>
        </w:rPr>
      </w:pPr>
      <w:r w:rsidRPr="00AD66FE">
        <w:rPr>
          <w:snapToGrid w:val="0"/>
        </w:rPr>
        <w:fldChar w:fldCharType="begin"/>
      </w:r>
      <w:r w:rsidRPr="00AD66FE">
        <w:rPr>
          <w:snapToGrid w:val="0"/>
        </w:rPr>
        <w:instrText xml:space="preserve"> SEQ level0 \*arabic </w:instrText>
      </w:r>
      <w:r w:rsidRPr="00AD66FE">
        <w:rPr>
          <w:snapToGrid w:val="0"/>
        </w:rPr>
        <w:fldChar w:fldCharType="separate"/>
      </w:r>
      <w:r w:rsidR="00D20DF1">
        <w:rPr>
          <w:noProof/>
          <w:snapToGrid w:val="0"/>
        </w:rPr>
        <w:t>47</w:t>
      </w:r>
      <w:r w:rsidRPr="00AD66FE">
        <w:rPr>
          <w:snapToGrid w:val="0"/>
        </w:rPr>
        <w:fldChar w:fldCharType="end"/>
      </w:r>
      <w:bookmarkEnd w:id="34"/>
      <w:r w:rsidR="00893610" w:rsidRPr="00AD66FE">
        <w:rPr>
          <w:snapToGrid w:val="0"/>
        </w:rPr>
        <w:t xml:space="preserve">.  Въпросът дали </w:t>
      </w:r>
      <w:r w:rsidR="00427368" w:rsidRPr="00AD66FE">
        <w:rPr>
          <w:snapToGrid w:val="0"/>
        </w:rPr>
        <w:t>искове за вреди, причи</w:t>
      </w:r>
      <w:r w:rsidR="000D6360">
        <w:rPr>
          <w:snapToGrid w:val="0"/>
        </w:rPr>
        <w:t>нени от незаконосъобразни наказателни постановления</w:t>
      </w:r>
      <w:r w:rsidR="00427368" w:rsidRPr="00AD66FE">
        <w:rPr>
          <w:snapToGrid w:val="0"/>
        </w:rPr>
        <w:t>, следва да се разглеждат от гражданските съдилища съгласно Закона за задълженията и договорите или от административните съдилища съгласно ЗОДОВ е обект на противоречива национална съдебна практика</w:t>
      </w:r>
      <w:r w:rsidRPr="00AD66FE">
        <w:rPr>
          <w:snapToGrid w:val="0"/>
        </w:rPr>
        <w:t>.</w:t>
      </w:r>
      <w:r w:rsidR="00427368" w:rsidRPr="00AD66FE">
        <w:rPr>
          <w:snapToGrid w:val="0"/>
        </w:rPr>
        <w:t xml:space="preserve"> </w:t>
      </w:r>
      <w:proofErr w:type="spellStart"/>
      <w:r w:rsidR="00427368" w:rsidRPr="00AD66FE">
        <w:rPr>
          <w:snapToGrid w:val="0"/>
        </w:rPr>
        <w:t>Разнопосочията</w:t>
      </w:r>
      <w:proofErr w:type="spellEnd"/>
      <w:r w:rsidR="00427368" w:rsidRPr="00AD66FE">
        <w:rPr>
          <w:snapToGrid w:val="0"/>
        </w:rPr>
        <w:t xml:space="preserve"> в крайна сметка налагат издаването на обвързващо тълкувателно решение, прието на </w:t>
      </w:r>
      <w:r w:rsidRPr="00AD66FE">
        <w:rPr>
          <w:snapToGrid w:val="0"/>
        </w:rPr>
        <w:t>19</w:t>
      </w:r>
      <w:r w:rsidR="00427368" w:rsidRPr="00AD66FE">
        <w:rPr>
          <w:snapToGrid w:val="0"/>
        </w:rPr>
        <w:t xml:space="preserve"> май </w:t>
      </w:r>
      <w:r w:rsidRPr="00AD66FE">
        <w:rPr>
          <w:snapToGrid w:val="0"/>
        </w:rPr>
        <w:t>2015</w:t>
      </w:r>
      <w:r w:rsidR="00427368" w:rsidRPr="00AD66FE">
        <w:rPr>
          <w:snapToGrid w:val="0"/>
        </w:rPr>
        <w:t xml:space="preserve"> г. съвместно от Върховния касационен съд и Върховния административен съд, за да бъде решен този въпрос </w:t>
      </w:r>
      <w:r w:rsidRPr="00AD66FE">
        <w:rPr>
          <w:snapToGrid w:val="0"/>
        </w:rPr>
        <w:t>(</w:t>
      </w:r>
      <w:r w:rsidR="00427368" w:rsidRPr="00AD66FE">
        <w:rPr>
          <w:snapToGrid w:val="0"/>
        </w:rPr>
        <w:t xml:space="preserve">вж. </w:t>
      </w:r>
      <w:r w:rsidR="00427368" w:rsidRPr="00AD66FE">
        <w:rPr>
          <w:i/>
          <w:snapToGrid w:val="0"/>
        </w:rPr>
        <w:t xml:space="preserve">Димов срещу България </w:t>
      </w:r>
      <w:r w:rsidRPr="00AD66FE">
        <w:rPr>
          <w:snapToGrid w:val="0"/>
        </w:rPr>
        <w:t>(</w:t>
      </w:r>
      <w:proofErr w:type="spellStart"/>
      <w:r w:rsidRPr="00AD66FE">
        <w:rPr>
          <w:snapToGrid w:val="0"/>
        </w:rPr>
        <w:t>dec</w:t>
      </w:r>
      <w:proofErr w:type="spellEnd"/>
      <w:r w:rsidRPr="00AD66FE">
        <w:rPr>
          <w:snapToGrid w:val="0"/>
        </w:rPr>
        <w:t>.) [</w:t>
      </w:r>
      <w:r w:rsidR="00427368" w:rsidRPr="00AD66FE">
        <w:rPr>
          <w:snapToGrid w:val="0"/>
        </w:rPr>
        <w:t>Комитет</w:t>
      </w:r>
      <w:r w:rsidRPr="00AD66FE">
        <w:rPr>
          <w:snapToGrid w:val="0"/>
        </w:rPr>
        <w:t xml:space="preserve">], </w:t>
      </w:r>
      <w:r w:rsidR="00427368" w:rsidRPr="00AD66FE">
        <w:rPr>
          <w:snapToGrid w:val="0"/>
        </w:rPr>
        <w:t xml:space="preserve">№ </w:t>
      </w:r>
      <w:r w:rsidRPr="00AD66FE">
        <w:rPr>
          <w:snapToGrid w:val="0"/>
        </w:rPr>
        <w:t>60445/15, §§ 15-17, 4 </w:t>
      </w:r>
      <w:r w:rsidR="00427368" w:rsidRPr="00AD66FE">
        <w:rPr>
          <w:snapToGrid w:val="0"/>
        </w:rPr>
        <w:t>декември</w:t>
      </w:r>
      <w:r w:rsidRPr="00AD66FE">
        <w:rPr>
          <w:snapToGrid w:val="0"/>
        </w:rPr>
        <w:t xml:space="preserve"> 2018</w:t>
      </w:r>
      <w:r w:rsidR="00427368" w:rsidRPr="00AD66FE">
        <w:rPr>
          <w:snapToGrid w:val="0"/>
        </w:rPr>
        <w:t xml:space="preserve"> г.</w:t>
      </w:r>
      <w:r w:rsidRPr="00AD66FE">
        <w:rPr>
          <w:snapToGrid w:val="0"/>
        </w:rPr>
        <w:t>).</w:t>
      </w:r>
      <w:r w:rsidR="00427368" w:rsidRPr="00AD66FE">
        <w:rPr>
          <w:snapToGrid w:val="0"/>
        </w:rPr>
        <w:t xml:space="preserve"> </w:t>
      </w:r>
      <w:r w:rsidR="008750FF" w:rsidRPr="00AD66FE">
        <w:rPr>
          <w:snapToGrid w:val="0"/>
        </w:rPr>
        <w:t>В съответствие с</w:t>
      </w:r>
      <w:r w:rsidR="00427368" w:rsidRPr="00AD66FE">
        <w:rPr>
          <w:snapToGrid w:val="0"/>
        </w:rPr>
        <w:t xml:space="preserve"> него, такива искове следва да се разглеждат от административните съдилища </w:t>
      </w:r>
      <w:r w:rsidR="008750FF" w:rsidRPr="00AD66FE">
        <w:rPr>
          <w:snapToGrid w:val="0"/>
        </w:rPr>
        <w:t>съгласно</w:t>
      </w:r>
      <w:r w:rsidR="00427368" w:rsidRPr="00AD66FE">
        <w:rPr>
          <w:snapToGrid w:val="0"/>
        </w:rPr>
        <w:t xml:space="preserve"> ЗОДОВ, независимо от факта, че решението, с което се налага административно наказание, не </w:t>
      </w:r>
      <w:r w:rsidR="008750FF" w:rsidRPr="00AD66FE">
        <w:rPr>
          <w:snapToGrid w:val="0"/>
        </w:rPr>
        <w:t>с</w:t>
      </w:r>
      <w:r w:rsidR="00427368" w:rsidRPr="00AD66FE">
        <w:rPr>
          <w:snapToGrid w:val="0"/>
        </w:rPr>
        <w:t>е счита за индивидуален „административен акт“</w:t>
      </w:r>
      <w:r w:rsidR="008750FF" w:rsidRPr="00AD66FE">
        <w:rPr>
          <w:snapToGrid w:val="0"/>
        </w:rPr>
        <w:t xml:space="preserve"> по чл. </w:t>
      </w:r>
      <w:r w:rsidR="000D6360">
        <w:rPr>
          <w:snapToGrid w:val="0"/>
        </w:rPr>
        <w:t>21 от Административнопроцесуал</w:t>
      </w:r>
      <w:r w:rsidR="00427368" w:rsidRPr="00AD66FE">
        <w:rPr>
          <w:snapToGrid w:val="0"/>
        </w:rPr>
        <w:t>н</w:t>
      </w:r>
      <w:r w:rsidR="000D6360">
        <w:rPr>
          <w:snapToGrid w:val="0"/>
        </w:rPr>
        <w:t>ия</w:t>
      </w:r>
      <w:r w:rsidR="00427368" w:rsidRPr="00AD66FE">
        <w:rPr>
          <w:snapToGrid w:val="0"/>
        </w:rPr>
        <w:t xml:space="preserve"> кодекс</w:t>
      </w:r>
      <w:r w:rsidRPr="00AD66FE">
        <w:rPr>
          <w:snapToGrid w:val="0"/>
        </w:rPr>
        <w:t xml:space="preserve">. </w:t>
      </w:r>
      <w:r w:rsidR="006A5CC2" w:rsidRPr="00AD66FE">
        <w:rPr>
          <w:snapToGrid w:val="0"/>
        </w:rPr>
        <w:t>По-</w:t>
      </w:r>
      <w:r w:rsidR="006C0D5E" w:rsidRPr="00AD66FE">
        <w:rPr>
          <w:snapToGrid w:val="0"/>
        </w:rPr>
        <w:t xml:space="preserve">конкретно </w:t>
      </w:r>
      <w:r w:rsidR="006A5CC2" w:rsidRPr="00AD66FE">
        <w:rPr>
          <w:snapToGrid w:val="0"/>
        </w:rPr>
        <w:t xml:space="preserve">Върховният административен съд смята, че издаването на такова решение е резултат от упражняването на административни функции, определени със закон, и следователно по съществото си представлява </w:t>
      </w:r>
      <w:r w:rsidRPr="00AD66FE">
        <w:rPr>
          <w:snapToGrid w:val="0"/>
        </w:rPr>
        <w:t xml:space="preserve"> </w:t>
      </w:r>
      <w:r w:rsidR="00E60E87" w:rsidRPr="00AD66FE">
        <w:rPr>
          <w:snapToGrid w:val="0"/>
        </w:rPr>
        <w:t>упражняване на „административна дейност</w:t>
      </w:r>
      <w:r w:rsidR="006A5CC2" w:rsidRPr="00AD66FE">
        <w:rPr>
          <w:snapToGrid w:val="0"/>
        </w:rPr>
        <w:t>“ по смисъла на чл. </w:t>
      </w:r>
      <w:r w:rsidRPr="00AD66FE">
        <w:rPr>
          <w:snapToGrid w:val="0"/>
        </w:rPr>
        <w:t>1</w:t>
      </w:r>
      <w:r w:rsidR="006A5CC2" w:rsidRPr="00AD66FE">
        <w:rPr>
          <w:snapToGrid w:val="0"/>
        </w:rPr>
        <w:t>, ал. </w:t>
      </w:r>
      <w:r w:rsidRPr="00AD66FE">
        <w:rPr>
          <w:snapToGrid w:val="0"/>
        </w:rPr>
        <w:t>1</w:t>
      </w:r>
      <w:r w:rsidR="006A5CC2" w:rsidRPr="00AD66FE">
        <w:rPr>
          <w:snapToGrid w:val="0"/>
        </w:rPr>
        <w:t xml:space="preserve"> ЗОДОВ</w:t>
      </w:r>
      <w:r w:rsidRPr="00AD66FE">
        <w:rPr>
          <w:snapToGrid w:val="0"/>
        </w:rPr>
        <w:t>,</w:t>
      </w:r>
      <w:r w:rsidR="0025079B" w:rsidRPr="00AD66FE">
        <w:rPr>
          <w:snapToGrid w:val="0"/>
        </w:rPr>
        <w:t xml:space="preserve"> разпоредбата </w:t>
      </w:r>
      <w:r w:rsidR="00C75C8F" w:rsidRPr="00AD66FE">
        <w:rPr>
          <w:snapToGrid w:val="0"/>
        </w:rPr>
        <w:t>относно</w:t>
      </w:r>
      <w:r w:rsidR="000D6360">
        <w:rPr>
          <w:snapToGrid w:val="0"/>
        </w:rPr>
        <w:t xml:space="preserve"> компетентността</w:t>
      </w:r>
      <w:r w:rsidR="0025079B" w:rsidRPr="00AD66FE">
        <w:rPr>
          <w:snapToGrid w:val="0"/>
        </w:rPr>
        <w:t xml:space="preserve"> на административните съдилища в съответната област</w:t>
      </w:r>
      <w:r w:rsidRPr="00AD66FE">
        <w:rPr>
          <w:snapToGrid w:val="0"/>
        </w:rPr>
        <w:t>.</w:t>
      </w:r>
    </w:p>
    <w:p w:rsidR="00B64935" w:rsidRPr="00AD66FE" w:rsidRDefault="00B64935" w:rsidP="00BA13D9">
      <w:pPr>
        <w:pStyle w:val="ECHRTitle1"/>
      </w:pPr>
      <w:r w:rsidRPr="00AD66FE">
        <w:t>ПРАВОТО</w:t>
      </w:r>
    </w:p>
    <w:p w:rsidR="00B64935" w:rsidRPr="00AD66FE" w:rsidRDefault="00B64935" w:rsidP="00BA13D9">
      <w:pPr>
        <w:pStyle w:val="ECHRHeading1"/>
      </w:pPr>
      <w:r w:rsidRPr="00AD66FE">
        <w:t>I.  </w:t>
      </w:r>
      <w:r w:rsidR="006E72F5" w:rsidRPr="00AD66FE">
        <w:t xml:space="preserve">ТВЪРДЯНО НАРУШЕНИЕ НА ЧЛ. </w:t>
      </w:r>
      <w:r w:rsidRPr="00AD66FE">
        <w:t>1</w:t>
      </w:r>
      <w:r w:rsidR="000D6360">
        <w:t xml:space="preserve"> ОТ ПРОТОКОЛ № 1 КЪМ</w:t>
      </w:r>
      <w:r w:rsidR="006E72F5" w:rsidRPr="00AD66FE">
        <w:t xml:space="preserve"> КОНВЕНЦИЯТА</w:t>
      </w:r>
    </w:p>
    <w:p w:rsidR="00B64935" w:rsidRPr="00AD66FE" w:rsidRDefault="00D00517" w:rsidP="00BA13D9">
      <w:pPr>
        <w:pStyle w:val="ECHRPara"/>
      </w:pPr>
      <w:fldSimple w:instr=" SEQ level0 \*arabic ">
        <w:r w:rsidR="00D20DF1">
          <w:rPr>
            <w:noProof/>
          </w:rPr>
          <w:t>48</w:t>
        </w:r>
      </w:fldSimple>
      <w:r w:rsidR="00B64935" w:rsidRPr="00AD66FE">
        <w:t>.  </w:t>
      </w:r>
      <w:r w:rsidR="000D6360">
        <w:t>Дружеството-</w:t>
      </w:r>
      <w:r w:rsidR="00C75C8F" w:rsidRPr="00AD66FE">
        <w:t xml:space="preserve">жалбоподател се оплаква, че в резултат на неизпълнението на окончателно решение на националния съд и след поредица незаконосъобразни действия на данъчните власти и прокуратурата, то е лишено от притежание и понася </w:t>
      </w:r>
      <w:r w:rsidR="006C0D5E" w:rsidRPr="00AD66FE">
        <w:t xml:space="preserve">имуществени </w:t>
      </w:r>
      <w:r w:rsidR="00C75C8F" w:rsidRPr="00AD66FE">
        <w:t>вреди</w:t>
      </w:r>
      <w:r w:rsidR="006C0D5E" w:rsidRPr="00AD66FE">
        <w:t>.</w:t>
      </w:r>
      <w:r w:rsidR="00C75C8F" w:rsidRPr="00AD66FE">
        <w:t xml:space="preserve"> Позовава се на чл. </w:t>
      </w:r>
      <w:r w:rsidR="00B64935" w:rsidRPr="00AD66FE">
        <w:t>6</w:t>
      </w:r>
      <w:r w:rsidR="00C75C8F" w:rsidRPr="00AD66FE">
        <w:t xml:space="preserve"> от Конвенцията и на чл. 1 от Протокол № 1</w:t>
      </w:r>
      <w:r w:rsidR="00B64935" w:rsidRPr="00AD66FE">
        <w:t>. Правителството оспорва претенциите.</w:t>
      </w:r>
    </w:p>
    <w:p w:rsidR="00B64935" w:rsidRPr="00AD66FE" w:rsidRDefault="00D00517" w:rsidP="00BA13D9">
      <w:pPr>
        <w:pStyle w:val="ECHRPara"/>
      </w:pPr>
      <w:fldSimple w:instr=" SEQ level0 \*arabic ">
        <w:r w:rsidR="00D20DF1">
          <w:rPr>
            <w:noProof/>
          </w:rPr>
          <w:t>49</w:t>
        </w:r>
      </w:fldSimple>
      <w:r w:rsidR="00B64935" w:rsidRPr="00AD66FE">
        <w:t>.  </w:t>
      </w:r>
      <w:r w:rsidR="00C75C8F" w:rsidRPr="00AD66FE">
        <w:t>Съдът счита, че оплакванията следва да бъдат разгледани съгласно чл.</w:t>
      </w:r>
      <w:r w:rsidR="00680A19" w:rsidRPr="00AD66FE">
        <w:t> </w:t>
      </w:r>
      <w:r w:rsidR="00C75C8F" w:rsidRPr="00AD66FE">
        <w:t>1 от Протокол № 1, който в съответната си част предвижда</w:t>
      </w:r>
      <w:r w:rsidR="00B64935" w:rsidRPr="00AD66FE">
        <w:t>:</w:t>
      </w:r>
    </w:p>
    <w:p w:rsidR="00B64935" w:rsidRPr="00AD66FE" w:rsidRDefault="00B64935" w:rsidP="00BA13D9">
      <w:pPr>
        <w:pStyle w:val="ECHRTitleCentre3"/>
      </w:pPr>
      <w:r w:rsidRPr="00AD66FE">
        <w:t>Чл. 1 от Протокол № 1</w:t>
      </w:r>
    </w:p>
    <w:p w:rsidR="00B64935" w:rsidRPr="00AD66FE" w:rsidRDefault="00B64935" w:rsidP="00BA13D9">
      <w:pPr>
        <w:pStyle w:val="ECHRParaQuote"/>
      </w:pPr>
      <w:r w:rsidRPr="00AD66FE">
        <w:t>„</w:t>
      </w:r>
      <w:proofErr w:type="spellStart"/>
      <w:r w:rsidRPr="00AD66FE">
        <w:t>Βсяко</w:t>
      </w:r>
      <w:proofErr w:type="spellEnd"/>
      <w:r w:rsidRPr="00AD66FE">
        <w:t xml:space="preserve"> физическо или юридическо лице има право мирно да се ползва от своите притежания. Никой не може да бъде лишен от своите притежания освен в интерес на обществото и съгласно условията, предвидени в закона и в общите принципи на международното право.</w:t>
      </w:r>
    </w:p>
    <w:p w:rsidR="00B64935" w:rsidRPr="00AD66FE" w:rsidRDefault="00B64935" w:rsidP="00BA13D9">
      <w:pPr>
        <w:pStyle w:val="ECHRParaQuote"/>
      </w:pPr>
      <w:r w:rsidRPr="00AD66FE">
        <w:t>Предходните разпоредби не накърняват по никакъв начин правото на държавите да въвеждат такива закони, каквито сметнат за необходими за осъществяването на контрол върху ползването на притежанията в съответствие с общия интерес или за осигуряване на плащането на данъци или други постъпления или глоби.“</w:t>
      </w:r>
    </w:p>
    <w:p w:rsidR="00B64935" w:rsidRPr="00AD66FE" w:rsidRDefault="00B64935" w:rsidP="00BA13D9">
      <w:pPr>
        <w:pStyle w:val="ECHRHeading2"/>
      </w:pPr>
      <w:r w:rsidRPr="00AD66FE">
        <w:t>Допустимост</w:t>
      </w:r>
    </w:p>
    <w:p w:rsidR="00B64935" w:rsidRPr="00AD66FE" w:rsidRDefault="00B64935" w:rsidP="00BA13D9">
      <w:pPr>
        <w:pStyle w:val="ECHRHeading3"/>
      </w:pPr>
      <w:r w:rsidRPr="00AD66FE">
        <w:t>1.  </w:t>
      </w:r>
      <w:r w:rsidR="000C0C26" w:rsidRPr="00AD66FE">
        <w:t>Становища</w:t>
      </w:r>
      <w:r w:rsidR="00B90BC6" w:rsidRPr="00AD66FE">
        <w:t xml:space="preserve"> на страните</w:t>
      </w:r>
    </w:p>
    <w:p w:rsidR="00B64935" w:rsidRPr="00AD66FE" w:rsidRDefault="00D00517" w:rsidP="00BA13D9">
      <w:pPr>
        <w:pStyle w:val="ECHRPara"/>
      </w:pPr>
      <w:fldSimple w:instr=" SEQ level0 \*arabic ">
        <w:r w:rsidR="00D20DF1">
          <w:rPr>
            <w:noProof/>
          </w:rPr>
          <w:t>50</w:t>
        </w:r>
      </w:fldSimple>
      <w:r w:rsidR="00B64935" w:rsidRPr="00AD66FE">
        <w:t>.  </w:t>
      </w:r>
      <w:r w:rsidR="00FE1F49" w:rsidRPr="00AD66FE">
        <w:t>Правителството твър</w:t>
      </w:r>
      <w:r w:rsidR="006354E8" w:rsidRPr="00AD66FE">
        <w:t>д</w:t>
      </w:r>
      <w:r w:rsidR="00FE1F49" w:rsidRPr="00AD66FE">
        <w:t xml:space="preserve">и, че по същество дружеството жалбоподател не е изчерпало </w:t>
      </w:r>
      <w:r w:rsidR="00F50EC4" w:rsidRPr="00AD66FE">
        <w:t>вътрешноправните</w:t>
      </w:r>
      <w:r w:rsidR="00FE1F49" w:rsidRPr="00AD66FE">
        <w:t xml:space="preserve"> средства за защита, както се изисква съгласно чл. 35 § </w:t>
      </w:r>
      <w:r w:rsidR="00B64935" w:rsidRPr="00AD66FE">
        <w:t>1</w:t>
      </w:r>
      <w:r w:rsidR="00FE1F49" w:rsidRPr="00AD66FE">
        <w:t xml:space="preserve"> от Конвенцията</w:t>
      </w:r>
      <w:r w:rsidR="00F50EC4" w:rsidRPr="00AD66FE">
        <w:t>. По-конкретно, то не е поискало връщането на бутилките в рамките на административното производство срещу него</w:t>
      </w:r>
      <w:r w:rsidR="00B64935" w:rsidRPr="00AD66FE">
        <w:t>.</w:t>
      </w:r>
      <w:r w:rsidR="00F50EC4" w:rsidRPr="00AD66FE">
        <w:t xml:space="preserve"> Стоките са иззети като доказателства и по наказателното производство срещу М.М. и С.С., и по административното</w:t>
      </w:r>
      <w:r w:rsidR="000D6360">
        <w:t xml:space="preserve"> производство срещу дружеството-</w:t>
      </w:r>
      <w:r w:rsidR="00F50EC4" w:rsidRPr="00AD66FE">
        <w:t xml:space="preserve">жалбоподател, както и </w:t>
      </w:r>
      <w:r w:rsidR="006808FB" w:rsidRPr="00AD66FE">
        <w:t>по</w:t>
      </w:r>
      <w:r w:rsidR="00F50EC4" w:rsidRPr="00AD66FE">
        <w:t xml:space="preserve"> отделно наказателно производство срещу Е.Г</w:t>
      </w:r>
      <w:r w:rsidR="00B64935" w:rsidRPr="00AD66FE">
        <w:t xml:space="preserve">. </w:t>
      </w:r>
      <w:r w:rsidR="006808FB" w:rsidRPr="00AD66FE">
        <w:t>Следователно дружеството жалбоподател е трябвало да поиска връщането на бутилките съответно от данъчни</w:t>
      </w:r>
      <w:r w:rsidR="000D6360">
        <w:t>те</w:t>
      </w:r>
      <w:r w:rsidR="006808FB" w:rsidRPr="00AD66FE">
        <w:t xml:space="preserve"> власти</w:t>
      </w:r>
      <w:r w:rsidR="006C0D5E" w:rsidRPr="00AD66FE">
        <w:t xml:space="preserve"> във Варна</w:t>
      </w:r>
      <w:r w:rsidR="006808FB" w:rsidRPr="00AD66FE">
        <w:t xml:space="preserve"> по административното производство и след 20 юни 2006 г.</w:t>
      </w:r>
      <w:r w:rsidR="000D6360">
        <w:t xml:space="preserve"> -</w:t>
      </w:r>
      <w:r w:rsidR="006808FB" w:rsidRPr="00AD66FE">
        <w:t xml:space="preserve"> о</w:t>
      </w:r>
      <w:r w:rsidR="000D6360">
        <w:t>т прокурора по наказателното</w:t>
      </w:r>
      <w:r w:rsidR="006808FB" w:rsidRPr="00AD66FE">
        <w:t xml:space="preserve"> производство срещу Е.Г</w:t>
      </w:r>
      <w:r w:rsidR="00B64935" w:rsidRPr="00AD66FE">
        <w:t>.</w:t>
      </w:r>
      <w:r w:rsidR="006808FB" w:rsidRPr="00AD66FE">
        <w:t xml:space="preserve"> В случай на отказ от</w:t>
      </w:r>
      <w:r w:rsidR="006C0D5E" w:rsidRPr="00AD66FE">
        <w:t xml:space="preserve"> страна на</w:t>
      </w:r>
      <w:r w:rsidR="006808FB" w:rsidRPr="00AD66FE">
        <w:t xml:space="preserve"> данъчните власти, </w:t>
      </w:r>
      <w:r w:rsidR="000D6360">
        <w:t xml:space="preserve">то </w:t>
      </w:r>
      <w:r w:rsidR="006808FB" w:rsidRPr="00AD66FE">
        <w:t>е можело да обжалва пред съдилищата</w:t>
      </w:r>
      <w:r w:rsidR="00B64935" w:rsidRPr="00AD66FE">
        <w:t>.</w:t>
      </w:r>
    </w:p>
    <w:bookmarkStart w:id="35" w:name="Para44"/>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51</w:t>
      </w:r>
      <w:r w:rsidRPr="00AD66FE">
        <w:fldChar w:fldCharType="end"/>
      </w:r>
      <w:bookmarkEnd w:id="35"/>
      <w:r w:rsidRPr="00AD66FE">
        <w:t>.  </w:t>
      </w:r>
      <w:r w:rsidR="00FE5687" w:rsidRPr="00AD66FE">
        <w:t>Правителст</w:t>
      </w:r>
      <w:r w:rsidR="00325B32">
        <w:t>вото твърди още, че дружеството-</w:t>
      </w:r>
      <w:r w:rsidR="00FE5687" w:rsidRPr="00AD66FE">
        <w:t xml:space="preserve">жалбоподател не е </w:t>
      </w:r>
      <w:r w:rsidR="0078750B" w:rsidRPr="00AD66FE">
        <w:t>предявило деликтен иск</w:t>
      </w:r>
      <w:r w:rsidR="00FE5687" w:rsidRPr="00AD66FE">
        <w:t xml:space="preserve"> срещу държавата съгласно Закона за задълженията и договорите</w:t>
      </w:r>
      <w:r w:rsidRPr="00AD66FE">
        <w:t>.</w:t>
      </w:r>
      <w:r w:rsidR="00FE5687" w:rsidRPr="00AD66FE">
        <w:t xml:space="preserve"> Към</w:t>
      </w:r>
      <w:r w:rsidR="00C36FE2" w:rsidRPr="00AD66FE">
        <w:t xml:space="preserve"> онзи</w:t>
      </w:r>
      <w:r w:rsidR="00FE5687" w:rsidRPr="00AD66FE">
        <w:t xml:space="preserve"> момент, според преобладаващата теза в националната съдебна практика, това е подходящо вътрешноправно средство за защита в ситуации като настоящата</w:t>
      </w:r>
      <w:r w:rsidRPr="00AD66FE">
        <w:t>.</w:t>
      </w:r>
      <w:r w:rsidR="00234A53" w:rsidRPr="00AD66FE">
        <w:t xml:space="preserve"> По-конкретно, искове за задържане на предмети в хода на наказателно производство винаги са разглежда</w:t>
      </w:r>
      <w:r w:rsidR="003E7BB7" w:rsidRPr="00AD66FE">
        <w:t>н</w:t>
      </w:r>
      <w:r w:rsidR="00234A53" w:rsidRPr="00AD66FE">
        <w:t>и съгласно общите правила за деликтна отговорност</w:t>
      </w:r>
      <w:r w:rsidRPr="00AD66FE">
        <w:t xml:space="preserve">. </w:t>
      </w:r>
      <w:r w:rsidR="009E3262" w:rsidRPr="00AD66FE">
        <w:t>Що се отнася до искове за вреди, причинени в резултат на незаконосъо</w:t>
      </w:r>
      <w:r w:rsidR="00325B32">
        <w:t>бразни наказателни постановления</w:t>
      </w:r>
      <w:r w:rsidRPr="00AD66FE">
        <w:t>,</w:t>
      </w:r>
      <w:r w:rsidR="009E3262" w:rsidRPr="00AD66FE">
        <w:t xml:space="preserve"> Правителството твъ</w:t>
      </w:r>
      <w:r w:rsidR="008362B9" w:rsidRPr="00AD66FE">
        <w:t>р</w:t>
      </w:r>
      <w:r w:rsidR="009E3262" w:rsidRPr="00AD66FE">
        <w:t>ди, че макар и от определен момент ната</w:t>
      </w:r>
      <w:r w:rsidR="00AB37D9" w:rsidRPr="00AD66FE">
        <w:t>т</w:t>
      </w:r>
      <w:r w:rsidR="009E3262" w:rsidRPr="00AD66FE">
        <w:t xml:space="preserve">ък съдебната практика по въпроса да е противоречива, до </w:t>
      </w:r>
      <w:r w:rsidRPr="00AD66FE">
        <w:t>2011</w:t>
      </w:r>
      <w:r w:rsidR="009E3262" w:rsidRPr="00AD66FE">
        <w:t> г. преобладаващата теза е, че гражданските съдилища са компетентни да разглеждат такива искове съгласно общите правила за деликтна отговорност</w:t>
      </w:r>
      <w:r w:rsidRPr="00AD66FE">
        <w:t>.</w:t>
      </w:r>
    </w:p>
    <w:p w:rsidR="00B64935" w:rsidRPr="00AD66FE" w:rsidRDefault="00D00517" w:rsidP="00BA13D9">
      <w:pPr>
        <w:pStyle w:val="ECHRPara"/>
      </w:pPr>
      <w:fldSimple w:instr=" SEQ level0 \*arabic ">
        <w:r w:rsidR="00D20DF1">
          <w:rPr>
            <w:noProof/>
          </w:rPr>
          <w:t>52</w:t>
        </w:r>
      </w:fldSimple>
      <w:r w:rsidR="00B64935" w:rsidRPr="00AD66FE">
        <w:t>.  </w:t>
      </w:r>
      <w:r w:rsidR="00325B32">
        <w:t>Дружеството-</w:t>
      </w:r>
      <w:r w:rsidR="00AB37D9" w:rsidRPr="00AD66FE">
        <w:t xml:space="preserve">жалбоподател оспорва тези аргументи. То твърди, че решението на </w:t>
      </w:r>
      <w:r w:rsidR="006C379A" w:rsidRPr="00AD66FE">
        <w:t>Р</w:t>
      </w:r>
      <w:r w:rsidR="00AB37D9" w:rsidRPr="00AD66FE">
        <w:t>айонен съд</w:t>
      </w:r>
      <w:r w:rsidR="006C379A" w:rsidRPr="00AD66FE">
        <w:t>-Варна</w:t>
      </w:r>
      <w:r w:rsidR="00AB37D9" w:rsidRPr="00AD66FE">
        <w:t xml:space="preserve">, което става окончателно и влиза в сила на </w:t>
      </w:r>
      <w:r w:rsidR="00B64935" w:rsidRPr="00AD66FE">
        <w:t xml:space="preserve">7 </w:t>
      </w:r>
      <w:r w:rsidR="00AB37D9" w:rsidRPr="00AD66FE">
        <w:t xml:space="preserve">декември </w:t>
      </w:r>
      <w:r w:rsidR="00B64935" w:rsidRPr="00AD66FE">
        <w:t>2005</w:t>
      </w:r>
      <w:r w:rsidR="00AB37D9" w:rsidRPr="00AD66FE">
        <w:t> г., е ясно и непротиворечиво като формулировка, че стоката следва да бъде върната</w:t>
      </w:r>
      <w:r w:rsidR="00B64935" w:rsidRPr="00AD66FE">
        <w:t>.</w:t>
      </w:r>
      <w:r w:rsidR="00FC1D1D" w:rsidRPr="00AD66FE">
        <w:t xml:space="preserve"> В допълнение в никакъв </w:t>
      </w:r>
      <w:r w:rsidR="0056261C" w:rsidRPr="00AD66FE">
        <w:t>момент</w:t>
      </w:r>
      <w:r w:rsidR="00FC1D1D" w:rsidRPr="00AD66FE">
        <w:t xml:space="preserve"> не е издадено решение или разпореждане за задържането на бутилките като доказателство, нито в административното</w:t>
      </w:r>
      <w:r w:rsidR="00325B32">
        <w:t xml:space="preserve"> производство срещу дружеството-</w:t>
      </w:r>
      <w:r w:rsidR="00FC1D1D" w:rsidRPr="00AD66FE">
        <w:t>жалбоподател, нито в наказателното производство срещу Е.Г</w:t>
      </w:r>
      <w:r w:rsidR="00B64935" w:rsidRPr="00AD66FE">
        <w:t>.</w:t>
      </w:r>
      <w:r w:rsidR="00325B32">
        <w:t xml:space="preserve"> В Наказателно-процесуалния</w:t>
      </w:r>
      <w:r w:rsidR="006260D0" w:rsidRPr="00AD66FE">
        <w:t xml:space="preserve"> </w:t>
      </w:r>
      <w:r w:rsidR="00742103" w:rsidRPr="00AD66FE">
        <w:t xml:space="preserve">кодекс от </w:t>
      </w:r>
      <w:r w:rsidR="00B64935" w:rsidRPr="00AD66FE">
        <w:t>1974</w:t>
      </w:r>
      <w:r w:rsidR="00742103" w:rsidRPr="00AD66FE">
        <w:t xml:space="preserve"> г. в сила към съответния момент и до 29 април </w:t>
      </w:r>
      <w:r w:rsidR="00B64935" w:rsidRPr="00AD66FE">
        <w:t>2006</w:t>
      </w:r>
      <w:r w:rsidR="00742103" w:rsidRPr="00AD66FE">
        <w:t xml:space="preserve"> г.</w:t>
      </w:r>
      <w:r w:rsidR="00D00875" w:rsidRPr="00AD66FE">
        <w:t xml:space="preserve"> не се съдържа правило, което да предвижда, че </w:t>
      </w:r>
      <w:r w:rsidR="006C379A" w:rsidRPr="00AD66FE">
        <w:t xml:space="preserve">веществените </w:t>
      </w:r>
      <w:r w:rsidR="00D00875" w:rsidRPr="00AD66FE">
        <w:t>доказателства, иззети в хода на наказателно производство, не може да бъдат върнати, когато са предмет и на административно нарушение</w:t>
      </w:r>
      <w:r w:rsidR="00B64935" w:rsidRPr="00AD66FE">
        <w:t>.</w:t>
      </w:r>
    </w:p>
    <w:bookmarkStart w:id="36" w:name="Para53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53</w:t>
      </w:r>
      <w:r w:rsidRPr="00AD66FE">
        <w:fldChar w:fldCharType="end"/>
      </w:r>
      <w:bookmarkEnd w:id="36"/>
      <w:r w:rsidRPr="00AD66FE">
        <w:t>.  </w:t>
      </w:r>
      <w:r w:rsidR="00A633E1" w:rsidRPr="00AD66FE">
        <w:t xml:space="preserve">Дружеството </w:t>
      </w:r>
      <w:r w:rsidR="0056261C" w:rsidRPr="00AD66FE">
        <w:t>жалбоподател</w:t>
      </w:r>
      <w:r w:rsidR="00A633E1" w:rsidRPr="00AD66FE">
        <w:t xml:space="preserve"> твърди още, че е използвало най-подходящото налично средство за защита съгласно националното законодателство, що се отнася до искове за вреди</w:t>
      </w:r>
      <w:r w:rsidRPr="00AD66FE">
        <w:t>.</w:t>
      </w:r>
      <w:r w:rsidR="00A633E1" w:rsidRPr="00AD66FE">
        <w:t xml:space="preserve"> По-конкретно, то е </w:t>
      </w:r>
      <w:r w:rsidR="006C379A" w:rsidRPr="00AD66FE">
        <w:t xml:space="preserve">предявило </w:t>
      </w:r>
      <w:r w:rsidR="00A633E1" w:rsidRPr="00AD66FE">
        <w:t>иск по ЗОДОВ, като неговата уместност е потвърдена и от по-късно тълкувателно решение, с което се слага край на предходни противоре</w:t>
      </w:r>
      <w:r w:rsidR="00741C5C" w:rsidRPr="00AD66FE">
        <w:t>ч</w:t>
      </w:r>
      <w:r w:rsidR="00A633E1" w:rsidRPr="00AD66FE">
        <w:t>ия в съдебната практика</w:t>
      </w:r>
      <w:r w:rsidRPr="00AD66FE">
        <w:t>.</w:t>
      </w:r>
    </w:p>
    <w:p w:rsidR="00B64935" w:rsidRPr="00AD66FE" w:rsidRDefault="00B64935" w:rsidP="00BA13D9">
      <w:pPr>
        <w:pStyle w:val="ECHRHeading3"/>
      </w:pPr>
      <w:r w:rsidRPr="00AD66FE">
        <w:t>2.  </w:t>
      </w:r>
      <w:r w:rsidR="007509E4" w:rsidRPr="00AD66FE">
        <w:t>Преценка</w:t>
      </w:r>
      <w:r w:rsidR="00237F28" w:rsidRPr="00AD66FE">
        <w:t xml:space="preserve"> на Съда</w:t>
      </w:r>
    </w:p>
    <w:bookmarkStart w:id="37" w:name="Para45"/>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54</w:t>
      </w:r>
      <w:r w:rsidRPr="00AD66FE">
        <w:fldChar w:fldCharType="end"/>
      </w:r>
      <w:bookmarkEnd w:id="37"/>
      <w:r w:rsidRPr="00AD66FE">
        <w:t>.  </w:t>
      </w:r>
      <w:r w:rsidR="002B7978" w:rsidRPr="00AD66FE">
        <w:t xml:space="preserve">Съдът </w:t>
      </w:r>
      <w:r w:rsidR="006C379A" w:rsidRPr="00AD66FE">
        <w:t>счита</w:t>
      </w:r>
      <w:r w:rsidR="002B7978" w:rsidRPr="00AD66FE">
        <w:t>, че въпросът за това дали стоката е представена като доказателство в последвалото административно</w:t>
      </w:r>
      <w:r w:rsidR="00325B32">
        <w:t xml:space="preserve"> производство срещу дружеството-</w:t>
      </w:r>
      <w:r w:rsidR="002B7978" w:rsidRPr="00AD66FE">
        <w:t>жалбоподател или в наказателното производство срещу Е.Г. и,</w:t>
      </w:r>
      <w:r w:rsidR="00325B32">
        <w:t xml:space="preserve"> следователно, дали дружеството-</w:t>
      </w:r>
      <w:r w:rsidR="002B7978" w:rsidRPr="00AD66FE">
        <w:t>жалбоподател следва да поиска връщането на стоката в рамките на тези производства, е свързан тясно със съществот</w:t>
      </w:r>
      <w:r w:rsidR="00325B32">
        <w:t>о на оплакването на дружеството-</w:t>
      </w:r>
      <w:r w:rsidR="002B7978" w:rsidRPr="00AD66FE">
        <w:t>жалбоподател, че стоката му е задържан</w:t>
      </w:r>
      <w:r w:rsidR="00325B32">
        <w:t>а</w:t>
      </w:r>
      <w:r w:rsidR="002B7978" w:rsidRPr="00AD66FE">
        <w:t xml:space="preserve"> незаконосъобразно</w:t>
      </w:r>
      <w:r w:rsidRPr="00AD66FE">
        <w:t>.</w:t>
      </w:r>
      <w:r w:rsidR="002B7978" w:rsidRPr="00AD66FE">
        <w:t xml:space="preserve"> Ето защо Съдът ще разгледа тази част от възражението на Правителството в контекста на </w:t>
      </w:r>
      <w:r w:rsidR="00325B32">
        <w:t xml:space="preserve">разглеждането на оплакванията по </w:t>
      </w:r>
      <w:r w:rsidR="002B7978" w:rsidRPr="00AD66FE">
        <w:t>съществото (вж. параграфи</w:t>
      </w:r>
      <w:r w:rsidRPr="00AD66FE">
        <w:t> </w:t>
      </w:r>
      <w:r w:rsidRPr="00AD66FE">
        <w:fldChar w:fldCharType="begin"/>
      </w:r>
      <w:r w:rsidRPr="00AD66FE">
        <w:instrText xml:space="preserve"> REF Para62New \h </w:instrText>
      </w:r>
      <w:r w:rsidR="00AD66FE">
        <w:instrText xml:space="preserve"> \* MERGEFORMAT </w:instrText>
      </w:r>
      <w:r w:rsidRPr="00AD66FE">
        <w:fldChar w:fldCharType="separate"/>
      </w:r>
      <w:r w:rsidR="00D20DF1">
        <w:t>64</w:t>
      </w:r>
      <w:r w:rsidRPr="00AD66FE">
        <w:fldChar w:fldCharType="end"/>
      </w:r>
      <w:r w:rsidRPr="00AD66FE">
        <w:t>-</w:t>
      </w:r>
      <w:r w:rsidRPr="00AD66FE">
        <w:fldChar w:fldCharType="begin"/>
      </w:r>
      <w:r w:rsidRPr="00AD66FE">
        <w:instrText xml:space="preserve"> REF Para84New \h </w:instrText>
      </w:r>
      <w:r w:rsidR="00AD66FE">
        <w:instrText xml:space="preserve"> \* MERGEFORMAT </w:instrText>
      </w:r>
      <w:r w:rsidRPr="00AD66FE">
        <w:fldChar w:fldCharType="separate"/>
      </w:r>
      <w:r w:rsidR="00D20DF1">
        <w:t>82</w:t>
      </w:r>
      <w:r w:rsidRPr="00AD66FE">
        <w:fldChar w:fldCharType="end"/>
      </w:r>
      <w:r w:rsidRPr="00AD66FE">
        <w:t xml:space="preserve"> </w:t>
      </w:r>
      <w:r w:rsidR="002B7978" w:rsidRPr="00AD66FE">
        <w:t>по-долу)</w:t>
      </w:r>
      <w:r w:rsidRPr="00AD66FE">
        <w:t>.</w:t>
      </w:r>
    </w:p>
    <w:bookmarkStart w:id="38" w:name="Para55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55</w:t>
      </w:r>
      <w:r w:rsidRPr="00AD66FE">
        <w:fldChar w:fldCharType="end"/>
      </w:r>
      <w:bookmarkEnd w:id="38"/>
      <w:r w:rsidRPr="00AD66FE">
        <w:t>.  </w:t>
      </w:r>
      <w:r w:rsidR="00F65A9F" w:rsidRPr="00AD66FE">
        <w:t>Що се отнася до въпроса кои съдилища са компетентни да разгле</w:t>
      </w:r>
      <w:r w:rsidR="00945D20" w:rsidRPr="00AD66FE">
        <w:t>ж</w:t>
      </w:r>
      <w:r w:rsidR="00F65A9F" w:rsidRPr="00AD66FE">
        <w:t xml:space="preserve">дат искове за вреди, </w:t>
      </w:r>
      <w:r w:rsidR="00945D20" w:rsidRPr="00AD66FE">
        <w:t>причинени</w:t>
      </w:r>
      <w:r w:rsidR="00F65A9F" w:rsidRPr="00AD66FE">
        <w:t xml:space="preserve"> от незаконосъобразни </w:t>
      </w:r>
      <w:r w:rsidR="00325B32">
        <w:t>наказателни постановления</w:t>
      </w:r>
      <w:r w:rsidR="00A97051" w:rsidRPr="00AD66FE">
        <w:t>, Съдът отбелязва, че към съответния момент то</w:t>
      </w:r>
      <w:r w:rsidR="00945D20" w:rsidRPr="00AD66FE">
        <w:t>зи въпрос действително е предмет</w:t>
      </w:r>
      <w:r w:rsidR="00A97051" w:rsidRPr="00AD66FE">
        <w:t xml:space="preserve"> на противоречива практика на националните съдилища</w:t>
      </w:r>
      <w:r w:rsidRPr="00AD66FE">
        <w:t>.</w:t>
      </w:r>
      <w:r w:rsidR="00A97051" w:rsidRPr="00AD66FE">
        <w:t xml:space="preserve"> Противоречията са от такова естество, че в крайна сметка е необходимо </w:t>
      </w:r>
      <w:r w:rsidR="006C379A" w:rsidRPr="00AD66FE">
        <w:t xml:space="preserve">постановяването </w:t>
      </w:r>
      <w:r w:rsidR="00A97051" w:rsidRPr="00AD66FE">
        <w:t>на обвързващо тълкувателно решение</w:t>
      </w:r>
      <w:r w:rsidRPr="00AD66FE">
        <w:t>,</w:t>
      </w:r>
      <w:r w:rsidR="00A97051" w:rsidRPr="00AD66FE">
        <w:t xml:space="preserve"> което определя, че такива искове следва да </w:t>
      </w:r>
      <w:r w:rsidR="006C379A" w:rsidRPr="00AD66FE">
        <w:t>се разглеждат</w:t>
      </w:r>
      <w:r w:rsidR="00A97051" w:rsidRPr="00AD66FE">
        <w:t xml:space="preserve"> от административните съдилища </w:t>
      </w:r>
      <w:r w:rsidR="006C379A" w:rsidRPr="00AD66FE">
        <w:t xml:space="preserve">съгласно </w:t>
      </w:r>
      <w:r w:rsidR="00A97051" w:rsidRPr="00AD66FE">
        <w:t xml:space="preserve">ЗОДОВ (вж. параграф </w:t>
      </w:r>
      <w:r w:rsidRPr="00AD66FE">
        <w:fldChar w:fldCharType="begin"/>
      </w:r>
      <w:r w:rsidRPr="00AD66FE">
        <w:instrText xml:space="preserve"> REF Para30 \h </w:instrText>
      </w:r>
      <w:r w:rsidR="00AD66FE">
        <w:instrText xml:space="preserve"> \* MERGEFORMAT </w:instrText>
      </w:r>
      <w:r w:rsidRPr="00AD66FE">
        <w:fldChar w:fldCharType="separate"/>
      </w:r>
      <w:r w:rsidR="00D20DF1">
        <w:rPr>
          <w:snapToGrid w:val="0"/>
        </w:rPr>
        <w:t>47</w:t>
      </w:r>
      <w:r w:rsidRPr="00AD66FE">
        <w:fldChar w:fldCharType="end"/>
      </w:r>
      <w:r w:rsidRPr="00AD66FE">
        <w:t xml:space="preserve"> </w:t>
      </w:r>
      <w:r w:rsidR="00A97051" w:rsidRPr="00AD66FE">
        <w:t>по-горе</w:t>
      </w:r>
      <w:r w:rsidRPr="00AD66FE">
        <w:t>).</w:t>
      </w:r>
    </w:p>
    <w:bookmarkStart w:id="39" w:name="Para47"/>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56</w:t>
      </w:r>
      <w:r w:rsidRPr="00AD66FE">
        <w:fldChar w:fldCharType="end"/>
      </w:r>
      <w:bookmarkEnd w:id="39"/>
      <w:r w:rsidRPr="00AD66FE">
        <w:t>.  </w:t>
      </w:r>
      <w:r w:rsidR="00A45865" w:rsidRPr="00AD66FE">
        <w:t>Съдът отбелязва сложността на ситуацията,</w:t>
      </w:r>
      <w:r w:rsidR="00D364E6">
        <w:t xml:space="preserve"> в която се озовава дружеството-</w:t>
      </w:r>
      <w:r w:rsidR="00A45865" w:rsidRPr="00AD66FE">
        <w:t>жалбоподател</w:t>
      </w:r>
      <w:r w:rsidRPr="00AD66FE">
        <w:t xml:space="preserve">. </w:t>
      </w:r>
      <w:r w:rsidR="0096537A" w:rsidRPr="00AD66FE">
        <w:t xml:space="preserve">От една страна, исковете </w:t>
      </w:r>
      <w:r w:rsidR="00605562" w:rsidRPr="00AD66FE">
        <w:t>му</w:t>
      </w:r>
      <w:r w:rsidR="0096537A" w:rsidRPr="00AD66FE">
        <w:t xml:space="preserve"> са свързани със задържането на предмети, иззети като доказателство в хода на наказателно производство</w:t>
      </w:r>
      <w:r w:rsidRPr="00AD66FE">
        <w:t>,</w:t>
      </w:r>
      <w:r w:rsidR="0096537A" w:rsidRPr="00AD66FE">
        <w:t xml:space="preserve"> като тези въпроси обикновено подлежат на общите правила за деликтна отговорност по Закона за задълженията и договорите </w:t>
      </w:r>
      <w:r w:rsidRPr="00AD66FE">
        <w:t>(</w:t>
      </w:r>
      <w:r w:rsidR="0096537A" w:rsidRPr="00AD66FE">
        <w:t xml:space="preserve">вж. </w:t>
      </w:r>
      <w:proofErr w:type="spellStart"/>
      <w:r w:rsidR="0096537A" w:rsidRPr="00AD66FE">
        <w:rPr>
          <w:i/>
        </w:rPr>
        <w:t>Посевини</w:t>
      </w:r>
      <w:proofErr w:type="spellEnd"/>
      <w:r w:rsidRPr="00AD66FE">
        <w:t xml:space="preserve">, </w:t>
      </w:r>
      <w:r w:rsidR="0096537A" w:rsidRPr="00AD66FE">
        <w:t>цитирано по-горе</w:t>
      </w:r>
      <w:r w:rsidRPr="00AD66FE">
        <w:t xml:space="preserve">, §§ 42 </w:t>
      </w:r>
      <w:r w:rsidR="0096537A" w:rsidRPr="00AD66FE">
        <w:t xml:space="preserve">и </w:t>
      </w:r>
      <w:r w:rsidRPr="00AD66FE">
        <w:t>46).</w:t>
      </w:r>
      <w:r w:rsidR="0096537A" w:rsidRPr="00AD66FE">
        <w:t xml:space="preserve"> От друга страна, </w:t>
      </w:r>
      <w:r w:rsidR="005A29D2" w:rsidRPr="00AD66FE">
        <w:t xml:space="preserve">те засягат конкретния въпрос за забавяне при изпълнение или неизпълнение </w:t>
      </w:r>
      <w:r w:rsidR="005B73C7" w:rsidRPr="00AD66FE">
        <w:t xml:space="preserve">на окончателно съдебно решение, ситуация, при която отговорността на държавните органи следва да се разглежда съгласно ЗОДОВ </w:t>
      </w:r>
      <w:r w:rsidRPr="00AD66FE">
        <w:t>(</w:t>
      </w:r>
      <w:r w:rsidR="005B73C7" w:rsidRPr="00AD66FE">
        <w:t xml:space="preserve">вж. </w:t>
      </w:r>
      <w:r w:rsidR="005B73C7" w:rsidRPr="00AD66FE">
        <w:rPr>
          <w:i/>
        </w:rPr>
        <w:t>Димитър Янакиев</w:t>
      </w:r>
      <w:r w:rsidRPr="00AD66FE">
        <w:t xml:space="preserve">, </w:t>
      </w:r>
      <w:r w:rsidR="005B73C7" w:rsidRPr="00AD66FE">
        <w:t>цитирано по-горе</w:t>
      </w:r>
      <w:r w:rsidRPr="00AD66FE">
        <w:t>, § 37).</w:t>
      </w:r>
      <w:r w:rsidR="005B73C7" w:rsidRPr="00AD66FE">
        <w:t xml:space="preserve"> Задачата на Съда не е да определи естеството на връзката между разпоредбите на тези закони</w:t>
      </w:r>
      <w:r w:rsidRPr="00AD66FE">
        <w:t>.</w:t>
      </w:r>
      <w:r w:rsidR="005B73C7" w:rsidRPr="00AD66FE">
        <w:t xml:space="preserve"> В тази връзка, по принцип е достатъчно да се отбележи, че българските съдилища явно разглеждат двете</w:t>
      </w:r>
      <w:r w:rsidR="00EB747E" w:rsidRPr="00EB747E">
        <w:t xml:space="preserve"> [</w:t>
      </w:r>
      <w:r w:rsidR="00EB747E">
        <w:t>ситуации</w:t>
      </w:r>
      <w:r w:rsidR="00EB747E" w:rsidRPr="00EB747E">
        <w:t>]</w:t>
      </w:r>
      <w:r w:rsidR="00EB747E">
        <w:t xml:space="preserve"> като автономни, в смисъл че всяка</w:t>
      </w:r>
      <w:r w:rsidR="005B73C7" w:rsidRPr="00AD66FE">
        <w:t xml:space="preserve"> от тях може да бъде основание за </w:t>
      </w:r>
      <w:r w:rsidR="00D042B7" w:rsidRPr="00AD66FE">
        <w:t>деликтен иск</w:t>
      </w:r>
      <w:r w:rsidR="005B73C7" w:rsidRPr="00AD66FE">
        <w:t xml:space="preserve"> срещу властите </w:t>
      </w:r>
      <w:r w:rsidRPr="00AD66FE">
        <w:t>(</w:t>
      </w:r>
      <w:r w:rsidR="005B73C7" w:rsidRPr="00AD66FE">
        <w:t xml:space="preserve">вж. </w:t>
      </w:r>
      <w:r w:rsidR="00AB1525" w:rsidRPr="00AD66FE">
        <w:rPr>
          <w:i/>
        </w:rPr>
        <w:t xml:space="preserve">„Фърст София </w:t>
      </w:r>
      <w:proofErr w:type="spellStart"/>
      <w:r w:rsidR="00AB1525" w:rsidRPr="00AD66FE">
        <w:rPr>
          <w:i/>
        </w:rPr>
        <w:t>Комодитис</w:t>
      </w:r>
      <w:proofErr w:type="spellEnd"/>
      <w:r w:rsidR="00AB1525" w:rsidRPr="00AD66FE">
        <w:rPr>
          <w:i/>
        </w:rPr>
        <w:t xml:space="preserve">” ЕООД и Параф срещу България </w:t>
      </w:r>
      <w:r w:rsidRPr="00AD66FE">
        <w:t>(</w:t>
      </w:r>
      <w:proofErr w:type="spellStart"/>
      <w:r w:rsidRPr="00AD66FE">
        <w:t>dec</w:t>
      </w:r>
      <w:proofErr w:type="spellEnd"/>
      <w:r w:rsidRPr="00AD66FE">
        <w:t xml:space="preserve">.), </w:t>
      </w:r>
      <w:r w:rsidR="00AB1525" w:rsidRPr="00AD66FE">
        <w:t>№</w:t>
      </w:r>
      <w:r w:rsidRPr="00AD66FE">
        <w:t xml:space="preserve"> 14397/04, § 35 </w:t>
      </w:r>
      <w:proofErr w:type="spellStart"/>
      <w:r w:rsidRPr="00AD66FE">
        <w:rPr>
          <w:i/>
        </w:rPr>
        <w:t>in</w:t>
      </w:r>
      <w:proofErr w:type="spellEnd"/>
      <w:r w:rsidRPr="00AD66FE">
        <w:rPr>
          <w:i/>
        </w:rPr>
        <w:t xml:space="preserve"> </w:t>
      </w:r>
      <w:proofErr w:type="spellStart"/>
      <w:r w:rsidRPr="00AD66FE">
        <w:rPr>
          <w:i/>
        </w:rPr>
        <w:t>fine</w:t>
      </w:r>
      <w:proofErr w:type="spellEnd"/>
      <w:r w:rsidRPr="00AD66FE">
        <w:t>, 25</w:t>
      </w:r>
      <w:r w:rsidR="00AB1525" w:rsidRPr="00AD66FE">
        <w:t xml:space="preserve"> януари </w:t>
      </w:r>
      <w:r w:rsidRPr="00AD66FE">
        <w:t>2011</w:t>
      </w:r>
      <w:r w:rsidR="00AB1525" w:rsidRPr="00AD66FE">
        <w:t xml:space="preserve"> г</w:t>
      </w:r>
      <w:r w:rsidR="006D4F89" w:rsidRPr="00AD66FE">
        <w:t>.</w:t>
      </w:r>
      <w:r w:rsidRPr="00AD66FE">
        <w:t>).</w:t>
      </w:r>
    </w:p>
    <w:bookmarkStart w:id="40" w:name="Para39"/>
    <w:bookmarkStart w:id="41" w:name="Para48"/>
    <w:p w:rsidR="00B64935" w:rsidRPr="00AD66FE" w:rsidRDefault="00B64935" w:rsidP="00EB747E">
      <w:pPr>
        <w:pStyle w:val="ECHRPara"/>
      </w:pPr>
      <w:r w:rsidRPr="00AD66FE">
        <w:fldChar w:fldCharType="begin"/>
      </w:r>
      <w:r w:rsidRPr="00AD66FE">
        <w:instrText xml:space="preserve"> SEQ level0 \*arabic </w:instrText>
      </w:r>
      <w:r w:rsidRPr="00AD66FE">
        <w:fldChar w:fldCharType="separate"/>
      </w:r>
      <w:r w:rsidR="00D20DF1">
        <w:rPr>
          <w:noProof/>
        </w:rPr>
        <w:t>57</w:t>
      </w:r>
      <w:r w:rsidRPr="00AD66FE">
        <w:fldChar w:fldCharType="end"/>
      </w:r>
      <w:bookmarkEnd w:id="40"/>
      <w:bookmarkEnd w:id="41"/>
      <w:r w:rsidRPr="00AD66FE">
        <w:t>.  </w:t>
      </w:r>
      <w:r w:rsidR="004206EE" w:rsidRPr="00AD66FE">
        <w:t>Съдът посочва отново, че от гледна точка на Конвенцията не може да се изисква от жалбоподател, който е изчерпал сред</w:t>
      </w:r>
      <w:r w:rsidR="00BE5EC1" w:rsidRPr="00AD66FE">
        <w:t>с</w:t>
      </w:r>
      <w:r w:rsidR="004206EE" w:rsidRPr="00AD66FE">
        <w:t xml:space="preserve">тво за защита, което е явно ефективно и достатъчно, </w:t>
      </w:r>
      <w:r w:rsidR="00BE5EC1" w:rsidRPr="00AD66FE">
        <w:t xml:space="preserve">да е опитал и други, които са налични, </w:t>
      </w:r>
      <w:r w:rsidR="00EB747E">
        <w:t>но за които</w:t>
      </w:r>
      <w:r w:rsidR="00BE5EC1" w:rsidRPr="00AD66FE">
        <w:t xml:space="preserve"> не би било по-вероятно да завършат с успех </w:t>
      </w:r>
      <w:r w:rsidRPr="00AD66FE">
        <w:t>(</w:t>
      </w:r>
      <w:r w:rsidR="00BE5EC1" w:rsidRPr="00AD66FE">
        <w:t xml:space="preserve">вж. </w:t>
      </w:r>
      <w:proofErr w:type="spellStart"/>
      <w:r w:rsidRPr="00AD66FE">
        <w:rPr>
          <w:i/>
        </w:rPr>
        <w:t>Aquilina</w:t>
      </w:r>
      <w:proofErr w:type="spellEnd"/>
      <w:r w:rsidRPr="00AD66FE">
        <w:rPr>
          <w:i/>
        </w:rPr>
        <w:t xml:space="preserve"> v. </w:t>
      </w:r>
      <w:proofErr w:type="spellStart"/>
      <w:r w:rsidRPr="00AD66FE">
        <w:rPr>
          <w:i/>
        </w:rPr>
        <w:t>Malta</w:t>
      </w:r>
      <w:proofErr w:type="spellEnd"/>
      <w:r w:rsidRPr="00AD66FE">
        <w:t xml:space="preserve"> [</w:t>
      </w:r>
      <w:r w:rsidR="005C1130" w:rsidRPr="00AD66FE">
        <w:t>ГК</w:t>
      </w:r>
      <w:r w:rsidRPr="00AD66FE">
        <w:t xml:space="preserve">], </w:t>
      </w:r>
      <w:r w:rsidR="005C1130" w:rsidRPr="00AD66FE">
        <w:t xml:space="preserve">№ </w:t>
      </w:r>
      <w:r w:rsidRPr="00AD66FE">
        <w:t xml:space="preserve">25642/94, § 39, ECHR 1999-III). </w:t>
      </w:r>
      <w:r w:rsidR="00C82418" w:rsidRPr="00AD66FE">
        <w:t xml:space="preserve">Когато е използвано средство за защита, не се изисква използването на друго средство за защита, което на практика има същата цел </w:t>
      </w:r>
      <w:r w:rsidRPr="00AD66FE">
        <w:t>(</w:t>
      </w:r>
      <w:r w:rsidR="00C82418" w:rsidRPr="00AD66FE">
        <w:t xml:space="preserve">вж. </w:t>
      </w:r>
      <w:proofErr w:type="spellStart"/>
      <w:r w:rsidRPr="00AD66FE">
        <w:rPr>
          <w:i/>
        </w:rPr>
        <w:t>Micallef</w:t>
      </w:r>
      <w:proofErr w:type="spellEnd"/>
      <w:r w:rsidRPr="00AD66FE">
        <w:rPr>
          <w:i/>
        </w:rPr>
        <w:t xml:space="preserve"> v. </w:t>
      </w:r>
      <w:proofErr w:type="spellStart"/>
      <w:r w:rsidRPr="00AD66FE">
        <w:rPr>
          <w:i/>
        </w:rPr>
        <w:t>Malta</w:t>
      </w:r>
      <w:proofErr w:type="spellEnd"/>
      <w:r w:rsidRPr="00AD66FE">
        <w:t xml:space="preserve"> [</w:t>
      </w:r>
      <w:r w:rsidR="00C82418" w:rsidRPr="00AD66FE">
        <w:t>ГК</w:t>
      </w:r>
      <w:r w:rsidRPr="00AD66FE">
        <w:t xml:space="preserve">], </w:t>
      </w:r>
      <w:r w:rsidR="00C82418" w:rsidRPr="00AD66FE">
        <w:t xml:space="preserve">№ </w:t>
      </w:r>
      <w:r w:rsidRPr="00AD66FE">
        <w:t xml:space="preserve">17056/06, § 58, 15 </w:t>
      </w:r>
      <w:r w:rsidR="00157AAA" w:rsidRPr="00AD66FE">
        <w:t>октомври</w:t>
      </w:r>
      <w:r w:rsidRPr="00AD66FE">
        <w:t xml:space="preserve"> 2009</w:t>
      </w:r>
      <w:r w:rsidR="00157AAA" w:rsidRPr="00AD66FE">
        <w:t> г.</w:t>
      </w:r>
      <w:r w:rsidRPr="00AD66FE">
        <w:t xml:space="preserve">). </w:t>
      </w:r>
      <w:r w:rsidR="00EB747E">
        <w:t>В настоящия случай, дружеството-</w:t>
      </w:r>
      <w:r w:rsidR="00157AAA" w:rsidRPr="00AD66FE">
        <w:t xml:space="preserve">жалбоподател е използвало едно от потенциално наличните средства за защита, а именно иск по ЗОДОВ </w:t>
      </w:r>
      <w:r w:rsidRPr="00AD66FE">
        <w:t>(</w:t>
      </w:r>
      <w:r w:rsidR="00157AAA" w:rsidRPr="00AD66FE">
        <w:t xml:space="preserve">за сравнение </w:t>
      </w:r>
      <w:r w:rsidR="00157AAA" w:rsidRPr="00AD66FE">
        <w:rPr>
          <w:i/>
        </w:rPr>
        <w:t xml:space="preserve">„Фърст София </w:t>
      </w:r>
      <w:proofErr w:type="spellStart"/>
      <w:r w:rsidR="00157AAA" w:rsidRPr="00AD66FE">
        <w:rPr>
          <w:i/>
        </w:rPr>
        <w:t>Комодитис</w:t>
      </w:r>
      <w:proofErr w:type="spellEnd"/>
      <w:r w:rsidR="00157AAA" w:rsidRPr="00AD66FE">
        <w:rPr>
          <w:i/>
        </w:rPr>
        <w:t>” ЕООД и Параф</w:t>
      </w:r>
      <w:r w:rsidRPr="00AD66FE">
        <w:t xml:space="preserve">, </w:t>
      </w:r>
      <w:r w:rsidR="00157AAA" w:rsidRPr="00AD66FE">
        <w:t>цитирано по-горе</w:t>
      </w:r>
      <w:r w:rsidRPr="00AD66FE">
        <w:t xml:space="preserve">, § 35 </w:t>
      </w:r>
      <w:proofErr w:type="spellStart"/>
      <w:r w:rsidRPr="00AD66FE">
        <w:rPr>
          <w:i/>
        </w:rPr>
        <w:t>in</w:t>
      </w:r>
      <w:proofErr w:type="spellEnd"/>
      <w:r w:rsidRPr="00AD66FE">
        <w:rPr>
          <w:i/>
        </w:rPr>
        <w:t xml:space="preserve"> </w:t>
      </w:r>
      <w:proofErr w:type="spellStart"/>
      <w:r w:rsidRPr="00AD66FE">
        <w:rPr>
          <w:i/>
        </w:rPr>
        <w:t>fine</w:t>
      </w:r>
      <w:proofErr w:type="spellEnd"/>
      <w:r w:rsidRPr="00AD66FE">
        <w:t xml:space="preserve">). </w:t>
      </w:r>
      <w:r w:rsidR="004B04BE" w:rsidRPr="00AD66FE">
        <w:t xml:space="preserve">В контекста на противоречията в относимата национална съдебна практика преди </w:t>
      </w:r>
      <w:r w:rsidRPr="00AD66FE">
        <w:t>2015</w:t>
      </w:r>
      <w:r w:rsidR="004B04BE" w:rsidRPr="00AD66FE">
        <w:t> г.</w:t>
      </w:r>
      <w:r w:rsidR="00E54D24" w:rsidRPr="00AD66FE">
        <w:t xml:space="preserve"> и като взема предвид фактическата сложност на ситуацията, </w:t>
      </w:r>
      <w:r w:rsidR="002159F7" w:rsidRPr="00AD66FE">
        <w:t xml:space="preserve">Съдът </w:t>
      </w:r>
      <w:r w:rsidR="00E93BDD" w:rsidRPr="00AD66FE">
        <w:t xml:space="preserve">счита </w:t>
      </w:r>
      <w:r w:rsidR="002159F7" w:rsidRPr="00AD66FE">
        <w:t>също, че н</w:t>
      </w:r>
      <w:r w:rsidR="00EB747E">
        <w:t>е е било необходимо дружеството-</w:t>
      </w:r>
      <w:r w:rsidR="002159F7" w:rsidRPr="00AD66FE">
        <w:t xml:space="preserve">жалбоподател да </w:t>
      </w:r>
      <w:r w:rsidR="008E210B" w:rsidRPr="00AD66FE">
        <w:t>подаде</w:t>
      </w:r>
      <w:r w:rsidR="002159F7" w:rsidRPr="00AD66FE">
        <w:t xml:space="preserve"> и </w:t>
      </w:r>
      <w:r w:rsidR="00E93BDD" w:rsidRPr="00AD66FE">
        <w:t>деликтен иск</w:t>
      </w:r>
      <w:r w:rsidR="002159F7" w:rsidRPr="00AD66FE">
        <w:t xml:space="preserve"> съгласно Закона за задълженията и договорите, за да спази правилото за изчерпване на вътрешноправните средства за защита</w:t>
      </w:r>
      <w:r w:rsidRPr="00AD66FE">
        <w:t>.</w:t>
      </w:r>
    </w:p>
    <w:bookmarkStart w:id="42" w:name="Para57New"/>
    <w:bookmarkStart w:id="43" w:name="EndExh"/>
    <w:bookmarkStart w:id="44" w:name="PARA57"/>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58</w:t>
      </w:r>
      <w:r w:rsidRPr="00AD66FE">
        <w:fldChar w:fldCharType="end"/>
      </w:r>
      <w:bookmarkEnd w:id="42"/>
      <w:bookmarkEnd w:id="43"/>
      <w:bookmarkEnd w:id="44"/>
      <w:r w:rsidRPr="00AD66FE">
        <w:t>.  </w:t>
      </w:r>
      <w:r w:rsidR="00E93BDD" w:rsidRPr="00AD66FE">
        <w:t>Следователно,</w:t>
      </w:r>
      <w:r w:rsidR="005F0E4F" w:rsidRPr="00AD66FE">
        <w:t xml:space="preserve"> тази част от възраженията на Правителството за неизчерпване от дружеството жалбоподател на вътрешноправните средства за защита съгласно чл. 35 § </w:t>
      </w:r>
      <w:r w:rsidRPr="00AD66FE">
        <w:t>1</w:t>
      </w:r>
      <w:r w:rsidR="005F0E4F" w:rsidRPr="00AD66FE">
        <w:t xml:space="preserve"> от Конвенцията следва да бъд</w:t>
      </w:r>
      <w:r w:rsidR="00EB747E">
        <w:t>е</w:t>
      </w:r>
      <w:r w:rsidR="005F0E4F" w:rsidRPr="00AD66FE">
        <w:t xml:space="preserve"> отхвърлен</w:t>
      </w:r>
      <w:r w:rsidR="00EB747E">
        <w:t>а</w:t>
      </w:r>
      <w:r w:rsidRPr="00AD66FE">
        <w:t>.</w:t>
      </w:r>
    </w:p>
    <w:bookmarkStart w:id="45" w:name="Para50"/>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59</w:t>
      </w:r>
      <w:r w:rsidRPr="00AD66FE">
        <w:fldChar w:fldCharType="end"/>
      </w:r>
      <w:bookmarkEnd w:id="45"/>
      <w:r w:rsidRPr="00AD66FE">
        <w:t>.  </w:t>
      </w:r>
      <w:r w:rsidR="001B6E15" w:rsidRPr="00AD66FE">
        <w:t>Съдът отбелязва, че оплакванията по чл. </w:t>
      </w:r>
      <w:r w:rsidRPr="00AD66FE">
        <w:t>1</w:t>
      </w:r>
      <w:r w:rsidR="001B6E15" w:rsidRPr="00AD66FE">
        <w:t xml:space="preserve"> от Протокол № 1 на Конвенцията не са явно </w:t>
      </w:r>
      <w:r w:rsidR="0099671D" w:rsidRPr="00AD66FE">
        <w:t>необосновани</w:t>
      </w:r>
      <w:r w:rsidR="001B6E15" w:rsidRPr="00AD66FE">
        <w:t xml:space="preserve"> по смисъла на чл. </w:t>
      </w:r>
      <w:r w:rsidRPr="00AD66FE">
        <w:t>35 § 3 (a)</w:t>
      </w:r>
      <w:r w:rsidR="001B6E15" w:rsidRPr="00AD66FE">
        <w:t xml:space="preserve"> от Конвенцията</w:t>
      </w:r>
      <w:r w:rsidRPr="00AD66FE">
        <w:t xml:space="preserve">. </w:t>
      </w:r>
      <w:r w:rsidR="00FA478D" w:rsidRPr="00AD66FE">
        <w:t xml:space="preserve">Освен това </w:t>
      </w:r>
      <w:r w:rsidR="0055572F" w:rsidRPr="00AD66FE">
        <w:t>Съдът отбелязва, че те не са недопустими на други основания. Следователно трябва да бъдат обявени за допустими</w:t>
      </w:r>
      <w:r w:rsidRPr="00AD66FE">
        <w:t>.</w:t>
      </w:r>
    </w:p>
    <w:p w:rsidR="00B64935" w:rsidRPr="00AD66FE" w:rsidRDefault="00B64935" w:rsidP="00BA13D9">
      <w:pPr>
        <w:pStyle w:val="ECHRHeading2"/>
      </w:pPr>
      <w:r w:rsidRPr="00AD66FE">
        <w:t>B.  </w:t>
      </w:r>
      <w:r w:rsidR="00FA478D" w:rsidRPr="00AD66FE">
        <w:t>По същество</w:t>
      </w:r>
    </w:p>
    <w:p w:rsidR="00B64935" w:rsidRPr="00AD66FE" w:rsidRDefault="00B64935" w:rsidP="00BA13D9">
      <w:pPr>
        <w:pStyle w:val="ECHRHeading3"/>
      </w:pPr>
      <w:r w:rsidRPr="00AD66FE">
        <w:t>1.  </w:t>
      </w:r>
      <w:r w:rsidR="000C0C26" w:rsidRPr="00AD66FE">
        <w:t>Становища</w:t>
      </w:r>
      <w:r w:rsidR="00122D5C" w:rsidRPr="00AD66FE">
        <w:t xml:space="preserve"> на страните</w:t>
      </w:r>
    </w:p>
    <w:p w:rsidR="00B64935" w:rsidRPr="00AD66FE" w:rsidRDefault="00D00517" w:rsidP="00BA13D9">
      <w:pPr>
        <w:pStyle w:val="ECHRPara"/>
      </w:pPr>
      <w:fldSimple w:instr=" SEQ level0 \*arabic ">
        <w:r w:rsidR="00D20DF1">
          <w:rPr>
            <w:noProof/>
          </w:rPr>
          <w:t>60</w:t>
        </w:r>
      </w:fldSimple>
      <w:r w:rsidR="00B64935" w:rsidRPr="00AD66FE">
        <w:t>.  </w:t>
      </w:r>
      <w:r w:rsidR="00EB747E">
        <w:t>Дружеството-</w:t>
      </w:r>
      <w:r w:rsidR="001D42C0" w:rsidRPr="00AD66FE">
        <w:t xml:space="preserve">жалбоподател се оплаква, че между </w:t>
      </w:r>
      <w:r w:rsidR="00B64935" w:rsidRPr="00AD66FE">
        <w:t xml:space="preserve">6-7 </w:t>
      </w:r>
      <w:r w:rsidR="001D42C0" w:rsidRPr="00AD66FE">
        <w:t xml:space="preserve">януари </w:t>
      </w:r>
      <w:r w:rsidR="00B64935" w:rsidRPr="00AD66FE">
        <w:t>2005</w:t>
      </w:r>
      <w:r w:rsidR="001D42C0" w:rsidRPr="00AD66FE">
        <w:t xml:space="preserve"> г. и </w:t>
      </w:r>
      <w:r w:rsidR="00B64935" w:rsidRPr="00AD66FE">
        <w:t>30</w:t>
      </w:r>
      <w:r w:rsidR="001D42C0" w:rsidRPr="00AD66FE">
        <w:t xml:space="preserve"> март </w:t>
      </w:r>
      <w:r w:rsidR="00B64935" w:rsidRPr="00AD66FE">
        <w:t>2007</w:t>
      </w:r>
      <w:r w:rsidR="001D42C0" w:rsidRPr="00AD66FE">
        <w:t xml:space="preserve"> г. то е било незаконно лишено от мирното ползване на неговата стока в ситуация, която представлява </w:t>
      </w:r>
      <w:proofErr w:type="spellStart"/>
      <w:r w:rsidR="00B64935" w:rsidRPr="00AD66FE">
        <w:rPr>
          <w:i/>
        </w:rPr>
        <w:t>de</w:t>
      </w:r>
      <w:proofErr w:type="spellEnd"/>
      <w:r w:rsidR="00B64935" w:rsidRPr="00AD66FE">
        <w:rPr>
          <w:i/>
        </w:rPr>
        <w:t xml:space="preserve"> </w:t>
      </w:r>
      <w:proofErr w:type="spellStart"/>
      <w:r w:rsidR="00B64935" w:rsidRPr="00AD66FE">
        <w:rPr>
          <w:i/>
        </w:rPr>
        <w:t>facto</w:t>
      </w:r>
      <w:proofErr w:type="spellEnd"/>
      <w:r w:rsidR="00B64935" w:rsidRPr="00AD66FE">
        <w:t xml:space="preserve"> </w:t>
      </w:r>
      <w:r w:rsidR="001D42C0" w:rsidRPr="00AD66FE">
        <w:t>конфискация</w:t>
      </w:r>
      <w:r w:rsidR="00B64935" w:rsidRPr="00AD66FE">
        <w:t>.</w:t>
      </w:r>
      <w:r w:rsidR="001D42C0" w:rsidRPr="00AD66FE">
        <w:t xml:space="preserve"> По-конкретно, след </w:t>
      </w:r>
      <w:r w:rsidR="00B64935" w:rsidRPr="00AD66FE">
        <w:t>7</w:t>
      </w:r>
      <w:r w:rsidR="001D42C0" w:rsidRPr="00AD66FE">
        <w:t xml:space="preserve"> декември </w:t>
      </w:r>
      <w:r w:rsidR="00B64935" w:rsidRPr="00AD66FE">
        <w:t>2005</w:t>
      </w:r>
      <w:r w:rsidR="001D42C0" w:rsidRPr="00AD66FE">
        <w:t xml:space="preserve"> г. властите не задържат бутилките на никакви валидни основания и не изпълняват </w:t>
      </w:r>
      <w:r w:rsidR="0056261C" w:rsidRPr="00AD66FE">
        <w:t>решението</w:t>
      </w:r>
      <w:r w:rsidR="001D42C0" w:rsidRPr="00AD66FE">
        <w:t xml:space="preserve"> на </w:t>
      </w:r>
      <w:r w:rsidR="00B93E1C" w:rsidRPr="00AD66FE">
        <w:t>Р</w:t>
      </w:r>
      <w:r w:rsidR="001D42C0" w:rsidRPr="00AD66FE">
        <w:t>айонен съд</w:t>
      </w:r>
      <w:r w:rsidR="00B93E1C" w:rsidRPr="00AD66FE">
        <w:t>-Варна</w:t>
      </w:r>
      <w:r w:rsidR="001D42C0" w:rsidRPr="00AD66FE">
        <w:t xml:space="preserve"> от същата дата, с което </w:t>
      </w:r>
      <w:r w:rsidR="0015789C" w:rsidRPr="00AD66FE">
        <w:t>се разпорежда връщането на бутилките</w:t>
      </w:r>
      <w:r w:rsidR="00B64935" w:rsidRPr="00AD66FE">
        <w:t>.</w:t>
      </w:r>
      <w:r w:rsidR="008036CB">
        <w:t xml:space="preserve"> Дружеството-</w:t>
      </w:r>
      <w:r w:rsidR="005879B7" w:rsidRPr="00AD66FE">
        <w:t xml:space="preserve">жалбоподател твърди, че данъчните власти </w:t>
      </w:r>
      <w:r w:rsidR="007D569F" w:rsidRPr="00AD66FE">
        <w:t>официално не са оформили изземването на стоката му в административен акт, издаден в рамките на административно производство срещу него</w:t>
      </w:r>
      <w:r w:rsidR="00B64935" w:rsidRPr="00AD66FE">
        <w:t>.</w:t>
      </w:r>
      <w:r w:rsidR="007D569F" w:rsidRPr="00AD66FE">
        <w:t xml:space="preserve"> По-конкретно, актът за административно нарушение от 11 август </w:t>
      </w:r>
      <w:r w:rsidR="00B64935" w:rsidRPr="00AD66FE">
        <w:t>2005</w:t>
      </w:r>
      <w:r w:rsidR="007D569F" w:rsidRPr="00AD66FE">
        <w:t> г. не може да се смята за такъв документ, тъй като не се съдържа разпореждане за изземване на бутилките, а предвижда изземването на поредица документи</w:t>
      </w:r>
      <w:r w:rsidR="00B64935" w:rsidRPr="00AD66FE">
        <w:t>.</w:t>
      </w:r>
      <w:r w:rsidR="007D569F" w:rsidRPr="00AD66FE">
        <w:t xml:space="preserve"> По сходен начин не е взето решение </w:t>
      </w:r>
      <w:r w:rsidR="004629E8" w:rsidRPr="00AD66FE">
        <w:t xml:space="preserve">за </w:t>
      </w:r>
      <w:r w:rsidR="007D569F" w:rsidRPr="00AD66FE">
        <w:t>задържането на бутилките за целите на наказателното производство сре</w:t>
      </w:r>
      <w:r w:rsidR="00971DE1" w:rsidRPr="00AD66FE">
        <w:t>щ</w:t>
      </w:r>
      <w:r w:rsidR="007D569F" w:rsidRPr="00AD66FE">
        <w:t>у втората група трети лица</w:t>
      </w:r>
      <w:r w:rsidR="00B64935" w:rsidRPr="00AD66FE">
        <w:t>.</w:t>
      </w:r>
    </w:p>
    <w:p w:rsidR="00B64935" w:rsidRPr="00AD66FE" w:rsidRDefault="00D00517" w:rsidP="00BA13D9">
      <w:pPr>
        <w:pStyle w:val="ECHRPara"/>
      </w:pPr>
      <w:fldSimple w:instr=" SEQ level0 \*arabic ">
        <w:r w:rsidR="00D20DF1">
          <w:rPr>
            <w:noProof/>
          </w:rPr>
          <w:t>61</w:t>
        </w:r>
      </w:fldSimple>
      <w:r w:rsidR="00B64935" w:rsidRPr="00AD66FE">
        <w:t>.  </w:t>
      </w:r>
      <w:r w:rsidR="008036CB">
        <w:t>Дружеството-</w:t>
      </w:r>
      <w:r w:rsidR="00555ECC" w:rsidRPr="00AD66FE">
        <w:t>жалбоподател добавя, че властите отказват да върнат напитките въпреки многобройните оплаквания относно незаконосъобразността на действията на властите и риска от изтичане от срока на годност на стоката</w:t>
      </w:r>
      <w:r w:rsidR="00B64935" w:rsidRPr="00AD66FE">
        <w:t>.</w:t>
      </w:r>
    </w:p>
    <w:bookmarkStart w:id="46" w:name="Para61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62</w:t>
      </w:r>
      <w:r w:rsidRPr="00AD66FE">
        <w:fldChar w:fldCharType="end"/>
      </w:r>
      <w:bookmarkEnd w:id="46"/>
      <w:r w:rsidRPr="00AD66FE">
        <w:t>.  </w:t>
      </w:r>
      <w:r w:rsidR="00291242" w:rsidRPr="00AD66FE">
        <w:t>Правит</w:t>
      </w:r>
      <w:r w:rsidR="008036CB">
        <w:t>елството твърди, че бутилките са задържани на</w:t>
      </w:r>
      <w:r w:rsidR="00291242" w:rsidRPr="00AD66FE">
        <w:t xml:space="preserve"> валидно осн</w:t>
      </w:r>
      <w:r w:rsidR="008036CB">
        <w:t>ование съответно от разследващите органи</w:t>
      </w:r>
      <w:r w:rsidR="00291242" w:rsidRPr="00AD66FE">
        <w:t xml:space="preserve"> и данъчните власти при упражняване на </w:t>
      </w:r>
      <w:r w:rsidR="00E33BAE" w:rsidRPr="00AD66FE">
        <w:t>правомощията им съгласно приложимите закони</w:t>
      </w:r>
      <w:r w:rsidRPr="00AD66FE">
        <w:t>.</w:t>
      </w:r>
      <w:r w:rsidR="00E33BAE" w:rsidRPr="00AD66FE">
        <w:t xml:space="preserve"> Дори и след 7 декември </w:t>
      </w:r>
      <w:r w:rsidRPr="00AD66FE">
        <w:t>2005</w:t>
      </w:r>
      <w:r w:rsidR="00E33BAE" w:rsidRPr="00AD66FE">
        <w:t xml:space="preserve"> г., когато решението на </w:t>
      </w:r>
      <w:r w:rsidR="00B93E1C" w:rsidRPr="00AD66FE">
        <w:t>Р</w:t>
      </w:r>
      <w:r w:rsidR="00E33BAE" w:rsidRPr="00AD66FE">
        <w:t>айонен съд</w:t>
      </w:r>
      <w:r w:rsidR="00B93E1C" w:rsidRPr="00AD66FE">
        <w:t>-Варна</w:t>
      </w:r>
      <w:r w:rsidR="00E33BAE" w:rsidRPr="00AD66FE">
        <w:t>, с което се разпорежда връщането на иззетите доказателства, влиза в сила</w:t>
      </w:r>
      <w:r w:rsidRPr="00AD66FE">
        <w:t>,</w:t>
      </w:r>
      <w:r w:rsidR="00E33BAE" w:rsidRPr="00AD66FE">
        <w:t xml:space="preserve"> стоката продължава да бъде задържана на законни основания от властите. По-конкретно, от 11 август </w:t>
      </w:r>
      <w:r w:rsidRPr="00AD66FE">
        <w:t>2005</w:t>
      </w:r>
      <w:r w:rsidR="00E33BAE" w:rsidRPr="00AD66FE">
        <w:t> г. се смята за представена като доказателство в контекста на висящото административно</w:t>
      </w:r>
      <w:r w:rsidR="008036CB">
        <w:t xml:space="preserve"> производство срещу дружеството-</w:t>
      </w:r>
      <w:r w:rsidR="00E33BAE" w:rsidRPr="00AD66FE">
        <w:t>жалбоподател</w:t>
      </w:r>
      <w:r w:rsidRPr="00AD66FE">
        <w:t xml:space="preserve">. </w:t>
      </w:r>
      <w:r w:rsidR="00A97B99" w:rsidRPr="00AD66FE">
        <w:t>Правителството се позовава на акта за администрати</w:t>
      </w:r>
      <w:r w:rsidR="008036CB">
        <w:t>вно нарушение срещу дружеството-</w:t>
      </w:r>
      <w:r w:rsidR="00A97B99" w:rsidRPr="00AD66FE">
        <w:t xml:space="preserve">жалбоподател, издаден на същата дата от </w:t>
      </w:r>
      <w:r w:rsidR="008111E5" w:rsidRPr="00AD66FE">
        <w:t xml:space="preserve">Териториалната </w:t>
      </w:r>
      <w:r w:rsidR="00A97B99" w:rsidRPr="00AD66FE">
        <w:t>данъчна дирекция</w:t>
      </w:r>
      <w:r w:rsidR="008111E5" w:rsidRPr="00AD66FE">
        <w:t xml:space="preserve"> във Варна</w:t>
      </w:r>
      <w:r w:rsidR="00A97B99" w:rsidRPr="00AD66FE">
        <w:t xml:space="preserve">, който препраща към акта за претърсване и изземване на </w:t>
      </w:r>
      <w:r w:rsidRPr="00AD66FE">
        <w:t>6</w:t>
      </w:r>
      <w:r w:rsidR="00A97B99" w:rsidRPr="00AD66FE">
        <w:t xml:space="preserve"> и </w:t>
      </w:r>
      <w:r w:rsidRPr="00AD66FE">
        <w:t>7</w:t>
      </w:r>
      <w:r w:rsidR="00A97B99" w:rsidRPr="00AD66FE">
        <w:t xml:space="preserve"> януари </w:t>
      </w:r>
      <w:r w:rsidRPr="00AD66FE">
        <w:t>2005</w:t>
      </w:r>
      <w:r w:rsidR="00A97B99" w:rsidRPr="00AD66FE">
        <w:t> г</w:t>
      </w:r>
      <w:r w:rsidRPr="00AD66FE">
        <w:t>.</w:t>
      </w:r>
      <w:r w:rsidR="00A97B99" w:rsidRPr="00AD66FE">
        <w:t xml:space="preserve"> За Правителството това е начинът, по който административният орган присъединява стоката към административното производство като физическо доказателство</w:t>
      </w:r>
      <w:r w:rsidRPr="00AD66FE">
        <w:t>.</w:t>
      </w:r>
      <w:r w:rsidR="009D2C89" w:rsidRPr="00AD66FE">
        <w:t xml:space="preserve"> </w:t>
      </w:r>
      <w:r w:rsidR="00B93E1C" w:rsidRPr="00AD66FE">
        <w:t xml:space="preserve">По този начин </w:t>
      </w:r>
      <w:r w:rsidR="0007040D">
        <w:t>то твърди, че протоколът</w:t>
      </w:r>
      <w:r w:rsidR="00B93E1C" w:rsidRPr="00AD66FE">
        <w:t xml:space="preserve"> </w:t>
      </w:r>
      <w:r w:rsidR="009D2C89" w:rsidRPr="00AD66FE">
        <w:t xml:space="preserve">за претърсване и изземване на 6 и 7 януари </w:t>
      </w:r>
      <w:r w:rsidRPr="00AD66FE">
        <w:t>2005</w:t>
      </w:r>
      <w:r w:rsidR="009D2C89" w:rsidRPr="00AD66FE">
        <w:t xml:space="preserve"> г. не следва да се приема като документ, свързан с твърдяното нарушение, а като документ, който </w:t>
      </w:r>
      <w:proofErr w:type="spellStart"/>
      <w:r w:rsidR="009D2C89" w:rsidRPr="00AD66FE">
        <w:t>обективира</w:t>
      </w:r>
      <w:proofErr w:type="spellEnd"/>
      <w:r w:rsidR="009D2C89" w:rsidRPr="00AD66FE">
        <w:t xml:space="preserve"> бутилки, свързани с нарушението</w:t>
      </w:r>
      <w:r w:rsidRPr="00AD66FE">
        <w:t>.</w:t>
      </w:r>
    </w:p>
    <w:bookmarkStart w:id="47" w:name="Para61new2"/>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63</w:t>
      </w:r>
      <w:r w:rsidRPr="00AD66FE">
        <w:fldChar w:fldCharType="end"/>
      </w:r>
      <w:bookmarkEnd w:id="47"/>
      <w:r w:rsidRPr="00AD66FE">
        <w:t>.  </w:t>
      </w:r>
      <w:r w:rsidR="00C6460B" w:rsidRPr="00AD66FE">
        <w:t xml:space="preserve">Правителството твърди още, като се позовава на </w:t>
      </w:r>
      <w:r w:rsidR="0007040D">
        <w:t>протокола</w:t>
      </w:r>
      <w:r w:rsidR="00B93E1C" w:rsidRPr="00AD66FE">
        <w:t xml:space="preserve"> </w:t>
      </w:r>
      <w:r w:rsidR="00C6460B" w:rsidRPr="00AD66FE">
        <w:t xml:space="preserve">за претърсване и изземване на 6 и 7 януари </w:t>
      </w:r>
      <w:r w:rsidRPr="00AD66FE">
        <w:t>2005</w:t>
      </w:r>
      <w:r w:rsidR="00C6460B" w:rsidRPr="00AD66FE">
        <w:t> г.</w:t>
      </w:r>
      <w:r w:rsidRPr="00AD66FE">
        <w:t>,</w:t>
      </w:r>
      <w:r w:rsidR="00C6460B" w:rsidRPr="00AD66FE">
        <w:t xml:space="preserve"> че между </w:t>
      </w:r>
      <w:r w:rsidRPr="00AD66FE">
        <w:t>20</w:t>
      </w:r>
      <w:r w:rsidR="00C6460B" w:rsidRPr="00AD66FE">
        <w:t xml:space="preserve"> юни </w:t>
      </w:r>
      <w:r w:rsidRPr="00AD66FE">
        <w:t>2006</w:t>
      </w:r>
      <w:r w:rsidR="00C6460B" w:rsidRPr="00AD66FE">
        <w:t xml:space="preserve"> г. и </w:t>
      </w:r>
      <w:r w:rsidRPr="00AD66FE">
        <w:t>14</w:t>
      </w:r>
      <w:r w:rsidR="00C6460B" w:rsidRPr="00AD66FE">
        <w:t xml:space="preserve"> март </w:t>
      </w:r>
      <w:r w:rsidRPr="00AD66FE">
        <w:t>2007</w:t>
      </w:r>
      <w:r w:rsidR="00C6460B" w:rsidRPr="00AD66FE">
        <w:t> г. бутилките са задържани и като доказателство по отделно наказателно производство срещу Е.Г</w:t>
      </w:r>
      <w:r w:rsidRPr="00AD66FE">
        <w:t>.</w:t>
      </w:r>
      <w:r w:rsidR="00E04D33" w:rsidRPr="00AD66FE">
        <w:t xml:space="preserve"> </w:t>
      </w:r>
      <w:r w:rsidR="00A6327F" w:rsidRPr="00AD66FE">
        <w:t>Оспорваната</w:t>
      </w:r>
      <w:r w:rsidR="00E04D33" w:rsidRPr="00AD66FE">
        <w:t xml:space="preserve"> намеса преследва </w:t>
      </w:r>
      <w:r w:rsidR="00B93E1C" w:rsidRPr="00AD66FE">
        <w:t xml:space="preserve">легитимна </w:t>
      </w:r>
      <w:r w:rsidR="00E04D33" w:rsidRPr="00AD66FE">
        <w:t xml:space="preserve">цел </w:t>
      </w:r>
      <w:r w:rsidR="00A6327F" w:rsidRPr="00AD66FE">
        <w:t xml:space="preserve">в </w:t>
      </w:r>
      <w:r w:rsidR="00E04D33" w:rsidRPr="00AD66FE">
        <w:t xml:space="preserve">интерес </w:t>
      </w:r>
      <w:r w:rsidR="00AB227B" w:rsidRPr="00AD66FE">
        <w:t xml:space="preserve">на обществото </w:t>
      </w:r>
      <w:r w:rsidR="00E04D33" w:rsidRPr="00AD66FE">
        <w:t>и по-конкретно осигуряване на доказат</w:t>
      </w:r>
      <w:r w:rsidR="00412367" w:rsidRPr="00AD66FE">
        <w:t>е</w:t>
      </w:r>
      <w:r w:rsidR="00E04D33" w:rsidRPr="00AD66FE">
        <w:t>лство по текущо наказателно и административно производство</w:t>
      </w:r>
      <w:r w:rsidRPr="00AD66FE">
        <w:t xml:space="preserve">. </w:t>
      </w:r>
      <w:r w:rsidR="00A10F86" w:rsidRPr="00AD66FE">
        <w:t xml:space="preserve">При прилагането на мярката властите са действали с разумна степен на пропорционалност </w:t>
      </w:r>
      <w:r w:rsidR="003C4562" w:rsidRPr="00AD66FE">
        <w:t>между използваното средство и преследваната цел</w:t>
      </w:r>
      <w:r w:rsidRPr="00AD66FE">
        <w:t xml:space="preserve">. </w:t>
      </w:r>
      <w:r w:rsidR="00DE711B" w:rsidRPr="00AD66FE">
        <w:t>Производството се е развило относително бързо</w:t>
      </w:r>
      <w:r w:rsidR="0007040D">
        <w:t xml:space="preserve"> и поради това, че дружеството-жалбоподател не е поискало по законоустановения начин</w:t>
      </w:r>
      <w:r w:rsidR="00DE711B" w:rsidRPr="00AD66FE">
        <w:t xml:space="preserve"> да му бъдат върнати бутилките</w:t>
      </w:r>
      <w:r w:rsidR="0007040D">
        <w:t xml:space="preserve">, в </w:t>
      </w:r>
      <w:proofErr w:type="spellStart"/>
      <w:r w:rsidR="0007040D">
        <w:t>резулта</w:t>
      </w:r>
      <w:proofErr w:type="spellEnd"/>
      <w:r w:rsidR="0007040D">
        <w:t xml:space="preserve"> на което</w:t>
      </w:r>
      <w:r w:rsidR="00DE711B" w:rsidRPr="00AD66FE">
        <w:t xml:space="preserve"> е изтекъл срокът на годност на голяма част от тях</w:t>
      </w:r>
      <w:r w:rsidRPr="00AD66FE">
        <w:t xml:space="preserve">. </w:t>
      </w:r>
      <w:r w:rsidR="007868CB" w:rsidRPr="00AD66FE">
        <w:t>На последно място, Правителството твърди, че вре</w:t>
      </w:r>
      <w:r w:rsidR="0007040D">
        <w:t>дите, претърпени от дружеството-</w:t>
      </w:r>
      <w:r w:rsidR="007868CB" w:rsidRPr="00AD66FE">
        <w:t xml:space="preserve">жалбоподател, са присъща последица </w:t>
      </w:r>
      <w:r w:rsidR="00DF3C58" w:rsidRPr="00AD66FE">
        <w:t>на</w:t>
      </w:r>
      <w:r w:rsidR="007868CB" w:rsidRPr="00AD66FE">
        <w:t xml:space="preserve"> рисковете, съпътстващи търгов</w:t>
      </w:r>
      <w:r w:rsidR="0007040D">
        <w:t>ската дейност, и че дружеството-</w:t>
      </w:r>
      <w:r w:rsidR="007868CB" w:rsidRPr="00AD66FE">
        <w:t>жалбоподател не е използвало подходящо</w:t>
      </w:r>
      <w:r w:rsidR="0007040D">
        <w:t>то</w:t>
      </w:r>
      <w:r w:rsidR="00DD7416" w:rsidRPr="00AD66FE">
        <w:t xml:space="preserve"> средство за защита, за </w:t>
      </w:r>
      <w:r w:rsidR="007868CB" w:rsidRPr="00AD66FE">
        <w:t>да претендира за обезщетение</w:t>
      </w:r>
      <w:r w:rsidRPr="00AD66FE">
        <w:t>.</w:t>
      </w:r>
    </w:p>
    <w:p w:rsidR="00B64935" w:rsidRPr="00AD66FE" w:rsidRDefault="00B64935" w:rsidP="00BA13D9">
      <w:pPr>
        <w:pStyle w:val="ECHRHeading3"/>
      </w:pPr>
      <w:r w:rsidRPr="00AD66FE">
        <w:t>2.  </w:t>
      </w:r>
      <w:r w:rsidR="00C85C5C" w:rsidRPr="00AD66FE">
        <w:t>Преценка на Съда</w:t>
      </w:r>
    </w:p>
    <w:bookmarkStart w:id="48" w:name="Para62New"/>
    <w:bookmarkStart w:id="49" w:name="Para56"/>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64</w:t>
      </w:r>
      <w:r w:rsidRPr="00AD66FE">
        <w:fldChar w:fldCharType="end"/>
      </w:r>
      <w:bookmarkEnd w:id="48"/>
      <w:r w:rsidRPr="00AD66FE">
        <w:t>.  </w:t>
      </w:r>
      <w:r w:rsidR="00214E42" w:rsidRPr="00AD66FE">
        <w:t xml:space="preserve">Съдът отбелязва, че общите принципи по отношение на чл. 1 от Протокол № 1 са посочени например по делото </w:t>
      </w:r>
      <w:proofErr w:type="spellStart"/>
      <w:r w:rsidRPr="00AD66FE">
        <w:rPr>
          <w:i/>
          <w:iCs/>
        </w:rPr>
        <w:t>Hutten-Czapska</w:t>
      </w:r>
      <w:proofErr w:type="spellEnd"/>
      <w:r w:rsidRPr="00AD66FE">
        <w:rPr>
          <w:i/>
          <w:iCs/>
        </w:rPr>
        <w:t xml:space="preserve"> v. </w:t>
      </w:r>
      <w:proofErr w:type="spellStart"/>
      <w:r w:rsidRPr="00AD66FE">
        <w:rPr>
          <w:i/>
          <w:iCs/>
        </w:rPr>
        <w:t>Poland</w:t>
      </w:r>
      <w:proofErr w:type="spellEnd"/>
      <w:r w:rsidRPr="00AD66FE">
        <w:t xml:space="preserve"> ([</w:t>
      </w:r>
      <w:r w:rsidR="00214E42" w:rsidRPr="00AD66FE">
        <w:t>ГК</w:t>
      </w:r>
      <w:r w:rsidRPr="00AD66FE">
        <w:t xml:space="preserve">], </w:t>
      </w:r>
      <w:r w:rsidR="00214E42" w:rsidRPr="00AD66FE">
        <w:t>№</w:t>
      </w:r>
      <w:r w:rsidRPr="00AD66FE">
        <w:t xml:space="preserve"> 35014/97, §§ 163-65 </w:t>
      </w:r>
      <w:r w:rsidR="00214E42" w:rsidRPr="00AD66FE">
        <w:t xml:space="preserve">и </w:t>
      </w:r>
      <w:r w:rsidRPr="00AD66FE">
        <w:t>167-68, ECHR 2006</w:t>
      </w:r>
      <w:r w:rsidRPr="00AD66FE">
        <w:noBreakHyphen/>
        <w:t>VIII).</w:t>
      </w:r>
    </w:p>
    <w:p w:rsidR="00B64935" w:rsidRPr="00AD66FE" w:rsidRDefault="00D00517" w:rsidP="00BA13D9">
      <w:pPr>
        <w:pStyle w:val="ECHRPara"/>
      </w:pPr>
      <w:fldSimple w:instr=" SEQ level0 \*arabic ">
        <w:r w:rsidR="00D20DF1">
          <w:rPr>
            <w:noProof/>
          </w:rPr>
          <w:t>65</w:t>
        </w:r>
      </w:fldSimple>
      <w:r w:rsidR="00B64935" w:rsidRPr="00AD66FE">
        <w:t>.  </w:t>
      </w:r>
      <w:r w:rsidR="002804D4" w:rsidRPr="00AD66FE">
        <w:t xml:space="preserve">Относно настоящия случай Съдът отбелязва, че Правителството не оспорва, че изземването на въпросната стока през януари </w:t>
      </w:r>
      <w:r w:rsidR="00B64935" w:rsidRPr="00AD66FE">
        <w:t>2005</w:t>
      </w:r>
      <w:r w:rsidR="002804D4" w:rsidRPr="00AD66FE">
        <w:t xml:space="preserve"> г. и последващото </w:t>
      </w:r>
      <w:r w:rsidR="00B93E1C" w:rsidRPr="00AD66FE">
        <w:t>ѝ</w:t>
      </w:r>
      <w:r w:rsidR="002804D4" w:rsidRPr="00AD66FE">
        <w:t xml:space="preserve"> задържане до март </w:t>
      </w:r>
      <w:r w:rsidR="00B64935" w:rsidRPr="00AD66FE">
        <w:t>2007</w:t>
      </w:r>
      <w:r w:rsidR="002804D4" w:rsidRPr="00AD66FE">
        <w:t> г. представлява намеса в мирното ползване</w:t>
      </w:r>
      <w:r w:rsidR="0007040D">
        <w:t xml:space="preserve"> на притежанията на дружеството-</w:t>
      </w:r>
      <w:r w:rsidR="002804D4" w:rsidRPr="00AD66FE">
        <w:t>жалбоподател</w:t>
      </w:r>
      <w:r w:rsidR="00B64935" w:rsidRPr="00AD66FE">
        <w:t>.</w:t>
      </w:r>
      <w:r w:rsidR="001F260E" w:rsidRPr="00AD66FE">
        <w:t xml:space="preserve"> Отбелязва още, че изземването е резултат от упражняването</w:t>
      </w:r>
      <w:r w:rsidR="0007040D">
        <w:t xml:space="preserve"> от страна на разследващите органи</w:t>
      </w:r>
      <w:r w:rsidR="00EC2B25" w:rsidRPr="00AD66FE">
        <w:t xml:space="preserve"> </w:t>
      </w:r>
      <w:r w:rsidR="001F260E" w:rsidRPr="00AD66FE">
        <w:t xml:space="preserve">на законните </w:t>
      </w:r>
      <w:r w:rsidR="00EC2B25" w:rsidRPr="00AD66FE">
        <w:t xml:space="preserve">им </w:t>
      </w:r>
      <w:r w:rsidR="001F260E" w:rsidRPr="00AD66FE">
        <w:t>правомощия съгласно чл. </w:t>
      </w:r>
      <w:r w:rsidR="00B64935" w:rsidRPr="00AD66FE">
        <w:t>108</w:t>
      </w:r>
      <w:r w:rsidR="001F260E" w:rsidRPr="00AD66FE">
        <w:t xml:space="preserve"> от Кодекса от </w:t>
      </w:r>
      <w:r w:rsidR="00B64935" w:rsidRPr="00AD66FE">
        <w:t>1974</w:t>
      </w:r>
      <w:r w:rsidR="001F260E" w:rsidRPr="00AD66FE">
        <w:t> г. и чл. </w:t>
      </w:r>
      <w:r w:rsidR="00B64935" w:rsidRPr="00AD66FE">
        <w:t>111</w:t>
      </w:r>
      <w:r w:rsidR="001F260E" w:rsidRPr="00AD66FE">
        <w:t xml:space="preserve"> от Кодекса от </w:t>
      </w:r>
      <w:r w:rsidR="00B64935" w:rsidRPr="00AD66FE">
        <w:t>2005</w:t>
      </w:r>
      <w:r w:rsidR="001F260E" w:rsidRPr="00AD66FE">
        <w:t> г., както и на упражняването от страна на данъчните власти на правомощия</w:t>
      </w:r>
      <w:r w:rsidR="00EC2B25" w:rsidRPr="00AD66FE">
        <w:t>та им</w:t>
      </w:r>
      <w:r w:rsidR="001F260E" w:rsidRPr="00AD66FE">
        <w:t xml:space="preserve"> съгласно Закона от </w:t>
      </w:r>
      <w:r w:rsidR="00B64935" w:rsidRPr="00AD66FE">
        <w:t>1969</w:t>
      </w:r>
      <w:r w:rsidR="001F260E" w:rsidRPr="00AD66FE">
        <w:t xml:space="preserve"> г. </w:t>
      </w:r>
      <w:r w:rsidR="00B64935" w:rsidRPr="00AD66FE">
        <w:t>(</w:t>
      </w:r>
      <w:r w:rsidR="001F260E" w:rsidRPr="00AD66FE">
        <w:t xml:space="preserve">вж. параграфи </w:t>
      </w:r>
      <w:r w:rsidR="00B64935" w:rsidRPr="00AD66FE">
        <w:fldChar w:fldCharType="begin"/>
      </w:r>
      <w:r w:rsidR="00B64935" w:rsidRPr="00AD66FE">
        <w:instrText xml:space="preserve"> REF Para33New \h </w:instrText>
      </w:r>
      <w:r w:rsidR="00AD66FE">
        <w:instrText xml:space="preserve"> \* MERGEFORMAT </w:instrText>
      </w:r>
      <w:r w:rsidR="00B64935" w:rsidRPr="00AD66FE">
        <w:fldChar w:fldCharType="separate"/>
      </w:r>
      <w:r w:rsidR="00D20DF1">
        <w:t>34</w:t>
      </w:r>
      <w:r w:rsidR="00B64935" w:rsidRPr="00AD66FE">
        <w:fldChar w:fldCharType="end"/>
      </w:r>
      <w:r w:rsidR="00B64935" w:rsidRPr="00AD66FE">
        <w:t xml:space="preserve">, </w:t>
      </w:r>
      <w:r w:rsidR="00B64935" w:rsidRPr="00AD66FE">
        <w:fldChar w:fldCharType="begin"/>
      </w:r>
      <w:r w:rsidR="00B64935" w:rsidRPr="00AD66FE">
        <w:instrText xml:space="preserve"> REF Para32 \h </w:instrText>
      </w:r>
      <w:r w:rsidR="00AD66FE">
        <w:instrText xml:space="preserve"> \* MERGEFORMAT </w:instrText>
      </w:r>
      <w:r w:rsidR="00B64935" w:rsidRPr="00AD66FE">
        <w:fldChar w:fldCharType="separate"/>
      </w:r>
      <w:r w:rsidR="00D20DF1">
        <w:t>39</w:t>
      </w:r>
      <w:r w:rsidR="00B64935" w:rsidRPr="00AD66FE">
        <w:fldChar w:fldCharType="end"/>
      </w:r>
      <w:r w:rsidR="00B64935" w:rsidRPr="00AD66FE">
        <w:t xml:space="preserve"> </w:t>
      </w:r>
      <w:r w:rsidR="001F260E" w:rsidRPr="00AD66FE">
        <w:t xml:space="preserve">и </w:t>
      </w:r>
      <w:r w:rsidR="00B64935" w:rsidRPr="00AD66FE">
        <w:fldChar w:fldCharType="begin"/>
      </w:r>
      <w:r w:rsidR="00B64935" w:rsidRPr="00AD66FE">
        <w:instrText xml:space="preserve"> REF Para33 \h </w:instrText>
      </w:r>
      <w:r w:rsidR="00AD66FE">
        <w:instrText xml:space="preserve"> \* MERGEFORMAT </w:instrText>
      </w:r>
      <w:r w:rsidR="00B64935" w:rsidRPr="00AD66FE">
        <w:fldChar w:fldCharType="separate"/>
      </w:r>
      <w:r w:rsidR="00D20DF1">
        <w:t>40</w:t>
      </w:r>
      <w:r w:rsidR="00B64935" w:rsidRPr="00AD66FE">
        <w:fldChar w:fldCharType="end"/>
      </w:r>
      <w:r w:rsidR="00B64935" w:rsidRPr="00AD66FE">
        <w:t xml:space="preserve"> </w:t>
      </w:r>
      <w:r w:rsidR="001F260E" w:rsidRPr="00AD66FE">
        <w:t>по-горе</w:t>
      </w:r>
      <w:r w:rsidR="00B64935" w:rsidRPr="00AD66FE">
        <w:t xml:space="preserve">). </w:t>
      </w:r>
      <w:r w:rsidR="00EC2B25" w:rsidRPr="00AD66FE">
        <w:t>Така, намесата в имуществени права в настоящото дело може да бъде разгледана като съставен елемент на процедурата за контрол</w:t>
      </w:r>
      <w:r w:rsidR="005840DB" w:rsidRPr="00AD66FE">
        <w:t xml:space="preserve"> </w:t>
      </w:r>
      <w:r w:rsidR="00EC2B25" w:rsidRPr="00AD66FE">
        <w:t xml:space="preserve">на ползването на акцизни стоки </w:t>
      </w:r>
      <w:r w:rsidR="00B64935" w:rsidRPr="00AD66FE">
        <w:t>(</w:t>
      </w:r>
      <w:r w:rsidR="00EC2B25" w:rsidRPr="00AD66FE">
        <w:t xml:space="preserve">вж. </w:t>
      </w:r>
      <w:proofErr w:type="spellStart"/>
      <w:r w:rsidR="00B64935" w:rsidRPr="00AD66FE">
        <w:rPr>
          <w:i/>
        </w:rPr>
        <w:t>mutatis</w:t>
      </w:r>
      <w:proofErr w:type="spellEnd"/>
      <w:r w:rsidR="00B64935" w:rsidRPr="00AD66FE">
        <w:rPr>
          <w:i/>
        </w:rPr>
        <w:t xml:space="preserve"> </w:t>
      </w:r>
      <w:proofErr w:type="spellStart"/>
      <w:r w:rsidR="00B64935" w:rsidRPr="00AD66FE">
        <w:rPr>
          <w:i/>
        </w:rPr>
        <w:t>mutandis</w:t>
      </w:r>
      <w:proofErr w:type="spellEnd"/>
      <w:r w:rsidR="00B64935" w:rsidRPr="00AD66FE">
        <w:t xml:space="preserve">, </w:t>
      </w:r>
      <w:r w:rsidR="00B64935" w:rsidRPr="00AD66FE">
        <w:rPr>
          <w:i/>
        </w:rPr>
        <w:t xml:space="preserve">AGOSI v. </w:t>
      </w:r>
      <w:proofErr w:type="spellStart"/>
      <w:r w:rsidR="00B64935" w:rsidRPr="00AD66FE">
        <w:rPr>
          <w:i/>
        </w:rPr>
        <w:t>the</w:t>
      </w:r>
      <w:proofErr w:type="spellEnd"/>
      <w:r w:rsidR="00B64935" w:rsidRPr="00AD66FE">
        <w:rPr>
          <w:i/>
        </w:rPr>
        <w:t xml:space="preserve"> </w:t>
      </w:r>
      <w:proofErr w:type="spellStart"/>
      <w:r w:rsidR="00B64935" w:rsidRPr="00AD66FE">
        <w:rPr>
          <w:i/>
        </w:rPr>
        <w:t>United</w:t>
      </w:r>
      <w:proofErr w:type="spellEnd"/>
      <w:r w:rsidR="00B64935" w:rsidRPr="00AD66FE">
        <w:rPr>
          <w:i/>
        </w:rPr>
        <w:t xml:space="preserve"> </w:t>
      </w:r>
      <w:proofErr w:type="spellStart"/>
      <w:r w:rsidR="00B64935" w:rsidRPr="00AD66FE">
        <w:rPr>
          <w:i/>
        </w:rPr>
        <w:t>Kingdom</w:t>
      </w:r>
      <w:proofErr w:type="spellEnd"/>
      <w:r w:rsidR="00B64935" w:rsidRPr="00AD66FE">
        <w:t>, 24 </w:t>
      </w:r>
      <w:r w:rsidR="00EC2B25" w:rsidRPr="00AD66FE">
        <w:t>октомври</w:t>
      </w:r>
      <w:r w:rsidR="00B64935" w:rsidRPr="00AD66FE">
        <w:t xml:space="preserve"> 1986</w:t>
      </w:r>
      <w:r w:rsidR="00EC2B25" w:rsidRPr="00AD66FE">
        <w:t> г.</w:t>
      </w:r>
      <w:r w:rsidR="00B64935" w:rsidRPr="00AD66FE">
        <w:t xml:space="preserve">, § 51, </w:t>
      </w:r>
      <w:r w:rsidR="00EC2B25" w:rsidRPr="00AD66FE">
        <w:t xml:space="preserve">Серия </w:t>
      </w:r>
      <w:r w:rsidR="00B64935" w:rsidRPr="00AD66FE">
        <w:t xml:space="preserve">A </w:t>
      </w:r>
      <w:r w:rsidR="00EC2B25" w:rsidRPr="00AD66FE">
        <w:t xml:space="preserve">№ </w:t>
      </w:r>
      <w:r w:rsidR="00B64935" w:rsidRPr="00AD66FE">
        <w:t xml:space="preserve">108, </w:t>
      </w:r>
      <w:r w:rsidR="00EC2B25" w:rsidRPr="00AD66FE">
        <w:t xml:space="preserve">и </w:t>
      </w:r>
      <w:proofErr w:type="spellStart"/>
      <w:r w:rsidR="00B64935" w:rsidRPr="00AD66FE">
        <w:rPr>
          <w:i/>
        </w:rPr>
        <w:t>Bowler</w:t>
      </w:r>
      <w:proofErr w:type="spellEnd"/>
      <w:r w:rsidR="00B64935" w:rsidRPr="00AD66FE">
        <w:rPr>
          <w:i/>
        </w:rPr>
        <w:t xml:space="preserve"> International </w:t>
      </w:r>
      <w:proofErr w:type="spellStart"/>
      <w:r w:rsidR="00B64935" w:rsidRPr="00AD66FE">
        <w:rPr>
          <w:i/>
        </w:rPr>
        <w:t>Unit</w:t>
      </w:r>
      <w:proofErr w:type="spellEnd"/>
      <w:r w:rsidR="00B64935" w:rsidRPr="00AD66FE">
        <w:rPr>
          <w:i/>
        </w:rPr>
        <w:t xml:space="preserve"> v. </w:t>
      </w:r>
      <w:proofErr w:type="spellStart"/>
      <w:r w:rsidR="00B64935" w:rsidRPr="00AD66FE">
        <w:rPr>
          <w:i/>
        </w:rPr>
        <w:t>France</w:t>
      </w:r>
      <w:proofErr w:type="spellEnd"/>
      <w:r w:rsidR="00B64935" w:rsidRPr="00AD66FE">
        <w:t xml:space="preserve">, </w:t>
      </w:r>
      <w:r w:rsidR="00BA2EE1" w:rsidRPr="00AD66FE">
        <w:t xml:space="preserve">№ </w:t>
      </w:r>
      <w:r w:rsidR="00B64935" w:rsidRPr="00AD66FE">
        <w:t xml:space="preserve">1946/06, § 41, 23 </w:t>
      </w:r>
      <w:r w:rsidR="00BA2EE1" w:rsidRPr="00AD66FE">
        <w:t xml:space="preserve">юли </w:t>
      </w:r>
      <w:r w:rsidR="00B64935" w:rsidRPr="00AD66FE">
        <w:t>2009</w:t>
      </w:r>
      <w:r w:rsidR="00BA2EE1" w:rsidRPr="00AD66FE">
        <w:t> г.</w:t>
      </w:r>
      <w:r w:rsidR="00B64935" w:rsidRPr="00AD66FE">
        <w:t>),</w:t>
      </w:r>
      <w:r w:rsidR="00BA2EE1" w:rsidRPr="00AD66FE">
        <w:t xml:space="preserve"> като мярка за осигуряване п</w:t>
      </w:r>
      <w:r w:rsidR="0007040D">
        <w:t>лащането на данъци или глоби</w:t>
      </w:r>
      <w:r w:rsidR="00BA2EE1" w:rsidRPr="00AD66FE">
        <w:t xml:space="preserve"> </w:t>
      </w:r>
      <w:r w:rsidR="00B64935" w:rsidRPr="00AD66FE">
        <w:t>(</w:t>
      </w:r>
      <w:r w:rsidR="00BA2EE1" w:rsidRPr="00AD66FE">
        <w:t xml:space="preserve">вж. </w:t>
      </w:r>
      <w:proofErr w:type="spellStart"/>
      <w:r w:rsidR="00B64935" w:rsidRPr="00AD66FE">
        <w:rPr>
          <w:i/>
        </w:rPr>
        <w:t>mutatis</w:t>
      </w:r>
      <w:proofErr w:type="spellEnd"/>
      <w:r w:rsidR="00B64935" w:rsidRPr="00AD66FE">
        <w:rPr>
          <w:i/>
        </w:rPr>
        <w:t xml:space="preserve"> </w:t>
      </w:r>
      <w:proofErr w:type="spellStart"/>
      <w:r w:rsidR="00B64935" w:rsidRPr="00AD66FE">
        <w:rPr>
          <w:i/>
        </w:rPr>
        <w:t>mutandis</w:t>
      </w:r>
      <w:proofErr w:type="spellEnd"/>
      <w:r w:rsidR="00B64935" w:rsidRPr="00AD66FE">
        <w:t xml:space="preserve">, </w:t>
      </w:r>
      <w:proofErr w:type="spellStart"/>
      <w:r w:rsidR="00B64935" w:rsidRPr="00AD66FE">
        <w:rPr>
          <w:i/>
        </w:rPr>
        <w:t>Gasus</w:t>
      </w:r>
      <w:proofErr w:type="spellEnd"/>
      <w:r w:rsidR="00B64935" w:rsidRPr="00AD66FE">
        <w:rPr>
          <w:i/>
        </w:rPr>
        <w:t xml:space="preserve"> </w:t>
      </w:r>
      <w:proofErr w:type="spellStart"/>
      <w:r w:rsidR="00B64935" w:rsidRPr="00AD66FE">
        <w:rPr>
          <w:i/>
        </w:rPr>
        <w:t>Dosier</w:t>
      </w:r>
      <w:proofErr w:type="spellEnd"/>
      <w:r w:rsidR="00B64935" w:rsidRPr="00AD66FE">
        <w:rPr>
          <w:i/>
        </w:rPr>
        <w:t xml:space="preserve">- </w:t>
      </w:r>
      <w:proofErr w:type="spellStart"/>
      <w:r w:rsidR="00B64935" w:rsidRPr="00AD66FE">
        <w:rPr>
          <w:i/>
        </w:rPr>
        <w:t>und</w:t>
      </w:r>
      <w:proofErr w:type="spellEnd"/>
      <w:r w:rsidR="00B64935" w:rsidRPr="00AD66FE">
        <w:rPr>
          <w:i/>
        </w:rPr>
        <w:t xml:space="preserve"> </w:t>
      </w:r>
      <w:proofErr w:type="spellStart"/>
      <w:r w:rsidR="00B64935" w:rsidRPr="00AD66FE">
        <w:rPr>
          <w:i/>
        </w:rPr>
        <w:t>Fördertechnik</w:t>
      </w:r>
      <w:proofErr w:type="spellEnd"/>
      <w:r w:rsidR="00B64935" w:rsidRPr="00AD66FE">
        <w:rPr>
          <w:i/>
        </w:rPr>
        <w:t xml:space="preserve"> </w:t>
      </w:r>
      <w:proofErr w:type="spellStart"/>
      <w:r w:rsidR="00B64935" w:rsidRPr="00AD66FE">
        <w:rPr>
          <w:i/>
        </w:rPr>
        <w:t>GmbH</w:t>
      </w:r>
      <w:proofErr w:type="spellEnd"/>
      <w:r w:rsidR="00B64935" w:rsidRPr="00AD66FE">
        <w:rPr>
          <w:i/>
        </w:rPr>
        <w:t xml:space="preserve"> v. </w:t>
      </w:r>
      <w:proofErr w:type="spellStart"/>
      <w:r w:rsidR="00B64935" w:rsidRPr="00AD66FE">
        <w:rPr>
          <w:i/>
        </w:rPr>
        <w:t>the</w:t>
      </w:r>
      <w:proofErr w:type="spellEnd"/>
      <w:r w:rsidR="00B64935" w:rsidRPr="00AD66FE">
        <w:rPr>
          <w:i/>
        </w:rPr>
        <w:t xml:space="preserve"> </w:t>
      </w:r>
      <w:proofErr w:type="spellStart"/>
      <w:r w:rsidR="00B64935" w:rsidRPr="00AD66FE">
        <w:rPr>
          <w:i/>
        </w:rPr>
        <w:t>Netherlands</w:t>
      </w:r>
      <w:proofErr w:type="spellEnd"/>
      <w:r w:rsidR="00BA2EE1" w:rsidRPr="00AD66FE">
        <w:t xml:space="preserve">, 23 февруари </w:t>
      </w:r>
      <w:r w:rsidR="00B64935" w:rsidRPr="00AD66FE">
        <w:t>1995</w:t>
      </w:r>
      <w:r w:rsidR="00BA2EE1" w:rsidRPr="00AD66FE">
        <w:t> г.</w:t>
      </w:r>
      <w:r w:rsidR="00B64935" w:rsidRPr="00AD66FE">
        <w:t xml:space="preserve">, § 59, </w:t>
      </w:r>
      <w:r w:rsidR="00BA2EE1" w:rsidRPr="00AD66FE">
        <w:t xml:space="preserve">Серия A № </w:t>
      </w:r>
      <w:r w:rsidR="00B64935" w:rsidRPr="00AD66FE">
        <w:t>306</w:t>
      </w:r>
      <w:r w:rsidR="00B64935" w:rsidRPr="00AD66FE">
        <w:noBreakHyphen/>
        <w:t>B)</w:t>
      </w:r>
      <w:r w:rsidR="00BA2EE1" w:rsidRPr="00AD66FE">
        <w:t xml:space="preserve"> и като м</w:t>
      </w:r>
      <w:r w:rsidR="0007040D">
        <w:t>ярка за осигуряване на веществени</w:t>
      </w:r>
      <w:r w:rsidR="00BA2EE1" w:rsidRPr="00AD66FE">
        <w:t xml:space="preserve"> доказателства по текущо административно и наказателно производство </w:t>
      </w:r>
      <w:r w:rsidR="00B64935" w:rsidRPr="00AD66FE">
        <w:t>(</w:t>
      </w:r>
      <w:r w:rsidR="00BA2EE1" w:rsidRPr="00AD66FE">
        <w:t xml:space="preserve">вж. </w:t>
      </w:r>
      <w:r w:rsidR="00BA2EE1" w:rsidRPr="00AD66FE">
        <w:rPr>
          <w:i/>
        </w:rPr>
        <w:t>Атанасов и Овчаров срещу България</w:t>
      </w:r>
      <w:r w:rsidR="00B64935" w:rsidRPr="00AD66FE">
        <w:t xml:space="preserve">, </w:t>
      </w:r>
      <w:r w:rsidR="00BA2EE1" w:rsidRPr="00AD66FE">
        <w:t xml:space="preserve">№ </w:t>
      </w:r>
      <w:r w:rsidR="00B64935" w:rsidRPr="00AD66FE">
        <w:t>61596/00, § 72, 17 </w:t>
      </w:r>
      <w:r w:rsidR="00BA2EE1" w:rsidRPr="00AD66FE">
        <w:t xml:space="preserve">януари </w:t>
      </w:r>
      <w:r w:rsidR="00B64935" w:rsidRPr="00AD66FE">
        <w:t>2008</w:t>
      </w:r>
      <w:r w:rsidR="00BA2EE1" w:rsidRPr="00AD66FE">
        <w:t> г.</w:t>
      </w:r>
      <w:r w:rsidR="00B64935" w:rsidRPr="00AD66FE">
        <w:t>).</w:t>
      </w:r>
      <w:r w:rsidR="00BA2EE1" w:rsidRPr="00AD66FE">
        <w:t xml:space="preserve"> Оттук следва, че в настоящия случай се прилага </w:t>
      </w:r>
      <w:r w:rsidR="00D35994" w:rsidRPr="00AD66FE">
        <w:t>втората алинея н</w:t>
      </w:r>
      <w:r w:rsidR="00BA2EE1" w:rsidRPr="00AD66FE">
        <w:t>а чл. 1 от Протокол № 1</w:t>
      </w:r>
      <w:r w:rsidR="00B64935" w:rsidRPr="00AD66FE">
        <w:t>.</w:t>
      </w:r>
    </w:p>
    <w:p w:rsidR="00B64935" w:rsidRPr="00AD66FE" w:rsidRDefault="00D00517" w:rsidP="00BA13D9">
      <w:pPr>
        <w:pStyle w:val="ECHRPara"/>
      </w:pPr>
      <w:fldSimple w:instr=" SEQ level0 \*arabic ">
        <w:r w:rsidR="00D20DF1">
          <w:rPr>
            <w:noProof/>
          </w:rPr>
          <w:t>66</w:t>
        </w:r>
      </w:fldSimple>
      <w:r w:rsidR="00B64935" w:rsidRPr="00AD66FE">
        <w:t>.  </w:t>
      </w:r>
      <w:r w:rsidR="0067049E" w:rsidRPr="00AD66FE">
        <w:t>Тази разпоредба обаче трябва да се тълкува в светлината на общия принцип, формулиран в началното изречение на първата алинея на чл. 1 от Протокол № 1</w:t>
      </w:r>
      <w:r w:rsidR="00B64935" w:rsidRPr="00AD66FE">
        <w:t xml:space="preserve">. </w:t>
      </w:r>
      <w:r w:rsidR="00D37D0F" w:rsidRPr="00AD66FE">
        <w:t>Задачата на Съда по този въпрос е първо да прецени дали намесат</w:t>
      </w:r>
      <w:r w:rsidR="0007040D">
        <w:t>а в притежанията на дружеството-</w:t>
      </w:r>
      <w:r w:rsidR="00D37D0F" w:rsidRPr="00AD66FE">
        <w:t xml:space="preserve">жалбоподател е </w:t>
      </w:r>
      <w:r w:rsidR="00C16096" w:rsidRPr="00AD66FE">
        <w:t>законосъобразна</w:t>
      </w:r>
      <w:r w:rsidR="00D37D0F" w:rsidRPr="00AD66FE">
        <w:t xml:space="preserve"> и в интерес на обществото</w:t>
      </w:r>
      <w:r w:rsidR="001B0DF0" w:rsidRPr="00AD66FE">
        <w:t xml:space="preserve"> и, ако отговорът е положителен, дали намесата постига справедлив баланс между </w:t>
      </w:r>
      <w:r w:rsidR="00C16096" w:rsidRPr="00AD66FE">
        <w:t>изискванията</w:t>
      </w:r>
      <w:r w:rsidR="001B0DF0" w:rsidRPr="00AD66FE">
        <w:t xml:space="preserve"> на общия и</w:t>
      </w:r>
      <w:r w:rsidR="0007040D">
        <w:t>нтерес и правата на дружеството-</w:t>
      </w:r>
      <w:r w:rsidR="001B0DF0" w:rsidRPr="00AD66FE">
        <w:t xml:space="preserve">жалбоподател </w:t>
      </w:r>
      <w:r w:rsidR="00B64935" w:rsidRPr="00AD66FE">
        <w:t>(</w:t>
      </w:r>
      <w:r w:rsidR="001B0DF0" w:rsidRPr="00AD66FE">
        <w:t xml:space="preserve">вж. </w:t>
      </w:r>
      <w:r w:rsidR="001B0DF0" w:rsidRPr="00AD66FE">
        <w:rPr>
          <w:i/>
        </w:rPr>
        <w:t>„</w:t>
      </w:r>
      <w:proofErr w:type="spellStart"/>
      <w:r w:rsidR="001B0DF0" w:rsidRPr="00AD66FE">
        <w:rPr>
          <w:i/>
        </w:rPr>
        <w:t>Микроинтелект</w:t>
      </w:r>
      <w:proofErr w:type="spellEnd"/>
      <w:r w:rsidR="001B0DF0" w:rsidRPr="00AD66FE">
        <w:rPr>
          <w:i/>
        </w:rPr>
        <w:t>“ ООД срещу България</w:t>
      </w:r>
      <w:r w:rsidR="00B64935" w:rsidRPr="00AD66FE">
        <w:t>,</w:t>
      </w:r>
      <w:r w:rsidR="001B0DF0" w:rsidRPr="00AD66FE">
        <w:t xml:space="preserve"> № </w:t>
      </w:r>
      <w:r w:rsidR="00B64935" w:rsidRPr="00AD66FE">
        <w:t>34129/03, § 37, 4</w:t>
      </w:r>
      <w:r w:rsidR="001B0DF0" w:rsidRPr="00AD66FE">
        <w:t xml:space="preserve"> март</w:t>
      </w:r>
      <w:r w:rsidR="00432000" w:rsidRPr="00AD66FE">
        <w:t xml:space="preserve"> 2014 г.</w:t>
      </w:r>
      <w:r w:rsidR="00B64935" w:rsidRPr="00AD66FE">
        <w:t>).</w:t>
      </w:r>
    </w:p>
    <w:p w:rsidR="00B64935" w:rsidRPr="00AD66FE" w:rsidRDefault="00D00517" w:rsidP="00BA13D9">
      <w:pPr>
        <w:pStyle w:val="ECHRPara"/>
      </w:pPr>
      <w:fldSimple w:instr=" SEQ level0 \*arabic ">
        <w:r w:rsidR="00D20DF1">
          <w:rPr>
            <w:noProof/>
          </w:rPr>
          <w:t>67</w:t>
        </w:r>
      </w:fldSimple>
      <w:r w:rsidR="00B64935" w:rsidRPr="00AD66FE">
        <w:t>.  </w:t>
      </w:r>
      <w:r w:rsidR="00C16096" w:rsidRPr="00AD66FE">
        <w:t>Първото и най-важно изискване на чл. 1 от Протокол № 1 е всяка намеса от страна на държавните власти в мирното ползване на притежанията да бъде законосъобразна</w:t>
      </w:r>
      <w:r w:rsidR="00B64935" w:rsidRPr="00AD66FE">
        <w:t>.</w:t>
      </w:r>
      <w:r w:rsidR="00537437" w:rsidRPr="00AD66FE">
        <w:t xml:space="preserve"> Изискването за законосъобразност, по смисъла на Конвенцията, изисква спазване на съответните разпоредби на </w:t>
      </w:r>
      <w:r w:rsidR="00B93E1C" w:rsidRPr="00AD66FE">
        <w:t xml:space="preserve">вътрешното </w:t>
      </w:r>
      <w:r w:rsidR="00537437" w:rsidRPr="00AD66FE">
        <w:t xml:space="preserve">право и съобразяване с върховенството на закона, което включва свобода от произвол (вж. </w:t>
      </w:r>
      <w:proofErr w:type="spellStart"/>
      <w:r w:rsidR="00537437" w:rsidRPr="00AD66FE">
        <w:rPr>
          <w:i/>
        </w:rPr>
        <w:t>Патрикова</w:t>
      </w:r>
      <w:proofErr w:type="spellEnd"/>
      <w:r w:rsidR="00537437" w:rsidRPr="00AD66FE">
        <w:rPr>
          <w:i/>
        </w:rPr>
        <w:t xml:space="preserve"> срещу България</w:t>
      </w:r>
      <w:r w:rsidR="00B64935" w:rsidRPr="00AD66FE">
        <w:t xml:space="preserve">, </w:t>
      </w:r>
      <w:r w:rsidR="00537437" w:rsidRPr="00AD66FE">
        <w:t xml:space="preserve">№ </w:t>
      </w:r>
      <w:r w:rsidR="00B64935" w:rsidRPr="00AD66FE">
        <w:t xml:space="preserve">71835/01, § 82, 4 </w:t>
      </w:r>
      <w:r w:rsidR="00537437" w:rsidRPr="00AD66FE">
        <w:t xml:space="preserve">март </w:t>
      </w:r>
      <w:r w:rsidR="00B64935" w:rsidRPr="00AD66FE">
        <w:t>2010</w:t>
      </w:r>
      <w:r w:rsidR="00537437" w:rsidRPr="00AD66FE">
        <w:t> г</w:t>
      </w:r>
      <w:r w:rsidR="00B64935" w:rsidRPr="00AD66FE">
        <w:t>).</w:t>
      </w:r>
    </w:p>
    <w:bookmarkStart w:id="50" w:name="Para68"/>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68</w:t>
      </w:r>
      <w:r w:rsidRPr="00AD66FE">
        <w:fldChar w:fldCharType="end"/>
      </w:r>
      <w:bookmarkEnd w:id="50"/>
      <w:r w:rsidRPr="00AD66FE">
        <w:t>.  </w:t>
      </w:r>
      <w:r w:rsidR="00312DDA" w:rsidRPr="00AD66FE">
        <w:t xml:space="preserve">Що се отнася до законосъобразността на намесата, Съдът отбелязва, че има само ограничени правомощия да разглежда твърдения  за направени от националните власти грешки при прилагане на </w:t>
      </w:r>
      <w:r w:rsidR="0007040D">
        <w:t>националното законодателство</w:t>
      </w:r>
      <w:r w:rsidRPr="00AD66FE">
        <w:t xml:space="preserve">. </w:t>
      </w:r>
      <w:r w:rsidR="00E5229F" w:rsidRPr="00AD66FE">
        <w:t xml:space="preserve">Въпреки че Съдът може и трябва да упражни известен съдебен контрол по този въпрос, тъй като неспазването на вътрешното законодателство води до нарушение на чл. 1 от Протокол № 1, обхватът на неговата задача е ограничен поради субсидиарния характер на Конвенцията и той не може да поставя под въпрос начина, по който националните съдилища тълкуват и прилагат вътрешното право, освен в случаи на грубо неспазване или произвол </w:t>
      </w:r>
      <w:r w:rsidRPr="00AD66FE">
        <w:t>(</w:t>
      </w:r>
      <w:r w:rsidR="00E5229F" w:rsidRPr="00AD66FE">
        <w:t xml:space="preserve">вж. </w:t>
      </w:r>
      <w:r w:rsidR="00E5229F" w:rsidRPr="00AD66FE">
        <w:rPr>
          <w:i/>
        </w:rPr>
        <w:t>„</w:t>
      </w:r>
      <w:proofErr w:type="spellStart"/>
      <w:r w:rsidR="00E5229F" w:rsidRPr="00AD66FE">
        <w:rPr>
          <w:i/>
        </w:rPr>
        <w:t>Микроинтелект</w:t>
      </w:r>
      <w:proofErr w:type="spellEnd"/>
      <w:r w:rsidR="00E5229F" w:rsidRPr="00AD66FE">
        <w:rPr>
          <w:i/>
        </w:rPr>
        <w:t>“ ООД срещу България</w:t>
      </w:r>
      <w:r w:rsidRPr="00AD66FE">
        <w:t xml:space="preserve">, </w:t>
      </w:r>
      <w:r w:rsidR="00E5229F" w:rsidRPr="00AD66FE">
        <w:t>цитирано по-горе</w:t>
      </w:r>
      <w:r w:rsidRPr="00AD66FE">
        <w:t>, § 39).</w:t>
      </w:r>
    </w:p>
    <w:p w:rsidR="00B64935" w:rsidRPr="00AD66FE" w:rsidRDefault="00D00517" w:rsidP="00BA13D9">
      <w:pPr>
        <w:pStyle w:val="ECHRPara"/>
      </w:pPr>
      <w:fldSimple w:instr=" SEQ level0 \*arabic ">
        <w:r w:rsidR="00D20DF1">
          <w:rPr>
            <w:noProof/>
          </w:rPr>
          <w:t>69</w:t>
        </w:r>
      </w:fldSimple>
      <w:r w:rsidR="00B64935" w:rsidRPr="00AD66FE">
        <w:t>.  </w:t>
      </w:r>
      <w:r w:rsidR="00180260" w:rsidRPr="00AD66FE">
        <w:t>В настоящия случай Съдът отбелязва, че изземв</w:t>
      </w:r>
      <w:r w:rsidR="0007040D">
        <w:t>ането на стоката на дружеството-</w:t>
      </w:r>
      <w:r w:rsidR="00180260" w:rsidRPr="00AD66FE">
        <w:t xml:space="preserve">жалбоподател на </w:t>
      </w:r>
      <w:r w:rsidR="00B64935" w:rsidRPr="00AD66FE">
        <w:t>6-7</w:t>
      </w:r>
      <w:r w:rsidR="00180260" w:rsidRPr="00AD66FE">
        <w:t xml:space="preserve"> януари </w:t>
      </w:r>
      <w:r w:rsidR="00B64935" w:rsidRPr="00AD66FE">
        <w:t>2005</w:t>
      </w:r>
      <w:r w:rsidR="005576B3">
        <w:t> г. е направено</w:t>
      </w:r>
      <w:r w:rsidR="00180260" w:rsidRPr="00AD66FE">
        <w:t xml:space="preserve"> за целите </w:t>
      </w:r>
      <w:r w:rsidR="00A3291B" w:rsidRPr="00AD66FE">
        <w:t xml:space="preserve">на наказателно преследване, което се провежда срещу трети лица </w:t>
      </w:r>
      <w:r w:rsidR="00B64935" w:rsidRPr="00AD66FE">
        <w:t>(</w:t>
      </w:r>
      <w:r w:rsidR="00A3291B" w:rsidRPr="00AD66FE">
        <w:t xml:space="preserve">вж. параграф </w:t>
      </w:r>
      <w:r w:rsidR="00B64935" w:rsidRPr="00AD66FE">
        <w:fldChar w:fldCharType="begin"/>
      </w:r>
      <w:r w:rsidR="00B64935" w:rsidRPr="00AD66FE">
        <w:instrText xml:space="preserve"> REF Para6 \h </w:instrText>
      </w:r>
      <w:r w:rsidR="00AD66FE">
        <w:instrText xml:space="preserve"> \* MERGEFORMAT </w:instrText>
      </w:r>
      <w:r w:rsidR="00B64935" w:rsidRPr="00AD66FE">
        <w:fldChar w:fldCharType="separate"/>
      </w:r>
      <w:r w:rsidR="00D20DF1">
        <w:t>6</w:t>
      </w:r>
      <w:r w:rsidR="00B64935" w:rsidRPr="00AD66FE">
        <w:fldChar w:fldCharType="end"/>
      </w:r>
      <w:r w:rsidR="00B64935" w:rsidRPr="00AD66FE">
        <w:t xml:space="preserve"> </w:t>
      </w:r>
      <w:r w:rsidR="00A3291B" w:rsidRPr="00AD66FE">
        <w:t>по-горе</w:t>
      </w:r>
      <w:r w:rsidR="00B64935" w:rsidRPr="00AD66FE">
        <w:t>).</w:t>
      </w:r>
      <w:r w:rsidR="005576B3">
        <w:t xml:space="preserve"> Дружеството-</w:t>
      </w:r>
      <w:r w:rsidR="00A3291B" w:rsidRPr="00AD66FE">
        <w:t>жалбоподател е имало възможност да поиска връщане на стоката, което е направило успешно с получаването на окончателно съдеб</w:t>
      </w:r>
      <w:r w:rsidR="00541052" w:rsidRPr="00AD66FE">
        <w:t>но решение в своя п</w:t>
      </w:r>
      <w:r w:rsidR="00A3291B" w:rsidRPr="00AD66FE">
        <w:t xml:space="preserve">олза, което влиза в сила на 7 декември </w:t>
      </w:r>
      <w:r w:rsidR="00B64935" w:rsidRPr="00AD66FE">
        <w:t>2005</w:t>
      </w:r>
      <w:r w:rsidR="00A3291B" w:rsidRPr="00AD66FE">
        <w:t xml:space="preserve"> г.</w:t>
      </w:r>
      <w:r w:rsidR="00B64935" w:rsidRPr="00AD66FE">
        <w:t xml:space="preserve"> (</w:t>
      </w:r>
      <w:r w:rsidR="00A3291B" w:rsidRPr="00AD66FE">
        <w:t xml:space="preserve">вж. параграф </w:t>
      </w:r>
      <w:r w:rsidR="00B64935" w:rsidRPr="00AD66FE">
        <w:fldChar w:fldCharType="begin"/>
      </w:r>
      <w:r w:rsidR="00B64935" w:rsidRPr="00AD66FE">
        <w:instrText xml:space="preserve"> REF Para8 \h </w:instrText>
      </w:r>
      <w:r w:rsidR="00AD66FE">
        <w:instrText xml:space="preserve"> \* MERGEFORMAT </w:instrText>
      </w:r>
      <w:r w:rsidR="00B64935" w:rsidRPr="00AD66FE">
        <w:fldChar w:fldCharType="separate"/>
      </w:r>
      <w:r w:rsidR="00D20DF1">
        <w:t>8</w:t>
      </w:r>
      <w:r w:rsidR="00B64935" w:rsidRPr="00AD66FE">
        <w:fldChar w:fldCharType="end"/>
      </w:r>
      <w:r w:rsidR="00B64935" w:rsidRPr="00AD66FE">
        <w:t xml:space="preserve"> </w:t>
      </w:r>
      <w:r w:rsidR="00A3291B" w:rsidRPr="00AD66FE">
        <w:t>по-горе</w:t>
      </w:r>
      <w:r w:rsidR="00B64935" w:rsidRPr="00AD66FE">
        <w:t>).</w:t>
      </w:r>
      <w:r w:rsidR="00DE3712" w:rsidRPr="00AD66FE">
        <w:t xml:space="preserve"> </w:t>
      </w:r>
      <w:r w:rsidR="005576B3">
        <w:t>Съдът отбелязва, че дружеството-</w:t>
      </w:r>
      <w:r w:rsidR="00DE3712" w:rsidRPr="00AD66FE">
        <w:t>жалбоподател оспор</w:t>
      </w:r>
      <w:r w:rsidR="00F93A8C" w:rsidRPr="00AD66FE">
        <w:t>в</w:t>
      </w:r>
      <w:r w:rsidR="00DE3712" w:rsidRPr="00AD66FE">
        <w:t>а законосъобразността на задържането на негова собственост след този момент</w:t>
      </w:r>
      <w:r w:rsidR="00B64935" w:rsidRPr="00AD66FE">
        <w:t>.</w:t>
      </w:r>
      <w:r w:rsidR="00DE3712" w:rsidRPr="00AD66FE">
        <w:t xml:space="preserve"> Правителството твърди обаче, че дори и след тази дата стоката продължава да </w:t>
      </w:r>
      <w:r w:rsidR="003C36BA" w:rsidRPr="00AD66FE">
        <w:t>бъде</w:t>
      </w:r>
      <w:r w:rsidR="00DE3712" w:rsidRPr="00AD66FE">
        <w:t xml:space="preserve"> задържана на различни </w:t>
      </w:r>
      <w:r w:rsidR="00430256" w:rsidRPr="00AD66FE">
        <w:t>законни</w:t>
      </w:r>
      <w:r w:rsidR="00DE3712" w:rsidRPr="00AD66FE">
        <w:t xml:space="preserve"> основания от властите (вж. параграфи </w:t>
      </w:r>
      <w:bookmarkEnd w:id="49"/>
      <w:r w:rsidR="00B64935" w:rsidRPr="00AD66FE">
        <w:fldChar w:fldCharType="begin"/>
      </w:r>
      <w:r w:rsidR="00B64935" w:rsidRPr="00AD66FE">
        <w:instrText xml:space="preserve"> REF Para61New \h </w:instrText>
      </w:r>
      <w:r w:rsidR="00AD66FE">
        <w:instrText xml:space="preserve"> \* MERGEFORMAT </w:instrText>
      </w:r>
      <w:r w:rsidR="00B64935" w:rsidRPr="00AD66FE">
        <w:fldChar w:fldCharType="separate"/>
      </w:r>
      <w:r w:rsidR="00D20DF1">
        <w:t>62</w:t>
      </w:r>
      <w:r w:rsidR="00B64935" w:rsidRPr="00AD66FE">
        <w:fldChar w:fldCharType="end"/>
      </w:r>
      <w:r w:rsidR="00B64935" w:rsidRPr="00AD66FE">
        <w:t xml:space="preserve"> </w:t>
      </w:r>
      <w:r w:rsidR="00DE3712" w:rsidRPr="00AD66FE">
        <w:t xml:space="preserve">и </w:t>
      </w:r>
      <w:r w:rsidR="00B64935" w:rsidRPr="00AD66FE">
        <w:fldChar w:fldCharType="begin"/>
      </w:r>
      <w:r w:rsidR="00B64935" w:rsidRPr="00AD66FE">
        <w:instrText xml:space="preserve"> REF Para61new2 \h </w:instrText>
      </w:r>
      <w:r w:rsidR="00AD66FE">
        <w:instrText xml:space="preserve"> \* MERGEFORMAT </w:instrText>
      </w:r>
      <w:r w:rsidR="00B64935" w:rsidRPr="00AD66FE">
        <w:fldChar w:fldCharType="separate"/>
      </w:r>
      <w:r w:rsidR="00D20DF1">
        <w:t>63</w:t>
      </w:r>
      <w:r w:rsidR="00B64935" w:rsidRPr="00AD66FE">
        <w:fldChar w:fldCharType="end"/>
      </w:r>
      <w:r w:rsidR="00B64935" w:rsidRPr="00AD66FE">
        <w:t xml:space="preserve"> </w:t>
      </w:r>
      <w:r w:rsidR="00DE3712" w:rsidRPr="00AD66FE">
        <w:t>по-горе</w:t>
      </w:r>
      <w:r w:rsidR="00B64935" w:rsidRPr="00AD66FE">
        <w:t>).</w:t>
      </w:r>
    </w:p>
    <w:bookmarkStart w:id="51" w:name="Para71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70</w:t>
      </w:r>
      <w:r w:rsidRPr="00AD66FE">
        <w:fldChar w:fldCharType="end"/>
      </w:r>
      <w:bookmarkEnd w:id="51"/>
      <w:r w:rsidRPr="00AD66FE">
        <w:t>.  </w:t>
      </w:r>
      <w:r w:rsidR="003C36BA" w:rsidRPr="00AD66FE">
        <w:t xml:space="preserve">Следователно Съдът трябва да установи дали са налице </w:t>
      </w:r>
      <w:r w:rsidR="00352CBA" w:rsidRPr="00AD66FE">
        <w:t>законни</w:t>
      </w:r>
      <w:r w:rsidR="003C36BA" w:rsidRPr="00AD66FE">
        <w:t xml:space="preserve"> основания за задържане след 7 декември </w:t>
      </w:r>
      <w:r w:rsidRPr="00AD66FE">
        <w:t>2005</w:t>
      </w:r>
      <w:r w:rsidR="003C36BA" w:rsidRPr="00AD66FE">
        <w:t> г. и, ако такива основания са налице първоначално и след това са отпаднали, от кой момент може да се смята, че стоката вече не е иззета законосъобразно или по друг начин задържана от властите</w:t>
      </w:r>
      <w:r w:rsidRPr="00AD66FE">
        <w:t>.</w:t>
      </w:r>
    </w:p>
    <w:p w:rsidR="00B64935" w:rsidRPr="00AD66FE" w:rsidRDefault="00D00517" w:rsidP="00BA13D9">
      <w:pPr>
        <w:pStyle w:val="ECHRPara"/>
      </w:pPr>
      <w:fldSimple w:instr=" SEQ level0 \*arabic ">
        <w:r w:rsidR="00D20DF1">
          <w:rPr>
            <w:noProof/>
          </w:rPr>
          <w:t>71</w:t>
        </w:r>
      </w:fldSimple>
      <w:r w:rsidR="00B64935" w:rsidRPr="00AD66FE">
        <w:t>.  </w:t>
      </w:r>
      <w:r w:rsidR="006A3253" w:rsidRPr="00AD66FE">
        <w:t xml:space="preserve">На първо място Съдът отбелязва, че </w:t>
      </w:r>
      <w:r w:rsidR="002266C2" w:rsidRPr="00AD66FE">
        <w:t xml:space="preserve">въпреки множеството съдебни </w:t>
      </w:r>
      <w:r w:rsidR="0056261C" w:rsidRPr="00AD66FE">
        <w:t>производства</w:t>
      </w:r>
      <w:r w:rsidR="002266C2" w:rsidRPr="00AD66FE">
        <w:t xml:space="preserve"> в настоящия случай, националните съдилища не са се произнесли изрично по съществото на въпроса дали задържането след 7 декември </w:t>
      </w:r>
      <w:r w:rsidR="00B64935" w:rsidRPr="00AD66FE">
        <w:t>2005</w:t>
      </w:r>
      <w:r w:rsidR="002266C2" w:rsidRPr="00AD66FE">
        <w:t xml:space="preserve"> г. е </w:t>
      </w:r>
      <w:r w:rsidR="0056261C" w:rsidRPr="00AD66FE">
        <w:t>законосъобразно</w:t>
      </w:r>
      <w:r w:rsidR="002266C2" w:rsidRPr="00AD66FE">
        <w:t xml:space="preserve"> съгласно вътрешното право</w:t>
      </w:r>
      <w:r w:rsidR="00B64935" w:rsidRPr="00AD66FE">
        <w:t>.</w:t>
      </w:r>
      <w:r w:rsidR="00B57F46" w:rsidRPr="00AD66FE">
        <w:t xml:space="preserve"> Доколкото </w:t>
      </w:r>
      <w:r w:rsidR="005D0204" w:rsidRPr="00AD66FE">
        <w:t>има съдебно заключение на националните съдилища в тази връзка, най-релевантния</w:t>
      </w:r>
      <w:r w:rsidR="00251E51" w:rsidRPr="00AD66FE">
        <w:t>т</w:t>
      </w:r>
      <w:r w:rsidR="005D0204" w:rsidRPr="00AD66FE">
        <w:t xml:space="preserve"> от тях е изводът на националните съдилища, че задържането след 7 декември </w:t>
      </w:r>
      <w:r w:rsidR="00B64935" w:rsidRPr="00AD66FE">
        <w:t>2005</w:t>
      </w:r>
      <w:r w:rsidR="005D0204" w:rsidRPr="00AD66FE">
        <w:t xml:space="preserve"> г. не е въз основа на решение на данъчните власти (вж. параграфи </w:t>
      </w:r>
      <w:r w:rsidR="00B64935" w:rsidRPr="00AD66FE">
        <w:fldChar w:fldCharType="begin"/>
      </w:r>
      <w:r w:rsidR="00B64935" w:rsidRPr="00AD66FE">
        <w:instrText xml:space="preserve"> REF Para28New \h </w:instrText>
      </w:r>
      <w:r w:rsidR="00AD66FE">
        <w:instrText xml:space="preserve"> \* MERGEFORMAT </w:instrText>
      </w:r>
      <w:r w:rsidR="00B64935" w:rsidRPr="00AD66FE">
        <w:fldChar w:fldCharType="separate"/>
      </w:r>
      <w:r w:rsidR="00D20DF1">
        <w:t>29</w:t>
      </w:r>
      <w:r w:rsidR="00B64935" w:rsidRPr="00AD66FE">
        <w:fldChar w:fldCharType="end"/>
      </w:r>
      <w:r w:rsidR="00B64935" w:rsidRPr="00AD66FE">
        <w:t>-</w:t>
      </w:r>
      <w:r w:rsidR="00B64935" w:rsidRPr="00AD66FE">
        <w:fldChar w:fldCharType="begin"/>
      </w:r>
      <w:r w:rsidR="00B64935" w:rsidRPr="00AD66FE">
        <w:instrText xml:space="preserve"> REF Para32New \h </w:instrText>
      </w:r>
      <w:r w:rsidR="00AD66FE">
        <w:instrText xml:space="preserve"> \* MERGEFORMAT </w:instrText>
      </w:r>
      <w:r w:rsidR="00B64935" w:rsidRPr="00AD66FE">
        <w:fldChar w:fldCharType="separate"/>
      </w:r>
      <w:r w:rsidR="00D20DF1">
        <w:t>33</w:t>
      </w:r>
      <w:r w:rsidR="00B64935" w:rsidRPr="00AD66FE">
        <w:fldChar w:fldCharType="end"/>
      </w:r>
      <w:r w:rsidR="00B64935" w:rsidRPr="00AD66FE">
        <w:t xml:space="preserve"> </w:t>
      </w:r>
      <w:r w:rsidR="005D0204" w:rsidRPr="00AD66FE">
        <w:t>по-горе</w:t>
      </w:r>
      <w:r w:rsidR="00B64935" w:rsidRPr="00AD66FE">
        <w:t>).</w:t>
      </w:r>
    </w:p>
    <w:p w:rsidR="00B64935" w:rsidRPr="00AD66FE" w:rsidRDefault="00D00517" w:rsidP="00BA13D9">
      <w:pPr>
        <w:pStyle w:val="ECHRPara"/>
      </w:pPr>
      <w:fldSimple w:instr=" SEQ level0 \*arabic ">
        <w:r w:rsidR="00D20DF1">
          <w:rPr>
            <w:noProof/>
          </w:rPr>
          <w:t>72</w:t>
        </w:r>
      </w:fldSimple>
      <w:r w:rsidR="00B64935" w:rsidRPr="00AD66FE">
        <w:t>.  </w:t>
      </w:r>
      <w:r w:rsidR="003E110C" w:rsidRPr="00AD66FE">
        <w:t xml:space="preserve">Що се отнася до твърдението на Правителството, че бутилките са иззети като доказателство в производството за </w:t>
      </w:r>
      <w:r w:rsidR="005576B3">
        <w:t xml:space="preserve">установяване на </w:t>
      </w:r>
      <w:r w:rsidR="003E110C" w:rsidRPr="00AD66FE">
        <w:t xml:space="preserve">административно нарушение, заведено на 11 август </w:t>
      </w:r>
      <w:r w:rsidR="00B64935" w:rsidRPr="00AD66FE">
        <w:t>2005</w:t>
      </w:r>
      <w:r w:rsidR="003E110C" w:rsidRPr="00AD66FE">
        <w:t> г.</w:t>
      </w:r>
      <w:r w:rsidR="00B64935" w:rsidRPr="00AD66FE">
        <w:t>,</w:t>
      </w:r>
      <w:r w:rsidR="003E110C" w:rsidRPr="00AD66FE">
        <w:t xml:space="preserve"> Съдът отбелязва, че в акта от тази по-късна дата, съставен в рамк</w:t>
      </w:r>
      <w:r w:rsidR="00662F96" w:rsidRPr="00AD66FE">
        <w:t xml:space="preserve">ите </w:t>
      </w:r>
      <w:r w:rsidR="003E110C" w:rsidRPr="00AD66FE">
        <w:t xml:space="preserve">на производството, се споменава само поредица от документи, иззети като доказателство, включително </w:t>
      </w:r>
      <w:r w:rsidR="00B93E1C" w:rsidRPr="00AD66FE">
        <w:t xml:space="preserve">докладите </w:t>
      </w:r>
      <w:r w:rsidR="003E110C" w:rsidRPr="00AD66FE">
        <w:t xml:space="preserve">за претърсване и изземване на 6 и 7 януари </w:t>
      </w:r>
      <w:r w:rsidR="00B64935" w:rsidRPr="00AD66FE">
        <w:t>2005</w:t>
      </w:r>
      <w:r w:rsidR="003E110C" w:rsidRPr="00AD66FE">
        <w:t> г.</w:t>
      </w:r>
      <w:r w:rsidR="00B64935" w:rsidRPr="00AD66FE">
        <w:t>, 11</w:t>
      </w:r>
      <w:r w:rsidR="003E110C" w:rsidRPr="00AD66FE">
        <w:t xml:space="preserve"> юли </w:t>
      </w:r>
      <w:r w:rsidR="00B64935" w:rsidRPr="00AD66FE">
        <w:t>2005</w:t>
      </w:r>
      <w:r w:rsidR="003E110C" w:rsidRPr="00AD66FE">
        <w:t xml:space="preserve"> г. и </w:t>
      </w:r>
      <w:r w:rsidR="00B64935" w:rsidRPr="00AD66FE">
        <w:t>5</w:t>
      </w:r>
      <w:r w:rsidR="003E110C" w:rsidRPr="00AD66FE">
        <w:t xml:space="preserve"> август </w:t>
      </w:r>
      <w:r w:rsidR="00B64935" w:rsidRPr="00AD66FE">
        <w:t>2005</w:t>
      </w:r>
      <w:r w:rsidR="003E110C" w:rsidRPr="00AD66FE">
        <w:t> г.</w:t>
      </w:r>
      <w:r w:rsidR="00B64935" w:rsidRPr="00AD66FE">
        <w:t xml:space="preserve"> (</w:t>
      </w:r>
      <w:r w:rsidR="003E110C" w:rsidRPr="00AD66FE">
        <w:t>вж. параграфи</w:t>
      </w:r>
      <w:r w:rsidR="00B64935" w:rsidRPr="00AD66FE">
        <w:t> </w:t>
      </w:r>
      <w:r w:rsidR="00B64935" w:rsidRPr="00AD66FE">
        <w:fldChar w:fldCharType="begin"/>
      </w:r>
      <w:r w:rsidR="00B64935" w:rsidRPr="00AD66FE">
        <w:instrText xml:space="preserve"> REF Para9 \h </w:instrText>
      </w:r>
      <w:r w:rsidR="00AD66FE">
        <w:instrText xml:space="preserve"> \* MERGEFORMAT </w:instrText>
      </w:r>
      <w:r w:rsidR="00B64935" w:rsidRPr="00AD66FE">
        <w:fldChar w:fldCharType="separate"/>
      </w:r>
      <w:r w:rsidR="00D20DF1">
        <w:t>9</w:t>
      </w:r>
      <w:r w:rsidR="00B64935" w:rsidRPr="00AD66FE">
        <w:fldChar w:fldCharType="end"/>
      </w:r>
      <w:r w:rsidR="00B64935" w:rsidRPr="00AD66FE">
        <w:t xml:space="preserve"> </w:t>
      </w:r>
      <w:r w:rsidR="003E110C" w:rsidRPr="00AD66FE">
        <w:t xml:space="preserve">и </w:t>
      </w:r>
      <w:r w:rsidR="00B64935" w:rsidRPr="00AD66FE">
        <w:fldChar w:fldCharType="begin"/>
      </w:r>
      <w:r w:rsidR="00B64935" w:rsidRPr="00AD66FE">
        <w:instrText xml:space="preserve"> REF Para10 \h  \* MERGEFORMAT </w:instrText>
      </w:r>
      <w:r w:rsidR="00B64935" w:rsidRPr="00AD66FE">
        <w:fldChar w:fldCharType="separate"/>
      </w:r>
      <w:r w:rsidR="00D20DF1">
        <w:t>10</w:t>
      </w:r>
      <w:r w:rsidR="00B64935" w:rsidRPr="00AD66FE">
        <w:fldChar w:fldCharType="end"/>
      </w:r>
      <w:r w:rsidR="00B64935" w:rsidRPr="00AD66FE">
        <w:t xml:space="preserve"> </w:t>
      </w:r>
      <w:r w:rsidR="003E110C" w:rsidRPr="00AD66FE">
        <w:t>по-горе</w:t>
      </w:r>
      <w:r w:rsidR="00B64935" w:rsidRPr="00AD66FE">
        <w:t>),</w:t>
      </w:r>
      <w:r w:rsidR="003E110C" w:rsidRPr="00AD66FE">
        <w:t xml:space="preserve"> и са описани конкретни документи, иззети въз основа на тези </w:t>
      </w:r>
      <w:r w:rsidR="005576B3">
        <w:t>протоколи</w:t>
      </w:r>
      <w:r w:rsidR="00B64935" w:rsidRPr="00AD66FE">
        <w:t xml:space="preserve">. </w:t>
      </w:r>
      <w:r w:rsidR="00CB79A2" w:rsidRPr="00AD66FE">
        <w:t xml:space="preserve">От друга страна, противно на твърденията на Правителството (вж. параграф </w:t>
      </w:r>
      <w:r w:rsidR="00B64935" w:rsidRPr="00AD66FE">
        <w:fldChar w:fldCharType="begin"/>
      </w:r>
      <w:r w:rsidR="00B64935" w:rsidRPr="00AD66FE">
        <w:instrText xml:space="preserve"> REF Para61New \h </w:instrText>
      </w:r>
      <w:r w:rsidR="00AD66FE">
        <w:instrText xml:space="preserve"> \* MERGEFORMAT </w:instrText>
      </w:r>
      <w:r w:rsidR="00B64935" w:rsidRPr="00AD66FE">
        <w:fldChar w:fldCharType="separate"/>
      </w:r>
      <w:r w:rsidR="00D20DF1">
        <w:t>62</w:t>
      </w:r>
      <w:r w:rsidR="00B64935" w:rsidRPr="00AD66FE">
        <w:fldChar w:fldCharType="end"/>
      </w:r>
      <w:r w:rsidR="00B64935" w:rsidRPr="00AD66FE">
        <w:t xml:space="preserve"> </w:t>
      </w:r>
      <w:r w:rsidR="00CB79A2" w:rsidRPr="00AD66FE">
        <w:t>по-горе</w:t>
      </w:r>
      <w:r w:rsidR="00B64935" w:rsidRPr="00AD66FE">
        <w:t>)</w:t>
      </w:r>
      <w:r w:rsidR="00CB79A2" w:rsidRPr="00AD66FE">
        <w:t xml:space="preserve"> въпросният акт за административно нарушение </w:t>
      </w:r>
      <w:r w:rsidR="006F408C" w:rsidRPr="00AD66FE">
        <w:t xml:space="preserve">по никакъв начин не посочва, че напитките, иззети въз основа на </w:t>
      </w:r>
      <w:r w:rsidR="00B93E1C" w:rsidRPr="00AD66FE">
        <w:t xml:space="preserve">доклада </w:t>
      </w:r>
      <w:r w:rsidR="006F408C" w:rsidRPr="00AD66FE">
        <w:t xml:space="preserve">от 6 и 7 януари </w:t>
      </w:r>
      <w:r w:rsidR="00B64935" w:rsidRPr="00AD66FE">
        <w:t>2005</w:t>
      </w:r>
      <w:r w:rsidR="006F408C" w:rsidRPr="00AD66FE">
        <w:t> г.</w:t>
      </w:r>
      <w:r w:rsidR="005A332D" w:rsidRPr="00AD66FE">
        <w:t xml:space="preserve">, е трябвало също така да бъдат представени като доказателство за целите на административното производство (вж. параграф </w:t>
      </w:r>
      <w:r w:rsidR="00B64935" w:rsidRPr="00AD66FE">
        <w:fldChar w:fldCharType="begin"/>
      </w:r>
      <w:r w:rsidR="00B64935" w:rsidRPr="00AD66FE">
        <w:instrText xml:space="preserve"> REF Para9 \h </w:instrText>
      </w:r>
      <w:r w:rsidR="00AD66FE">
        <w:instrText xml:space="preserve"> \* MERGEFORMAT </w:instrText>
      </w:r>
      <w:r w:rsidR="00B64935" w:rsidRPr="00AD66FE">
        <w:fldChar w:fldCharType="separate"/>
      </w:r>
      <w:r w:rsidR="00D20DF1">
        <w:t>9</w:t>
      </w:r>
      <w:r w:rsidR="00B64935" w:rsidRPr="00AD66FE">
        <w:fldChar w:fldCharType="end"/>
      </w:r>
      <w:r w:rsidR="00B64935" w:rsidRPr="00AD66FE">
        <w:t xml:space="preserve"> </w:t>
      </w:r>
      <w:r w:rsidR="005A332D" w:rsidRPr="00AD66FE">
        <w:t>по-горе</w:t>
      </w:r>
      <w:r w:rsidR="00B64935" w:rsidRPr="00AD66FE">
        <w:t>).</w:t>
      </w:r>
      <w:r w:rsidR="0059710F" w:rsidRPr="00AD66FE">
        <w:t xml:space="preserve"> Правителството не твърди, че съгласно вътрешното </w:t>
      </w:r>
      <w:r w:rsidR="00B93E1C" w:rsidRPr="00AD66FE">
        <w:t xml:space="preserve">право </w:t>
      </w:r>
      <w:r w:rsidR="0059710F" w:rsidRPr="00AD66FE">
        <w:t xml:space="preserve">изземването на стока </w:t>
      </w:r>
      <w:r w:rsidR="00B3064F" w:rsidRPr="00AD66FE">
        <w:t>като</w:t>
      </w:r>
      <w:r w:rsidR="0059710F" w:rsidRPr="00AD66FE">
        <w:t xml:space="preserve"> доказателство в производство за административно нарушение е въ</w:t>
      </w:r>
      <w:r w:rsidR="00715EEE" w:rsidRPr="00AD66FE">
        <w:t>з</w:t>
      </w:r>
      <w:r w:rsidR="0059710F" w:rsidRPr="00AD66FE">
        <w:t xml:space="preserve">можно без изрично писмено </w:t>
      </w:r>
      <w:r w:rsidR="00715EEE" w:rsidRPr="00AD66FE">
        <w:t>разпореждане</w:t>
      </w:r>
      <w:r w:rsidR="005576B3">
        <w:t xml:space="preserve"> в този смисъл в съответно</w:t>
      </w:r>
      <w:r w:rsidR="0059710F" w:rsidRPr="00AD66FE">
        <w:t xml:space="preserve"> решение</w:t>
      </w:r>
      <w:r w:rsidR="00B64935" w:rsidRPr="00AD66FE">
        <w:t>.</w:t>
      </w:r>
    </w:p>
    <w:p w:rsidR="00B64935" w:rsidRPr="00AD66FE" w:rsidRDefault="00D00517" w:rsidP="00BA13D9">
      <w:pPr>
        <w:pStyle w:val="ECHRPara"/>
      </w:pPr>
      <w:fldSimple w:instr=" SEQ level0 \*arabic ">
        <w:r w:rsidR="00D20DF1">
          <w:rPr>
            <w:noProof/>
          </w:rPr>
          <w:t>73</w:t>
        </w:r>
      </w:fldSimple>
      <w:r w:rsidR="00B64935" w:rsidRPr="00AD66FE">
        <w:t>.  </w:t>
      </w:r>
      <w:r w:rsidR="003C7465">
        <w:t>В допълнение, в постановлението</w:t>
      </w:r>
      <w:r w:rsidR="00730E56" w:rsidRPr="00AD66FE">
        <w:t xml:space="preserve"> от 23 декември </w:t>
      </w:r>
      <w:r w:rsidR="00B64935" w:rsidRPr="00AD66FE">
        <w:t>2005</w:t>
      </w:r>
      <w:r w:rsidR="00730E56" w:rsidRPr="00AD66FE">
        <w:t> г.</w:t>
      </w:r>
      <w:r w:rsidR="00B64935" w:rsidRPr="00AD66FE">
        <w:t>,</w:t>
      </w:r>
      <w:r w:rsidR="00730E56" w:rsidRPr="00AD66FE">
        <w:t xml:space="preserve"> с което </w:t>
      </w:r>
      <w:r w:rsidR="008111E5" w:rsidRPr="00AD66FE">
        <w:t xml:space="preserve">Териториалната </w:t>
      </w:r>
      <w:r w:rsidR="00730E56" w:rsidRPr="00AD66FE">
        <w:t xml:space="preserve">данъчна дирекция </w:t>
      </w:r>
      <w:r w:rsidR="008111E5" w:rsidRPr="00AD66FE">
        <w:t xml:space="preserve">във Варна </w:t>
      </w:r>
      <w:r w:rsidR="00730E56" w:rsidRPr="00AD66FE">
        <w:t xml:space="preserve">разпорежда отнемане в полза на държавата на бутилките, се </w:t>
      </w:r>
      <w:r w:rsidR="00B93E1C" w:rsidRPr="00AD66FE">
        <w:t>посочва</w:t>
      </w:r>
      <w:r w:rsidR="00730E56" w:rsidRPr="00AD66FE">
        <w:t xml:space="preserve">, че те са иззети от полицията  на 6 и 7 януари </w:t>
      </w:r>
      <w:r w:rsidR="00B64935" w:rsidRPr="00AD66FE">
        <w:t>2005</w:t>
      </w:r>
      <w:r w:rsidR="00730E56" w:rsidRPr="00AD66FE">
        <w:t xml:space="preserve"> г. в наказателното производство срещу първата група трети лица, а не в рамките на административното производство, </w:t>
      </w:r>
      <w:r w:rsidR="001458C6" w:rsidRPr="00AD66FE">
        <w:t xml:space="preserve">образувано </w:t>
      </w:r>
      <w:r w:rsidR="00730E56" w:rsidRPr="00AD66FE">
        <w:t xml:space="preserve">на 11 август </w:t>
      </w:r>
      <w:r w:rsidR="00B64935" w:rsidRPr="00AD66FE">
        <w:t>2005</w:t>
      </w:r>
      <w:r w:rsidR="00730E56" w:rsidRPr="00AD66FE">
        <w:t> г.</w:t>
      </w:r>
      <w:r w:rsidR="00B64935" w:rsidRPr="00AD66FE">
        <w:t xml:space="preserve"> (</w:t>
      </w:r>
      <w:r w:rsidR="00730E56" w:rsidRPr="00AD66FE">
        <w:t xml:space="preserve">вж. параграфи </w:t>
      </w:r>
      <w:r w:rsidR="00B64935" w:rsidRPr="00AD66FE">
        <w:t>9</w:t>
      </w:r>
      <w:r w:rsidR="00730E56" w:rsidRPr="00AD66FE">
        <w:t xml:space="preserve"> и </w:t>
      </w:r>
      <w:r w:rsidR="00B64935" w:rsidRPr="00AD66FE">
        <w:fldChar w:fldCharType="begin"/>
      </w:r>
      <w:r w:rsidR="00B64935" w:rsidRPr="00AD66FE">
        <w:instrText xml:space="preserve"> REF Para10 \h </w:instrText>
      </w:r>
      <w:r w:rsidR="00AD66FE">
        <w:instrText xml:space="preserve"> \* MERGEFORMAT </w:instrText>
      </w:r>
      <w:r w:rsidR="00B64935" w:rsidRPr="00AD66FE">
        <w:fldChar w:fldCharType="separate"/>
      </w:r>
      <w:r w:rsidR="00D20DF1">
        <w:t>10</w:t>
      </w:r>
      <w:r w:rsidR="00B64935" w:rsidRPr="00AD66FE">
        <w:fldChar w:fldCharType="end"/>
      </w:r>
      <w:r w:rsidR="00B64935" w:rsidRPr="00AD66FE">
        <w:t xml:space="preserve"> </w:t>
      </w:r>
      <w:r w:rsidR="00730E56" w:rsidRPr="00AD66FE">
        <w:t>по-горе</w:t>
      </w:r>
      <w:r w:rsidR="00B64935" w:rsidRPr="00AD66FE">
        <w:t>).</w:t>
      </w:r>
    </w:p>
    <w:p w:rsidR="00B64935" w:rsidRPr="00AD66FE" w:rsidRDefault="00D00517" w:rsidP="00BA13D9">
      <w:pPr>
        <w:pStyle w:val="ECHRPara"/>
      </w:pPr>
      <w:fldSimple w:instr=" SEQ level0 \*arabic ">
        <w:r w:rsidR="00D20DF1">
          <w:rPr>
            <w:noProof/>
          </w:rPr>
          <w:t>74</w:t>
        </w:r>
      </w:fldSimple>
      <w:r w:rsidR="00B64935" w:rsidRPr="00AD66FE">
        <w:t>.  </w:t>
      </w:r>
      <w:r w:rsidR="00466D98" w:rsidRPr="00AD66FE">
        <w:t xml:space="preserve">Съдът отбелязва, че чл. </w:t>
      </w:r>
      <w:r w:rsidR="00B64935" w:rsidRPr="00AD66FE">
        <w:t>42</w:t>
      </w:r>
      <w:r w:rsidR="00466D98" w:rsidRPr="00AD66FE">
        <w:t xml:space="preserve"> от Закона за административните нарушения и наказания от 1969 г. предвижда </w:t>
      </w:r>
      <w:r w:rsidR="005576B3">
        <w:t>изрично, че наказателното постановление</w:t>
      </w:r>
      <w:r w:rsidR="00466D98" w:rsidRPr="00AD66FE">
        <w:t xml:space="preserve"> следва да включва списък на иззетите стоки, както и информация за лицето или институцията, които са отговорни за съхраняването на стоките</w:t>
      </w:r>
      <w:r w:rsidR="00B64935" w:rsidRPr="00AD66FE">
        <w:t>.</w:t>
      </w:r>
      <w:r w:rsidR="00E45EBD" w:rsidRPr="00AD66FE">
        <w:t xml:space="preserve"> От установената практика следва също, че пропускът за съставяне на списък се тълкува като неспазване на законно изис</w:t>
      </w:r>
      <w:r w:rsidR="005576B3">
        <w:t xml:space="preserve">кване и наказателните постановления </w:t>
      </w:r>
      <w:r w:rsidR="00E45EBD" w:rsidRPr="00AD66FE">
        <w:t xml:space="preserve">се обявяват за незаконосъобразни </w:t>
      </w:r>
      <w:r w:rsidR="00B64935" w:rsidRPr="00AD66FE">
        <w:t>(</w:t>
      </w:r>
      <w:r w:rsidR="00E45EBD" w:rsidRPr="00AD66FE">
        <w:t xml:space="preserve">вж. параграф </w:t>
      </w:r>
      <w:r w:rsidR="00B64935" w:rsidRPr="00AD66FE">
        <w:fldChar w:fldCharType="begin"/>
      </w:r>
      <w:r w:rsidR="00B64935" w:rsidRPr="00AD66FE">
        <w:instrText xml:space="preserve"> REF Para40New \h </w:instrText>
      </w:r>
      <w:r w:rsidR="00AD66FE">
        <w:instrText xml:space="preserve"> \* MERGEFORMAT </w:instrText>
      </w:r>
      <w:r w:rsidR="00B64935" w:rsidRPr="00AD66FE">
        <w:fldChar w:fldCharType="separate"/>
      </w:r>
      <w:r w:rsidR="00D20DF1">
        <w:t>41</w:t>
      </w:r>
      <w:r w:rsidR="00B64935" w:rsidRPr="00AD66FE">
        <w:fldChar w:fldCharType="end"/>
      </w:r>
      <w:r w:rsidR="00B64935" w:rsidRPr="00AD66FE">
        <w:t xml:space="preserve"> </w:t>
      </w:r>
      <w:r w:rsidR="00E45EBD" w:rsidRPr="00AD66FE">
        <w:t>по-горе</w:t>
      </w:r>
      <w:r w:rsidR="00B64935" w:rsidRPr="00AD66FE">
        <w:t>).</w:t>
      </w:r>
      <w:r w:rsidR="00E45EBD" w:rsidRPr="00AD66FE">
        <w:t xml:space="preserve"> Задължението за описване на представените доказателства в производство е налице и в случая на отнемане в полза на държавата (вж. параграф </w:t>
      </w:r>
      <w:r w:rsidR="00B64935" w:rsidRPr="00AD66FE">
        <w:fldChar w:fldCharType="begin"/>
      </w:r>
      <w:r w:rsidR="00B64935" w:rsidRPr="00AD66FE">
        <w:instrText xml:space="preserve"> REF Para35 \h </w:instrText>
      </w:r>
      <w:r w:rsidR="00AD66FE">
        <w:instrText xml:space="preserve"> \* MERGEFORMAT </w:instrText>
      </w:r>
      <w:r w:rsidR="00B64935" w:rsidRPr="00AD66FE">
        <w:fldChar w:fldCharType="separate"/>
      </w:r>
      <w:r w:rsidR="00D20DF1">
        <w:t>43</w:t>
      </w:r>
      <w:r w:rsidR="00B64935" w:rsidRPr="00AD66FE">
        <w:fldChar w:fldCharType="end"/>
      </w:r>
      <w:r w:rsidR="00B64935" w:rsidRPr="00AD66FE">
        <w:t xml:space="preserve"> </w:t>
      </w:r>
      <w:r w:rsidR="00E45EBD" w:rsidRPr="00AD66FE">
        <w:t>по-горе</w:t>
      </w:r>
      <w:r w:rsidR="00B64935" w:rsidRPr="00AD66FE">
        <w:t>).</w:t>
      </w:r>
      <w:r w:rsidR="005576B3">
        <w:t xml:space="preserve"> В</w:t>
      </w:r>
      <w:r w:rsidR="003C7465">
        <w:t xml:space="preserve"> постановлението</w:t>
      </w:r>
      <w:r w:rsidR="00B11E20" w:rsidRPr="00AD66FE">
        <w:t xml:space="preserve"> от 23 декември </w:t>
      </w:r>
      <w:r w:rsidR="00B64935" w:rsidRPr="00AD66FE">
        <w:t>2005</w:t>
      </w:r>
      <w:r w:rsidR="00B11E20" w:rsidRPr="00AD66FE">
        <w:t xml:space="preserve"> г. </w:t>
      </w:r>
      <w:r w:rsidR="005576B3">
        <w:t xml:space="preserve">обаче </w:t>
      </w:r>
      <w:r w:rsidR="00B11E20" w:rsidRPr="00AD66FE">
        <w:t>не се споме</w:t>
      </w:r>
      <w:r w:rsidR="005576B3">
        <w:t>нава, че стоката на дружеството-</w:t>
      </w:r>
      <w:r w:rsidR="00B11E20" w:rsidRPr="00AD66FE">
        <w:t xml:space="preserve">жалбоподател се използва като доказателство, а само се препраща към </w:t>
      </w:r>
      <w:r w:rsidR="005576B3">
        <w:t>протокола</w:t>
      </w:r>
      <w:r w:rsidR="001458C6" w:rsidRPr="00AD66FE">
        <w:t xml:space="preserve"> </w:t>
      </w:r>
      <w:r w:rsidR="00B11E20" w:rsidRPr="00AD66FE">
        <w:t xml:space="preserve">за претърсване и изземване от 6 и 7 януари </w:t>
      </w:r>
      <w:r w:rsidR="00B64935" w:rsidRPr="00AD66FE">
        <w:t>2005</w:t>
      </w:r>
      <w:r w:rsidR="00B11E20" w:rsidRPr="00AD66FE">
        <w:t xml:space="preserve"> г., за да </w:t>
      </w:r>
      <w:r w:rsidR="00AB377A" w:rsidRPr="00AD66FE">
        <w:t>бъде</w:t>
      </w:r>
      <w:r w:rsidR="00B11E20" w:rsidRPr="00AD66FE">
        <w:t xml:space="preserve"> </w:t>
      </w:r>
      <w:r w:rsidR="00F77FD3" w:rsidRPr="00AD66FE">
        <w:t>идентифицира</w:t>
      </w:r>
      <w:r w:rsidR="00AB377A" w:rsidRPr="00AD66FE">
        <w:t>на тя</w:t>
      </w:r>
      <w:r w:rsidR="00F77FD3" w:rsidRPr="00AD66FE">
        <w:t xml:space="preserve">. Както се изисква от вътрешното право, когато </w:t>
      </w:r>
      <w:r w:rsidR="001458C6" w:rsidRPr="00AD66FE">
        <w:t xml:space="preserve">делото </w:t>
      </w:r>
      <w:r w:rsidR="00F77FD3" w:rsidRPr="00AD66FE">
        <w:t xml:space="preserve">се препраща от един орган на друг, се прехвърля и държането на представените </w:t>
      </w:r>
      <w:r w:rsidR="001458C6" w:rsidRPr="00AD66FE">
        <w:t xml:space="preserve">веществени </w:t>
      </w:r>
      <w:r w:rsidR="00F77FD3" w:rsidRPr="00AD66FE">
        <w:t xml:space="preserve">доказателства (вж. параграф </w:t>
      </w:r>
      <w:r w:rsidR="00B64935" w:rsidRPr="00AD66FE">
        <w:fldChar w:fldCharType="begin"/>
      </w:r>
      <w:r w:rsidR="00B64935" w:rsidRPr="00AD66FE">
        <w:instrText xml:space="preserve"> REF Para28 \h </w:instrText>
      </w:r>
      <w:r w:rsidR="00AD66FE">
        <w:instrText xml:space="preserve"> \* MERGEFORMAT </w:instrText>
      </w:r>
      <w:r w:rsidR="00B64935" w:rsidRPr="00AD66FE">
        <w:fldChar w:fldCharType="separate"/>
      </w:r>
      <w:r w:rsidR="00D20DF1">
        <w:rPr>
          <w:snapToGrid w:val="0"/>
        </w:rPr>
        <w:t>36</w:t>
      </w:r>
      <w:r w:rsidR="00B64935" w:rsidRPr="00AD66FE">
        <w:fldChar w:fldCharType="end"/>
      </w:r>
      <w:r w:rsidR="00B64935" w:rsidRPr="00AD66FE">
        <w:t xml:space="preserve"> </w:t>
      </w:r>
      <w:r w:rsidR="00F77FD3" w:rsidRPr="00AD66FE">
        <w:t>по-горе</w:t>
      </w:r>
      <w:r w:rsidR="00B64935" w:rsidRPr="00AD66FE">
        <w:t>).</w:t>
      </w:r>
      <w:r w:rsidR="00F77FD3" w:rsidRPr="00AD66FE">
        <w:t xml:space="preserve"> Съдът отбелязва, че не е представен документ, показващ, че </w:t>
      </w:r>
      <w:r w:rsidR="00E629E2" w:rsidRPr="00AD66FE">
        <w:t xml:space="preserve">принадлежащите на </w:t>
      </w:r>
      <w:r w:rsidR="005576B3">
        <w:t>дружеството-</w:t>
      </w:r>
      <w:r w:rsidR="00F77FD3" w:rsidRPr="00AD66FE">
        <w:t xml:space="preserve">жалбоподател </w:t>
      </w:r>
      <w:r w:rsidR="00E629E2" w:rsidRPr="00AD66FE">
        <w:t xml:space="preserve">стоки </w:t>
      </w:r>
      <w:r w:rsidR="005576B3">
        <w:t>са предадени</w:t>
      </w:r>
      <w:r w:rsidR="00F77FD3" w:rsidRPr="00AD66FE">
        <w:t xml:space="preserve"> на данъчните власти като част от доказателствата в административното производство</w:t>
      </w:r>
      <w:r w:rsidR="00B64935" w:rsidRPr="00AD66FE">
        <w:t>.</w:t>
      </w:r>
    </w:p>
    <w:p w:rsidR="00B64935" w:rsidRPr="00AD66FE" w:rsidRDefault="00D00517" w:rsidP="00BA13D9">
      <w:pPr>
        <w:pStyle w:val="ECHRPara"/>
      </w:pPr>
      <w:fldSimple w:instr=" SEQ level0 \*arabic ">
        <w:r w:rsidR="00D20DF1">
          <w:rPr>
            <w:noProof/>
          </w:rPr>
          <w:t>75</w:t>
        </w:r>
      </w:fldSimple>
      <w:r w:rsidR="00B64935" w:rsidRPr="00AD66FE">
        <w:t>.  </w:t>
      </w:r>
      <w:r w:rsidR="00D5596F" w:rsidRPr="00AD66FE">
        <w:t xml:space="preserve">Действително, </w:t>
      </w:r>
      <w:r w:rsidR="00854097" w:rsidRPr="00AD66FE">
        <w:t>за първи път се споменава, че стоката е част от доказателства, разглеждани в хода на административното</w:t>
      </w:r>
      <w:r w:rsidR="005576B3">
        <w:t xml:space="preserve"> производство срещу дружеството-</w:t>
      </w:r>
      <w:r w:rsidR="00854097" w:rsidRPr="00AD66FE">
        <w:t xml:space="preserve">жалбоподател, на 31 май 2006 г., когато данъчни власти </w:t>
      </w:r>
      <w:r w:rsidR="001458C6" w:rsidRPr="00AD66FE">
        <w:t xml:space="preserve">във Варна </w:t>
      </w:r>
      <w:r w:rsidR="00854097" w:rsidRPr="00AD66FE">
        <w:t xml:space="preserve">отхвърлят </w:t>
      </w:r>
      <w:r w:rsidR="001458C6" w:rsidRPr="00AD66FE">
        <w:t xml:space="preserve">искането </w:t>
      </w:r>
      <w:r w:rsidR="00854097" w:rsidRPr="00AD66FE">
        <w:t xml:space="preserve">за връщането </w:t>
      </w:r>
      <w:r w:rsidR="001458C6" w:rsidRPr="00AD66FE">
        <w:t>ѝ</w:t>
      </w:r>
      <w:r w:rsidR="00854097" w:rsidRPr="00AD66FE">
        <w:t xml:space="preserve"> (вж. параграф</w:t>
      </w:r>
      <w:r w:rsidR="00B64935" w:rsidRPr="00AD66FE">
        <w:t> </w:t>
      </w:r>
      <w:r w:rsidR="00B64935" w:rsidRPr="00AD66FE">
        <w:fldChar w:fldCharType="begin"/>
      </w:r>
      <w:r w:rsidR="00B64935" w:rsidRPr="00AD66FE">
        <w:instrText xml:space="preserve"> REF Para15 \h </w:instrText>
      </w:r>
      <w:r w:rsidR="00AD66FE">
        <w:instrText xml:space="preserve"> \* MERGEFORMAT </w:instrText>
      </w:r>
      <w:r w:rsidR="00B64935" w:rsidRPr="00AD66FE">
        <w:fldChar w:fldCharType="separate"/>
      </w:r>
      <w:r w:rsidR="00D20DF1">
        <w:t>17</w:t>
      </w:r>
      <w:r w:rsidR="00B64935" w:rsidRPr="00AD66FE">
        <w:fldChar w:fldCharType="end"/>
      </w:r>
      <w:r w:rsidR="00B64935" w:rsidRPr="00AD66FE">
        <w:t xml:space="preserve"> </w:t>
      </w:r>
      <w:r w:rsidR="00854097" w:rsidRPr="00AD66FE">
        <w:t>по-горе</w:t>
      </w:r>
      <w:r w:rsidR="00B64935" w:rsidRPr="00AD66FE">
        <w:t>).</w:t>
      </w:r>
    </w:p>
    <w:p w:rsidR="00B64935" w:rsidRPr="00AD66FE" w:rsidRDefault="00D00517" w:rsidP="00BA13D9">
      <w:pPr>
        <w:pStyle w:val="ECHRPara"/>
      </w:pPr>
      <w:fldSimple w:instr=" SEQ level0 \*arabic ">
        <w:r w:rsidR="00D20DF1">
          <w:rPr>
            <w:noProof/>
          </w:rPr>
          <w:t>76</w:t>
        </w:r>
      </w:fldSimple>
      <w:r w:rsidR="00B64935" w:rsidRPr="00AD66FE">
        <w:t>.  </w:t>
      </w:r>
      <w:r w:rsidR="00764AEB" w:rsidRPr="00AD66FE">
        <w:t xml:space="preserve">Въпреки това, в окончателното си решение от 18 декември </w:t>
      </w:r>
      <w:r w:rsidR="00B64935" w:rsidRPr="00AD66FE">
        <w:t>2006</w:t>
      </w:r>
      <w:r w:rsidR="00764AEB" w:rsidRPr="00AD66FE">
        <w:t> г.,</w:t>
      </w:r>
      <w:r w:rsidR="003C7465">
        <w:t xml:space="preserve"> с което отменя изцяло постановлението</w:t>
      </w:r>
      <w:r w:rsidR="00764AEB" w:rsidRPr="00AD66FE">
        <w:t xml:space="preserve"> на данъчните власти от 23 декември </w:t>
      </w:r>
      <w:r w:rsidR="00B64935" w:rsidRPr="00AD66FE">
        <w:t>2005</w:t>
      </w:r>
      <w:r w:rsidR="00764AEB" w:rsidRPr="00AD66FE">
        <w:t xml:space="preserve"> г., </w:t>
      </w:r>
      <w:r w:rsidR="00773CCA" w:rsidRPr="00AD66FE">
        <w:t>О</w:t>
      </w:r>
      <w:r w:rsidR="00764AEB" w:rsidRPr="00AD66FE">
        <w:t>кръжен съд</w:t>
      </w:r>
      <w:r w:rsidR="00773CCA" w:rsidRPr="00AD66FE">
        <w:t>-Варна</w:t>
      </w:r>
      <w:r w:rsidR="00764AEB" w:rsidRPr="00AD66FE">
        <w:t xml:space="preserve"> отново препраща само към </w:t>
      </w:r>
      <w:r w:rsidR="005576B3">
        <w:t>протокола</w:t>
      </w:r>
      <w:r w:rsidR="00773CCA" w:rsidRPr="00AD66FE">
        <w:t xml:space="preserve"> </w:t>
      </w:r>
      <w:r w:rsidR="00764AEB" w:rsidRPr="00AD66FE">
        <w:t xml:space="preserve">за </w:t>
      </w:r>
      <w:r w:rsidR="00845931" w:rsidRPr="00AD66FE">
        <w:t>претърсване и изземване на 6 и 7</w:t>
      </w:r>
      <w:r w:rsidR="00764AEB" w:rsidRPr="00AD66FE">
        <w:t xml:space="preserve"> януари </w:t>
      </w:r>
      <w:r w:rsidR="00B64935" w:rsidRPr="00AD66FE">
        <w:t>2005</w:t>
      </w:r>
      <w:r w:rsidR="00764AEB" w:rsidRPr="00AD66FE">
        <w:t> г. като доказателство, представено по делото</w:t>
      </w:r>
      <w:r w:rsidR="00B64935" w:rsidRPr="00AD66FE">
        <w:t xml:space="preserve">. </w:t>
      </w:r>
      <w:r w:rsidR="00BB6AD0" w:rsidRPr="00AD66FE">
        <w:t xml:space="preserve">Не се споменава за стоката като </w:t>
      </w:r>
      <w:r w:rsidR="00773CCA" w:rsidRPr="00AD66FE">
        <w:t xml:space="preserve">веществено </w:t>
      </w:r>
      <w:r w:rsidR="00BB6AD0" w:rsidRPr="00AD66FE">
        <w:t xml:space="preserve">доказателство, като Окръжният съд не се произнася относно връщането на доказателствата, представени по </w:t>
      </w:r>
      <w:r w:rsidR="00773CCA" w:rsidRPr="00AD66FE">
        <w:t xml:space="preserve">делото </w:t>
      </w:r>
      <w:r w:rsidR="005576B3">
        <w:t>и принадлежащи на дружеството-</w:t>
      </w:r>
      <w:r w:rsidR="00BB6AD0" w:rsidRPr="00AD66FE">
        <w:t>жалбоподател</w:t>
      </w:r>
      <w:r w:rsidR="00B64935" w:rsidRPr="00AD66FE">
        <w:t>.</w:t>
      </w:r>
      <w:r w:rsidR="0088371C" w:rsidRPr="00AD66FE">
        <w:t xml:space="preserve"> В допълнение, този съд изрично </w:t>
      </w:r>
      <w:r w:rsidR="000C154F" w:rsidRPr="00AD66FE">
        <w:t>подчертава непоследователността</w:t>
      </w:r>
      <w:r w:rsidR="0088371C" w:rsidRPr="00AD66FE">
        <w:t xml:space="preserve"> в документните доказателства, представени по случая, относно точния брой бутилки </w:t>
      </w:r>
      <w:r w:rsidR="000C154F" w:rsidRPr="00AD66FE">
        <w:t>като</w:t>
      </w:r>
      <w:r w:rsidR="0088371C" w:rsidRPr="00AD66FE">
        <w:t xml:space="preserve"> една от причините за отмяна на решението за отнемане в полза на държавата (вж. параграф </w:t>
      </w:r>
      <w:r w:rsidR="00B64935" w:rsidRPr="00AD66FE">
        <w:fldChar w:fldCharType="begin"/>
      </w:r>
      <w:r w:rsidR="00B64935" w:rsidRPr="00AD66FE">
        <w:instrText xml:space="preserve"> REF Para13 \h  \* MERGEFORMAT </w:instrText>
      </w:r>
      <w:r w:rsidR="00B64935" w:rsidRPr="00AD66FE">
        <w:fldChar w:fldCharType="separate"/>
      </w:r>
      <w:r w:rsidR="00D20DF1">
        <w:t>13</w:t>
      </w:r>
      <w:r w:rsidR="00B64935" w:rsidRPr="00AD66FE">
        <w:fldChar w:fldCharType="end"/>
      </w:r>
      <w:r w:rsidR="00B64935" w:rsidRPr="00AD66FE">
        <w:t xml:space="preserve"> </w:t>
      </w:r>
      <w:r w:rsidR="0088371C" w:rsidRPr="00AD66FE">
        <w:t>по-горе)</w:t>
      </w:r>
      <w:r w:rsidR="00B64935" w:rsidRPr="00AD66FE">
        <w:t>.</w:t>
      </w:r>
    </w:p>
    <w:p w:rsidR="00B64935" w:rsidRPr="00AD66FE" w:rsidRDefault="00D00517" w:rsidP="00BA13D9">
      <w:pPr>
        <w:pStyle w:val="ECHRPara"/>
      </w:pPr>
      <w:fldSimple w:instr=" SEQ level0 \*arabic ">
        <w:r w:rsidR="00D20DF1">
          <w:rPr>
            <w:noProof/>
          </w:rPr>
          <w:t>77</w:t>
        </w:r>
      </w:fldSimple>
      <w:r w:rsidR="00B64935" w:rsidRPr="00AD66FE">
        <w:t>.  </w:t>
      </w:r>
      <w:r w:rsidR="00215E51" w:rsidRPr="00AD66FE">
        <w:t xml:space="preserve">Съдът се затруднява да разбере как това несъответствие не е било изчистено, ако бутилките действително са разглеждани като </w:t>
      </w:r>
      <w:r w:rsidR="00773CCA" w:rsidRPr="00AD66FE">
        <w:t xml:space="preserve">веществено </w:t>
      </w:r>
      <w:r w:rsidR="00215E51" w:rsidRPr="00AD66FE">
        <w:t>доказателство в хода на административното</w:t>
      </w:r>
      <w:r w:rsidR="005576B3">
        <w:t xml:space="preserve"> производство срещу дружеството-</w:t>
      </w:r>
      <w:r w:rsidR="00215E51" w:rsidRPr="00AD66FE">
        <w:t>жалбоподател</w:t>
      </w:r>
      <w:r w:rsidR="00B64935" w:rsidRPr="00AD66FE">
        <w:t>.</w:t>
      </w:r>
      <w:r w:rsidR="00215E51" w:rsidRPr="00AD66FE">
        <w:t xml:space="preserve"> В допълнение, в становището си Правителството по никакъв начин не разглежда несъответствието в броя бутилки в различните производства</w:t>
      </w:r>
      <w:r w:rsidR="00B64935" w:rsidRPr="00AD66FE">
        <w:t>.</w:t>
      </w:r>
    </w:p>
    <w:p w:rsidR="00B64935" w:rsidRPr="00AD66FE" w:rsidRDefault="00D00517" w:rsidP="00BA13D9">
      <w:pPr>
        <w:pStyle w:val="ECHRPara"/>
      </w:pPr>
      <w:fldSimple w:instr=" SEQ level0 \*arabic ">
        <w:r w:rsidR="00D20DF1">
          <w:rPr>
            <w:noProof/>
          </w:rPr>
          <w:t>78</w:t>
        </w:r>
      </w:fldSimple>
      <w:r w:rsidR="00B64935" w:rsidRPr="00AD66FE">
        <w:t>.  </w:t>
      </w:r>
      <w:r w:rsidR="00C86EE7" w:rsidRPr="00AD66FE">
        <w:t>На последно място, както бе отбелязано, съдилищата, които се произнасят по и</w:t>
      </w:r>
      <w:r w:rsidR="005576B3">
        <w:t>сковете за вреди на дружеството-</w:t>
      </w:r>
      <w:r w:rsidR="00C86EE7" w:rsidRPr="00AD66FE">
        <w:t>жалбоподател изрично приемат, че въпросните напитки не са задържани по решение на данъчните власти (вж. параграфи</w:t>
      </w:r>
      <w:r w:rsidR="00B64935" w:rsidRPr="00AD66FE">
        <w:t> </w:t>
      </w:r>
      <w:r w:rsidR="00B64935" w:rsidRPr="00AD66FE">
        <w:fldChar w:fldCharType="begin"/>
      </w:r>
      <w:r w:rsidR="00B64935" w:rsidRPr="00AD66FE">
        <w:instrText xml:space="preserve"> REF Para28New \h </w:instrText>
      </w:r>
      <w:r w:rsidR="00AD66FE">
        <w:instrText xml:space="preserve"> \* MERGEFORMAT </w:instrText>
      </w:r>
      <w:r w:rsidR="00B64935" w:rsidRPr="00AD66FE">
        <w:fldChar w:fldCharType="separate"/>
      </w:r>
      <w:r w:rsidR="00D20DF1">
        <w:t>29</w:t>
      </w:r>
      <w:r w:rsidR="00B64935" w:rsidRPr="00AD66FE">
        <w:fldChar w:fldCharType="end"/>
      </w:r>
      <w:r w:rsidR="00B64935" w:rsidRPr="00AD66FE">
        <w:t>-</w:t>
      </w:r>
      <w:r w:rsidR="00B64935" w:rsidRPr="00AD66FE">
        <w:fldChar w:fldCharType="begin"/>
      </w:r>
      <w:r w:rsidR="00B64935" w:rsidRPr="00AD66FE">
        <w:instrText xml:space="preserve"> REF Para32New \h </w:instrText>
      </w:r>
      <w:r w:rsidR="00AD66FE">
        <w:instrText xml:space="preserve"> \* MERGEFORMAT </w:instrText>
      </w:r>
      <w:r w:rsidR="00B64935" w:rsidRPr="00AD66FE">
        <w:fldChar w:fldCharType="separate"/>
      </w:r>
      <w:r w:rsidR="00D20DF1">
        <w:t>33</w:t>
      </w:r>
      <w:r w:rsidR="00B64935" w:rsidRPr="00AD66FE">
        <w:fldChar w:fldCharType="end"/>
      </w:r>
      <w:r w:rsidR="00B64935" w:rsidRPr="00AD66FE">
        <w:t xml:space="preserve"> </w:t>
      </w:r>
      <w:r w:rsidR="00C86EE7" w:rsidRPr="00AD66FE">
        <w:t>по-горе</w:t>
      </w:r>
      <w:r w:rsidR="00B64935" w:rsidRPr="00AD66FE">
        <w:t>).</w:t>
      </w:r>
      <w:r w:rsidR="00C86EE7" w:rsidRPr="00AD66FE">
        <w:t xml:space="preserve"> Така те признават, че не е взето официално административно решение за изземване на бутилките като доказателство в административното производство</w:t>
      </w:r>
      <w:r w:rsidR="00B64935" w:rsidRPr="00AD66FE">
        <w:t>.</w:t>
      </w:r>
    </w:p>
    <w:p w:rsidR="00B64935" w:rsidRPr="00AD66FE" w:rsidRDefault="00D00517" w:rsidP="00BA13D9">
      <w:pPr>
        <w:pStyle w:val="ECHRPara"/>
      </w:pPr>
      <w:fldSimple w:instr=" SEQ level0 \*arabic ">
        <w:r w:rsidR="00D20DF1">
          <w:rPr>
            <w:noProof/>
          </w:rPr>
          <w:t>79</w:t>
        </w:r>
      </w:fldSimple>
      <w:r w:rsidR="00B64935" w:rsidRPr="00AD66FE">
        <w:t>.  </w:t>
      </w:r>
      <w:r w:rsidR="00C86EE7" w:rsidRPr="00AD66FE">
        <w:t xml:space="preserve">При тези обстоятелства Съдът не е убеден от аргумента на Правителството, че след 11 август </w:t>
      </w:r>
      <w:r w:rsidR="00B64935" w:rsidRPr="00AD66FE">
        <w:t>2005</w:t>
      </w:r>
      <w:r w:rsidR="00C86EE7" w:rsidRPr="00AD66FE">
        <w:t> г. стоката е валидно представена като доказателство в текущото производство за администрати</w:t>
      </w:r>
      <w:r w:rsidR="00577066">
        <w:t>вно нарушение срещу дружеството-</w:t>
      </w:r>
      <w:r w:rsidR="00C86EE7" w:rsidRPr="00AD66FE">
        <w:t>жалбоподател при пълно спазва</w:t>
      </w:r>
      <w:r w:rsidR="00577066">
        <w:t>не на законовите</w:t>
      </w:r>
      <w:r w:rsidR="00C86EE7" w:rsidRPr="00AD66FE">
        <w:t xml:space="preserve"> правила</w:t>
      </w:r>
      <w:r w:rsidR="00B64935" w:rsidRPr="00AD66FE">
        <w:t xml:space="preserve">. </w:t>
      </w:r>
      <w:r w:rsidR="003C7465">
        <w:t>Отбелязва още, че постановлението</w:t>
      </w:r>
      <w:r w:rsidR="00C86EE7" w:rsidRPr="00AD66FE">
        <w:t xml:space="preserve"> от 23 декември </w:t>
      </w:r>
      <w:r w:rsidR="00B64935" w:rsidRPr="00AD66FE">
        <w:t>2005</w:t>
      </w:r>
      <w:r w:rsidR="00C86EE7" w:rsidRPr="00AD66FE">
        <w:t> г.</w:t>
      </w:r>
      <w:r w:rsidR="00B64935" w:rsidRPr="00AD66FE">
        <w:t>,</w:t>
      </w:r>
      <w:r w:rsidR="00C86EE7" w:rsidRPr="00AD66FE">
        <w:t xml:space="preserve"> </w:t>
      </w:r>
      <w:r w:rsidR="00773CCA" w:rsidRPr="00AD66FE">
        <w:t xml:space="preserve">постановено </w:t>
      </w:r>
      <w:r w:rsidR="00C86EE7" w:rsidRPr="00AD66FE">
        <w:t xml:space="preserve">в това производство и разпореждащо конфискацията на бутилките, така и не </w:t>
      </w:r>
      <w:r w:rsidR="00894620" w:rsidRPr="00AD66FE">
        <w:t>става окончателно</w:t>
      </w:r>
      <w:r w:rsidR="00B64935" w:rsidRPr="00AD66FE">
        <w:t>.</w:t>
      </w:r>
      <w:r w:rsidR="00577066">
        <w:t xml:space="preserve"> То не може</w:t>
      </w:r>
      <w:r w:rsidR="00894620" w:rsidRPr="00AD66FE">
        <w:t xml:space="preserve"> да бъде основание за задържането им, тъй като не подлежи на изпълнение преди да стане окончателно (вж. параграфи </w:t>
      </w:r>
      <w:r w:rsidR="00B64935" w:rsidRPr="00AD66FE">
        <w:fldChar w:fldCharType="begin"/>
      </w:r>
      <w:r w:rsidR="00B64935" w:rsidRPr="00AD66FE">
        <w:instrText xml:space="preserve"> REF Para10 \h </w:instrText>
      </w:r>
      <w:r w:rsidR="00AD66FE">
        <w:instrText xml:space="preserve"> \* MERGEFORMAT </w:instrText>
      </w:r>
      <w:r w:rsidR="00B64935" w:rsidRPr="00AD66FE">
        <w:fldChar w:fldCharType="separate"/>
      </w:r>
      <w:r w:rsidR="00D20DF1">
        <w:t>10</w:t>
      </w:r>
      <w:r w:rsidR="00B64935" w:rsidRPr="00AD66FE">
        <w:fldChar w:fldCharType="end"/>
      </w:r>
      <w:r w:rsidR="00B64935" w:rsidRPr="00AD66FE">
        <w:t xml:space="preserve"> </w:t>
      </w:r>
      <w:r w:rsidR="00894620" w:rsidRPr="00AD66FE">
        <w:t>и</w:t>
      </w:r>
      <w:r w:rsidR="00B64935" w:rsidRPr="00AD66FE">
        <w:t xml:space="preserve"> </w:t>
      </w:r>
      <w:r w:rsidR="00B64935" w:rsidRPr="00AD66FE">
        <w:fldChar w:fldCharType="begin"/>
      </w:r>
      <w:r w:rsidR="00B64935" w:rsidRPr="00AD66FE">
        <w:instrText xml:space="preserve"> REF Para11 \h </w:instrText>
      </w:r>
      <w:r w:rsidR="00AD66FE">
        <w:instrText xml:space="preserve"> \* MERGEFORMAT </w:instrText>
      </w:r>
      <w:r w:rsidR="00B64935" w:rsidRPr="00AD66FE">
        <w:fldChar w:fldCharType="separate"/>
      </w:r>
      <w:r w:rsidR="00D20DF1">
        <w:t>11</w:t>
      </w:r>
      <w:r w:rsidR="00B64935" w:rsidRPr="00AD66FE">
        <w:fldChar w:fldCharType="end"/>
      </w:r>
      <w:r w:rsidR="00B64935" w:rsidRPr="00AD66FE">
        <w:t xml:space="preserve"> </w:t>
      </w:r>
      <w:r w:rsidR="00894620" w:rsidRPr="00AD66FE">
        <w:t>по-горе</w:t>
      </w:r>
      <w:r w:rsidR="00B64935" w:rsidRPr="00AD66FE">
        <w:t>).</w:t>
      </w:r>
    </w:p>
    <w:p w:rsidR="00B64935" w:rsidRPr="00AD66FE" w:rsidRDefault="00D00517" w:rsidP="00BA13D9">
      <w:pPr>
        <w:pStyle w:val="ECHRPara"/>
      </w:pPr>
      <w:fldSimple w:instr=" SEQ level0 \*arabic ">
        <w:r w:rsidR="00D20DF1">
          <w:rPr>
            <w:noProof/>
          </w:rPr>
          <w:t>80</w:t>
        </w:r>
      </w:fldSimple>
      <w:r w:rsidR="00B64935" w:rsidRPr="00AD66FE">
        <w:t>.  </w:t>
      </w:r>
      <w:r w:rsidR="00023138" w:rsidRPr="00AD66FE">
        <w:t xml:space="preserve">По отношение на аргумента на Правителството,че бутилките след това са задържани като доказателство в наказателното производство срещу втората група трети лица </w:t>
      </w:r>
      <w:r w:rsidR="00B64935" w:rsidRPr="00AD66FE">
        <w:t>(</w:t>
      </w:r>
      <w:r w:rsidR="00023138" w:rsidRPr="00AD66FE">
        <w:t xml:space="preserve">вж. параграф </w:t>
      </w:r>
      <w:r w:rsidR="00B64935" w:rsidRPr="00AD66FE">
        <w:fldChar w:fldCharType="begin"/>
      </w:r>
      <w:r w:rsidR="00B64935" w:rsidRPr="00AD66FE">
        <w:instrText xml:space="preserve"> REF Para61New \h </w:instrText>
      </w:r>
      <w:r w:rsidR="00AD66FE">
        <w:instrText xml:space="preserve"> \* MERGEFORMAT </w:instrText>
      </w:r>
      <w:r w:rsidR="00B64935" w:rsidRPr="00AD66FE">
        <w:fldChar w:fldCharType="separate"/>
      </w:r>
      <w:r w:rsidR="00D20DF1">
        <w:t>62</w:t>
      </w:r>
      <w:r w:rsidR="00B64935" w:rsidRPr="00AD66FE">
        <w:fldChar w:fldCharType="end"/>
      </w:r>
      <w:r w:rsidR="00B64935" w:rsidRPr="00AD66FE">
        <w:t xml:space="preserve"> </w:t>
      </w:r>
      <w:r w:rsidR="00023138" w:rsidRPr="00AD66FE">
        <w:t>по-горе</w:t>
      </w:r>
      <w:r w:rsidR="00B64935" w:rsidRPr="00AD66FE">
        <w:t>),</w:t>
      </w:r>
      <w:r w:rsidR="00926E19" w:rsidRPr="00AD66FE">
        <w:t xml:space="preserve"> Съдът отбелязва, че </w:t>
      </w:r>
      <w:r w:rsidR="00577066">
        <w:t>протоколът</w:t>
      </w:r>
      <w:r w:rsidR="00773CCA" w:rsidRPr="00AD66FE">
        <w:t xml:space="preserve"> </w:t>
      </w:r>
      <w:r w:rsidR="00577066">
        <w:t>за претърсване и изземване от</w:t>
      </w:r>
      <w:r w:rsidR="00926E19" w:rsidRPr="00AD66FE">
        <w:t xml:space="preserve"> 6 и 7 януари </w:t>
      </w:r>
      <w:r w:rsidR="00B64935" w:rsidRPr="00AD66FE">
        <w:t>2005</w:t>
      </w:r>
      <w:r w:rsidR="00926E19" w:rsidRPr="00AD66FE">
        <w:t xml:space="preserve"> г., на който се основава това твърдение, засяга изземване, извършено в наказателното производство срещу първата група трети лица. Това производство е прекратено на 5 май </w:t>
      </w:r>
      <w:r w:rsidR="00B64935" w:rsidRPr="00AD66FE">
        <w:t>2006</w:t>
      </w:r>
      <w:r w:rsidR="00926E19" w:rsidRPr="00AD66FE">
        <w:t> г.</w:t>
      </w:r>
      <w:r w:rsidR="00B64935" w:rsidRPr="00AD66FE">
        <w:t xml:space="preserve"> (</w:t>
      </w:r>
      <w:r w:rsidR="00926E19" w:rsidRPr="00AD66FE">
        <w:t xml:space="preserve">вж. параграфи </w:t>
      </w:r>
      <w:r w:rsidR="00B64935" w:rsidRPr="00AD66FE">
        <w:fldChar w:fldCharType="begin"/>
      </w:r>
      <w:r w:rsidR="00B64935" w:rsidRPr="00AD66FE">
        <w:instrText xml:space="preserve"> REF Para6 \h </w:instrText>
      </w:r>
      <w:r w:rsidR="00AD66FE">
        <w:instrText xml:space="preserve"> \* MERGEFORMAT </w:instrText>
      </w:r>
      <w:r w:rsidR="00B64935" w:rsidRPr="00AD66FE">
        <w:fldChar w:fldCharType="separate"/>
      </w:r>
      <w:r w:rsidR="00D20DF1">
        <w:t>6</w:t>
      </w:r>
      <w:r w:rsidR="00B64935" w:rsidRPr="00AD66FE">
        <w:fldChar w:fldCharType="end"/>
      </w:r>
      <w:r w:rsidR="00B64935" w:rsidRPr="00AD66FE">
        <w:t xml:space="preserve"> </w:t>
      </w:r>
      <w:r w:rsidR="00926E19" w:rsidRPr="00AD66FE">
        <w:t>и</w:t>
      </w:r>
      <w:r w:rsidR="00B64935" w:rsidRPr="00AD66FE">
        <w:t xml:space="preserve"> </w:t>
      </w:r>
      <w:r w:rsidR="00B64935" w:rsidRPr="00AD66FE">
        <w:fldChar w:fldCharType="begin"/>
      </w:r>
      <w:r w:rsidR="00B64935" w:rsidRPr="00AD66FE">
        <w:instrText xml:space="preserve"> REF Para7 \h </w:instrText>
      </w:r>
      <w:r w:rsidR="00AD66FE">
        <w:instrText xml:space="preserve"> \* MERGEFORMAT </w:instrText>
      </w:r>
      <w:r w:rsidR="00B64935" w:rsidRPr="00AD66FE">
        <w:fldChar w:fldCharType="separate"/>
      </w:r>
      <w:r w:rsidR="00D20DF1">
        <w:t>7</w:t>
      </w:r>
      <w:r w:rsidR="00B64935" w:rsidRPr="00AD66FE">
        <w:fldChar w:fldCharType="end"/>
      </w:r>
      <w:r w:rsidR="00B64935" w:rsidRPr="00AD66FE">
        <w:t xml:space="preserve"> </w:t>
      </w:r>
      <w:r w:rsidR="00926E19" w:rsidRPr="00AD66FE">
        <w:t>по-горе</w:t>
      </w:r>
      <w:r w:rsidR="00B64935" w:rsidRPr="00AD66FE">
        <w:t xml:space="preserve">), </w:t>
      </w:r>
      <w:r w:rsidR="00926E19" w:rsidRPr="00AD66FE">
        <w:t xml:space="preserve">а наказателното производство срещу втората група трети лица е </w:t>
      </w:r>
      <w:r w:rsidR="0056261C" w:rsidRPr="00AD66FE">
        <w:t>прекратено</w:t>
      </w:r>
      <w:r w:rsidR="00926E19" w:rsidRPr="00AD66FE">
        <w:t xml:space="preserve"> на 20 юни </w:t>
      </w:r>
      <w:r w:rsidR="00B64935" w:rsidRPr="00AD66FE">
        <w:t>2006</w:t>
      </w:r>
      <w:r w:rsidR="00926E19" w:rsidRPr="00AD66FE">
        <w:t xml:space="preserve"> г., като </w:t>
      </w:r>
      <w:r w:rsidR="00773CCA" w:rsidRPr="00AD66FE">
        <w:t xml:space="preserve">преписката </w:t>
      </w:r>
      <w:r w:rsidR="00926E19" w:rsidRPr="00AD66FE">
        <w:t>е изпратена на прокуратурата (вж. параграфи</w:t>
      </w:r>
      <w:r w:rsidR="00B64935" w:rsidRPr="00AD66FE">
        <w:t> </w:t>
      </w:r>
      <w:r w:rsidR="00B64935" w:rsidRPr="00AD66FE">
        <w:fldChar w:fldCharType="begin"/>
      </w:r>
      <w:r w:rsidR="00B64935" w:rsidRPr="00AD66FE">
        <w:instrText xml:space="preserve"> REF Para14New \h  \* MERGEFORMAT </w:instrText>
      </w:r>
      <w:r w:rsidR="00B64935" w:rsidRPr="00AD66FE">
        <w:fldChar w:fldCharType="separate"/>
      </w:r>
      <w:r w:rsidR="00D20DF1">
        <w:t>14</w:t>
      </w:r>
      <w:r w:rsidR="00B64935" w:rsidRPr="00AD66FE">
        <w:fldChar w:fldCharType="end"/>
      </w:r>
      <w:r w:rsidR="00B64935" w:rsidRPr="00AD66FE">
        <w:t xml:space="preserve"> </w:t>
      </w:r>
      <w:r w:rsidR="00926E19" w:rsidRPr="00AD66FE">
        <w:t>и</w:t>
      </w:r>
      <w:r w:rsidR="00B64935" w:rsidRPr="00AD66FE">
        <w:t xml:space="preserve"> </w:t>
      </w:r>
      <w:r w:rsidR="00B64935" w:rsidRPr="00AD66FE">
        <w:fldChar w:fldCharType="begin"/>
      </w:r>
      <w:r w:rsidR="00B64935" w:rsidRPr="00AD66FE">
        <w:instrText xml:space="preserve"> REF Para15New \h  \* MERGEFORMAT </w:instrText>
      </w:r>
      <w:r w:rsidR="00B64935" w:rsidRPr="00AD66FE">
        <w:fldChar w:fldCharType="separate"/>
      </w:r>
      <w:r w:rsidR="00D20DF1">
        <w:t>15</w:t>
      </w:r>
      <w:r w:rsidR="00B64935" w:rsidRPr="00AD66FE">
        <w:fldChar w:fldCharType="end"/>
      </w:r>
      <w:r w:rsidR="00B64935" w:rsidRPr="00AD66FE">
        <w:t xml:space="preserve"> </w:t>
      </w:r>
      <w:r w:rsidR="00926E19" w:rsidRPr="00AD66FE">
        <w:t>по-горе</w:t>
      </w:r>
      <w:r w:rsidR="00B64935" w:rsidRPr="00AD66FE">
        <w:t>).</w:t>
      </w:r>
      <w:r w:rsidR="00926E19" w:rsidRPr="00AD66FE">
        <w:t xml:space="preserve"> Въпреки че и двете производства са свързани със стока</w:t>
      </w:r>
      <w:r w:rsidR="00577066">
        <w:t>та, принадлежаща на дружеството-</w:t>
      </w:r>
      <w:r w:rsidR="00926E19" w:rsidRPr="00AD66FE">
        <w:t>жалбоподател</w:t>
      </w:r>
      <w:r w:rsidR="00B64935" w:rsidRPr="00AD66FE">
        <w:t>,</w:t>
      </w:r>
      <w:r w:rsidR="00926E19" w:rsidRPr="00AD66FE">
        <w:t xml:space="preserve"> те имат различен предмет и различни страни</w:t>
      </w:r>
      <w:r w:rsidR="00B64935" w:rsidRPr="00AD66FE">
        <w:t>.</w:t>
      </w:r>
      <w:r w:rsidR="00926E19" w:rsidRPr="00AD66FE">
        <w:t xml:space="preserve"> Първото наказателно производство засяга обвинения срещу М.М. и С.С. за </w:t>
      </w:r>
      <w:r w:rsidR="00C13E4F" w:rsidRPr="00AD66FE">
        <w:t>складиране</w:t>
      </w:r>
      <w:r w:rsidR="00926E19" w:rsidRPr="00AD66FE">
        <w:t xml:space="preserve"> на стоки без задължителни бандероли, </w:t>
      </w:r>
      <w:r w:rsidR="00C13E4F" w:rsidRPr="00AD66FE">
        <w:t>в</w:t>
      </w:r>
      <w:r w:rsidR="00926E19" w:rsidRPr="00AD66FE">
        <w:t>торото произво</w:t>
      </w:r>
      <w:r w:rsidR="00577066">
        <w:t>дство е по</w:t>
      </w:r>
      <w:r w:rsidR="00926E19" w:rsidRPr="00AD66FE">
        <w:t xml:space="preserve"> обвиненията, че Е.Г. продава стока на дружеството жалбоподател без задължителни бандероли (вж. параграфи </w:t>
      </w:r>
      <w:r w:rsidR="00B64935" w:rsidRPr="00AD66FE">
        <w:fldChar w:fldCharType="begin"/>
      </w:r>
      <w:r w:rsidR="00B64935" w:rsidRPr="00AD66FE">
        <w:instrText xml:space="preserve"> REF Para6 \h </w:instrText>
      </w:r>
      <w:r w:rsidR="00AD66FE">
        <w:instrText xml:space="preserve"> \* MERGEFORMAT </w:instrText>
      </w:r>
      <w:r w:rsidR="00B64935" w:rsidRPr="00AD66FE">
        <w:fldChar w:fldCharType="separate"/>
      </w:r>
      <w:r w:rsidR="00D20DF1">
        <w:t>6</w:t>
      </w:r>
      <w:r w:rsidR="00B64935" w:rsidRPr="00AD66FE">
        <w:fldChar w:fldCharType="end"/>
      </w:r>
      <w:r w:rsidR="00B64935" w:rsidRPr="00AD66FE">
        <w:t xml:space="preserve"> </w:t>
      </w:r>
      <w:r w:rsidR="00926E19" w:rsidRPr="00AD66FE">
        <w:t>и</w:t>
      </w:r>
      <w:r w:rsidR="00B64935" w:rsidRPr="00AD66FE">
        <w:t xml:space="preserve"> </w:t>
      </w:r>
      <w:r w:rsidR="00B64935" w:rsidRPr="00AD66FE">
        <w:fldChar w:fldCharType="begin"/>
      </w:r>
      <w:r w:rsidR="00B64935" w:rsidRPr="00AD66FE">
        <w:instrText xml:space="preserve"> REF Para15New \h </w:instrText>
      </w:r>
      <w:r w:rsidR="00AD66FE">
        <w:instrText xml:space="preserve"> \* MERGEFORMAT </w:instrText>
      </w:r>
      <w:r w:rsidR="00B64935" w:rsidRPr="00AD66FE">
        <w:fldChar w:fldCharType="separate"/>
      </w:r>
      <w:r w:rsidR="00D20DF1">
        <w:t>15</w:t>
      </w:r>
      <w:r w:rsidR="00B64935" w:rsidRPr="00AD66FE">
        <w:fldChar w:fldCharType="end"/>
      </w:r>
      <w:r w:rsidR="00B64935" w:rsidRPr="00AD66FE">
        <w:t xml:space="preserve"> </w:t>
      </w:r>
      <w:r w:rsidR="00926E19" w:rsidRPr="00AD66FE">
        <w:t>по-горе</w:t>
      </w:r>
      <w:r w:rsidR="00B64935" w:rsidRPr="00AD66FE">
        <w:t>).</w:t>
      </w:r>
      <w:r w:rsidR="00926E19" w:rsidRPr="00AD66FE">
        <w:t xml:space="preserve"> Нищо не показва, че двете производства с</w:t>
      </w:r>
      <w:r w:rsidR="00577066">
        <w:t>а обединени или че веществените</w:t>
      </w:r>
      <w:r w:rsidR="00926E19" w:rsidRPr="00AD66FE">
        <w:t xml:space="preserve"> доказателства, иззети в хода на първото производство, са представени по преписката по второто</w:t>
      </w:r>
      <w:r w:rsidR="00B64935" w:rsidRPr="00AD66FE">
        <w:t>.</w:t>
      </w:r>
    </w:p>
    <w:p w:rsidR="00B64935" w:rsidRPr="00AD66FE" w:rsidRDefault="00D00517" w:rsidP="00BA13D9">
      <w:pPr>
        <w:pStyle w:val="ECHRPara"/>
      </w:pPr>
      <w:fldSimple w:instr=" SEQ level0 \*arabic ">
        <w:r w:rsidR="00D20DF1">
          <w:rPr>
            <w:noProof/>
          </w:rPr>
          <w:t>81</w:t>
        </w:r>
      </w:fldSimple>
      <w:r w:rsidR="00B64935" w:rsidRPr="00AD66FE">
        <w:t>.  </w:t>
      </w:r>
      <w:r w:rsidR="007D5981" w:rsidRPr="00AD66FE">
        <w:t xml:space="preserve">Съдът отбелязва, че в решението си от 14 март 2007 г. за прекратяване на производството </w:t>
      </w:r>
      <w:r w:rsidR="009B6F5C" w:rsidRPr="00AD66FE">
        <w:t>срещу</w:t>
      </w:r>
      <w:r w:rsidR="007D5981" w:rsidRPr="00AD66FE">
        <w:t xml:space="preserve"> втората група трети лица Софийската районна прокуратура действително </w:t>
      </w:r>
      <w:r w:rsidR="0013211C" w:rsidRPr="00AD66FE">
        <w:t xml:space="preserve">посочва </w:t>
      </w:r>
      <w:r w:rsidR="007D5981" w:rsidRPr="00AD66FE">
        <w:t>бутилки</w:t>
      </w:r>
      <w:r w:rsidR="00577066">
        <w:t>те, принадлежащи на дружеството-</w:t>
      </w:r>
      <w:r w:rsidR="007D5981" w:rsidRPr="00AD66FE">
        <w:t>жалбоподател</w:t>
      </w:r>
      <w:r w:rsidR="00B64935" w:rsidRPr="00AD66FE">
        <w:t>.</w:t>
      </w:r>
      <w:r w:rsidR="007D5981" w:rsidRPr="00AD66FE">
        <w:t xml:space="preserve"> От друга страна, не се споменава изобщо, че те са част от доказателствата по случая и прокурорът изрично посочва, че стоката е иззета в хода на наказателното производство срещу първата група трети лица</w:t>
      </w:r>
      <w:r w:rsidR="00B64935" w:rsidRPr="00AD66FE">
        <w:t>.</w:t>
      </w:r>
      <w:r w:rsidR="007D5981" w:rsidRPr="00AD66FE">
        <w:t xml:space="preserve"> Прокурорът разпорежда, доколкото бутилк</w:t>
      </w:r>
      <w:r w:rsidR="003C7465">
        <w:t>ите са също предмет на постановлението</w:t>
      </w:r>
      <w:r w:rsidR="007D5981" w:rsidRPr="00AD66FE">
        <w:t xml:space="preserve"> на данъчни</w:t>
      </w:r>
      <w:r w:rsidR="0013211C" w:rsidRPr="00AD66FE">
        <w:t>те</w:t>
      </w:r>
      <w:r w:rsidR="007D5981" w:rsidRPr="00AD66FE">
        <w:t xml:space="preserve"> власти</w:t>
      </w:r>
      <w:r w:rsidR="0013211C" w:rsidRPr="00AD66FE">
        <w:t xml:space="preserve"> във Варна</w:t>
      </w:r>
      <w:r w:rsidR="007D5981" w:rsidRPr="00AD66FE">
        <w:t xml:space="preserve"> от 23 декември </w:t>
      </w:r>
      <w:r w:rsidR="00B64935" w:rsidRPr="00AD66FE">
        <w:t>2005</w:t>
      </w:r>
      <w:r w:rsidR="007D5981" w:rsidRPr="00AD66FE">
        <w:t> г.</w:t>
      </w:r>
      <w:r w:rsidR="00B64935" w:rsidRPr="00AD66FE">
        <w:t>,</w:t>
      </w:r>
      <w:r w:rsidR="007D5981" w:rsidRPr="00AD66FE">
        <w:t xml:space="preserve"> което е отменено с окончателно съдебно решение, </w:t>
      </w:r>
      <w:r w:rsidR="009B6F5C" w:rsidRPr="00AD66FE">
        <w:t xml:space="preserve">че </w:t>
      </w:r>
      <w:r w:rsidR="007D5981" w:rsidRPr="00AD66FE">
        <w:t>директорът на данъчна</w:t>
      </w:r>
      <w:r w:rsidR="0013211C" w:rsidRPr="00AD66FE">
        <w:t>та</w:t>
      </w:r>
      <w:r w:rsidR="007D5981" w:rsidRPr="00AD66FE">
        <w:t xml:space="preserve"> дирекция </w:t>
      </w:r>
      <w:r w:rsidR="0013211C" w:rsidRPr="00AD66FE">
        <w:t xml:space="preserve">във Варна </w:t>
      </w:r>
      <w:r w:rsidR="007D5981" w:rsidRPr="00AD66FE">
        <w:t>следва да ги върне на собственика им</w:t>
      </w:r>
      <w:r w:rsidR="00B64935" w:rsidRPr="00AD66FE">
        <w:t>.</w:t>
      </w:r>
      <w:r w:rsidR="007D5981" w:rsidRPr="00AD66FE">
        <w:t xml:space="preserve"> Отново няма надеждни документи, че бутилките са представени като доказателство в наказателното производство срещу втората група трети лица</w:t>
      </w:r>
      <w:r w:rsidR="00B64935" w:rsidRPr="00AD66FE">
        <w:t>.</w:t>
      </w:r>
    </w:p>
    <w:bookmarkStart w:id="52" w:name="Para77New"/>
    <w:bookmarkStart w:id="53" w:name="Para84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82</w:t>
      </w:r>
      <w:r w:rsidRPr="00AD66FE">
        <w:fldChar w:fldCharType="end"/>
      </w:r>
      <w:bookmarkEnd w:id="52"/>
      <w:bookmarkEnd w:id="53"/>
      <w:r w:rsidRPr="00AD66FE">
        <w:t>.  </w:t>
      </w:r>
      <w:r w:rsidR="00487AFA" w:rsidRPr="00AD66FE">
        <w:t xml:space="preserve">Като отбелязва всички горни елементи, Съдът </w:t>
      </w:r>
      <w:r w:rsidR="00EA74D2" w:rsidRPr="00AD66FE">
        <w:t>се затруднява да приеме, че властите са имали право автоматично да задържат стока</w:t>
      </w:r>
      <w:r w:rsidR="00C7064A" w:rsidRPr="00AD66FE">
        <w:t>т</w:t>
      </w:r>
      <w:r w:rsidR="00577066">
        <w:t>а на дружеството-жалбоподател</w:t>
      </w:r>
      <w:r w:rsidR="00EA74D2" w:rsidRPr="00AD66FE">
        <w:t xml:space="preserve"> след </w:t>
      </w:r>
      <w:r w:rsidRPr="00AD66FE">
        <w:t>7</w:t>
      </w:r>
      <w:r w:rsidR="00EA74D2" w:rsidRPr="00AD66FE">
        <w:t xml:space="preserve"> декември </w:t>
      </w:r>
      <w:r w:rsidRPr="00AD66FE">
        <w:t>2005</w:t>
      </w:r>
      <w:r w:rsidR="00EA74D2" w:rsidRPr="00AD66FE">
        <w:t xml:space="preserve"> г. в хода на протичащото паралелно производство срещу дружеството жалбоподател и трети лица без каквото и да било решение или процесуален документ по въпроса, както е предвидено във вътрешното право, въпреки наличието на окончателно съдебно решение, с което се разпорежда връщането </w:t>
      </w:r>
      <w:r w:rsidR="0013211C" w:rsidRPr="00AD66FE">
        <w:t>ѝ</w:t>
      </w:r>
      <w:r w:rsidRPr="00AD66FE">
        <w:t xml:space="preserve">. </w:t>
      </w:r>
      <w:r w:rsidR="0002128D" w:rsidRPr="00AD66FE">
        <w:t xml:space="preserve">Следователно Съдът приема, че правилната дата, след която оспорваната стока вече не е </w:t>
      </w:r>
      <w:r w:rsidR="00577066">
        <w:t>задържана от властите на законно основание</w:t>
      </w:r>
      <w:r w:rsidR="00981320" w:rsidRPr="00AD66FE">
        <w:t>,</w:t>
      </w:r>
      <w:r w:rsidR="0002128D" w:rsidRPr="00AD66FE">
        <w:t xml:space="preserve"> е </w:t>
      </w:r>
      <w:r w:rsidRPr="00AD66FE">
        <w:t xml:space="preserve">7 </w:t>
      </w:r>
      <w:r w:rsidR="0002128D" w:rsidRPr="00AD66FE">
        <w:t xml:space="preserve">декември </w:t>
      </w:r>
      <w:r w:rsidRPr="00AD66FE">
        <w:t>2005</w:t>
      </w:r>
      <w:r w:rsidR="0002128D" w:rsidRPr="00AD66FE">
        <w:t xml:space="preserve"> г., когато решението на </w:t>
      </w:r>
      <w:r w:rsidR="0013211C" w:rsidRPr="00AD66FE">
        <w:t>Р</w:t>
      </w:r>
      <w:r w:rsidR="0002128D" w:rsidRPr="00AD66FE">
        <w:t>айонен съд</w:t>
      </w:r>
      <w:r w:rsidR="0013211C" w:rsidRPr="00AD66FE">
        <w:t>-Варна</w:t>
      </w:r>
      <w:r w:rsidR="0002128D" w:rsidRPr="00AD66FE">
        <w:t xml:space="preserve">, с което се разпорежда връщането на иззетите доказателства, става окончателно (вж. параграф </w:t>
      </w:r>
      <w:r w:rsidRPr="00AD66FE">
        <w:fldChar w:fldCharType="begin"/>
      </w:r>
      <w:r w:rsidRPr="00AD66FE">
        <w:instrText xml:space="preserve"> REF Para71New \h </w:instrText>
      </w:r>
      <w:r w:rsidR="00AD66FE">
        <w:instrText xml:space="preserve"> \* MERGEFORMAT </w:instrText>
      </w:r>
      <w:r w:rsidRPr="00AD66FE">
        <w:fldChar w:fldCharType="separate"/>
      </w:r>
      <w:r w:rsidR="00D20DF1">
        <w:t>70</w:t>
      </w:r>
      <w:r w:rsidRPr="00AD66FE">
        <w:fldChar w:fldCharType="end"/>
      </w:r>
      <w:r w:rsidRPr="00AD66FE">
        <w:t xml:space="preserve"> </w:t>
      </w:r>
      <w:r w:rsidR="0002128D" w:rsidRPr="00AD66FE">
        <w:t>по-горе</w:t>
      </w:r>
      <w:r w:rsidRPr="00AD66FE">
        <w:t>).</w:t>
      </w:r>
    </w:p>
    <w:p w:rsidR="00B64935" w:rsidRPr="00AD66FE" w:rsidRDefault="00D00517" w:rsidP="00BA13D9">
      <w:pPr>
        <w:pStyle w:val="ECHRPara"/>
      </w:pPr>
      <w:fldSimple w:instr=" SEQ level0 \*arabic ">
        <w:r w:rsidR="00D20DF1">
          <w:rPr>
            <w:noProof/>
          </w:rPr>
          <w:t>83</w:t>
        </w:r>
      </w:fldSimple>
      <w:r w:rsidR="00B64935" w:rsidRPr="00AD66FE">
        <w:t>.  </w:t>
      </w:r>
      <w:r w:rsidR="00A03BC9" w:rsidRPr="00AD66FE">
        <w:t>Последният аргумент, който Съдът трябва да разгледа, е</w:t>
      </w:r>
      <w:r w:rsidR="00577066">
        <w:t xml:space="preserve"> представеният от б</w:t>
      </w:r>
      <w:r w:rsidR="00EC4B67" w:rsidRPr="00AD66FE">
        <w:t>ъ</w:t>
      </w:r>
      <w:r w:rsidR="00577066">
        <w:t>лгарското правителство, че дружеството-</w:t>
      </w:r>
      <w:r w:rsidR="00EC4B67" w:rsidRPr="00AD66FE">
        <w:t>жал</w:t>
      </w:r>
      <w:r w:rsidR="00577066">
        <w:t>боподател не е поискало по надлежния ред</w:t>
      </w:r>
      <w:r w:rsidR="00EC4B67" w:rsidRPr="00AD66FE">
        <w:t xml:space="preserve"> връщането на бутилките съответно от данъчни</w:t>
      </w:r>
      <w:r w:rsidR="00577066">
        <w:t>те</w:t>
      </w:r>
      <w:r w:rsidR="00EC4B67" w:rsidRPr="00AD66FE">
        <w:t xml:space="preserve"> власти</w:t>
      </w:r>
      <w:r w:rsidR="0013211C" w:rsidRPr="00AD66FE">
        <w:t xml:space="preserve"> във Варна</w:t>
      </w:r>
      <w:r w:rsidR="00EC4B67" w:rsidRPr="00AD66FE">
        <w:t xml:space="preserve"> в административното производство и след 20 юни </w:t>
      </w:r>
      <w:r w:rsidR="00B64935" w:rsidRPr="00AD66FE">
        <w:t>2006</w:t>
      </w:r>
      <w:r w:rsidR="00EC4B67" w:rsidRPr="00AD66FE">
        <w:t> г. от прокурора в наказателното производство срещу Е.Г. (вж. параграф</w:t>
      </w:r>
      <w:r w:rsidR="00B64935" w:rsidRPr="00AD66FE">
        <w:t> </w:t>
      </w:r>
      <w:r w:rsidR="00B64935" w:rsidRPr="00AD66FE">
        <w:fldChar w:fldCharType="begin"/>
      </w:r>
      <w:r w:rsidR="00B64935" w:rsidRPr="00AD66FE">
        <w:instrText xml:space="preserve"> REF Para15New \h </w:instrText>
      </w:r>
      <w:r w:rsidR="00AD66FE">
        <w:instrText xml:space="preserve"> \* MERGEFORMAT </w:instrText>
      </w:r>
      <w:r w:rsidR="00B64935" w:rsidRPr="00AD66FE">
        <w:fldChar w:fldCharType="separate"/>
      </w:r>
      <w:r w:rsidR="00D20DF1">
        <w:t>15</w:t>
      </w:r>
      <w:r w:rsidR="00B64935" w:rsidRPr="00AD66FE">
        <w:fldChar w:fldCharType="end"/>
      </w:r>
      <w:r w:rsidR="00B64935" w:rsidRPr="00AD66FE">
        <w:t xml:space="preserve"> </w:t>
      </w:r>
      <w:r w:rsidR="00EC4B67" w:rsidRPr="00AD66FE">
        <w:t>по-горе</w:t>
      </w:r>
      <w:r w:rsidR="00B64935" w:rsidRPr="00AD66FE">
        <w:t>).</w:t>
      </w:r>
      <w:r w:rsidR="00EC4B67" w:rsidRPr="00AD66FE">
        <w:t xml:space="preserve"> Като взема</w:t>
      </w:r>
      <w:r w:rsidR="00577066">
        <w:t xml:space="preserve"> предвид липсата на ясни законови</w:t>
      </w:r>
      <w:r w:rsidR="00EC4B67" w:rsidRPr="00AD66FE">
        <w:t xml:space="preserve"> основания за задържането на </w:t>
      </w:r>
      <w:r w:rsidR="00156E74" w:rsidRPr="00AD66FE">
        <w:t>бутилките</w:t>
      </w:r>
      <w:r w:rsidR="00F35DE1" w:rsidRPr="00AD66FE">
        <w:t xml:space="preserve"> след 7 декемв</w:t>
      </w:r>
      <w:r w:rsidR="00EC4B67" w:rsidRPr="00AD66FE">
        <w:t>р</w:t>
      </w:r>
      <w:r w:rsidR="00F35DE1" w:rsidRPr="00AD66FE">
        <w:t>и</w:t>
      </w:r>
      <w:r w:rsidR="00EC4B67" w:rsidRPr="00AD66FE">
        <w:t xml:space="preserve"> </w:t>
      </w:r>
      <w:r w:rsidR="00B64935" w:rsidRPr="00AD66FE">
        <w:t>2005</w:t>
      </w:r>
      <w:r w:rsidR="00EC4B67" w:rsidRPr="00AD66FE">
        <w:t> г.</w:t>
      </w:r>
      <w:r w:rsidR="00B64935" w:rsidRPr="00AD66FE">
        <w:t>,</w:t>
      </w:r>
      <w:r w:rsidR="00EC4B67" w:rsidRPr="00AD66FE">
        <w:t xml:space="preserve"> Съдът не </w:t>
      </w:r>
      <w:r w:rsidR="0013211C" w:rsidRPr="00AD66FE">
        <w:t xml:space="preserve">открива </w:t>
      </w:r>
      <w:r w:rsidR="00EC4B67" w:rsidRPr="00AD66FE">
        <w:t>недостатъци в стъп</w:t>
      </w:r>
      <w:r w:rsidR="00577066">
        <w:t>ките, предприети от дружеството-</w:t>
      </w:r>
      <w:r w:rsidR="00EC4B67" w:rsidRPr="00AD66FE">
        <w:t>жалбоподател в тази връзка</w:t>
      </w:r>
      <w:r w:rsidR="00B64935" w:rsidRPr="00AD66FE">
        <w:t>.</w:t>
      </w:r>
      <w:r w:rsidR="00577066">
        <w:t xml:space="preserve"> Дружеството-</w:t>
      </w:r>
      <w:r w:rsidR="00EC4B67" w:rsidRPr="00AD66FE">
        <w:t>жалбоподател се обръща към органа, който действителн</w:t>
      </w:r>
      <w:r w:rsidR="00577066">
        <w:t xml:space="preserve">о държи бутилките (вж. Параграф </w:t>
      </w:r>
      <w:r w:rsidR="00B64935" w:rsidRPr="00AD66FE">
        <w:fldChar w:fldCharType="begin"/>
      </w:r>
      <w:r w:rsidR="00B64935" w:rsidRPr="00AD66FE">
        <w:instrText xml:space="preserve"> REF Para16New \h </w:instrText>
      </w:r>
      <w:r w:rsidR="00AD66FE">
        <w:instrText xml:space="preserve"> \* MERGEFORMAT </w:instrText>
      </w:r>
      <w:r w:rsidR="00B64935" w:rsidRPr="00AD66FE">
        <w:fldChar w:fldCharType="separate"/>
      </w:r>
      <w:r w:rsidR="00D20DF1">
        <w:t>16</w:t>
      </w:r>
      <w:r w:rsidR="00B64935" w:rsidRPr="00AD66FE">
        <w:fldChar w:fldCharType="end"/>
      </w:r>
      <w:r w:rsidR="00B64935" w:rsidRPr="00AD66FE">
        <w:t xml:space="preserve"> </w:t>
      </w:r>
      <w:r w:rsidR="00EC4B67" w:rsidRPr="00AD66FE">
        <w:t>по-горе)</w:t>
      </w:r>
      <w:r w:rsidR="00F35DE1" w:rsidRPr="00AD66FE">
        <w:t>,</w:t>
      </w:r>
      <w:r w:rsidR="00EC4B67" w:rsidRPr="00AD66FE">
        <w:t xml:space="preserve"> и по-късно </w:t>
      </w:r>
      <w:r w:rsidR="0013211C" w:rsidRPr="00AD66FE">
        <w:t xml:space="preserve">към </w:t>
      </w:r>
      <w:r w:rsidR="00EC4B67" w:rsidRPr="00AD66FE">
        <w:t>данъчни</w:t>
      </w:r>
      <w:r w:rsidR="0013211C" w:rsidRPr="00AD66FE">
        <w:t>те</w:t>
      </w:r>
      <w:r w:rsidR="00EC4B67" w:rsidRPr="00AD66FE">
        <w:t xml:space="preserve"> власти </w:t>
      </w:r>
      <w:r w:rsidR="0013211C" w:rsidRPr="00AD66FE">
        <w:t xml:space="preserve">във Варна </w:t>
      </w:r>
      <w:r w:rsidR="00EC4B67" w:rsidRPr="00AD66FE">
        <w:t xml:space="preserve">със </w:t>
      </w:r>
      <w:r w:rsidR="00577066">
        <w:t>същото искане</w:t>
      </w:r>
      <w:r w:rsidR="00EC4B67" w:rsidRPr="00AD66FE">
        <w:t xml:space="preserve"> (вж. параграф </w:t>
      </w:r>
      <w:r w:rsidR="00B64935" w:rsidRPr="00AD66FE">
        <w:fldChar w:fldCharType="begin"/>
      </w:r>
      <w:r w:rsidR="00B64935" w:rsidRPr="00AD66FE">
        <w:instrText xml:space="preserve"> REF Para15 \h </w:instrText>
      </w:r>
      <w:r w:rsidR="00AD66FE">
        <w:instrText xml:space="preserve"> \* MERGEFORMAT </w:instrText>
      </w:r>
      <w:r w:rsidR="00B64935" w:rsidRPr="00AD66FE">
        <w:fldChar w:fldCharType="separate"/>
      </w:r>
      <w:r w:rsidR="00D20DF1">
        <w:t>17</w:t>
      </w:r>
      <w:r w:rsidR="00B64935" w:rsidRPr="00AD66FE">
        <w:fldChar w:fldCharType="end"/>
      </w:r>
      <w:r w:rsidR="00B64935" w:rsidRPr="00AD66FE">
        <w:t xml:space="preserve"> </w:t>
      </w:r>
      <w:r w:rsidR="00EC4B67" w:rsidRPr="00AD66FE">
        <w:t>по-горе</w:t>
      </w:r>
      <w:r w:rsidR="00B64935" w:rsidRPr="00AD66FE">
        <w:t xml:space="preserve">). </w:t>
      </w:r>
      <w:r w:rsidR="005D58BA" w:rsidRPr="00AD66FE">
        <w:t>Що се отнася до наказателното производство срещу втора</w:t>
      </w:r>
      <w:r w:rsidR="00EB1227" w:rsidRPr="00AD66FE">
        <w:t>т</w:t>
      </w:r>
      <w:r w:rsidR="005D58BA" w:rsidRPr="00AD66FE">
        <w:t xml:space="preserve">а група трети лица, Съдът препраща към констатацията си, че в това производство не е взето решение във връзка с бутилките (вж. параграфи </w:t>
      </w:r>
      <w:r w:rsidR="00B64935" w:rsidRPr="00AD66FE">
        <w:fldChar w:fldCharType="begin"/>
      </w:r>
      <w:r w:rsidR="00B64935" w:rsidRPr="00AD66FE">
        <w:instrText xml:space="preserve"> REF Para14New \h  \* MERGEFORMAT </w:instrText>
      </w:r>
      <w:r w:rsidR="00B64935" w:rsidRPr="00AD66FE">
        <w:fldChar w:fldCharType="separate"/>
      </w:r>
      <w:r w:rsidR="00D20DF1">
        <w:t>14</w:t>
      </w:r>
      <w:r w:rsidR="00B64935" w:rsidRPr="00AD66FE">
        <w:fldChar w:fldCharType="end"/>
      </w:r>
      <w:r w:rsidR="00B64935" w:rsidRPr="00AD66FE">
        <w:t xml:space="preserve"> </w:t>
      </w:r>
      <w:r w:rsidR="005D58BA" w:rsidRPr="00AD66FE">
        <w:t xml:space="preserve">и </w:t>
      </w:r>
      <w:r w:rsidR="00B64935" w:rsidRPr="00AD66FE">
        <w:fldChar w:fldCharType="begin"/>
      </w:r>
      <w:r w:rsidR="00B64935" w:rsidRPr="00AD66FE">
        <w:instrText xml:space="preserve"> REF Para15New \h  \* MERGEFORMAT </w:instrText>
      </w:r>
      <w:r w:rsidR="00B64935" w:rsidRPr="00AD66FE">
        <w:fldChar w:fldCharType="separate"/>
      </w:r>
      <w:r w:rsidR="00D20DF1">
        <w:t>15</w:t>
      </w:r>
      <w:r w:rsidR="00B64935" w:rsidRPr="00AD66FE">
        <w:fldChar w:fldCharType="end"/>
      </w:r>
      <w:r w:rsidR="00B64935" w:rsidRPr="00AD66FE">
        <w:t xml:space="preserve"> </w:t>
      </w:r>
      <w:r w:rsidR="005D58BA" w:rsidRPr="00AD66FE">
        <w:t>по-горе</w:t>
      </w:r>
      <w:r w:rsidR="00B64935" w:rsidRPr="00AD66FE">
        <w:t>)</w:t>
      </w:r>
      <w:r w:rsidR="005D58BA" w:rsidRPr="00AD66FE">
        <w:t xml:space="preserve"> и така не вижда основания дружеството жалбоподател да използва тази </w:t>
      </w:r>
      <w:r w:rsidR="0056261C" w:rsidRPr="00AD66FE">
        <w:t>процесуална</w:t>
      </w:r>
      <w:r w:rsidR="005D58BA" w:rsidRPr="00AD66FE">
        <w:t xml:space="preserve"> опция за връщане на стоката</w:t>
      </w:r>
      <w:r w:rsidR="00B64935" w:rsidRPr="00AD66FE">
        <w:t>.</w:t>
      </w:r>
    </w:p>
    <w:bookmarkStart w:id="54" w:name="Para85Lastversion"/>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84</w:t>
      </w:r>
      <w:r w:rsidRPr="00AD66FE">
        <w:fldChar w:fldCharType="end"/>
      </w:r>
      <w:bookmarkEnd w:id="54"/>
      <w:r w:rsidRPr="00AD66FE">
        <w:t>.  </w:t>
      </w:r>
      <w:r w:rsidR="005C1423" w:rsidRPr="00AD66FE">
        <w:t xml:space="preserve">Горните съображения са достатъчни да дадат възможност на Съда да стигне до заключението, че </w:t>
      </w:r>
      <w:r w:rsidR="0056261C" w:rsidRPr="00AD66FE">
        <w:t>забавеното</w:t>
      </w:r>
      <w:r w:rsidR="005C1423" w:rsidRPr="00AD66FE">
        <w:t xml:space="preserve"> връщане на оспорваната ст</w:t>
      </w:r>
      <w:r w:rsidR="008B7F71" w:rsidRPr="00AD66FE">
        <w:t>о</w:t>
      </w:r>
      <w:r w:rsidR="005C1423" w:rsidRPr="00AD66FE">
        <w:t xml:space="preserve">ка след окончателното съдебно решение от 7 декември </w:t>
      </w:r>
      <w:r w:rsidRPr="00AD66FE">
        <w:t>2005</w:t>
      </w:r>
      <w:r w:rsidR="005C1423" w:rsidRPr="00AD66FE">
        <w:t> г. представлява незаконосъобразна намеса в правата на дружеството жалбоподател съгласно чл. 1 от Протокол № 1</w:t>
      </w:r>
      <w:r w:rsidRPr="00AD66FE">
        <w:t>.</w:t>
      </w:r>
    </w:p>
    <w:bookmarkStart w:id="55" w:name="Para85New"/>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85</w:t>
      </w:r>
      <w:r w:rsidRPr="00AD66FE">
        <w:fldChar w:fldCharType="end"/>
      </w:r>
      <w:bookmarkEnd w:id="55"/>
      <w:r w:rsidRPr="00AD66FE">
        <w:t>.  </w:t>
      </w:r>
      <w:r w:rsidR="00092173" w:rsidRPr="00AD66FE">
        <w:t>Следователно</w:t>
      </w:r>
      <w:r w:rsidR="009A17F0" w:rsidRPr="00AD66FE">
        <w:t xml:space="preserve"> възражението на Правителство</w:t>
      </w:r>
      <w:r w:rsidR="00092173" w:rsidRPr="00AD66FE">
        <w:t>то ответник</w:t>
      </w:r>
      <w:r w:rsidR="009A17F0" w:rsidRPr="00AD66FE">
        <w:t xml:space="preserve"> </w:t>
      </w:r>
      <w:r w:rsidR="00142352" w:rsidRPr="00AD66FE">
        <w:t>за</w:t>
      </w:r>
      <w:r w:rsidR="009A17F0" w:rsidRPr="00AD66FE">
        <w:t xml:space="preserve"> неизчерпване на вътрешноправните средства за защита следва да бъде отхвърлено (вж. параграф </w:t>
      </w:r>
      <w:r w:rsidRPr="00AD66FE">
        <w:fldChar w:fldCharType="begin"/>
      </w:r>
      <w:r w:rsidRPr="00AD66FE">
        <w:instrText xml:space="preserve"> REF Para45 \h </w:instrText>
      </w:r>
      <w:r w:rsidR="00AD66FE">
        <w:instrText xml:space="preserve"> \* MERGEFORMAT </w:instrText>
      </w:r>
      <w:r w:rsidRPr="00AD66FE">
        <w:fldChar w:fldCharType="separate"/>
      </w:r>
      <w:r w:rsidR="00D20DF1">
        <w:t>54</w:t>
      </w:r>
      <w:r w:rsidRPr="00AD66FE">
        <w:fldChar w:fldCharType="end"/>
      </w:r>
      <w:r w:rsidRPr="00AD66FE">
        <w:t xml:space="preserve"> </w:t>
      </w:r>
      <w:r w:rsidR="009A17F0" w:rsidRPr="00AD66FE">
        <w:t>по-горе</w:t>
      </w:r>
      <w:r w:rsidRPr="00AD66FE">
        <w:t xml:space="preserve">). </w:t>
      </w:r>
      <w:r w:rsidR="009A17F0" w:rsidRPr="00AD66FE">
        <w:t>Следователно е налице нарушение на чл. 1 от Протокол № 1 на Конвенцията</w:t>
      </w:r>
      <w:r w:rsidRPr="00AD66FE">
        <w:t>.</w:t>
      </w:r>
    </w:p>
    <w:p w:rsidR="00B64935" w:rsidRPr="00AD66FE" w:rsidRDefault="00B64935" w:rsidP="00BA13D9">
      <w:pPr>
        <w:pStyle w:val="ECHRHeading1"/>
      </w:pPr>
      <w:r w:rsidRPr="00AD66FE">
        <w:t>II.  </w:t>
      </w:r>
      <w:r w:rsidR="005A335B" w:rsidRPr="00AD66FE">
        <w:t>ТВЪРДЯНО НАРУШЕНИЕ НА ЧЛ. 13 ОТ КОНВЕНЦИЯТА ВЪВ ВРЪЗКА С ЧЛ. 1 ОТ ПРОТОКОЛ № 1</w:t>
      </w:r>
    </w:p>
    <w:p w:rsidR="00B64935" w:rsidRPr="00AD66FE" w:rsidRDefault="00D00517" w:rsidP="00577066">
      <w:pPr>
        <w:pStyle w:val="ECHRPara"/>
      </w:pPr>
      <w:fldSimple w:instr=" SEQ level0 \*arabic ">
        <w:r w:rsidR="00D20DF1">
          <w:rPr>
            <w:noProof/>
          </w:rPr>
          <w:t>86</w:t>
        </w:r>
      </w:fldSimple>
      <w:r w:rsidR="00B64935" w:rsidRPr="00AD66FE">
        <w:t>.  </w:t>
      </w:r>
      <w:r w:rsidR="003A5178" w:rsidRPr="00AD66FE">
        <w:t>Дружес</w:t>
      </w:r>
      <w:r w:rsidR="00577066">
        <w:t>твото-</w:t>
      </w:r>
      <w:r w:rsidR="003A5178" w:rsidRPr="00AD66FE">
        <w:t>жалбоподател се оплаква, че няма на разположение ефективно вътрешноправно средство за защита по отношение на оплакването си по чл. </w:t>
      </w:r>
      <w:r w:rsidR="00C63F8B" w:rsidRPr="00AD66FE">
        <w:t>1 от Протокол № </w:t>
      </w:r>
      <w:r w:rsidR="003A5178" w:rsidRPr="00AD66FE">
        <w:t>1 на Конвенцията</w:t>
      </w:r>
      <w:r w:rsidR="00B64935" w:rsidRPr="00AD66FE">
        <w:t>.</w:t>
      </w:r>
      <w:r w:rsidR="003A5178" w:rsidRPr="00AD66FE">
        <w:t xml:space="preserve"> По-конкретно, то не е могло да потърси и получи обезщетение</w:t>
      </w:r>
      <w:r w:rsidR="008E3388" w:rsidRPr="00AD66FE">
        <w:t xml:space="preserve"> за понесените вреди в резултат</w:t>
      </w:r>
      <w:r w:rsidR="003A5178" w:rsidRPr="00AD66FE">
        <w:t xml:space="preserve"> на задържането на стоката му</w:t>
      </w:r>
      <w:r w:rsidR="00B64935" w:rsidRPr="00AD66FE">
        <w:t>.</w:t>
      </w:r>
      <w:r w:rsidR="003A5178" w:rsidRPr="00AD66FE">
        <w:t xml:space="preserve"> Позовава се на чл. 13 от Конвенцията</w:t>
      </w:r>
      <w:r w:rsidR="00B64935" w:rsidRPr="00AD66FE">
        <w:t>.</w:t>
      </w:r>
    </w:p>
    <w:p w:rsidR="00B64935" w:rsidRPr="00AD66FE" w:rsidRDefault="00D00517" w:rsidP="00BA13D9">
      <w:pPr>
        <w:pStyle w:val="ECHRPara"/>
      </w:pPr>
      <w:fldSimple w:instr=" SEQ level0 \*arabic ">
        <w:r w:rsidR="00D20DF1">
          <w:rPr>
            <w:noProof/>
          </w:rPr>
          <w:t>87</w:t>
        </w:r>
      </w:fldSimple>
      <w:r w:rsidR="00B64935" w:rsidRPr="00AD66FE">
        <w:t>.  </w:t>
      </w:r>
      <w:r w:rsidR="000E54D7" w:rsidRPr="00AD66FE">
        <w:t>Съдът отбелязва, че това оплакване е свързано с разгледаните по-горе и така следва да бъде обявено за допустимо</w:t>
      </w:r>
      <w:r w:rsidR="00B64935" w:rsidRPr="00AD66FE">
        <w:t>.</w:t>
      </w:r>
    </w:p>
    <w:p w:rsidR="00B64935" w:rsidRPr="00AD66FE" w:rsidRDefault="00D00517" w:rsidP="00BA13D9">
      <w:pPr>
        <w:pStyle w:val="ECHRPara"/>
      </w:pPr>
      <w:fldSimple w:instr=" SEQ level0 \*arabic ">
        <w:r w:rsidR="00D20DF1">
          <w:rPr>
            <w:noProof/>
          </w:rPr>
          <w:t>88</w:t>
        </w:r>
      </w:fldSimple>
      <w:r w:rsidR="00B64935" w:rsidRPr="00AD66FE">
        <w:t>.  </w:t>
      </w:r>
      <w:r w:rsidR="000E54D7" w:rsidRPr="00AD66FE">
        <w:t xml:space="preserve">Като има предвид констатациите си, свързани с чл. 1 от Протокол № 1 (вж. параграфи </w:t>
      </w:r>
      <w:r w:rsidR="00B64935" w:rsidRPr="00AD66FE">
        <w:fldChar w:fldCharType="begin"/>
      </w:r>
      <w:r w:rsidR="00B64935" w:rsidRPr="00AD66FE">
        <w:instrText xml:space="preserve"> REF Para62New \h </w:instrText>
      </w:r>
      <w:r w:rsidR="00AD66FE">
        <w:instrText xml:space="preserve"> \* MERGEFORMAT </w:instrText>
      </w:r>
      <w:r w:rsidR="00B64935" w:rsidRPr="00AD66FE">
        <w:fldChar w:fldCharType="separate"/>
      </w:r>
      <w:r w:rsidR="00D20DF1">
        <w:t>64</w:t>
      </w:r>
      <w:r w:rsidR="00B64935" w:rsidRPr="00AD66FE">
        <w:fldChar w:fldCharType="end"/>
      </w:r>
      <w:r w:rsidR="00B64935" w:rsidRPr="00AD66FE">
        <w:t xml:space="preserve"> </w:t>
      </w:r>
      <w:r w:rsidR="000E54D7" w:rsidRPr="00AD66FE">
        <w:t xml:space="preserve">и </w:t>
      </w:r>
      <w:bookmarkStart w:id="56" w:name="Para85New2"/>
      <w:bookmarkEnd w:id="56"/>
      <w:r w:rsidR="00B64935" w:rsidRPr="00AD66FE">
        <w:fldChar w:fldCharType="begin"/>
      </w:r>
      <w:r w:rsidR="00B64935" w:rsidRPr="00AD66FE">
        <w:instrText xml:space="preserve"> REF Para85New \h </w:instrText>
      </w:r>
      <w:r w:rsidR="00AD66FE">
        <w:instrText xml:space="preserve"> \* MERGEFORMAT </w:instrText>
      </w:r>
      <w:r w:rsidR="00B64935" w:rsidRPr="00AD66FE">
        <w:fldChar w:fldCharType="separate"/>
      </w:r>
      <w:r w:rsidR="00D20DF1">
        <w:t>85</w:t>
      </w:r>
      <w:r w:rsidR="00B64935" w:rsidRPr="00AD66FE">
        <w:fldChar w:fldCharType="end"/>
      </w:r>
      <w:r w:rsidR="00B64935" w:rsidRPr="00AD66FE">
        <w:t xml:space="preserve"> </w:t>
      </w:r>
      <w:r w:rsidR="000E54D7" w:rsidRPr="00AD66FE">
        <w:t>по-горе</w:t>
      </w:r>
      <w:r w:rsidR="00B64935" w:rsidRPr="00AD66FE">
        <w:t>),</w:t>
      </w:r>
      <w:r w:rsidR="000E54D7" w:rsidRPr="00AD66FE">
        <w:t xml:space="preserve"> Съдът смята, че при обстоятелствата на настоящия случай не е необходимо да разглежда отделно оплакването по чл.</w:t>
      </w:r>
      <w:r w:rsidR="006925ED" w:rsidRPr="00AD66FE">
        <w:t> </w:t>
      </w:r>
      <w:r w:rsidR="00B64935" w:rsidRPr="00AD66FE">
        <w:t>13.</w:t>
      </w:r>
    </w:p>
    <w:p w:rsidR="00B64935" w:rsidRPr="00AD66FE" w:rsidRDefault="00B64935" w:rsidP="00BA13D9">
      <w:pPr>
        <w:pStyle w:val="ECHRHeading1"/>
      </w:pPr>
      <w:r w:rsidRPr="00AD66FE">
        <w:t>III.  </w:t>
      </w:r>
      <w:r w:rsidR="003F07AD" w:rsidRPr="00AD66FE">
        <w:t xml:space="preserve">ПРИЛОЖЕНИЕ НА ЧЛ. </w:t>
      </w:r>
      <w:r w:rsidRPr="00AD66FE">
        <w:t xml:space="preserve">41 </w:t>
      </w:r>
      <w:r w:rsidR="003F07AD" w:rsidRPr="00AD66FE">
        <w:t>ОТ КОНВЕНЦИЯТА</w:t>
      </w:r>
    </w:p>
    <w:p w:rsidR="00B64935" w:rsidRPr="00AD66FE" w:rsidRDefault="00D00517" w:rsidP="00BA13D9">
      <w:pPr>
        <w:pStyle w:val="ECHRPara"/>
      </w:pPr>
      <w:fldSimple w:instr=" SEQ level0 \*arabic ">
        <w:r w:rsidR="00D20DF1">
          <w:rPr>
            <w:noProof/>
          </w:rPr>
          <w:t>89</w:t>
        </w:r>
      </w:fldSimple>
      <w:r w:rsidR="00B64935" w:rsidRPr="00AD66FE">
        <w:t>.  </w:t>
      </w:r>
      <w:r w:rsidR="003F07AD" w:rsidRPr="00AD66FE">
        <w:t xml:space="preserve">Чл. </w:t>
      </w:r>
      <w:r w:rsidR="00B64935" w:rsidRPr="00AD66FE">
        <w:t>41 от Конвенцията предвижда:</w:t>
      </w:r>
    </w:p>
    <w:p w:rsidR="00B64935" w:rsidRPr="00AD66FE" w:rsidRDefault="009F0396" w:rsidP="00BA13D9">
      <w:pPr>
        <w:pStyle w:val="ECHRParaQuote"/>
        <w:keepNext/>
        <w:keepLines/>
      </w:pPr>
      <w:r w:rsidRPr="00AD66FE">
        <w:t>„</w:t>
      </w:r>
      <w:r w:rsidR="00B64935" w:rsidRPr="00AD66FE">
        <w:t>Ако Съдът установи нарушение на Конвенцията или на Протоколите към нея и ако вътрешното право на съответната Високодоговаряща страна допуска само частично обезщетение, Съдът, ако е необходимо, постановява предоставянето на справедливо обезщетение на потърпевшата страна.</w:t>
      </w:r>
      <w:r w:rsidRPr="00AD66FE">
        <w:t>“</w:t>
      </w:r>
    </w:p>
    <w:p w:rsidR="00B64935" w:rsidRPr="00AD66FE" w:rsidRDefault="00B64935" w:rsidP="00BA13D9">
      <w:pPr>
        <w:pStyle w:val="ECHRHeading2"/>
      </w:pPr>
      <w:r w:rsidRPr="00AD66FE">
        <w:t>А. Обезщетение за вреди</w:t>
      </w:r>
    </w:p>
    <w:p w:rsidR="00B64935" w:rsidRPr="00AD66FE" w:rsidRDefault="00B64935" w:rsidP="00BA13D9">
      <w:pPr>
        <w:pStyle w:val="ECHRHeading3"/>
      </w:pPr>
      <w:r w:rsidRPr="00AD66FE">
        <w:t>1.  </w:t>
      </w:r>
      <w:r w:rsidR="0086202C" w:rsidRPr="00AD66FE">
        <w:t>Имуществени вреди</w:t>
      </w:r>
    </w:p>
    <w:p w:rsidR="00B64935" w:rsidRPr="00AD66FE" w:rsidRDefault="00B64935" w:rsidP="00BA13D9">
      <w:pPr>
        <w:pStyle w:val="ECHRHeading4"/>
        <w:rPr>
          <w:rFonts w:eastAsia="Times New Roman"/>
        </w:rPr>
      </w:pPr>
      <w:r w:rsidRPr="00AD66FE">
        <w:t>(a)  </w:t>
      </w:r>
      <w:r w:rsidR="0086202C" w:rsidRPr="00AD66FE">
        <w:t>Становища на страните</w:t>
      </w:r>
    </w:p>
    <w:p w:rsidR="00B64935" w:rsidRPr="00AD66FE" w:rsidRDefault="00D00517" w:rsidP="00BA13D9">
      <w:pPr>
        <w:pStyle w:val="ECHRPara"/>
      </w:pPr>
      <w:fldSimple w:instr=" SEQ level0 \*arabic ">
        <w:r w:rsidR="00D20DF1">
          <w:rPr>
            <w:noProof/>
          </w:rPr>
          <w:t>90</w:t>
        </w:r>
      </w:fldSimple>
      <w:r w:rsidR="00B64935" w:rsidRPr="00AD66FE">
        <w:t>.  </w:t>
      </w:r>
      <w:r w:rsidR="00337038" w:rsidRPr="00AD66FE">
        <w:t>Дружест</w:t>
      </w:r>
      <w:r w:rsidR="00E55DC8">
        <w:t>вото жалбоподател претендира</w:t>
      </w:r>
      <w:r w:rsidR="00337038" w:rsidRPr="00AD66FE">
        <w:t xml:space="preserve"> </w:t>
      </w:r>
      <w:r w:rsidR="00B64935" w:rsidRPr="00AD66FE">
        <w:t>BGN</w:t>
      </w:r>
      <w:r w:rsidR="00337038" w:rsidRPr="00AD66FE">
        <w:t> </w:t>
      </w:r>
      <w:r w:rsidR="00B64935" w:rsidRPr="00AD66FE">
        <w:t>1</w:t>
      </w:r>
      <w:r w:rsidR="00337038" w:rsidRPr="00AD66FE">
        <w:t> </w:t>
      </w:r>
      <w:r w:rsidR="00B64935" w:rsidRPr="00AD66FE">
        <w:t>267</w:t>
      </w:r>
      <w:r w:rsidR="00337038" w:rsidRPr="00AD66FE">
        <w:t> </w:t>
      </w:r>
      <w:r w:rsidR="00B64935" w:rsidRPr="00AD66FE">
        <w:t>621 (EUR</w:t>
      </w:r>
      <w:r w:rsidR="00337038" w:rsidRPr="00AD66FE">
        <w:t> </w:t>
      </w:r>
      <w:r w:rsidR="00B64935" w:rsidRPr="00AD66FE">
        <w:t>648</w:t>
      </w:r>
      <w:r w:rsidR="00337038" w:rsidRPr="00AD66FE">
        <w:t> </w:t>
      </w:r>
      <w:r w:rsidR="00B64935" w:rsidRPr="00AD66FE">
        <w:t>124</w:t>
      </w:r>
      <w:r w:rsidR="00337038" w:rsidRPr="00AD66FE">
        <w:t>,</w:t>
      </w:r>
      <w:r w:rsidR="00B64935" w:rsidRPr="00AD66FE">
        <w:t xml:space="preserve">33) </w:t>
      </w:r>
      <w:r w:rsidR="00337038" w:rsidRPr="00AD66FE">
        <w:t xml:space="preserve">имуществени вреди </w:t>
      </w:r>
      <w:r w:rsidR="00283BB6" w:rsidRPr="00AD66FE">
        <w:t>на база</w:t>
      </w:r>
      <w:r w:rsidR="00337038" w:rsidRPr="00AD66FE">
        <w:t xml:space="preserve"> на следните изчисления</w:t>
      </w:r>
      <w:r w:rsidR="00B64935" w:rsidRPr="00AD66FE">
        <w:t>.</w:t>
      </w:r>
    </w:p>
    <w:bookmarkStart w:id="57" w:name="PARA92"/>
    <w:bookmarkStart w:id="58" w:name="PARA93"/>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91</w:t>
      </w:r>
      <w:r w:rsidRPr="00AD66FE">
        <w:fldChar w:fldCharType="end"/>
      </w:r>
      <w:bookmarkEnd w:id="57"/>
      <w:bookmarkEnd w:id="58"/>
      <w:r w:rsidRPr="00AD66FE">
        <w:t>.  </w:t>
      </w:r>
      <w:r w:rsidR="00337038" w:rsidRPr="00AD66FE">
        <w:t xml:space="preserve">На първо място, то претендира за обезщетение, равно на покупната цена, която е платило за </w:t>
      </w:r>
      <w:r w:rsidRPr="00AD66FE">
        <w:t>26</w:t>
      </w:r>
      <w:r w:rsidR="00337038" w:rsidRPr="00AD66FE">
        <w:t> </w:t>
      </w:r>
      <w:r w:rsidRPr="00AD66FE">
        <w:t>753</w:t>
      </w:r>
      <w:r w:rsidR="00337038" w:rsidRPr="00AD66FE">
        <w:t xml:space="preserve"> бутилки крем ликьор „</w:t>
      </w:r>
      <w:proofErr w:type="spellStart"/>
      <w:r w:rsidR="00337038" w:rsidRPr="00AD66FE">
        <w:t>Бейлис</w:t>
      </w:r>
      <w:proofErr w:type="spellEnd"/>
      <w:r w:rsidR="00337038" w:rsidRPr="00AD66FE">
        <w:t>“, които са върнати след изтичането на срока им на годност, а именно сумата от BGN 458 419 (EUR 234 385,</w:t>
      </w:r>
      <w:r w:rsidRPr="00AD66FE">
        <w:t>91).</w:t>
      </w:r>
    </w:p>
    <w:bookmarkStart w:id="59" w:name="PARA94"/>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92</w:t>
      </w:r>
      <w:r w:rsidRPr="00AD66FE">
        <w:fldChar w:fldCharType="end"/>
      </w:r>
      <w:bookmarkEnd w:id="59"/>
      <w:r w:rsidRPr="00AD66FE">
        <w:t>.  </w:t>
      </w:r>
      <w:r w:rsidR="00337038" w:rsidRPr="00AD66FE">
        <w:t xml:space="preserve">На второ място, дружеството жалбоподател претендира за обезщетение за пропуснати ползи по отношение на бутилките. В тази връзка то сочи печалбата, която е могло да получи от разликата между покупната цена и пазарната цена по време на периода на задържане на стоката. Според неговите изчисления, сумата на печалбата възлиза на </w:t>
      </w:r>
      <w:r w:rsidRPr="00AD66FE">
        <w:t>BGN</w:t>
      </w:r>
      <w:r w:rsidR="00337038" w:rsidRPr="00AD66FE">
        <w:t> </w:t>
      </w:r>
      <w:r w:rsidRPr="00AD66FE">
        <w:t>185</w:t>
      </w:r>
      <w:r w:rsidR="00337038" w:rsidRPr="00AD66FE">
        <w:t> </w:t>
      </w:r>
      <w:r w:rsidRPr="00AD66FE">
        <w:t>250 (EUR</w:t>
      </w:r>
      <w:r w:rsidR="00337038" w:rsidRPr="00AD66FE">
        <w:t> 94 854,</w:t>
      </w:r>
      <w:r w:rsidRPr="00AD66FE">
        <w:t>87).</w:t>
      </w:r>
    </w:p>
    <w:bookmarkStart w:id="60" w:name="PARA95"/>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93</w:t>
      </w:r>
      <w:r w:rsidRPr="00AD66FE">
        <w:fldChar w:fldCharType="end"/>
      </w:r>
      <w:bookmarkEnd w:id="60"/>
      <w:r w:rsidRPr="00AD66FE">
        <w:t>.  </w:t>
      </w:r>
      <w:r w:rsidR="0054392A" w:rsidRPr="00AD66FE">
        <w:t>На трето място, дружеството жалбоподател претендира за законна лихва за забава за периода, през който сумите по предходните два параграфа не са на негово разположение</w:t>
      </w:r>
      <w:r w:rsidRPr="00AD66FE">
        <w:t>.</w:t>
      </w:r>
      <w:r w:rsidR="0054392A" w:rsidRPr="00AD66FE">
        <w:t xml:space="preserve"> Този период е от </w:t>
      </w:r>
      <w:r w:rsidRPr="00AD66FE">
        <w:t>6-7</w:t>
      </w:r>
      <w:r w:rsidR="0054392A" w:rsidRPr="00AD66FE">
        <w:t xml:space="preserve"> януари </w:t>
      </w:r>
      <w:r w:rsidRPr="00AD66FE">
        <w:t>2005</w:t>
      </w:r>
      <w:r w:rsidR="0054392A" w:rsidRPr="00AD66FE">
        <w:t xml:space="preserve"> г. до датата, на която </w:t>
      </w:r>
      <w:r w:rsidR="00092173" w:rsidRPr="00AD66FE">
        <w:t xml:space="preserve">предявява </w:t>
      </w:r>
      <w:r w:rsidR="0054392A" w:rsidRPr="00AD66FE">
        <w:t>иска си пред Административен съд – София град</w:t>
      </w:r>
      <w:r w:rsidR="002013AC" w:rsidRPr="00AD66FE">
        <w:t>,</w:t>
      </w:r>
      <w:r w:rsidR="0054392A" w:rsidRPr="00AD66FE">
        <w:t xml:space="preserve"> на стойност </w:t>
      </w:r>
      <w:r w:rsidRPr="00AD66FE">
        <w:t>BGN</w:t>
      </w:r>
      <w:r w:rsidR="0054392A" w:rsidRPr="00AD66FE">
        <w:t> </w:t>
      </w:r>
      <w:r w:rsidRPr="00AD66FE">
        <w:t>267</w:t>
      </w:r>
      <w:r w:rsidR="0054392A" w:rsidRPr="00AD66FE">
        <w:t> </w:t>
      </w:r>
      <w:r w:rsidRPr="00AD66FE">
        <w:t>997 (EUR</w:t>
      </w:r>
      <w:r w:rsidR="0054392A" w:rsidRPr="00AD66FE">
        <w:t> </w:t>
      </w:r>
      <w:r w:rsidRPr="00AD66FE">
        <w:t>137</w:t>
      </w:r>
      <w:r w:rsidR="0054392A" w:rsidRPr="00AD66FE">
        <w:t> </w:t>
      </w:r>
      <w:r w:rsidRPr="00AD66FE">
        <w:t>024</w:t>
      </w:r>
      <w:r w:rsidR="0054392A" w:rsidRPr="00AD66FE">
        <w:t>,</w:t>
      </w:r>
      <w:r w:rsidRPr="00AD66FE">
        <w:t>69).</w:t>
      </w:r>
    </w:p>
    <w:bookmarkStart w:id="61" w:name="PARA96"/>
    <w:p w:rsidR="00B64935" w:rsidRPr="00AD66FE" w:rsidRDefault="00B64935" w:rsidP="00BA13D9">
      <w:pPr>
        <w:pStyle w:val="ECHRPara"/>
      </w:pPr>
      <w:r w:rsidRPr="00AD66FE">
        <w:fldChar w:fldCharType="begin"/>
      </w:r>
      <w:r w:rsidRPr="00AD66FE">
        <w:instrText xml:space="preserve"> SEQ level0 \*arabic </w:instrText>
      </w:r>
      <w:r w:rsidRPr="00AD66FE">
        <w:fldChar w:fldCharType="separate"/>
      </w:r>
      <w:r w:rsidR="00D20DF1">
        <w:rPr>
          <w:noProof/>
        </w:rPr>
        <w:t>94</w:t>
      </w:r>
      <w:r w:rsidRPr="00AD66FE">
        <w:fldChar w:fldCharType="end"/>
      </w:r>
      <w:bookmarkEnd w:id="61"/>
      <w:r w:rsidRPr="00AD66FE">
        <w:t>.  </w:t>
      </w:r>
      <w:r w:rsidR="00E55DC8">
        <w:t>На последно място, дружеството-</w:t>
      </w:r>
      <w:r w:rsidR="002013AC" w:rsidRPr="00AD66FE">
        <w:t xml:space="preserve">жалбоподател претендира също </w:t>
      </w:r>
      <w:r w:rsidRPr="00AD66FE">
        <w:t>BGN</w:t>
      </w:r>
      <w:r w:rsidR="002013AC" w:rsidRPr="00AD66FE">
        <w:t> </w:t>
      </w:r>
      <w:r w:rsidRPr="00AD66FE">
        <w:t>129</w:t>
      </w:r>
      <w:r w:rsidR="002013AC" w:rsidRPr="00AD66FE">
        <w:t> </w:t>
      </w:r>
      <w:r w:rsidRPr="00AD66FE">
        <w:t>172 (EUR</w:t>
      </w:r>
      <w:r w:rsidR="002013AC" w:rsidRPr="00AD66FE">
        <w:t> </w:t>
      </w:r>
      <w:r w:rsidRPr="00AD66FE">
        <w:t>66</w:t>
      </w:r>
      <w:r w:rsidR="002013AC" w:rsidRPr="00AD66FE">
        <w:t> </w:t>
      </w:r>
      <w:r w:rsidRPr="00AD66FE">
        <w:t>044</w:t>
      </w:r>
      <w:r w:rsidR="002013AC" w:rsidRPr="00AD66FE">
        <w:t>,</w:t>
      </w:r>
      <w:r w:rsidRPr="00AD66FE">
        <w:t>59)</w:t>
      </w:r>
      <w:r w:rsidR="002013AC" w:rsidRPr="00AD66FE">
        <w:t xml:space="preserve"> законна лихва за неизпълнение за периода от </w:t>
      </w:r>
      <w:r w:rsidRPr="00AD66FE">
        <w:t>6-7</w:t>
      </w:r>
      <w:r w:rsidR="002013AC" w:rsidRPr="00AD66FE">
        <w:t xml:space="preserve"> януари </w:t>
      </w:r>
      <w:r w:rsidRPr="00AD66FE">
        <w:t>2005</w:t>
      </w:r>
      <w:r w:rsidR="002013AC" w:rsidRPr="00AD66FE">
        <w:t> г.</w:t>
      </w:r>
      <w:r w:rsidRPr="00AD66FE">
        <w:t xml:space="preserve"> (</w:t>
      </w:r>
      <w:r w:rsidR="002013AC" w:rsidRPr="00AD66FE">
        <w:t>датата на изземване</w:t>
      </w:r>
      <w:r w:rsidRPr="00AD66FE">
        <w:t>)</w:t>
      </w:r>
      <w:r w:rsidR="002013AC" w:rsidRPr="00AD66FE">
        <w:t xml:space="preserve"> до </w:t>
      </w:r>
      <w:r w:rsidRPr="00AD66FE">
        <w:t>30</w:t>
      </w:r>
      <w:r w:rsidR="002013AC" w:rsidRPr="00AD66FE">
        <w:t xml:space="preserve"> март </w:t>
      </w:r>
      <w:r w:rsidRPr="00AD66FE">
        <w:t>2007</w:t>
      </w:r>
      <w:r w:rsidR="002013AC" w:rsidRPr="00AD66FE">
        <w:t> г.</w:t>
      </w:r>
      <w:r w:rsidRPr="00AD66FE">
        <w:t xml:space="preserve"> (</w:t>
      </w:r>
      <w:r w:rsidR="002013AC" w:rsidRPr="00AD66FE">
        <w:t>датата, на която бутилките са върнати</w:t>
      </w:r>
      <w:r w:rsidRPr="00AD66FE">
        <w:t>)</w:t>
      </w:r>
      <w:r w:rsidR="002013AC" w:rsidRPr="00AD66FE">
        <w:t xml:space="preserve"> по отношение на напитките, които са иззети, но </w:t>
      </w:r>
      <w:r w:rsidR="00CE51B4" w:rsidRPr="00AD66FE">
        <w:t>не</w:t>
      </w:r>
      <w:r w:rsidR="002013AC" w:rsidRPr="00AD66FE">
        <w:t xml:space="preserve"> са имали изтичащ срок на годност и е може</w:t>
      </w:r>
      <w:r w:rsidR="00265CC7" w:rsidRPr="00AD66FE">
        <w:t>ло</w:t>
      </w:r>
      <w:r w:rsidR="002013AC" w:rsidRPr="00AD66FE">
        <w:t xml:space="preserve"> да бъдат предложени на пазара, когато са върнати</w:t>
      </w:r>
      <w:r w:rsidRPr="00AD66FE">
        <w:t xml:space="preserve">. </w:t>
      </w:r>
      <w:r w:rsidR="00265CC7" w:rsidRPr="00AD66FE">
        <w:t xml:space="preserve">Дружеството жалбоподател твърди, че горната сума за </w:t>
      </w:r>
      <w:r w:rsidR="0056261C" w:rsidRPr="00AD66FE">
        <w:t>законна</w:t>
      </w:r>
      <w:r w:rsidR="00265CC7" w:rsidRPr="00AD66FE">
        <w:t xml:space="preserve"> лихва за неизпълнение следва да се базира на общата покупна цена на бутилките, която според неговите изчисления възлиза на </w:t>
      </w:r>
      <w:r w:rsidRPr="00AD66FE">
        <w:t>BGN</w:t>
      </w:r>
      <w:r w:rsidR="00265CC7" w:rsidRPr="00AD66FE">
        <w:t> </w:t>
      </w:r>
      <w:r w:rsidRPr="00AD66FE">
        <w:t>457</w:t>
      </w:r>
      <w:r w:rsidR="00265CC7" w:rsidRPr="00AD66FE">
        <w:t> </w:t>
      </w:r>
      <w:r w:rsidRPr="00AD66FE">
        <w:t>500 (EUR</w:t>
      </w:r>
      <w:r w:rsidR="00265CC7" w:rsidRPr="00AD66FE">
        <w:t> </w:t>
      </w:r>
      <w:r w:rsidRPr="00AD66FE">
        <w:t>233</w:t>
      </w:r>
      <w:r w:rsidR="00265CC7" w:rsidRPr="00AD66FE">
        <w:t> 916,</w:t>
      </w:r>
      <w:r w:rsidRPr="00AD66FE">
        <w:t xml:space="preserve">04). </w:t>
      </w:r>
      <w:r w:rsidR="00265CC7" w:rsidRPr="00AD66FE">
        <w:t>В иска си за справедливо обезщетение дружеството жалбоподател не посочва броя напитки, които има предвид</w:t>
      </w:r>
      <w:r w:rsidRPr="00AD66FE">
        <w:t>.</w:t>
      </w:r>
      <w:r w:rsidR="00265CC7" w:rsidRPr="00AD66FE">
        <w:t xml:space="preserve"> То не претендира за обезщетение по отношение на покупната цена или пропуснати ползи във връзка със задържането на тези напитки</w:t>
      </w:r>
      <w:r w:rsidRPr="00AD66FE">
        <w:t>.</w:t>
      </w:r>
    </w:p>
    <w:p w:rsidR="00B64935" w:rsidRPr="00AD66FE" w:rsidRDefault="00D00517" w:rsidP="00BA13D9">
      <w:pPr>
        <w:pStyle w:val="ECHRPara"/>
      </w:pPr>
      <w:fldSimple w:instr=" SEQ level0 \*arabic ">
        <w:r w:rsidR="00D20DF1">
          <w:rPr>
            <w:noProof/>
          </w:rPr>
          <w:t>95</w:t>
        </w:r>
      </w:fldSimple>
      <w:r w:rsidR="00B64935" w:rsidRPr="00AD66FE">
        <w:t>.  </w:t>
      </w:r>
      <w:r w:rsidR="00E40F7B" w:rsidRPr="00AD66FE">
        <w:t xml:space="preserve">В подкрепа на всички горни претенции, дружеството жалбоподател представя съдебното решение на Административен съд – София град от 30 ноември </w:t>
      </w:r>
      <w:r w:rsidR="00B64935" w:rsidRPr="00AD66FE">
        <w:t>2010</w:t>
      </w:r>
      <w:r w:rsidR="00E40F7B" w:rsidRPr="00AD66FE">
        <w:t xml:space="preserve"> г., взето в производството </w:t>
      </w:r>
      <w:r w:rsidR="0029092C" w:rsidRPr="00AD66FE">
        <w:t>по повод</w:t>
      </w:r>
      <w:r w:rsidR="00E40F7B" w:rsidRPr="00AD66FE">
        <w:t xml:space="preserve"> иска за обезщетение, </w:t>
      </w:r>
      <w:r w:rsidR="00092173" w:rsidRPr="00AD66FE">
        <w:t xml:space="preserve">предявен </w:t>
      </w:r>
      <w:r w:rsidR="00852E55">
        <w:t>от дружеството-</w:t>
      </w:r>
      <w:r w:rsidR="00E40F7B" w:rsidRPr="00AD66FE">
        <w:t>жалбоподател срещу Националната агенция за приходите</w:t>
      </w:r>
      <w:r w:rsidR="00B64935" w:rsidRPr="00AD66FE">
        <w:t xml:space="preserve">. </w:t>
      </w:r>
      <w:r w:rsidR="00852E55">
        <w:t>Дружеството-</w:t>
      </w:r>
      <w:r w:rsidR="0029092C" w:rsidRPr="00AD66FE">
        <w:t>жалбоподател се позовава на факта, че съдебното решение се базира на числа, посочени в експертизата, възложена в хода на производството</w:t>
      </w:r>
      <w:r w:rsidR="00B64935" w:rsidRPr="00AD66FE">
        <w:t>.</w:t>
      </w:r>
      <w:r w:rsidR="00852E55">
        <w:t xml:space="preserve"> По-конкретно, тази експертиза</w:t>
      </w:r>
      <w:r w:rsidR="0029092C" w:rsidRPr="00AD66FE">
        <w:t xml:space="preserve"> посочва</w:t>
      </w:r>
      <w:r w:rsidR="00B64935" w:rsidRPr="00AD66FE">
        <w:t>: a)</w:t>
      </w:r>
      <w:r w:rsidR="00D42C3E" w:rsidRPr="00AD66FE">
        <w:t> покупната цена, платена първоначално за бутилките</w:t>
      </w:r>
      <w:r w:rsidR="00B64935" w:rsidRPr="00AD66FE">
        <w:t xml:space="preserve">; </w:t>
      </w:r>
      <w:r w:rsidR="00D42C3E" w:rsidRPr="00AD66FE">
        <w:t>б</w:t>
      </w:r>
      <w:r w:rsidR="00B64935" w:rsidRPr="00AD66FE">
        <w:t>)</w:t>
      </w:r>
      <w:r w:rsidR="00D42C3E" w:rsidRPr="00AD66FE">
        <w:t> разликата между покупната цена и пазарната цена в момента на изземване на бутилките, която показва, че пазарната цена е била по-висока от покупната цена и следователно дружеството жалбоподател може да изчисли пропусната печалба на тази база</w:t>
      </w:r>
      <w:r w:rsidR="00B64935" w:rsidRPr="00AD66FE">
        <w:t>;</w:t>
      </w:r>
      <w:r w:rsidR="00D42C3E" w:rsidRPr="00AD66FE">
        <w:t xml:space="preserve"> и в) законната лихва </w:t>
      </w:r>
      <w:r w:rsidR="008137AC" w:rsidRPr="00AD66FE">
        <w:t>за</w:t>
      </w:r>
      <w:r w:rsidR="00D42C3E" w:rsidRPr="00AD66FE">
        <w:t xml:space="preserve"> неизпълнение за периода на задържане (вж. параграф </w:t>
      </w:r>
      <w:r w:rsidR="00B64935" w:rsidRPr="00AD66FE">
        <w:fldChar w:fldCharType="begin"/>
      </w:r>
      <w:r w:rsidR="00B64935" w:rsidRPr="00AD66FE">
        <w:instrText xml:space="preserve"> REF FAER \h  \* MERGEFORMAT </w:instrText>
      </w:r>
      <w:r w:rsidR="00B64935" w:rsidRPr="00AD66FE">
        <w:fldChar w:fldCharType="separate"/>
      </w:r>
      <w:r w:rsidR="00D20DF1">
        <w:t>27</w:t>
      </w:r>
      <w:r w:rsidR="00B64935" w:rsidRPr="00AD66FE">
        <w:fldChar w:fldCharType="end"/>
      </w:r>
      <w:r w:rsidR="00B64935" w:rsidRPr="00AD66FE">
        <w:t xml:space="preserve"> </w:t>
      </w:r>
      <w:r w:rsidR="00D42C3E" w:rsidRPr="00AD66FE">
        <w:t>по-горе</w:t>
      </w:r>
      <w:r w:rsidR="00B64935" w:rsidRPr="00AD66FE">
        <w:t xml:space="preserve">). </w:t>
      </w:r>
      <w:r w:rsidR="00852E55">
        <w:t>Дружеството-</w:t>
      </w:r>
      <w:r w:rsidR="008137AC" w:rsidRPr="00AD66FE">
        <w:t>жалбоподател не представя екземпляр от гореспоменатата експертиза в срока, предвиден в процедурата пред Съда</w:t>
      </w:r>
      <w:r w:rsidR="00B64935" w:rsidRPr="00AD66FE">
        <w:t>.</w:t>
      </w:r>
    </w:p>
    <w:p w:rsidR="00B64935" w:rsidRPr="00AD66FE" w:rsidRDefault="00D00517" w:rsidP="00BA13D9">
      <w:pPr>
        <w:pStyle w:val="ECHRPara"/>
      </w:pPr>
      <w:fldSimple w:instr=" SEQ level0 \*arabic ">
        <w:r w:rsidR="00D20DF1">
          <w:rPr>
            <w:noProof/>
          </w:rPr>
          <w:t>96</w:t>
        </w:r>
      </w:fldSimple>
      <w:r w:rsidR="00B64935" w:rsidRPr="00AD66FE">
        <w:t>.  </w:t>
      </w:r>
      <w:r w:rsidR="00C85302" w:rsidRPr="00AD66FE">
        <w:t xml:space="preserve">Правителството твърди, че претенциите </w:t>
      </w:r>
      <w:r w:rsidR="00852E55">
        <w:t>на дружеството-</w:t>
      </w:r>
      <w:r w:rsidR="00C85302" w:rsidRPr="00AD66FE">
        <w:t xml:space="preserve">жалбоподател за имуществени вреди не са посочени правилно и не са обосновани. По-нататък, в тези претенции се говори единствено </w:t>
      </w:r>
      <w:r w:rsidR="00474B73" w:rsidRPr="00AD66FE">
        <w:t>за</w:t>
      </w:r>
      <w:r w:rsidR="00C85302" w:rsidRPr="00AD66FE">
        <w:t xml:space="preserve"> установеното от Административен съд – София град в решението му от 30 ноември </w:t>
      </w:r>
      <w:r w:rsidR="00B64935" w:rsidRPr="00AD66FE">
        <w:t>2010</w:t>
      </w:r>
      <w:r w:rsidR="00C85302" w:rsidRPr="00AD66FE">
        <w:t> г. въз основа на експертизата, която пък не е представена пред Съда</w:t>
      </w:r>
      <w:r w:rsidR="00B64935" w:rsidRPr="00AD66FE">
        <w:t xml:space="preserve">. </w:t>
      </w:r>
      <w:r w:rsidR="00C85302" w:rsidRPr="00AD66FE">
        <w:t>В допълнение</w:t>
      </w:r>
      <w:r w:rsidR="00B64935" w:rsidRPr="00AD66FE">
        <w:t>,</w:t>
      </w:r>
      <w:r w:rsidR="00C85302" w:rsidRPr="00AD66FE">
        <w:t xml:space="preserve"> в гореспоменатото производство националният съд в крайна сметка</w:t>
      </w:r>
      <w:r w:rsidR="00852E55">
        <w:t xml:space="preserve"> се произнася срещу дружеството-</w:t>
      </w:r>
      <w:r w:rsidR="00C85302" w:rsidRPr="00AD66FE">
        <w:t>жалбоподател и не са формулирани констатации по отношение на твърдените вреди въпреки заключенията на експертизата, на които се позовава Административен съд – София град</w:t>
      </w:r>
      <w:r w:rsidR="00B64935" w:rsidRPr="00AD66FE">
        <w:t xml:space="preserve">. </w:t>
      </w:r>
      <w:r w:rsidR="0064461E" w:rsidRPr="00AD66FE">
        <w:t>Правителството твърд</w:t>
      </w:r>
      <w:r w:rsidR="00852E55">
        <w:t>и, че при всички положения искането</w:t>
      </w:r>
      <w:r w:rsidR="0064461E" w:rsidRPr="00AD66FE">
        <w:t xml:space="preserve"> на др</w:t>
      </w:r>
      <w:r w:rsidR="00852E55">
        <w:t xml:space="preserve">ужеството-жалбоподател е неясно </w:t>
      </w:r>
      <w:r w:rsidR="0064461E" w:rsidRPr="00AD66FE">
        <w:t>и следва да бъде отхвърлен</w:t>
      </w:r>
      <w:r w:rsidR="00852E55">
        <w:t>о</w:t>
      </w:r>
      <w:r w:rsidR="0064461E" w:rsidRPr="00AD66FE">
        <w:t>, тъй като има несъответствия между претендираните суми и сумите</w:t>
      </w:r>
      <w:r w:rsidR="001471B1" w:rsidRPr="00AD66FE">
        <w:t xml:space="preserve"> съгласно </w:t>
      </w:r>
      <w:r w:rsidR="0064461E" w:rsidRPr="00AD66FE">
        <w:t xml:space="preserve">решението на Административен съд – София град от </w:t>
      </w:r>
      <w:r w:rsidR="00B64935" w:rsidRPr="00AD66FE">
        <w:t>30</w:t>
      </w:r>
      <w:r w:rsidR="0064461E" w:rsidRPr="00AD66FE">
        <w:t xml:space="preserve"> ноември </w:t>
      </w:r>
      <w:r w:rsidR="00B64935" w:rsidRPr="00AD66FE">
        <w:t>2010</w:t>
      </w:r>
      <w:r w:rsidR="0064461E" w:rsidRPr="00AD66FE">
        <w:t> г</w:t>
      </w:r>
      <w:r w:rsidR="00B64935" w:rsidRPr="00AD66FE">
        <w:t xml:space="preserve">. </w:t>
      </w:r>
      <w:r w:rsidR="001471B1" w:rsidRPr="00AD66FE">
        <w:t>Т</w:t>
      </w:r>
      <w:r w:rsidR="00852E55">
        <w:t>о отново твърди, че дружеството-</w:t>
      </w:r>
      <w:r w:rsidR="001471B1" w:rsidRPr="00AD66FE">
        <w:t xml:space="preserve">жалбоподател е можело да претендира за вреди съгласно Закона за задълженията и договорите вместо да </w:t>
      </w:r>
      <w:r w:rsidR="00092173" w:rsidRPr="00AD66FE">
        <w:t xml:space="preserve">предявява </w:t>
      </w:r>
      <w:r w:rsidR="001471B1" w:rsidRPr="00AD66FE">
        <w:t xml:space="preserve">иск по ЗОДОВ (вж. параграфи </w:t>
      </w:r>
      <w:r w:rsidR="00B64935" w:rsidRPr="00AD66FE">
        <w:fldChar w:fldCharType="begin"/>
      </w:r>
      <w:r w:rsidR="00B64935" w:rsidRPr="00AD66FE">
        <w:instrText xml:space="preserve"> REF Para35 \h </w:instrText>
      </w:r>
      <w:r w:rsidR="00AD66FE">
        <w:instrText xml:space="preserve"> \* MERGEFORMAT </w:instrText>
      </w:r>
      <w:r w:rsidR="00B64935" w:rsidRPr="00AD66FE">
        <w:fldChar w:fldCharType="separate"/>
      </w:r>
      <w:r w:rsidR="00D20DF1">
        <w:t>43</w:t>
      </w:r>
      <w:r w:rsidR="00B64935" w:rsidRPr="00AD66FE">
        <w:fldChar w:fldCharType="end"/>
      </w:r>
      <w:r w:rsidR="00B64935" w:rsidRPr="00AD66FE">
        <w:t>-</w:t>
      </w:r>
      <w:r w:rsidR="00B64935" w:rsidRPr="00AD66FE">
        <w:fldChar w:fldCharType="begin"/>
      </w:r>
      <w:r w:rsidR="00B64935" w:rsidRPr="00AD66FE">
        <w:instrText xml:space="preserve"> REF Para39 \h </w:instrText>
      </w:r>
      <w:r w:rsidR="00AD66FE">
        <w:instrText xml:space="preserve"> \* MERGEFORMAT </w:instrText>
      </w:r>
      <w:r w:rsidR="00B64935" w:rsidRPr="00AD66FE">
        <w:fldChar w:fldCharType="separate"/>
      </w:r>
      <w:r w:rsidR="00D20DF1">
        <w:t>57</w:t>
      </w:r>
      <w:r w:rsidR="00B64935" w:rsidRPr="00AD66FE">
        <w:fldChar w:fldCharType="end"/>
      </w:r>
      <w:r w:rsidR="00B64935" w:rsidRPr="00AD66FE">
        <w:t xml:space="preserve"> </w:t>
      </w:r>
      <w:r w:rsidR="001471B1" w:rsidRPr="00AD66FE">
        <w:t>по-горе</w:t>
      </w:r>
      <w:r w:rsidR="00B64935" w:rsidRPr="00AD66FE">
        <w:t>).</w:t>
      </w:r>
    </w:p>
    <w:p w:rsidR="00B64935" w:rsidRPr="00AD66FE" w:rsidRDefault="00B64935" w:rsidP="00BA13D9">
      <w:pPr>
        <w:pStyle w:val="ECHRHeading4"/>
        <w:rPr>
          <w:rFonts w:eastAsia="Times New Roman"/>
        </w:rPr>
      </w:pPr>
      <w:r w:rsidRPr="00AD66FE">
        <w:t>(</w:t>
      </w:r>
      <w:r w:rsidR="0086202C" w:rsidRPr="00AD66FE">
        <w:t>б</w:t>
      </w:r>
      <w:r w:rsidRPr="00AD66FE">
        <w:t>)  </w:t>
      </w:r>
      <w:r w:rsidR="0086202C" w:rsidRPr="00AD66FE">
        <w:t>Преценка</w:t>
      </w:r>
      <w:r w:rsidR="00092173" w:rsidRPr="00AD66FE">
        <w:t>та</w:t>
      </w:r>
      <w:r w:rsidR="0086202C" w:rsidRPr="00AD66FE">
        <w:t xml:space="preserve"> на Съда</w:t>
      </w:r>
    </w:p>
    <w:p w:rsidR="00B64935" w:rsidRPr="00AD66FE" w:rsidRDefault="00D00517" w:rsidP="00BA13D9">
      <w:pPr>
        <w:pStyle w:val="ECHRPara"/>
      </w:pPr>
      <w:fldSimple w:instr=" SEQ level0 \*arabic ">
        <w:r w:rsidR="00D20DF1">
          <w:rPr>
            <w:noProof/>
          </w:rPr>
          <w:t>97</w:t>
        </w:r>
      </w:fldSimple>
      <w:r w:rsidR="00EB440E" w:rsidRPr="00AD66FE">
        <w:t>.  </w:t>
      </w:r>
      <w:r w:rsidR="00DB0612" w:rsidRPr="00AD66FE">
        <w:t xml:space="preserve">При обстоятелствата на настоящия случай Съдът </w:t>
      </w:r>
      <w:r w:rsidR="00092173" w:rsidRPr="00AD66FE">
        <w:t>счита</w:t>
      </w:r>
      <w:r w:rsidR="00DB0612" w:rsidRPr="00AD66FE">
        <w:t>, че няма готовност за вземане на решение по въпроса за обезщетението за имуществени вреди</w:t>
      </w:r>
      <w:r w:rsidR="00EB440E" w:rsidRPr="00AD66FE">
        <w:t>.</w:t>
      </w:r>
      <w:r w:rsidR="00B86517" w:rsidRPr="00AD66FE">
        <w:t xml:space="preserve"> Следователно е необходимо да запази въпроса, като се вземе предвид възможността </w:t>
      </w:r>
      <w:r w:rsidR="0021155F" w:rsidRPr="00AD66FE">
        <w:t>за</w:t>
      </w:r>
      <w:r w:rsidR="00B86517" w:rsidRPr="00AD66FE">
        <w:t xml:space="preserve"> постигане на споразумение между държава</w:t>
      </w:r>
      <w:r w:rsidR="00C77101">
        <w:t>та-отв</w:t>
      </w:r>
      <w:r w:rsidR="00092173" w:rsidRPr="00AD66FE">
        <w:t>етник</w:t>
      </w:r>
      <w:r w:rsidR="00B86517" w:rsidRPr="00AD66FE">
        <w:t xml:space="preserve"> и жалбоподателите </w:t>
      </w:r>
      <w:r w:rsidR="00EB440E" w:rsidRPr="00AD66FE">
        <w:t>(</w:t>
      </w:r>
      <w:r w:rsidR="00B86517" w:rsidRPr="00AD66FE">
        <w:t xml:space="preserve">чл. </w:t>
      </w:r>
      <w:r w:rsidR="00EB440E" w:rsidRPr="00AD66FE">
        <w:t>75 §§ 1</w:t>
      </w:r>
      <w:r w:rsidR="00B86517" w:rsidRPr="00AD66FE">
        <w:t xml:space="preserve"> и </w:t>
      </w:r>
      <w:r w:rsidR="00EB440E" w:rsidRPr="00AD66FE">
        <w:t xml:space="preserve">4 </w:t>
      </w:r>
      <w:r w:rsidR="00B86517" w:rsidRPr="00AD66FE">
        <w:t>от Правилника на Съда</w:t>
      </w:r>
      <w:r w:rsidR="00EB440E" w:rsidRPr="00AD66FE">
        <w:t>).</w:t>
      </w:r>
    </w:p>
    <w:p w:rsidR="00B64935" w:rsidRPr="00AD66FE" w:rsidRDefault="00B64935" w:rsidP="00BA13D9">
      <w:pPr>
        <w:pStyle w:val="ECHRHeading3"/>
      </w:pPr>
      <w:r w:rsidRPr="00AD66FE">
        <w:t>2.  </w:t>
      </w:r>
      <w:r w:rsidR="0021155F" w:rsidRPr="00AD66FE">
        <w:t>Неимуществени вреди</w:t>
      </w:r>
    </w:p>
    <w:p w:rsidR="00B64935" w:rsidRPr="00AD66FE" w:rsidRDefault="00D00517" w:rsidP="00BA13D9">
      <w:pPr>
        <w:pStyle w:val="ECHRPara"/>
      </w:pPr>
      <w:fldSimple w:instr=" SEQ level0 \*arabic ">
        <w:r w:rsidR="00D20DF1">
          <w:rPr>
            <w:noProof/>
          </w:rPr>
          <w:t>98</w:t>
        </w:r>
      </w:fldSimple>
      <w:r w:rsidR="00B64935" w:rsidRPr="00AD66FE">
        <w:t>.  </w:t>
      </w:r>
      <w:r w:rsidR="0021155F" w:rsidRPr="00AD66FE">
        <w:t>Дружес</w:t>
      </w:r>
      <w:r w:rsidR="00C77101">
        <w:t>твото жалбоподател претендира</w:t>
      </w:r>
      <w:r w:rsidR="0021155F" w:rsidRPr="00AD66FE">
        <w:t xml:space="preserve"> BGN 195 </w:t>
      </w:r>
      <w:r w:rsidR="00B64935" w:rsidRPr="00AD66FE">
        <w:t>583 (EUR</w:t>
      </w:r>
      <w:r w:rsidR="0021155F" w:rsidRPr="00AD66FE">
        <w:t> </w:t>
      </w:r>
      <w:r w:rsidR="00B64935" w:rsidRPr="00AD66FE">
        <w:t>100</w:t>
      </w:r>
      <w:r w:rsidR="0021155F" w:rsidRPr="00AD66FE">
        <w:t> </w:t>
      </w:r>
      <w:r w:rsidR="00B64935" w:rsidRPr="00AD66FE">
        <w:t>000)</w:t>
      </w:r>
      <w:r w:rsidR="0021155F" w:rsidRPr="00AD66FE">
        <w:t xml:space="preserve"> като неимуществени вреди </w:t>
      </w:r>
      <w:r w:rsidR="00092173" w:rsidRPr="00AD66FE">
        <w:t>на основание отражението</w:t>
      </w:r>
      <w:r w:rsidR="0021155F" w:rsidRPr="00AD66FE">
        <w:t xml:space="preserve"> върху търговската му репутация и обществен имидж, както и прекъсването на търговската му дейност</w:t>
      </w:r>
      <w:r w:rsidR="00B64935" w:rsidRPr="00AD66FE">
        <w:t>.</w:t>
      </w:r>
      <w:r w:rsidR="0021155F" w:rsidRPr="00AD66FE">
        <w:t xml:space="preserve"> То твърди, че вредите са резултат от факта, че Министерството на финансите е оповестило публично информация за изземването на стоката и свързаното производство</w:t>
      </w:r>
      <w:r w:rsidR="00B64935" w:rsidRPr="00AD66FE">
        <w:t>.</w:t>
      </w:r>
    </w:p>
    <w:p w:rsidR="00B64935" w:rsidRPr="00AD66FE" w:rsidRDefault="00D00517" w:rsidP="00BA13D9">
      <w:pPr>
        <w:pStyle w:val="ECHRPara"/>
      </w:pPr>
      <w:fldSimple w:instr=" SEQ level0 \*arabic ">
        <w:r w:rsidR="00D20DF1">
          <w:rPr>
            <w:noProof/>
          </w:rPr>
          <w:t>99</w:t>
        </w:r>
      </w:fldSimple>
      <w:r w:rsidR="00B64935" w:rsidRPr="00AD66FE">
        <w:t>.  </w:t>
      </w:r>
      <w:r w:rsidR="00D50C98" w:rsidRPr="00AD66FE">
        <w:t>Правителството оспорва ис</w:t>
      </w:r>
      <w:r w:rsidR="00C77101">
        <w:t>ка, като твърди, че дружеството-</w:t>
      </w:r>
      <w:r w:rsidR="00D50C98" w:rsidRPr="00AD66FE">
        <w:t>жалбоподател не е представило никакви доказателства, че Министерството на финансите е оповестило публично такава информация</w:t>
      </w:r>
      <w:r w:rsidR="00B64935" w:rsidRPr="00AD66FE">
        <w:t>.</w:t>
      </w:r>
    </w:p>
    <w:p w:rsidR="00B64935" w:rsidRPr="00AD66FE" w:rsidRDefault="00D00517" w:rsidP="00BA13D9">
      <w:pPr>
        <w:pStyle w:val="ECHRPara"/>
      </w:pPr>
      <w:fldSimple w:instr=" SEQ level0 \*arabic ">
        <w:r w:rsidR="00D20DF1">
          <w:rPr>
            <w:noProof/>
          </w:rPr>
          <w:t>100</w:t>
        </w:r>
      </w:fldSimple>
      <w:r w:rsidR="00B64935" w:rsidRPr="00AD66FE">
        <w:t>.  </w:t>
      </w:r>
      <w:r w:rsidR="00D50C98" w:rsidRPr="00AD66FE">
        <w:t>Съдът отбелязва, че дружеството жалбоподател не е представило нищо в подкрепа на твърденията си, че Министерството на финансите е оповестило публично информация за изземването на стоката му и свързаното производство</w:t>
      </w:r>
      <w:r w:rsidR="00B64935" w:rsidRPr="00AD66FE">
        <w:t>.</w:t>
      </w:r>
      <w:r w:rsidR="00D50C98" w:rsidRPr="00AD66FE">
        <w:t xml:space="preserve"> Тъй като претенцията за неимуществени вреди се основава из</w:t>
      </w:r>
      <w:r w:rsidR="00C77101">
        <w:t>цяло на това твърдение, Съдът я отхвърля като необоснована</w:t>
      </w:r>
      <w:r w:rsidR="00B64935" w:rsidRPr="00AD66FE">
        <w:t>.</w:t>
      </w:r>
    </w:p>
    <w:p w:rsidR="00B64935" w:rsidRPr="00AD66FE" w:rsidRDefault="00B64935" w:rsidP="00BA13D9">
      <w:pPr>
        <w:pStyle w:val="ECHRHeading2"/>
      </w:pPr>
      <w:r w:rsidRPr="00AD66FE">
        <w:t>Б. Разходи и разноски</w:t>
      </w:r>
    </w:p>
    <w:p w:rsidR="00B64935" w:rsidRPr="00AD66FE" w:rsidRDefault="00D00517" w:rsidP="00BA13D9">
      <w:pPr>
        <w:pStyle w:val="ECHRPara"/>
      </w:pPr>
      <w:fldSimple w:instr=" SEQ level0 \*arabic ">
        <w:r w:rsidR="00D20DF1">
          <w:rPr>
            <w:noProof/>
          </w:rPr>
          <w:t>101</w:t>
        </w:r>
      </w:fldSimple>
      <w:r w:rsidR="00B64935" w:rsidRPr="00AD66FE">
        <w:t>.  </w:t>
      </w:r>
      <w:r w:rsidR="00C77101">
        <w:t>Дружеството-</w:t>
      </w:r>
      <w:r w:rsidR="00825801" w:rsidRPr="00AD66FE">
        <w:t>жалбоподат</w:t>
      </w:r>
      <w:r w:rsidR="00C77101">
        <w:t>ел претендира още</w:t>
      </w:r>
      <w:r w:rsidR="00825801" w:rsidRPr="00AD66FE">
        <w:t xml:space="preserve"> BGN 31 </w:t>
      </w:r>
      <w:r w:rsidR="00B64935" w:rsidRPr="00AD66FE">
        <w:t>200</w:t>
      </w:r>
      <w:r w:rsidR="00825801" w:rsidRPr="00AD66FE">
        <w:t xml:space="preserve"> за общо </w:t>
      </w:r>
      <w:r w:rsidR="00B64935" w:rsidRPr="00AD66FE">
        <w:t>200</w:t>
      </w:r>
      <w:r w:rsidR="00825801" w:rsidRPr="00AD66FE">
        <w:t xml:space="preserve"> часа юриди</w:t>
      </w:r>
      <w:r w:rsidR="00146BF6" w:rsidRPr="00AD66FE">
        <w:t>ч</w:t>
      </w:r>
      <w:r w:rsidR="00825801" w:rsidRPr="00AD66FE">
        <w:t xml:space="preserve">еска работа, </w:t>
      </w:r>
      <w:r w:rsidR="00B64935" w:rsidRPr="00AD66FE">
        <w:t>150</w:t>
      </w:r>
      <w:r w:rsidR="00825801" w:rsidRPr="00AD66FE">
        <w:t xml:space="preserve"> часа от които са по </w:t>
      </w:r>
      <w:r w:rsidR="00092173" w:rsidRPr="00AD66FE">
        <w:t xml:space="preserve">вътрешното </w:t>
      </w:r>
      <w:r w:rsidR="00825801" w:rsidRPr="00AD66FE">
        <w:t>произво</w:t>
      </w:r>
      <w:r w:rsidR="00F043AB" w:rsidRPr="00AD66FE">
        <w:t>д</w:t>
      </w:r>
      <w:r w:rsidR="00825801" w:rsidRPr="00AD66FE">
        <w:t xml:space="preserve">ство и 50 часа по производството пред Съда, при часова ставка от </w:t>
      </w:r>
      <w:r w:rsidR="00B64935" w:rsidRPr="00AD66FE">
        <w:t>BGN 156.</w:t>
      </w:r>
    </w:p>
    <w:p w:rsidR="00B64935" w:rsidRPr="00AD66FE" w:rsidRDefault="00D00517" w:rsidP="00BA13D9">
      <w:pPr>
        <w:pStyle w:val="ECHRPara"/>
      </w:pPr>
      <w:fldSimple w:instr=" SEQ level0 \*arabic ">
        <w:r w:rsidR="00D20DF1">
          <w:rPr>
            <w:noProof/>
          </w:rPr>
          <w:t>102</w:t>
        </w:r>
      </w:fldSimple>
      <w:r w:rsidR="00B64935" w:rsidRPr="00AD66FE">
        <w:t>.  </w:t>
      </w:r>
      <w:r w:rsidR="00F043AB" w:rsidRPr="00AD66FE">
        <w:t>Правителството изтъква, че дружеството жалбоподател не представя никакви документи в подкрепа на иска</w:t>
      </w:r>
      <w:r w:rsidR="00C77101">
        <w:t>нето</w:t>
      </w:r>
      <w:r w:rsidR="00F043AB" w:rsidRPr="00AD66FE">
        <w:t xml:space="preserve"> си</w:t>
      </w:r>
      <w:r w:rsidR="00B64935" w:rsidRPr="00AD66FE">
        <w:t>.</w:t>
      </w:r>
    </w:p>
    <w:p w:rsidR="00B64935" w:rsidRPr="00AD66FE" w:rsidRDefault="00D00517" w:rsidP="00BA13D9">
      <w:pPr>
        <w:pStyle w:val="ECHRPara"/>
      </w:pPr>
      <w:fldSimple w:instr=" SEQ level0 \*arabic ">
        <w:r w:rsidR="00D20DF1">
          <w:rPr>
            <w:noProof/>
          </w:rPr>
          <w:t>103</w:t>
        </w:r>
      </w:fldSimple>
      <w:r w:rsidR="00B64935" w:rsidRPr="00AD66FE">
        <w:t>.  </w:t>
      </w:r>
      <w:r w:rsidR="00F043AB" w:rsidRPr="00AD66FE">
        <w:t>Чл.</w:t>
      </w:r>
      <w:r w:rsidR="00B64935" w:rsidRPr="00AD66FE">
        <w:t xml:space="preserve"> 60 § 2 </w:t>
      </w:r>
      <w:r w:rsidR="00F043AB" w:rsidRPr="00AD66FE">
        <w:t>от Правилника на Съда изисква от жалбоподателите да представят подробности за всички свои претенции за справедливо обезщетение заедно с относими подкрепящи документи, като ако не го направят, Съдът може да отхв</w:t>
      </w:r>
      <w:r w:rsidR="00D4286F" w:rsidRPr="00AD66FE">
        <w:t>ъ</w:t>
      </w:r>
      <w:r w:rsidR="00F043AB" w:rsidRPr="00AD66FE">
        <w:t>р</w:t>
      </w:r>
      <w:r w:rsidR="00D4286F" w:rsidRPr="00AD66FE">
        <w:t>л</w:t>
      </w:r>
      <w:r w:rsidR="00F043AB" w:rsidRPr="00AD66FE">
        <w:t xml:space="preserve">и исковете </w:t>
      </w:r>
      <w:r w:rsidR="00D4286F" w:rsidRPr="00AD66FE">
        <w:t>им</w:t>
      </w:r>
      <w:r w:rsidR="00F043AB" w:rsidRPr="00AD66FE">
        <w:t xml:space="preserve"> изцяло или </w:t>
      </w:r>
      <w:r w:rsidR="007C78F1" w:rsidRPr="00AD66FE">
        <w:t>частично</w:t>
      </w:r>
      <w:r w:rsidR="00B64935" w:rsidRPr="00AD66FE">
        <w:t xml:space="preserve"> (</w:t>
      </w:r>
      <w:r w:rsidR="00092173" w:rsidRPr="00AD66FE">
        <w:t>пр</w:t>
      </w:r>
      <w:r w:rsidR="007C78F1" w:rsidRPr="00AD66FE">
        <w:t>. 60 § </w:t>
      </w:r>
      <w:r w:rsidR="00B64935" w:rsidRPr="00AD66FE">
        <w:t xml:space="preserve">3). </w:t>
      </w:r>
      <w:r w:rsidR="00C77101">
        <w:t>В настоящия случай дружеството-</w:t>
      </w:r>
      <w:r w:rsidR="00F043AB" w:rsidRPr="00AD66FE">
        <w:t>жалбоподател не е представи</w:t>
      </w:r>
      <w:r w:rsidR="0050502B" w:rsidRPr="00AD66FE">
        <w:t xml:space="preserve">ло </w:t>
      </w:r>
      <w:r w:rsidR="00C77101">
        <w:t>никакви документни</w:t>
      </w:r>
      <w:r w:rsidR="00F043AB" w:rsidRPr="00AD66FE">
        <w:t xml:space="preserve"> доказат</w:t>
      </w:r>
      <w:r w:rsidR="007E5713" w:rsidRPr="00AD66FE">
        <w:t xml:space="preserve">елства </w:t>
      </w:r>
      <w:r w:rsidR="00F043AB" w:rsidRPr="00AD66FE">
        <w:t>за своите разходи и разноски</w:t>
      </w:r>
      <w:r w:rsidR="00B64935" w:rsidRPr="00AD66FE">
        <w:t>.</w:t>
      </w:r>
      <w:r w:rsidR="00F043AB" w:rsidRPr="00AD66FE">
        <w:t xml:space="preserve"> Следователно Съдът отхвърля иска за разходи и разноски изцяло</w:t>
      </w:r>
      <w:r w:rsidR="00B64935" w:rsidRPr="00AD66FE">
        <w:t>.</w:t>
      </w:r>
    </w:p>
    <w:p w:rsidR="00B64935" w:rsidRPr="00AD66FE" w:rsidRDefault="00B64935" w:rsidP="00BA13D9">
      <w:pPr>
        <w:pStyle w:val="ECHRHeading2"/>
      </w:pPr>
      <w:r w:rsidRPr="00AD66FE">
        <w:t>В. Лихва за забава</w:t>
      </w:r>
    </w:p>
    <w:p w:rsidR="00B64935" w:rsidRPr="00AD66FE" w:rsidRDefault="00D00517" w:rsidP="00BA13D9">
      <w:pPr>
        <w:pStyle w:val="ECHRPara"/>
      </w:pPr>
      <w:fldSimple w:instr=" SEQ level0 \*arabic ">
        <w:r w:rsidR="00D20DF1">
          <w:rPr>
            <w:noProof/>
          </w:rPr>
          <w:t>104</w:t>
        </w:r>
      </w:fldSimple>
      <w:r w:rsidR="00B64935" w:rsidRPr="00AD66FE">
        <w:t>.  Съдът смята за уместно лихвата за забава да бъде обвързана с пределната ставка по заеми на Европейската централна банка, към която се добавят три процентни пункта.</w:t>
      </w:r>
    </w:p>
    <w:p w:rsidR="00B64935" w:rsidRPr="00AD66FE" w:rsidRDefault="002A3AD5" w:rsidP="00BA13D9">
      <w:pPr>
        <w:pStyle w:val="ECHRTitle1"/>
      </w:pPr>
      <w:r w:rsidRPr="00AD66FE">
        <w:t>ПО ТЕЗИ СЪОБРАЖЕНИЯ СЪДЪТ ЕДИНОДУШНО</w:t>
      </w:r>
    </w:p>
    <w:p w:rsidR="00B64935" w:rsidRPr="00AD66FE" w:rsidRDefault="00B64935" w:rsidP="00BA13D9">
      <w:pPr>
        <w:pStyle w:val="JuList"/>
        <w:ind w:left="0" w:firstLine="0"/>
      </w:pPr>
      <w:r w:rsidRPr="00AD66FE">
        <w:t>1.  Обявява жалбата за допустима;</w:t>
      </w:r>
    </w:p>
    <w:p w:rsidR="00B64935" w:rsidRPr="00AD66FE" w:rsidRDefault="00B64935" w:rsidP="00BA13D9">
      <w:pPr>
        <w:pStyle w:val="JuList"/>
        <w:ind w:left="0" w:firstLine="0"/>
      </w:pPr>
    </w:p>
    <w:p w:rsidR="00B64935" w:rsidRPr="00AD66FE" w:rsidRDefault="00B64935" w:rsidP="00BA13D9">
      <w:pPr>
        <w:pStyle w:val="JuList"/>
      </w:pPr>
      <w:r w:rsidRPr="00AD66FE">
        <w:t>2.  Приема, че е налице нарушение на чл. 1 от Протокол № 1 на Конвенцията;</w:t>
      </w:r>
    </w:p>
    <w:p w:rsidR="00B64935" w:rsidRPr="00AD66FE" w:rsidRDefault="00B64935" w:rsidP="00BA13D9">
      <w:pPr>
        <w:pStyle w:val="JuList"/>
      </w:pPr>
    </w:p>
    <w:p w:rsidR="00B64935" w:rsidRPr="00AD66FE" w:rsidRDefault="00B64935" w:rsidP="00BA13D9">
      <w:pPr>
        <w:pStyle w:val="JuList"/>
      </w:pPr>
      <w:r w:rsidRPr="00AD66FE">
        <w:t>3.  </w:t>
      </w:r>
      <w:r w:rsidR="008C089F" w:rsidRPr="00AD66FE">
        <w:rPr>
          <w:i/>
        </w:rPr>
        <w:t>Приема,</w:t>
      </w:r>
      <w:r w:rsidRPr="00AD66FE">
        <w:t xml:space="preserve"> </w:t>
      </w:r>
      <w:r w:rsidR="008C089F" w:rsidRPr="00AD66FE">
        <w:t>че не е необходимо жалбата да бъде разгледана по чл. 13 от Конвенцията</w:t>
      </w:r>
      <w:r w:rsidRPr="00AD66FE">
        <w:t>;</w:t>
      </w:r>
    </w:p>
    <w:p w:rsidR="00B64935" w:rsidRPr="00AD66FE" w:rsidRDefault="00B64935" w:rsidP="00BA13D9">
      <w:pPr>
        <w:pStyle w:val="JuList"/>
        <w:ind w:left="0" w:firstLine="0"/>
      </w:pPr>
    </w:p>
    <w:p w:rsidR="00B64935" w:rsidRPr="00AD66FE" w:rsidRDefault="00B64935" w:rsidP="00BA13D9">
      <w:pPr>
        <w:pStyle w:val="JuList"/>
      </w:pPr>
      <w:r w:rsidRPr="00AD66FE">
        <w:t>4.  </w:t>
      </w:r>
      <w:r w:rsidR="00981CA1" w:rsidRPr="00AD66FE">
        <w:rPr>
          <w:i/>
        </w:rPr>
        <w:t>Приема,</w:t>
      </w:r>
      <w:r w:rsidRPr="00AD66FE">
        <w:t xml:space="preserve"> </w:t>
      </w:r>
      <w:r w:rsidR="00981CA1" w:rsidRPr="00AD66FE">
        <w:t xml:space="preserve">че </w:t>
      </w:r>
      <w:r w:rsidR="00396FCD" w:rsidRPr="00AD66FE">
        <w:t xml:space="preserve">няма готовност за вземане на решение по </w:t>
      </w:r>
      <w:r w:rsidR="00981CA1" w:rsidRPr="00AD66FE">
        <w:t>въпрос</w:t>
      </w:r>
      <w:r w:rsidR="00396FCD" w:rsidRPr="00AD66FE">
        <w:t xml:space="preserve">а </w:t>
      </w:r>
      <w:r w:rsidR="00981CA1" w:rsidRPr="00AD66FE">
        <w:t>за прилагането на чл. 41 от Конвенция</w:t>
      </w:r>
      <w:r w:rsidR="00C77101">
        <w:t>та що се отнася до въпроса за</w:t>
      </w:r>
      <w:r w:rsidR="00981CA1" w:rsidRPr="00AD66FE">
        <w:t xml:space="preserve"> имуществени</w:t>
      </w:r>
      <w:r w:rsidR="00C77101">
        <w:t>те</w:t>
      </w:r>
      <w:r w:rsidR="00981CA1" w:rsidRPr="00AD66FE">
        <w:t xml:space="preserve"> вреди в резултат на установеното нарушение в настоящия случай</w:t>
      </w:r>
      <w:r w:rsidR="00396FCD" w:rsidRPr="00AD66FE">
        <w:t xml:space="preserve"> и следователно</w:t>
      </w:r>
      <w:r w:rsidRPr="00AD66FE">
        <w:t>:</w:t>
      </w:r>
    </w:p>
    <w:p w:rsidR="00B64935" w:rsidRPr="00AD66FE" w:rsidRDefault="00B64935" w:rsidP="00BA13D9">
      <w:pPr>
        <w:pStyle w:val="JuLista"/>
      </w:pPr>
      <w:r w:rsidRPr="00AD66FE">
        <w:t>(a)  </w:t>
      </w:r>
      <w:r w:rsidR="00396FCD" w:rsidRPr="00AD66FE">
        <w:t>запазва този въпрос изцяло</w:t>
      </w:r>
      <w:r w:rsidRPr="00AD66FE">
        <w:t>;</w:t>
      </w:r>
    </w:p>
    <w:p w:rsidR="00B64935" w:rsidRPr="00AD66FE" w:rsidRDefault="00B64935" w:rsidP="00BA13D9">
      <w:pPr>
        <w:pStyle w:val="JuLista"/>
      </w:pPr>
      <w:r w:rsidRPr="00AD66FE">
        <w:t>(</w:t>
      </w:r>
      <w:r w:rsidR="00280F41" w:rsidRPr="00AD66FE">
        <w:t>б</w:t>
      </w:r>
      <w:r w:rsidRPr="00AD66FE">
        <w:t>)  </w:t>
      </w:r>
      <w:r w:rsidR="00396FCD" w:rsidRPr="00AD66FE">
        <w:t xml:space="preserve">приканва страните в срок до три месеца от датата, на която решението стане окончателно съгласно чл. </w:t>
      </w:r>
      <w:r w:rsidRPr="00AD66FE">
        <w:t>44 § 2</w:t>
      </w:r>
      <w:r w:rsidR="00396FCD" w:rsidRPr="00AD66FE">
        <w:t xml:space="preserve"> от Конвенцията, да представят своите писмени становища по въпроса и по-конкретно да уведомят Съда за </w:t>
      </w:r>
      <w:r w:rsidR="00C77101">
        <w:t xml:space="preserve">евентуално постигнато </w:t>
      </w:r>
      <w:r w:rsidR="00396FCD" w:rsidRPr="00AD66FE">
        <w:t>споразумение</w:t>
      </w:r>
      <w:r w:rsidR="00C77101">
        <w:t xml:space="preserve"> между тях</w:t>
      </w:r>
      <w:r w:rsidRPr="00AD66FE">
        <w:t>;</w:t>
      </w:r>
    </w:p>
    <w:p w:rsidR="00B64935" w:rsidRPr="00AD66FE" w:rsidRDefault="00B64935" w:rsidP="00BA13D9">
      <w:pPr>
        <w:pStyle w:val="JuLista"/>
      </w:pPr>
      <w:r w:rsidRPr="00AD66FE">
        <w:t>(</w:t>
      </w:r>
      <w:r w:rsidR="00280F41" w:rsidRPr="00AD66FE">
        <w:t>в</w:t>
      </w:r>
      <w:r w:rsidRPr="00AD66FE">
        <w:t>)  </w:t>
      </w:r>
      <w:r w:rsidR="00C77101">
        <w:t>запазва въпроса за това как ще се развие</w:t>
      </w:r>
      <w:r w:rsidR="00396FCD" w:rsidRPr="00AD66FE">
        <w:t xml:space="preserve"> производство</w:t>
      </w:r>
      <w:r w:rsidR="00C77101">
        <w:t>то по-нататък</w:t>
      </w:r>
      <w:r w:rsidR="00396FCD" w:rsidRPr="00AD66FE">
        <w:t xml:space="preserve"> и делегира на председателя на </w:t>
      </w:r>
      <w:r w:rsidR="00E43F2C" w:rsidRPr="00AD66FE">
        <w:t xml:space="preserve">Камарата </w:t>
      </w:r>
      <w:r w:rsidR="00C77101">
        <w:t>правомощията да го уточни</w:t>
      </w:r>
      <w:r w:rsidR="00396FCD" w:rsidRPr="00AD66FE">
        <w:t>, ако е необходимо</w:t>
      </w:r>
      <w:r w:rsidRPr="00AD66FE">
        <w:t>.</w:t>
      </w:r>
    </w:p>
    <w:p w:rsidR="00B64935" w:rsidRPr="00AD66FE" w:rsidRDefault="00B64935" w:rsidP="00BA13D9">
      <w:pPr>
        <w:pStyle w:val="JuList"/>
        <w:rPr>
          <w:b/>
        </w:rPr>
      </w:pPr>
    </w:p>
    <w:p w:rsidR="00B64935" w:rsidRPr="00AD66FE" w:rsidRDefault="00B64935" w:rsidP="00BA13D9">
      <w:pPr>
        <w:pStyle w:val="JuList"/>
      </w:pPr>
      <w:r w:rsidRPr="00AD66FE">
        <w:t>5.  Отхвърля останалата част от иска на жалбоподателя за справедливо обезщетение.</w:t>
      </w:r>
    </w:p>
    <w:p w:rsidR="001A4238" w:rsidRPr="00AD66FE" w:rsidRDefault="00475200" w:rsidP="00BA13D9">
      <w:pPr>
        <w:pStyle w:val="JuParaLast"/>
      </w:pPr>
      <w:r w:rsidRPr="00AD66FE">
        <w:t>Изготвено на английски език и оповестено писмено на 4 юни 2020 г. в съответствие с правило 77 §§ 2 и 3 от Правилника на Съда.</w:t>
      </w:r>
    </w:p>
    <w:p w:rsidR="001A4238" w:rsidRPr="00630D9D" w:rsidRDefault="00E43F2C" w:rsidP="00E43F2C">
      <w:pPr>
        <w:pStyle w:val="JuSigned"/>
        <w:tabs>
          <w:tab w:val="clear" w:pos="851"/>
          <w:tab w:val="clear" w:pos="6407"/>
          <w:tab w:val="center" w:pos="993"/>
          <w:tab w:val="center" w:pos="6480"/>
        </w:tabs>
      </w:pPr>
      <w:r w:rsidRPr="00AD66FE">
        <w:t xml:space="preserve">Виктор </w:t>
      </w:r>
      <w:proofErr w:type="spellStart"/>
      <w:r w:rsidRPr="00AD66FE">
        <w:t>Соловейчик</w:t>
      </w:r>
      <w:proofErr w:type="spellEnd"/>
      <w:r w:rsidRPr="00AD66FE">
        <w:t xml:space="preserve"> </w:t>
      </w:r>
      <w:r w:rsidR="002A3AD5" w:rsidRPr="00AD66FE">
        <w:tab/>
      </w:r>
      <w:proofErr w:type="spellStart"/>
      <w:r w:rsidRPr="00AD66FE">
        <w:t>Шифра</w:t>
      </w:r>
      <w:proofErr w:type="spellEnd"/>
      <w:r w:rsidRPr="00AD66FE">
        <w:t xml:space="preserve"> </w:t>
      </w:r>
      <w:proofErr w:type="spellStart"/>
      <w:r w:rsidRPr="00AD66FE">
        <w:t>О’Лиъри</w:t>
      </w:r>
      <w:proofErr w:type="spellEnd"/>
      <w:r w:rsidRPr="00AD66FE">
        <w:t xml:space="preserve"> </w:t>
      </w:r>
      <w:r w:rsidR="002A3AD5" w:rsidRPr="00AD66FE">
        <w:br/>
      </w:r>
      <w:r w:rsidR="002A3AD5" w:rsidRPr="00AD66FE">
        <w:tab/>
      </w:r>
      <w:r w:rsidR="00565578" w:rsidRPr="00AD66FE">
        <w:t>Заместник-секретар</w:t>
      </w:r>
      <w:r w:rsidRPr="00AD66FE">
        <w:tab/>
      </w:r>
      <w:r w:rsidR="00565578" w:rsidRPr="00AD66FE">
        <w:t>Председател</w:t>
      </w:r>
    </w:p>
    <w:sectPr w:rsidR="001A4238" w:rsidRPr="00630D9D" w:rsidSect="008A2525">
      <w:headerReference w:type="even" r:id="rId14"/>
      <w:headerReference w:type="default" r:id="rId15"/>
      <w:footerReference w:type="even" r:id="rId16"/>
      <w:footerReference w:type="default" r:id="rId17"/>
      <w:footnotePr>
        <w:numRestart w:val="eachSect"/>
      </w:footnotePr>
      <w:pgSz w:w="11906" w:h="16838" w:code="9"/>
      <w:pgMar w:top="2274" w:right="2274" w:bottom="2274" w:left="2274" w:header="1701"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00517" w:rsidRPr="00767BC5" w:rsidRDefault="00D00517">
      <w:r w:rsidRPr="00767BC5">
        <w:separator/>
      </w:r>
    </w:p>
    <w:p w:rsidR="00D00517" w:rsidRDefault="00D00517"/>
  </w:endnote>
  <w:endnote w:type="continuationSeparator" w:id="0">
    <w:p w:rsidR="00D00517" w:rsidRPr="00767BC5" w:rsidRDefault="00D00517">
      <w:r w:rsidRPr="00767BC5">
        <w:continuationSeparator/>
      </w:r>
    </w:p>
    <w:p w:rsidR="00D00517" w:rsidRDefault="00D0051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75" w:rsidRDefault="00C649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150BFA" w:rsidRDefault="00325B32" w:rsidP="001A4238">
    <w:pPr>
      <w:jc w:val="center"/>
    </w:pPr>
    <w:r>
      <w:rPr>
        <w:noProof/>
        <w:lang w:val="en-US"/>
      </w:rPr>
      <w:drawing>
        <wp:inline distT="0" distB="0" distL="0" distR="0" wp14:anchorId="53B7D424" wp14:editId="4E524A69">
          <wp:extent cx="771525" cy="619125"/>
          <wp:effectExtent l="0" t="0" r="9525" b="9525"/>
          <wp:docPr id="18" name="Picture 18" descr="R:\1_Graphics&amp;Web\Court_Graphic_Charter\2013\ECHR_Stationery\Documents_and_Letters\Cover_Pages_And_Docs\White_600_dpi\ECHR_CoverpageCS61_ECHR_Coverpage_Footer_COE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1_Graphics&amp;Web\Court_Graphic_Charter\2013\ECHR_Stationery\Documents_and_Letters\Cover_Pages_And_Docs\White_600_dpi\ECHR_CoverpageCS61_ECHR_Coverpage_Footer_COE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619125"/>
                  </a:xfrm>
                  <a:prstGeom prst="rect">
                    <a:avLst/>
                  </a:prstGeom>
                  <a:noFill/>
                  <a:ln>
                    <a:noFill/>
                  </a:ln>
                </pic:spPr>
              </pic:pic>
            </a:graphicData>
          </a:graphic>
        </wp:inline>
      </w:drawing>
    </w:r>
  </w:p>
  <w:p w:rsidR="00325B32" w:rsidRPr="00767BC5" w:rsidRDefault="00325B32" w:rsidP="001A4238">
    <w:pPr>
      <w:pStyle w:val="Footer"/>
      <w:jc w:val="center"/>
      <w:rPr>
        <w:sz w:val="4"/>
        <w:szCs w:val="4"/>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Default="00325B32" w:rsidP="0082315C">
    <w:pPr>
      <w:pStyle w:val="Footer"/>
      <w:jc w:val="center"/>
    </w:pPr>
    <w:r>
      <w:rPr>
        <w:noProof/>
        <w:lang w:val="en-US"/>
      </w:rPr>
      <w:drawing>
        <wp:inline distT="0" distB="0" distL="0" distR="0" wp14:anchorId="17907678" wp14:editId="1C1D9E75">
          <wp:extent cx="781050" cy="6286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1050" cy="628650"/>
                  </a:xfrm>
                  <a:prstGeom prst="rect">
                    <a:avLst/>
                  </a:prstGeom>
                  <a:noFill/>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8A2525" w:rsidRDefault="00325B32" w:rsidP="008A2525">
    <w:pPr>
      <w:pStyle w:val="ECHRHeader"/>
    </w:pPr>
    <w:r>
      <w:rPr>
        <w:rStyle w:val="PageNumber"/>
      </w:rPr>
      <w:fldChar w:fldCharType="begin"/>
    </w:r>
    <w:r>
      <w:rPr>
        <w:rStyle w:val="PageNumber"/>
      </w:rPr>
      <w:instrText xml:space="preserve"> PAGE </w:instrText>
    </w:r>
    <w:r>
      <w:rPr>
        <w:rStyle w:val="PageNumber"/>
      </w:rPr>
      <w:fldChar w:fldCharType="separate"/>
    </w:r>
    <w:r w:rsidR="002C164A">
      <w:rPr>
        <w:rStyle w:val="PageNumber"/>
        <w:noProof/>
      </w:rPr>
      <w:t>18</w:t>
    </w:r>
    <w:r>
      <w:rPr>
        <w:rStyle w:val="PageNumber"/>
      </w:rPr>
      <w:fldChar w:fldCharType="end"/>
    </w:r>
  </w:p>
  <w:p w:rsidR="00325B32" w:rsidRDefault="00325B32"/>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8A2525" w:rsidRDefault="00325B32" w:rsidP="008A2525">
    <w:pPr>
      <w:pStyle w:val="ECHRHeader"/>
    </w:pPr>
    <w:r>
      <w:rPr>
        <w:rStyle w:val="PageNumber"/>
      </w:rPr>
      <w:fldChar w:fldCharType="begin"/>
    </w:r>
    <w:r>
      <w:rPr>
        <w:rStyle w:val="PageNumber"/>
      </w:rPr>
      <w:instrText xml:space="preserve"> PAGE </w:instrText>
    </w:r>
    <w:r>
      <w:rPr>
        <w:rStyle w:val="PageNumber"/>
      </w:rPr>
      <w:fldChar w:fldCharType="separate"/>
    </w:r>
    <w:r w:rsidR="002C164A">
      <w:rPr>
        <w:rStyle w:val="PageNumber"/>
        <w:noProof/>
      </w:rPr>
      <w:t>19</w:t>
    </w:r>
    <w:r>
      <w:rPr>
        <w:rStyle w:val="PageNumber"/>
      </w:rPr>
      <w:fldChar w:fldCharType="end"/>
    </w:r>
  </w:p>
  <w:p w:rsidR="00325B32" w:rsidRDefault="00325B3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00517" w:rsidRPr="00767BC5" w:rsidRDefault="00D00517" w:rsidP="001A4238">
      <w:r w:rsidRPr="00767BC5">
        <w:separator/>
      </w:r>
    </w:p>
    <w:p w:rsidR="00D00517" w:rsidRDefault="00D00517"/>
  </w:footnote>
  <w:footnote w:type="continuationSeparator" w:id="0">
    <w:p w:rsidR="00D00517" w:rsidRPr="00767BC5" w:rsidRDefault="00D00517" w:rsidP="001A4238">
      <w:r w:rsidRPr="00767BC5">
        <w:continuationSeparator/>
      </w:r>
    </w:p>
    <w:p w:rsidR="00D00517" w:rsidRDefault="00D0051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64975" w:rsidRDefault="00C649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A45145" w:rsidRDefault="00325B32" w:rsidP="001A4238">
    <w:pPr>
      <w:jc w:val="center"/>
    </w:pPr>
    <w:r>
      <w:rPr>
        <w:noProof/>
        <w:lang w:val="en-US"/>
      </w:rPr>
      <w:drawing>
        <wp:inline distT="0" distB="0" distL="0" distR="0" wp14:anchorId="6A3147E9" wp14:editId="7FA0B7CB">
          <wp:extent cx="2962275" cy="1219200"/>
          <wp:effectExtent l="0" t="0" r="9525" b="0"/>
          <wp:docPr id="17" name="Picture 17"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25B32" w:rsidRPr="00767BC5" w:rsidRDefault="00325B32" w:rsidP="001A4238">
    <w:pPr>
      <w:jc w:val="center"/>
      <w:rPr>
        <w:sz w:val="4"/>
        <w:szCs w:val="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A45145" w:rsidRDefault="00325B32" w:rsidP="001A4238">
    <w:pPr>
      <w:jc w:val="center"/>
    </w:pPr>
    <w:r>
      <w:rPr>
        <w:noProof/>
        <w:lang w:val="en-US"/>
      </w:rPr>
      <w:drawing>
        <wp:inline distT="0" distB="0" distL="0" distR="0" wp14:anchorId="45FD761C" wp14:editId="27A8F374">
          <wp:extent cx="2962275" cy="1219200"/>
          <wp:effectExtent l="0" t="0" r="9525" b="0"/>
          <wp:docPr id="19" name="Picture 19" descr="R:\1_Graphics&amp;Web\Court_Graphic_Charter\2013\ECHR_Stationery\Documents_and_Letters\Cover_Pages_And_Docs\White_600_dpi\ECHR_CoverpageCS61_ECHR_Coverpage_Header_Bl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1_Graphics&amp;Web\Court_Graphic_Charter\2013\ECHR_Stationery\Documents_and_Letters\Cover_Pages_And_Docs\White_600_dpi\ECHR_CoverpageCS61_ECHR_Coverpage_Header_Black.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62275" cy="1219200"/>
                  </a:xfrm>
                  <a:prstGeom prst="rect">
                    <a:avLst/>
                  </a:prstGeom>
                  <a:noFill/>
                  <a:ln>
                    <a:noFill/>
                  </a:ln>
                </pic:spPr>
              </pic:pic>
            </a:graphicData>
          </a:graphic>
        </wp:inline>
      </w:drawing>
    </w:r>
  </w:p>
  <w:p w:rsidR="00325B32" w:rsidRPr="00767BC5" w:rsidRDefault="00325B32"/>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8A2525" w:rsidRDefault="00325B32" w:rsidP="008A2525">
    <w:pPr>
      <w:pStyle w:val="ECHRHeader"/>
    </w:pPr>
    <w:r>
      <w:t>„АВЕНДИ“ ООД СРЕЩУ БЪЛГАРИЯ (СЪЩЕСТВО) РЕШЕНИЕ</w:t>
    </w:r>
  </w:p>
  <w:p w:rsidR="00325B32" w:rsidRDefault="00325B32"/>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25B32" w:rsidRPr="008A2525" w:rsidRDefault="00325B32" w:rsidP="008A2525">
    <w:pPr>
      <w:pStyle w:val="ECHRHeader"/>
    </w:pPr>
    <w:r>
      <w:t>„АВЕНДИ“ ООД СРЕЩУ БЪЛГАРИЯ (СЪЩЕСТВО) РЕШЕНИЕ</w:t>
    </w:r>
  </w:p>
  <w:p w:rsidR="00325B32" w:rsidRDefault="00325B32"/>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D670191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23283F32"/>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2F369A7C"/>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3346880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552A83E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85AC83C"/>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86FE2"/>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A528BA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66C20B0"/>
    <w:lvl w:ilvl="0">
      <w:start w:val="1"/>
      <w:numFmt w:val="decimal"/>
      <w:pStyle w:val="ListNumber"/>
      <w:lvlText w:val="%1."/>
      <w:lvlJc w:val="left"/>
      <w:pPr>
        <w:tabs>
          <w:tab w:val="num" w:pos="360"/>
        </w:tabs>
        <w:ind w:left="360" w:hanging="360"/>
      </w:pPr>
    </w:lvl>
  </w:abstractNum>
  <w:abstractNum w:abstractNumId="9" w15:restartNumberingAfterBreak="0">
    <w:nsid w:val="0C641157"/>
    <w:multiLevelType w:val="multilevel"/>
    <w:tmpl w:val="9B34AC6C"/>
    <w:lvl w:ilvl="0">
      <w:start w:val="1"/>
      <w:numFmt w:val="decimal"/>
      <w:lvlText w:val="%1."/>
      <w:lvlJc w:val="left"/>
      <w:pPr>
        <w:tabs>
          <w:tab w:val="num" w:pos="964"/>
        </w:tabs>
        <w:ind w:left="964" w:hanging="397"/>
      </w:pPr>
      <w:rPr>
        <w:rFonts w:hint="default"/>
      </w:rPr>
    </w:lvl>
    <w:lvl w:ilvl="1">
      <w:start w:val="1"/>
      <w:numFmt w:val="lowerLetter"/>
      <w:lvlText w:val="%2."/>
      <w:lvlJc w:val="left"/>
      <w:pPr>
        <w:tabs>
          <w:tab w:val="num" w:pos="1361"/>
        </w:tabs>
        <w:ind w:left="1361" w:hanging="397"/>
      </w:pPr>
      <w:rPr>
        <w:rFonts w:hint="default"/>
      </w:rPr>
    </w:lvl>
    <w:lvl w:ilvl="2">
      <w:start w:val="1"/>
      <w:numFmt w:val="lowerRoman"/>
      <w:lvlText w:val="%3."/>
      <w:lvlJc w:val="left"/>
      <w:pPr>
        <w:tabs>
          <w:tab w:val="num" w:pos="1758"/>
        </w:tabs>
        <w:ind w:left="1758" w:hanging="397"/>
      </w:pPr>
      <w:rPr>
        <w:rFonts w:hint="default"/>
      </w:rPr>
    </w:lvl>
    <w:lvl w:ilvl="3">
      <w:start w:val="1"/>
      <w:numFmt w:val="decimal"/>
      <w:lvlText w:val="(%4)"/>
      <w:lvlJc w:val="left"/>
      <w:pPr>
        <w:tabs>
          <w:tab w:val="num" w:pos="1703"/>
        </w:tabs>
        <w:ind w:left="1703" w:hanging="284"/>
      </w:pPr>
      <w:rPr>
        <w:rFonts w:hint="default"/>
      </w:rPr>
    </w:lvl>
    <w:lvl w:ilvl="4">
      <w:start w:val="1"/>
      <w:numFmt w:val="lowerLetter"/>
      <w:lvlText w:val="(%5)"/>
      <w:lvlJc w:val="left"/>
      <w:pPr>
        <w:tabs>
          <w:tab w:val="num" w:pos="1987"/>
        </w:tabs>
        <w:ind w:left="1987" w:hanging="284"/>
      </w:pPr>
      <w:rPr>
        <w:rFonts w:hint="default"/>
      </w:rPr>
    </w:lvl>
    <w:lvl w:ilvl="5">
      <w:start w:val="1"/>
      <w:numFmt w:val="lowerRoman"/>
      <w:lvlText w:val="(%6)"/>
      <w:lvlJc w:val="left"/>
      <w:pPr>
        <w:tabs>
          <w:tab w:val="num" w:pos="2271"/>
        </w:tabs>
        <w:ind w:left="2271" w:hanging="284"/>
      </w:pPr>
      <w:rPr>
        <w:rFonts w:hint="default"/>
      </w:rPr>
    </w:lvl>
    <w:lvl w:ilvl="6">
      <w:start w:val="1"/>
      <w:numFmt w:val="decimal"/>
      <w:lvlText w:val="%7."/>
      <w:lvlJc w:val="left"/>
      <w:pPr>
        <w:tabs>
          <w:tab w:val="num" w:pos="2555"/>
        </w:tabs>
        <w:ind w:left="2555" w:hanging="284"/>
      </w:pPr>
      <w:rPr>
        <w:rFonts w:hint="default"/>
      </w:rPr>
    </w:lvl>
    <w:lvl w:ilvl="7">
      <w:start w:val="1"/>
      <w:numFmt w:val="lowerLetter"/>
      <w:lvlText w:val="%8."/>
      <w:lvlJc w:val="left"/>
      <w:pPr>
        <w:tabs>
          <w:tab w:val="num" w:pos="2839"/>
        </w:tabs>
        <w:ind w:left="2839" w:hanging="284"/>
      </w:pPr>
      <w:rPr>
        <w:rFonts w:hint="default"/>
      </w:rPr>
    </w:lvl>
    <w:lvl w:ilvl="8">
      <w:start w:val="1"/>
      <w:numFmt w:val="lowerRoman"/>
      <w:lvlText w:val="%9."/>
      <w:lvlJc w:val="left"/>
      <w:pPr>
        <w:tabs>
          <w:tab w:val="num" w:pos="3123"/>
        </w:tabs>
        <w:ind w:left="3123" w:hanging="284"/>
      </w:pPr>
      <w:rPr>
        <w:rFonts w:hint="default"/>
      </w:rPr>
    </w:lvl>
  </w:abstractNum>
  <w:abstractNum w:abstractNumId="10" w15:restartNumberingAfterBreak="0">
    <w:nsid w:val="1AA96CEA"/>
    <w:multiLevelType w:val="multilevel"/>
    <w:tmpl w:val="040C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1" w15:restartNumberingAfterBreak="0">
    <w:nsid w:val="1D27094A"/>
    <w:multiLevelType w:val="multilevel"/>
    <w:tmpl w:val="040C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88D47DE"/>
    <w:multiLevelType w:val="multilevel"/>
    <w:tmpl w:val="8012C870"/>
    <w:lvl w:ilvl="0">
      <w:start w:val="1"/>
      <w:numFmt w:val="decimal"/>
      <w:lvlText w:val="%1."/>
      <w:lvlJc w:val="left"/>
      <w:pPr>
        <w:ind w:left="992" w:hanging="425"/>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40B939E1"/>
    <w:multiLevelType w:val="multilevel"/>
    <w:tmpl w:val="040C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67FD1241"/>
    <w:multiLevelType w:val="hybridMultilevel"/>
    <w:tmpl w:val="F6D86CC2"/>
    <w:lvl w:ilvl="0" w:tplc="CF628FBA">
      <w:start w:val="1"/>
      <w:numFmt w:val="bullet"/>
      <w:pStyle w:val="ListBullet"/>
      <w:lvlText w:val=""/>
      <w:lvlJc w:val="left"/>
      <w:pPr>
        <w:tabs>
          <w:tab w:val="num" w:pos="851"/>
        </w:tabs>
        <w:ind w:left="568" w:firstLine="0"/>
      </w:pPr>
      <w:rPr>
        <w:rFonts w:ascii="Wingdings" w:hAnsi="Wingdings" w:hint="default"/>
        <w:color w:val="808080"/>
        <w:sz w:val="16"/>
      </w:rPr>
    </w:lvl>
    <w:lvl w:ilvl="1" w:tplc="51080B70" w:tentative="1">
      <w:start w:val="1"/>
      <w:numFmt w:val="bullet"/>
      <w:lvlText w:val="o"/>
      <w:lvlJc w:val="left"/>
      <w:pPr>
        <w:tabs>
          <w:tab w:val="num" w:pos="1724"/>
        </w:tabs>
        <w:ind w:left="1724" w:hanging="360"/>
      </w:pPr>
      <w:rPr>
        <w:rFonts w:ascii="Courier New" w:hAnsi="Courier New" w:cs="Courier New" w:hint="default"/>
      </w:rPr>
    </w:lvl>
    <w:lvl w:ilvl="2" w:tplc="06CAC2AC" w:tentative="1">
      <w:start w:val="1"/>
      <w:numFmt w:val="bullet"/>
      <w:lvlText w:val=""/>
      <w:lvlJc w:val="left"/>
      <w:pPr>
        <w:tabs>
          <w:tab w:val="num" w:pos="2444"/>
        </w:tabs>
        <w:ind w:left="2444" w:hanging="360"/>
      </w:pPr>
      <w:rPr>
        <w:rFonts w:ascii="Wingdings" w:hAnsi="Wingdings" w:hint="default"/>
      </w:rPr>
    </w:lvl>
    <w:lvl w:ilvl="3" w:tplc="DC3210E6" w:tentative="1">
      <w:start w:val="1"/>
      <w:numFmt w:val="bullet"/>
      <w:lvlText w:val=""/>
      <w:lvlJc w:val="left"/>
      <w:pPr>
        <w:tabs>
          <w:tab w:val="num" w:pos="3164"/>
        </w:tabs>
        <w:ind w:left="3164" w:hanging="360"/>
      </w:pPr>
      <w:rPr>
        <w:rFonts w:ascii="Symbol" w:hAnsi="Symbol" w:hint="default"/>
      </w:rPr>
    </w:lvl>
    <w:lvl w:ilvl="4" w:tplc="89DAFF9C" w:tentative="1">
      <w:start w:val="1"/>
      <w:numFmt w:val="bullet"/>
      <w:lvlText w:val="o"/>
      <w:lvlJc w:val="left"/>
      <w:pPr>
        <w:tabs>
          <w:tab w:val="num" w:pos="3884"/>
        </w:tabs>
        <w:ind w:left="3884" w:hanging="360"/>
      </w:pPr>
      <w:rPr>
        <w:rFonts w:ascii="Courier New" w:hAnsi="Courier New" w:cs="Courier New" w:hint="default"/>
      </w:rPr>
    </w:lvl>
    <w:lvl w:ilvl="5" w:tplc="9F6A44EE" w:tentative="1">
      <w:start w:val="1"/>
      <w:numFmt w:val="bullet"/>
      <w:lvlText w:val=""/>
      <w:lvlJc w:val="left"/>
      <w:pPr>
        <w:tabs>
          <w:tab w:val="num" w:pos="4604"/>
        </w:tabs>
        <w:ind w:left="4604" w:hanging="360"/>
      </w:pPr>
      <w:rPr>
        <w:rFonts w:ascii="Wingdings" w:hAnsi="Wingdings" w:hint="default"/>
      </w:rPr>
    </w:lvl>
    <w:lvl w:ilvl="6" w:tplc="D188EBF2" w:tentative="1">
      <w:start w:val="1"/>
      <w:numFmt w:val="bullet"/>
      <w:lvlText w:val=""/>
      <w:lvlJc w:val="left"/>
      <w:pPr>
        <w:tabs>
          <w:tab w:val="num" w:pos="5324"/>
        </w:tabs>
        <w:ind w:left="5324" w:hanging="360"/>
      </w:pPr>
      <w:rPr>
        <w:rFonts w:ascii="Symbol" w:hAnsi="Symbol" w:hint="default"/>
      </w:rPr>
    </w:lvl>
    <w:lvl w:ilvl="7" w:tplc="4B963160" w:tentative="1">
      <w:start w:val="1"/>
      <w:numFmt w:val="bullet"/>
      <w:lvlText w:val="o"/>
      <w:lvlJc w:val="left"/>
      <w:pPr>
        <w:tabs>
          <w:tab w:val="num" w:pos="6044"/>
        </w:tabs>
        <w:ind w:left="6044" w:hanging="360"/>
      </w:pPr>
      <w:rPr>
        <w:rFonts w:ascii="Courier New" w:hAnsi="Courier New" w:cs="Courier New" w:hint="default"/>
      </w:rPr>
    </w:lvl>
    <w:lvl w:ilvl="8" w:tplc="B580A780" w:tentative="1">
      <w:start w:val="1"/>
      <w:numFmt w:val="bullet"/>
      <w:lvlText w:val=""/>
      <w:lvlJc w:val="left"/>
      <w:pPr>
        <w:tabs>
          <w:tab w:val="num" w:pos="6764"/>
        </w:tabs>
        <w:ind w:left="6764" w:hanging="360"/>
      </w:pPr>
      <w:rPr>
        <w:rFonts w:ascii="Wingdings" w:hAnsi="Wingdings" w:hint="default"/>
      </w:rPr>
    </w:lvl>
  </w:abstractNum>
  <w:abstractNum w:abstractNumId="15" w15:restartNumberingAfterBreak="0">
    <w:nsid w:val="76903243"/>
    <w:multiLevelType w:val="multilevel"/>
    <w:tmpl w:val="E884A926"/>
    <w:lvl w:ilvl="0">
      <w:start w:val="1"/>
      <w:numFmt w:val="decimal"/>
      <w:pStyle w:val="JuAppQuestion"/>
      <w:lvlText w:val="%1."/>
      <w:lvlJc w:val="left"/>
      <w:pPr>
        <w:tabs>
          <w:tab w:val="num" w:pos="720"/>
        </w:tabs>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15:restartNumberingAfterBreak="0">
    <w:nsid w:val="7C970851"/>
    <w:multiLevelType w:val="multilevel"/>
    <w:tmpl w:val="F842BC8C"/>
    <w:lvl w:ilvl="0">
      <w:start w:val="1"/>
      <w:numFmt w:val="bullet"/>
      <w:lvlText w:val=""/>
      <w:lvlJc w:val="left"/>
      <w:pPr>
        <w:tabs>
          <w:tab w:val="num" w:pos="851"/>
        </w:tabs>
        <w:ind w:left="851" w:hanging="284"/>
      </w:pPr>
      <w:rPr>
        <w:rFonts w:ascii="Wingdings" w:hAnsi="Wingdings" w:hint="default"/>
        <w:color w:val="0072BC" w:themeColor="background1"/>
      </w:rPr>
    </w:lvl>
    <w:lvl w:ilvl="1">
      <w:start w:val="1"/>
      <w:numFmt w:val="bullet"/>
      <w:lvlText w:val=""/>
      <w:lvlJc w:val="left"/>
      <w:pPr>
        <w:tabs>
          <w:tab w:val="num" w:pos="1134"/>
        </w:tabs>
        <w:ind w:left="1135" w:hanging="284"/>
      </w:pPr>
      <w:rPr>
        <w:rFonts w:ascii="Wingdings" w:hAnsi="Wingdings" w:hint="default"/>
        <w:color w:val="0072BC" w:themeColor="background1"/>
      </w:rPr>
    </w:lvl>
    <w:lvl w:ilvl="2">
      <w:start w:val="1"/>
      <w:numFmt w:val="bullet"/>
      <w:lvlText w:val=""/>
      <w:lvlJc w:val="left"/>
      <w:pPr>
        <w:tabs>
          <w:tab w:val="num" w:pos="1418"/>
        </w:tabs>
        <w:ind w:left="1419" w:hanging="284"/>
      </w:pPr>
      <w:rPr>
        <w:rFonts w:ascii="Wingdings" w:hAnsi="Wingdings" w:hint="default"/>
        <w:color w:val="7F7F7F" w:themeColor="text1" w:themeTint="80"/>
      </w:rPr>
    </w:lvl>
    <w:lvl w:ilvl="3">
      <w:start w:val="1"/>
      <w:numFmt w:val="bullet"/>
      <w:lvlText w:val=""/>
      <w:lvlJc w:val="left"/>
      <w:pPr>
        <w:tabs>
          <w:tab w:val="num" w:pos="1701"/>
        </w:tabs>
        <w:ind w:left="1703" w:hanging="284"/>
      </w:pPr>
      <w:rPr>
        <w:rFonts w:ascii="Wingdings" w:hAnsi="Wingdings" w:hint="default"/>
        <w:color w:val="7F7F7F" w:themeColor="text1" w:themeTint="80"/>
      </w:rPr>
    </w:lvl>
    <w:lvl w:ilvl="4">
      <w:start w:val="1"/>
      <w:numFmt w:val="bullet"/>
      <w:lvlText w:val=""/>
      <w:lvlJc w:val="left"/>
      <w:pPr>
        <w:tabs>
          <w:tab w:val="num" w:pos="1760"/>
        </w:tabs>
        <w:ind w:left="1987" w:hanging="284"/>
      </w:pPr>
      <w:rPr>
        <w:rFonts w:ascii="Wingdings" w:hAnsi="Wingdings" w:hint="default"/>
        <w:color w:val="0072BC" w:themeColor="background1"/>
      </w:rPr>
    </w:lvl>
    <w:lvl w:ilvl="5">
      <w:start w:val="1"/>
      <w:numFmt w:val="bullet"/>
      <w:lvlText w:val=""/>
      <w:lvlJc w:val="left"/>
      <w:pPr>
        <w:tabs>
          <w:tab w:val="num" w:pos="2044"/>
        </w:tabs>
        <w:ind w:left="2271" w:hanging="284"/>
      </w:pPr>
      <w:rPr>
        <w:rFonts w:ascii="Wingdings" w:hAnsi="Wingdings" w:hint="default"/>
        <w:color w:val="5F5F5F" w:themeColor="accent5"/>
      </w:rPr>
    </w:lvl>
    <w:lvl w:ilvl="6">
      <w:start w:val="1"/>
      <w:numFmt w:val="bullet"/>
      <w:lvlText w:val=""/>
      <w:lvlJc w:val="left"/>
      <w:pPr>
        <w:tabs>
          <w:tab w:val="num" w:pos="2328"/>
        </w:tabs>
        <w:ind w:left="2555" w:hanging="284"/>
      </w:pPr>
      <w:rPr>
        <w:rFonts w:ascii="Symbol" w:hAnsi="Symbol" w:hint="default"/>
      </w:rPr>
    </w:lvl>
    <w:lvl w:ilvl="7">
      <w:start w:val="1"/>
      <w:numFmt w:val="bullet"/>
      <w:lvlText w:val="o"/>
      <w:lvlJc w:val="left"/>
      <w:pPr>
        <w:tabs>
          <w:tab w:val="num" w:pos="2612"/>
        </w:tabs>
        <w:ind w:left="2839" w:hanging="284"/>
      </w:pPr>
      <w:rPr>
        <w:rFonts w:ascii="Courier New" w:hAnsi="Courier New" w:hint="default"/>
      </w:rPr>
    </w:lvl>
    <w:lvl w:ilvl="8">
      <w:start w:val="1"/>
      <w:numFmt w:val="bullet"/>
      <w:lvlText w:val=""/>
      <w:lvlJc w:val="left"/>
      <w:pPr>
        <w:tabs>
          <w:tab w:val="num" w:pos="2896"/>
        </w:tabs>
        <w:ind w:left="3123" w:hanging="284"/>
      </w:pPr>
      <w:rPr>
        <w:rFonts w:ascii="Wingdings" w:hAnsi="Wingdings" w:hint="default"/>
      </w:rPr>
    </w:lvl>
  </w:abstractNum>
  <w:num w:numId="1">
    <w:abstractNumId w:val="12"/>
  </w:num>
  <w:num w:numId="2">
    <w:abstractNumId w:val="16"/>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6"/>
  </w:num>
  <w:num w:numId="5">
    <w:abstractNumId w:val="9"/>
  </w:num>
  <w:num w:numId="6">
    <w:abstractNumId w:val="16"/>
  </w:num>
  <w:num w:numId="7">
    <w:abstractNumId w:val="9"/>
  </w:num>
  <w:num w:numId="8">
    <w:abstractNumId w:val="6"/>
  </w:num>
  <w:num w:numId="9">
    <w:abstractNumId w:val="14"/>
  </w:num>
  <w:num w:numId="10">
    <w:abstractNumId w:val="13"/>
  </w:num>
  <w:num w:numId="11">
    <w:abstractNumId w:val="11"/>
  </w:num>
  <w:num w:numId="12">
    <w:abstractNumId w:val="10"/>
  </w:num>
  <w:num w:numId="13">
    <w:abstractNumId w:val="7"/>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15"/>
  </w:num>
  <w:num w:numId="22">
    <w:abstractNumId w:val="15"/>
  </w:num>
  <w:num w:numId="23">
    <w:abstractNumId w:val="15"/>
  </w:num>
  <w:num w:numId="24">
    <w:abstractNumId w:val="15"/>
  </w:num>
  <w:num w:numId="25">
    <w:abstractNumId w:val="15"/>
  </w:num>
  <w:num w:numId="2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proofState w:spelling="clean" w:grammar="clean"/>
  <w:stylePaneFormatFilter w:val="D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1"/>
  <w:defaultTabStop w:val="720"/>
  <w:hyphenationZone w:val="425"/>
  <w:evenAndOddHeaders/>
  <w:drawingGridHorizontalSpacing w:val="110"/>
  <w:displayHorizontalDrawingGridEvery w:val="2"/>
  <w:displayVerticalDrawingGridEvery w:val="2"/>
  <w:characterSpacingControl w:val="doNotCompress"/>
  <w:hdrShapeDefaults>
    <o:shapedefaults v:ext="edit" spidmax="4097"/>
  </w:hdrShapeDefaults>
  <w:footnotePr>
    <w:numRestart w:val="eachSect"/>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ApplicationsApp" w:val="1"/>
    <w:docVar w:name="EMM" w:val="0"/>
    <w:docVar w:name="NBEMMDOC" w:val="0"/>
  </w:docVars>
  <w:rsids>
    <w:rsidRoot w:val="00B64935"/>
    <w:rsid w:val="0000054C"/>
    <w:rsid w:val="000059E4"/>
    <w:rsid w:val="00010438"/>
    <w:rsid w:val="0001240D"/>
    <w:rsid w:val="0002128D"/>
    <w:rsid w:val="00023138"/>
    <w:rsid w:val="00035569"/>
    <w:rsid w:val="000474C5"/>
    <w:rsid w:val="00047686"/>
    <w:rsid w:val="000507A5"/>
    <w:rsid w:val="0006135E"/>
    <w:rsid w:val="000621D8"/>
    <w:rsid w:val="00064D6B"/>
    <w:rsid w:val="00065B48"/>
    <w:rsid w:val="000677D1"/>
    <w:rsid w:val="0007040D"/>
    <w:rsid w:val="00080A85"/>
    <w:rsid w:val="00087B2C"/>
    <w:rsid w:val="00090016"/>
    <w:rsid w:val="00092173"/>
    <w:rsid w:val="000C0C26"/>
    <w:rsid w:val="000C154F"/>
    <w:rsid w:val="000C5A30"/>
    <w:rsid w:val="000D35E0"/>
    <w:rsid w:val="000D3951"/>
    <w:rsid w:val="000D6360"/>
    <w:rsid w:val="000D7B8F"/>
    <w:rsid w:val="000E54D7"/>
    <w:rsid w:val="000F03C9"/>
    <w:rsid w:val="00104910"/>
    <w:rsid w:val="0011681D"/>
    <w:rsid w:val="00122D5C"/>
    <w:rsid w:val="0013211C"/>
    <w:rsid w:val="001325F9"/>
    <w:rsid w:val="00136AA3"/>
    <w:rsid w:val="00142352"/>
    <w:rsid w:val="00142898"/>
    <w:rsid w:val="001436E3"/>
    <w:rsid w:val="00145247"/>
    <w:rsid w:val="001458C6"/>
    <w:rsid w:val="00146BF6"/>
    <w:rsid w:val="001471B1"/>
    <w:rsid w:val="001539B5"/>
    <w:rsid w:val="0015453B"/>
    <w:rsid w:val="00156729"/>
    <w:rsid w:val="00156E74"/>
    <w:rsid w:val="0015789C"/>
    <w:rsid w:val="00157AAA"/>
    <w:rsid w:val="001670FE"/>
    <w:rsid w:val="001673C9"/>
    <w:rsid w:val="00180260"/>
    <w:rsid w:val="00184E50"/>
    <w:rsid w:val="001A4238"/>
    <w:rsid w:val="001A6071"/>
    <w:rsid w:val="001B0999"/>
    <w:rsid w:val="001B0DF0"/>
    <w:rsid w:val="001B1B41"/>
    <w:rsid w:val="001B2857"/>
    <w:rsid w:val="001B6E15"/>
    <w:rsid w:val="001C12A3"/>
    <w:rsid w:val="001D23BD"/>
    <w:rsid w:val="001D42C0"/>
    <w:rsid w:val="001E3ED4"/>
    <w:rsid w:val="001E572E"/>
    <w:rsid w:val="001E5C0D"/>
    <w:rsid w:val="001F0501"/>
    <w:rsid w:val="001F260E"/>
    <w:rsid w:val="002013AC"/>
    <w:rsid w:val="00207D24"/>
    <w:rsid w:val="002102E3"/>
    <w:rsid w:val="0021155F"/>
    <w:rsid w:val="00214E42"/>
    <w:rsid w:val="002159F7"/>
    <w:rsid w:val="00215E51"/>
    <w:rsid w:val="0022356B"/>
    <w:rsid w:val="00226191"/>
    <w:rsid w:val="002266C2"/>
    <w:rsid w:val="0022763D"/>
    <w:rsid w:val="00234A53"/>
    <w:rsid w:val="00237F28"/>
    <w:rsid w:val="0025079B"/>
    <w:rsid w:val="00251E51"/>
    <w:rsid w:val="002612A7"/>
    <w:rsid w:val="00265CC7"/>
    <w:rsid w:val="00267E34"/>
    <w:rsid w:val="00274AF7"/>
    <w:rsid w:val="00275F9A"/>
    <w:rsid w:val="002764FC"/>
    <w:rsid w:val="00276D9B"/>
    <w:rsid w:val="002804D4"/>
    <w:rsid w:val="00280F41"/>
    <w:rsid w:val="002823E2"/>
    <w:rsid w:val="00283BB6"/>
    <w:rsid w:val="00285B63"/>
    <w:rsid w:val="002906FB"/>
    <w:rsid w:val="0029092C"/>
    <w:rsid w:val="00291242"/>
    <w:rsid w:val="002913F6"/>
    <w:rsid w:val="002914C7"/>
    <w:rsid w:val="00295DE6"/>
    <w:rsid w:val="002A28ED"/>
    <w:rsid w:val="002A39AE"/>
    <w:rsid w:val="002A3AD5"/>
    <w:rsid w:val="002A51D9"/>
    <w:rsid w:val="002B5527"/>
    <w:rsid w:val="002B6769"/>
    <w:rsid w:val="002B73F2"/>
    <w:rsid w:val="002B7978"/>
    <w:rsid w:val="002C164A"/>
    <w:rsid w:val="002C43F1"/>
    <w:rsid w:val="002C66EB"/>
    <w:rsid w:val="002D31C1"/>
    <w:rsid w:val="002F393E"/>
    <w:rsid w:val="00303245"/>
    <w:rsid w:val="00312DDA"/>
    <w:rsid w:val="0031752E"/>
    <w:rsid w:val="003223F6"/>
    <w:rsid w:val="00325B32"/>
    <w:rsid w:val="00325D80"/>
    <w:rsid w:val="003352F8"/>
    <w:rsid w:val="00337038"/>
    <w:rsid w:val="003410A3"/>
    <w:rsid w:val="00352CBA"/>
    <w:rsid w:val="00355BBA"/>
    <w:rsid w:val="00375916"/>
    <w:rsid w:val="00382404"/>
    <w:rsid w:val="00386E01"/>
    <w:rsid w:val="00386FCB"/>
    <w:rsid w:val="00387918"/>
    <w:rsid w:val="00393EDF"/>
    <w:rsid w:val="00396FCD"/>
    <w:rsid w:val="003A0355"/>
    <w:rsid w:val="003A4306"/>
    <w:rsid w:val="003A5178"/>
    <w:rsid w:val="003B4265"/>
    <w:rsid w:val="003B61EE"/>
    <w:rsid w:val="003C03AE"/>
    <w:rsid w:val="003C36BA"/>
    <w:rsid w:val="003C4562"/>
    <w:rsid w:val="003C7465"/>
    <w:rsid w:val="003D609E"/>
    <w:rsid w:val="003D6FF1"/>
    <w:rsid w:val="003D769C"/>
    <w:rsid w:val="003E110C"/>
    <w:rsid w:val="003E7BB7"/>
    <w:rsid w:val="003F07AD"/>
    <w:rsid w:val="003F2564"/>
    <w:rsid w:val="003F5629"/>
    <w:rsid w:val="00411C3D"/>
    <w:rsid w:val="00412367"/>
    <w:rsid w:val="00413469"/>
    <w:rsid w:val="00413748"/>
    <w:rsid w:val="004206EE"/>
    <w:rsid w:val="00423BF9"/>
    <w:rsid w:val="00426B2D"/>
    <w:rsid w:val="00427368"/>
    <w:rsid w:val="00430256"/>
    <w:rsid w:val="00432000"/>
    <w:rsid w:val="004426C9"/>
    <w:rsid w:val="00455F8B"/>
    <w:rsid w:val="00460029"/>
    <w:rsid w:val="00460E74"/>
    <w:rsid w:val="004629E8"/>
    <w:rsid w:val="0046528F"/>
    <w:rsid w:val="00466D98"/>
    <w:rsid w:val="00474B73"/>
    <w:rsid w:val="00475200"/>
    <w:rsid w:val="0047782A"/>
    <w:rsid w:val="00484610"/>
    <w:rsid w:val="00487AFA"/>
    <w:rsid w:val="00487B89"/>
    <w:rsid w:val="00491921"/>
    <w:rsid w:val="004A34C4"/>
    <w:rsid w:val="004B01D4"/>
    <w:rsid w:val="004B04BE"/>
    <w:rsid w:val="004B2441"/>
    <w:rsid w:val="004B6885"/>
    <w:rsid w:val="004C6C56"/>
    <w:rsid w:val="004D02D5"/>
    <w:rsid w:val="004D0458"/>
    <w:rsid w:val="004D1D57"/>
    <w:rsid w:val="004E62D5"/>
    <w:rsid w:val="004F4A0C"/>
    <w:rsid w:val="004F7036"/>
    <w:rsid w:val="004F7CCF"/>
    <w:rsid w:val="00502A6F"/>
    <w:rsid w:val="0050502B"/>
    <w:rsid w:val="005162E2"/>
    <w:rsid w:val="00530BF6"/>
    <w:rsid w:val="00537437"/>
    <w:rsid w:val="00541052"/>
    <w:rsid w:val="0054392A"/>
    <w:rsid w:val="00547158"/>
    <w:rsid w:val="00547913"/>
    <w:rsid w:val="00554C19"/>
    <w:rsid w:val="0055572F"/>
    <w:rsid w:val="00555ECC"/>
    <w:rsid w:val="00556AFA"/>
    <w:rsid w:val="005576B3"/>
    <w:rsid w:val="005577AF"/>
    <w:rsid w:val="0056261C"/>
    <w:rsid w:val="00565578"/>
    <w:rsid w:val="005658D2"/>
    <w:rsid w:val="00577066"/>
    <w:rsid w:val="005840DB"/>
    <w:rsid w:val="005879B7"/>
    <w:rsid w:val="00590F63"/>
    <w:rsid w:val="005931DF"/>
    <w:rsid w:val="00595F23"/>
    <w:rsid w:val="0059710F"/>
    <w:rsid w:val="005A29D2"/>
    <w:rsid w:val="005A332D"/>
    <w:rsid w:val="005A335B"/>
    <w:rsid w:val="005B2AE3"/>
    <w:rsid w:val="005B73C7"/>
    <w:rsid w:val="005C093E"/>
    <w:rsid w:val="005C1130"/>
    <w:rsid w:val="005C1423"/>
    <w:rsid w:val="005C3B09"/>
    <w:rsid w:val="005C4C24"/>
    <w:rsid w:val="005D0204"/>
    <w:rsid w:val="005D58BA"/>
    <w:rsid w:val="005D5DED"/>
    <w:rsid w:val="005D7523"/>
    <w:rsid w:val="005E1E2A"/>
    <w:rsid w:val="005E1E81"/>
    <w:rsid w:val="005F0781"/>
    <w:rsid w:val="005F0E4F"/>
    <w:rsid w:val="005F6B88"/>
    <w:rsid w:val="005F76AB"/>
    <w:rsid w:val="006016DB"/>
    <w:rsid w:val="00605562"/>
    <w:rsid w:val="00617523"/>
    <w:rsid w:val="0062214F"/>
    <w:rsid w:val="006260D0"/>
    <w:rsid w:val="00630D9D"/>
    <w:rsid w:val="006354E8"/>
    <w:rsid w:val="00637D93"/>
    <w:rsid w:val="00641CD7"/>
    <w:rsid w:val="0064461E"/>
    <w:rsid w:val="0064527C"/>
    <w:rsid w:val="00645358"/>
    <w:rsid w:val="0064670F"/>
    <w:rsid w:val="0065484E"/>
    <w:rsid w:val="00655E2F"/>
    <w:rsid w:val="00661C19"/>
    <w:rsid w:val="00662F96"/>
    <w:rsid w:val="00664BC2"/>
    <w:rsid w:val="0067049E"/>
    <w:rsid w:val="0067085E"/>
    <w:rsid w:val="006808FB"/>
    <w:rsid w:val="00680A19"/>
    <w:rsid w:val="00684A29"/>
    <w:rsid w:val="00686837"/>
    <w:rsid w:val="006925ED"/>
    <w:rsid w:val="00695AA2"/>
    <w:rsid w:val="006A3253"/>
    <w:rsid w:val="006A5CC2"/>
    <w:rsid w:val="006B4E06"/>
    <w:rsid w:val="006C0D5E"/>
    <w:rsid w:val="006C379A"/>
    <w:rsid w:val="006C4DD6"/>
    <w:rsid w:val="006D1B58"/>
    <w:rsid w:val="006D21BB"/>
    <w:rsid w:val="006D4F89"/>
    <w:rsid w:val="006E72F5"/>
    <w:rsid w:val="006F408C"/>
    <w:rsid w:val="006F69BE"/>
    <w:rsid w:val="007079E9"/>
    <w:rsid w:val="00715EEE"/>
    <w:rsid w:val="00730E56"/>
    <w:rsid w:val="00741C5C"/>
    <w:rsid w:val="007420DB"/>
    <w:rsid w:val="00742103"/>
    <w:rsid w:val="00742E3D"/>
    <w:rsid w:val="007509E4"/>
    <w:rsid w:val="0076076C"/>
    <w:rsid w:val="00760DFA"/>
    <w:rsid w:val="00761299"/>
    <w:rsid w:val="0076193C"/>
    <w:rsid w:val="00764AEB"/>
    <w:rsid w:val="00766E98"/>
    <w:rsid w:val="00767BC5"/>
    <w:rsid w:val="0077076A"/>
    <w:rsid w:val="00773CCA"/>
    <w:rsid w:val="00786598"/>
    <w:rsid w:val="007868CB"/>
    <w:rsid w:val="0078750B"/>
    <w:rsid w:val="007B5DCB"/>
    <w:rsid w:val="007B6A26"/>
    <w:rsid w:val="007C0286"/>
    <w:rsid w:val="007C78F1"/>
    <w:rsid w:val="007D2A57"/>
    <w:rsid w:val="007D569F"/>
    <w:rsid w:val="007D5981"/>
    <w:rsid w:val="007E5713"/>
    <w:rsid w:val="007F0CE1"/>
    <w:rsid w:val="008036CB"/>
    <w:rsid w:val="00804DC5"/>
    <w:rsid w:val="008111E5"/>
    <w:rsid w:val="008137AC"/>
    <w:rsid w:val="0082044C"/>
    <w:rsid w:val="0082315C"/>
    <w:rsid w:val="00823E12"/>
    <w:rsid w:val="00825801"/>
    <w:rsid w:val="00825BC5"/>
    <w:rsid w:val="008341AB"/>
    <w:rsid w:val="008362B9"/>
    <w:rsid w:val="0084039C"/>
    <w:rsid w:val="00845931"/>
    <w:rsid w:val="00850DA0"/>
    <w:rsid w:val="00851010"/>
    <w:rsid w:val="00851E9F"/>
    <w:rsid w:val="00852E55"/>
    <w:rsid w:val="00854097"/>
    <w:rsid w:val="00857266"/>
    <w:rsid w:val="0086202C"/>
    <w:rsid w:val="00864BB7"/>
    <w:rsid w:val="0086592D"/>
    <w:rsid w:val="00865D76"/>
    <w:rsid w:val="00866548"/>
    <w:rsid w:val="008750FF"/>
    <w:rsid w:val="00880D6F"/>
    <w:rsid w:val="0088371C"/>
    <w:rsid w:val="00893610"/>
    <w:rsid w:val="00893B7C"/>
    <w:rsid w:val="00894620"/>
    <w:rsid w:val="00896E7F"/>
    <w:rsid w:val="008A2525"/>
    <w:rsid w:val="008B11FD"/>
    <w:rsid w:val="008B4E45"/>
    <w:rsid w:val="008B7F71"/>
    <w:rsid w:val="008C089F"/>
    <w:rsid w:val="008C733C"/>
    <w:rsid w:val="008E0A65"/>
    <w:rsid w:val="008E210B"/>
    <w:rsid w:val="008E3388"/>
    <w:rsid w:val="008E437C"/>
    <w:rsid w:val="008F205F"/>
    <w:rsid w:val="00904BD2"/>
    <w:rsid w:val="00907EA7"/>
    <w:rsid w:val="00913577"/>
    <w:rsid w:val="0092005A"/>
    <w:rsid w:val="00921125"/>
    <w:rsid w:val="0092183F"/>
    <w:rsid w:val="0092466A"/>
    <w:rsid w:val="00926E19"/>
    <w:rsid w:val="00930FF2"/>
    <w:rsid w:val="00940EF6"/>
    <w:rsid w:val="00945D20"/>
    <w:rsid w:val="0096537A"/>
    <w:rsid w:val="00971DE1"/>
    <w:rsid w:val="0098125A"/>
    <w:rsid w:val="00981320"/>
    <w:rsid w:val="00981CA1"/>
    <w:rsid w:val="0099671D"/>
    <w:rsid w:val="009A17F0"/>
    <w:rsid w:val="009B6F5C"/>
    <w:rsid w:val="009B7D82"/>
    <w:rsid w:val="009C398B"/>
    <w:rsid w:val="009C412C"/>
    <w:rsid w:val="009D2C89"/>
    <w:rsid w:val="009E3262"/>
    <w:rsid w:val="009F0396"/>
    <w:rsid w:val="00A01F71"/>
    <w:rsid w:val="00A03BC9"/>
    <w:rsid w:val="00A0729E"/>
    <w:rsid w:val="00A10F86"/>
    <w:rsid w:val="00A16DD9"/>
    <w:rsid w:val="00A21AF4"/>
    <w:rsid w:val="00A3291B"/>
    <w:rsid w:val="00A45865"/>
    <w:rsid w:val="00A5092D"/>
    <w:rsid w:val="00A6327F"/>
    <w:rsid w:val="00A633E1"/>
    <w:rsid w:val="00A64D3F"/>
    <w:rsid w:val="00A6651F"/>
    <w:rsid w:val="00A71EBB"/>
    <w:rsid w:val="00A866F9"/>
    <w:rsid w:val="00A913C0"/>
    <w:rsid w:val="00A91DE2"/>
    <w:rsid w:val="00A95421"/>
    <w:rsid w:val="00A97051"/>
    <w:rsid w:val="00A97B99"/>
    <w:rsid w:val="00AA3B58"/>
    <w:rsid w:val="00AB1525"/>
    <w:rsid w:val="00AB227B"/>
    <w:rsid w:val="00AB2486"/>
    <w:rsid w:val="00AB377A"/>
    <w:rsid w:val="00AB37D9"/>
    <w:rsid w:val="00AB578A"/>
    <w:rsid w:val="00AB62D2"/>
    <w:rsid w:val="00AB6A98"/>
    <w:rsid w:val="00AC0BBD"/>
    <w:rsid w:val="00AC280B"/>
    <w:rsid w:val="00AD66FE"/>
    <w:rsid w:val="00AF3E6A"/>
    <w:rsid w:val="00AF650C"/>
    <w:rsid w:val="00B11A1C"/>
    <w:rsid w:val="00B11E20"/>
    <w:rsid w:val="00B1362E"/>
    <w:rsid w:val="00B21019"/>
    <w:rsid w:val="00B3064F"/>
    <w:rsid w:val="00B32CBE"/>
    <w:rsid w:val="00B34B81"/>
    <w:rsid w:val="00B50A16"/>
    <w:rsid w:val="00B51D2F"/>
    <w:rsid w:val="00B55E90"/>
    <w:rsid w:val="00B57451"/>
    <w:rsid w:val="00B57F46"/>
    <w:rsid w:val="00B64935"/>
    <w:rsid w:val="00B66020"/>
    <w:rsid w:val="00B74D18"/>
    <w:rsid w:val="00B8387E"/>
    <w:rsid w:val="00B86517"/>
    <w:rsid w:val="00B90BC6"/>
    <w:rsid w:val="00B93E1C"/>
    <w:rsid w:val="00B95AC9"/>
    <w:rsid w:val="00B97159"/>
    <w:rsid w:val="00BA079E"/>
    <w:rsid w:val="00BA0803"/>
    <w:rsid w:val="00BA13D9"/>
    <w:rsid w:val="00BA2EE1"/>
    <w:rsid w:val="00BA5390"/>
    <w:rsid w:val="00BA6707"/>
    <w:rsid w:val="00BB33F7"/>
    <w:rsid w:val="00BB3A2E"/>
    <w:rsid w:val="00BB6AD0"/>
    <w:rsid w:val="00BC0263"/>
    <w:rsid w:val="00BC50CC"/>
    <w:rsid w:val="00BE3BDA"/>
    <w:rsid w:val="00BE5EC1"/>
    <w:rsid w:val="00BE66BC"/>
    <w:rsid w:val="00BF0003"/>
    <w:rsid w:val="00BF2B0D"/>
    <w:rsid w:val="00BF4434"/>
    <w:rsid w:val="00BF4546"/>
    <w:rsid w:val="00C12EC2"/>
    <w:rsid w:val="00C13E4F"/>
    <w:rsid w:val="00C16096"/>
    <w:rsid w:val="00C23750"/>
    <w:rsid w:val="00C34F13"/>
    <w:rsid w:val="00C36FE2"/>
    <w:rsid w:val="00C3772B"/>
    <w:rsid w:val="00C42CDE"/>
    <w:rsid w:val="00C45944"/>
    <w:rsid w:val="00C57647"/>
    <w:rsid w:val="00C63F8B"/>
    <w:rsid w:val="00C6460B"/>
    <w:rsid w:val="00C64975"/>
    <w:rsid w:val="00C7064A"/>
    <w:rsid w:val="00C75C8F"/>
    <w:rsid w:val="00C77101"/>
    <w:rsid w:val="00C773CC"/>
    <w:rsid w:val="00C82279"/>
    <w:rsid w:val="00C82418"/>
    <w:rsid w:val="00C85302"/>
    <w:rsid w:val="00C85C5C"/>
    <w:rsid w:val="00C85E0B"/>
    <w:rsid w:val="00C86EE7"/>
    <w:rsid w:val="00C87191"/>
    <w:rsid w:val="00C92BAF"/>
    <w:rsid w:val="00C96E0E"/>
    <w:rsid w:val="00CA5067"/>
    <w:rsid w:val="00CA62D3"/>
    <w:rsid w:val="00CB60FF"/>
    <w:rsid w:val="00CB79A2"/>
    <w:rsid w:val="00CC5D93"/>
    <w:rsid w:val="00CE2513"/>
    <w:rsid w:val="00CE29E3"/>
    <w:rsid w:val="00CE43FC"/>
    <w:rsid w:val="00CE51B4"/>
    <w:rsid w:val="00CE6BE8"/>
    <w:rsid w:val="00CF64F4"/>
    <w:rsid w:val="00CF7065"/>
    <w:rsid w:val="00D00517"/>
    <w:rsid w:val="00D00875"/>
    <w:rsid w:val="00D03828"/>
    <w:rsid w:val="00D042B7"/>
    <w:rsid w:val="00D12632"/>
    <w:rsid w:val="00D13085"/>
    <w:rsid w:val="00D20DF1"/>
    <w:rsid w:val="00D35994"/>
    <w:rsid w:val="00D364E6"/>
    <w:rsid w:val="00D37D0F"/>
    <w:rsid w:val="00D4286F"/>
    <w:rsid w:val="00D42C3E"/>
    <w:rsid w:val="00D50C98"/>
    <w:rsid w:val="00D5596F"/>
    <w:rsid w:val="00D65C44"/>
    <w:rsid w:val="00D712BD"/>
    <w:rsid w:val="00D71ECC"/>
    <w:rsid w:val="00D73F2C"/>
    <w:rsid w:val="00D74346"/>
    <w:rsid w:val="00D95E90"/>
    <w:rsid w:val="00D96613"/>
    <w:rsid w:val="00D96FA2"/>
    <w:rsid w:val="00DA5333"/>
    <w:rsid w:val="00DA5B98"/>
    <w:rsid w:val="00DA6C52"/>
    <w:rsid w:val="00DA791C"/>
    <w:rsid w:val="00DB0612"/>
    <w:rsid w:val="00DD7416"/>
    <w:rsid w:val="00DE096F"/>
    <w:rsid w:val="00DE3712"/>
    <w:rsid w:val="00DE711B"/>
    <w:rsid w:val="00DF1A7B"/>
    <w:rsid w:val="00DF224F"/>
    <w:rsid w:val="00DF3C58"/>
    <w:rsid w:val="00DF533C"/>
    <w:rsid w:val="00DF7254"/>
    <w:rsid w:val="00E03F43"/>
    <w:rsid w:val="00E04D33"/>
    <w:rsid w:val="00E11D98"/>
    <w:rsid w:val="00E20662"/>
    <w:rsid w:val="00E21662"/>
    <w:rsid w:val="00E2214C"/>
    <w:rsid w:val="00E27CE2"/>
    <w:rsid w:val="00E33BAE"/>
    <w:rsid w:val="00E3500D"/>
    <w:rsid w:val="00E40221"/>
    <w:rsid w:val="00E40F7B"/>
    <w:rsid w:val="00E43F2C"/>
    <w:rsid w:val="00E45EBD"/>
    <w:rsid w:val="00E5229F"/>
    <w:rsid w:val="00E547AB"/>
    <w:rsid w:val="00E54D24"/>
    <w:rsid w:val="00E55DC8"/>
    <w:rsid w:val="00E60E87"/>
    <w:rsid w:val="00E629E2"/>
    <w:rsid w:val="00E63D33"/>
    <w:rsid w:val="00E75C15"/>
    <w:rsid w:val="00E80FC6"/>
    <w:rsid w:val="00E81909"/>
    <w:rsid w:val="00E93BDD"/>
    <w:rsid w:val="00E96F9B"/>
    <w:rsid w:val="00EA4B66"/>
    <w:rsid w:val="00EA74D2"/>
    <w:rsid w:val="00EB0100"/>
    <w:rsid w:val="00EB1227"/>
    <w:rsid w:val="00EB3288"/>
    <w:rsid w:val="00EB440E"/>
    <w:rsid w:val="00EB747E"/>
    <w:rsid w:val="00EC2113"/>
    <w:rsid w:val="00EC2B25"/>
    <w:rsid w:val="00EC4B67"/>
    <w:rsid w:val="00EE016E"/>
    <w:rsid w:val="00EF704E"/>
    <w:rsid w:val="00F043AB"/>
    <w:rsid w:val="00F22558"/>
    <w:rsid w:val="00F32E18"/>
    <w:rsid w:val="00F34434"/>
    <w:rsid w:val="00F35DE1"/>
    <w:rsid w:val="00F36044"/>
    <w:rsid w:val="00F43B68"/>
    <w:rsid w:val="00F43C4C"/>
    <w:rsid w:val="00F50EC4"/>
    <w:rsid w:val="00F52450"/>
    <w:rsid w:val="00F65A9F"/>
    <w:rsid w:val="00F77FD3"/>
    <w:rsid w:val="00F86E6A"/>
    <w:rsid w:val="00F93A8C"/>
    <w:rsid w:val="00FA478D"/>
    <w:rsid w:val="00FB2379"/>
    <w:rsid w:val="00FB2F4D"/>
    <w:rsid w:val="00FB3DC5"/>
    <w:rsid w:val="00FB6245"/>
    <w:rsid w:val="00FC1D1D"/>
    <w:rsid w:val="00FC5F51"/>
    <w:rsid w:val="00FC6356"/>
    <w:rsid w:val="00FC7610"/>
    <w:rsid w:val="00FE089F"/>
    <w:rsid w:val="00FE1F49"/>
    <w:rsid w:val="00FE5687"/>
    <w:rsid w:val="00FE5FD6"/>
    <w:rsid w:val="00FE730D"/>
    <w:rsid w:val="00FF31C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docDefaults>
  <w:latentStyles w:defLockedState="0" w:defUIPriority="99" w:defSemiHidden="0" w:defUnhideWhenUsed="0" w:defQFormat="0" w:count="371">
    <w:lsdException w:name="Normal" w:uiPriority="0"/>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57" w:unhideWhenUsed="1"/>
    <w:lsdException w:name="footer" w:semiHidden="1" w:uiPriority="57"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rsid w:val="0001240D"/>
    <w:pPr>
      <w:jc w:val="both"/>
    </w:pPr>
    <w:rPr>
      <w:rFonts w:eastAsiaTheme="minorEastAsia"/>
      <w:sz w:val="24"/>
    </w:rPr>
  </w:style>
  <w:style w:type="paragraph" w:styleId="Heading1">
    <w:name w:val="heading 1"/>
    <w:basedOn w:val="Normal"/>
    <w:next w:val="Normal"/>
    <w:link w:val="Heading1Char"/>
    <w:uiPriority w:val="99"/>
    <w:semiHidden/>
    <w:rsid w:val="0001240D"/>
    <w:pPr>
      <w:spacing w:before="480"/>
      <w:contextualSpacing/>
      <w:outlineLvl w:val="0"/>
    </w:pPr>
    <w:rPr>
      <w:rFonts w:asciiTheme="majorHAnsi" w:eastAsiaTheme="majorEastAsia" w:hAnsiTheme="majorHAnsi" w:cstheme="majorBidi"/>
      <w:b/>
      <w:bCs/>
      <w:color w:val="333333"/>
      <w:sz w:val="28"/>
      <w:szCs w:val="28"/>
    </w:rPr>
  </w:style>
  <w:style w:type="paragraph" w:styleId="Heading2">
    <w:name w:val="heading 2"/>
    <w:basedOn w:val="Normal"/>
    <w:next w:val="Normal"/>
    <w:link w:val="Heading2Char"/>
    <w:uiPriority w:val="99"/>
    <w:semiHidden/>
    <w:rsid w:val="0001240D"/>
    <w:pPr>
      <w:spacing w:before="200"/>
      <w:outlineLvl w:val="1"/>
    </w:pPr>
    <w:rPr>
      <w:rFonts w:asciiTheme="majorHAnsi" w:eastAsiaTheme="majorEastAsia" w:hAnsiTheme="majorHAnsi" w:cstheme="majorBidi"/>
      <w:b/>
      <w:bCs/>
      <w:color w:val="4D4D4D"/>
      <w:sz w:val="26"/>
      <w:szCs w:val="26"/>
    </w:rPr>
  </w:style>
  <w:style w:type="paragraph" w:styleId="Heading3">
    <w:name w:val="heading 3"/>
    <w:basedOn w:val="Normal"/>
    <w:next w:val="Normal"/>
    <w:link w:val="Heading3Char"/>
    <w:uiPriority w:val="99"/>
    <w:semiHidden/>
    <w:rsid w:val="0001240D"/>
    <w:pPr>
      <w:spacing w:before="200" w:line="271" w:lineRule="auto"/>
      <w:outlineLvl w:val="2"/>
    </w:pPr>
    <w:rPr>
      <w:rFonts w:asciiTheme="majorHAnsi" w:eastAsiaTheme="majorEastAsia" w:hAnsiTheme="majorHAnsi" w:cstheme="majorBidi"/>
      <w:b/>
      <w:bCs/>
      <w:color w:val="5F5F5F"/>
    </w:rPr>
  </w:style>
  <w:style w:type="paragraph" w:styleId="Heading4">
    <w:name w:val="heading 4"/>
    <w:basedOn w:val="Normal"/>
    <w:next w:val="Normal"/>
    <w:link w:val="Heading4Char"/>
    <w:uiPriority w:val="99"/>
    <w:semiHidden/>
    <w:rsid w:val="0001240D"/>
    <w:pPr>
      <w:spacing w:before="200"/>
      <w:outlineLvl w:val="3"/>
    </w:pPr>
    <w:rPr>
      <w:rFonts w:asciiTheme="majorHAnsi" w:eastAsiaTheme="majorEastAsia" w:hAnsiTheme="majorHAnsi" w:cstheme="majorBidi"/>
      <w:b/>
      <w:bCs/>
      <w:i/>
      <w:iCs/>
      <w:color w:val="777777"/>
    </w:rPr>
  </w:style>
  <w:style w:type="paragraph" w:styleId="Heading5">
    <w:name w:val="heading 5"/>
    <w:basedOn w:val="Normal"/>
    <w:next w:val="Normal"/>
    <w:link w:val="Heading5Char"/>
    <w:uiPriority w:val="99"/>
    <w:semiHidden/>
    <w:qFormat/>
    <w:rsid w:val="0001240D"/>
    <w:pPr>
      <w:spacing w:before="200"/>
      <w:outlineLvl w:val="4"/>
    </w:pPr>
    <w:rPr>
      <w:rFonts w:asciiTheme="majorHAnsi" w:eastAsiaTheme="majorEastAsia" w:hAnsiTheme="majorHAnsi" w:cstheme="majorBidi"/>
      <w:b/>
      <w:bCs/>
      <w:color w:val="808080"/>
      <w:sz w:val="22"/>
    </w:rPr>
  </w:style>
  <w:style w:type="paragraph" w:styleId="Heading6">
    <w:name w:val="heading 6"/>
    <w:basedOn w:val="Normal"/>
    <w:next w:val="Normal"/>
    <w:link w:val="Heading6Char"/>
    <w:uiPriority w:val="99"/>
    <w:semiHidden/>
    <w:rsid w:val="0001240D"/>
    <w:pPr>
      <w:spacing w:line="271" w:lineRule="auto"/>
      <w:outlineLvl w:val="5"/>
    </w:pPr>
    <w:rPr>
      <w:rFonts w:asciiTheme="majorHAnsi" w:eastAsiaTheme="majorEastAsia" w:hAnsiTheme="majorHAnsi" w:cstheme="majorBidi"/>
      <w:b/>
      <w:bCs/>
      <w:i/>
      <w:iCs/>
      <w:color w:val="7F7F7F" w:themeColor="text1" w:themeTint="80"/>
      <w:lang w:bidi="en-US"/>
    </w:rPr>
  </w:style>
  <w:style w:type="paragraph" w:styleId="Heading7">
    <w:name w:val="heading 7"/>
    <w:basedOn w:val="Normal"/>
    <w:next w:val="Normal"/>
    <w:link w:val="Heading7Char"/>
    <w:uiPriority w:val="99"/>
    <w:semiHidden/>
    <w:qFormat/>
    <w:rsid w:val="0001240D"/>
    <w:pPr>
      <w:outlineLvl w:val="6"/>
    </w:pPr>
    <w:rPr>
      <w:rFonts w:asciiTheme="majorHAnsi" w:eastAsiaTheme="majorEastAsia" w:hAnsiTheme="majorHAnsi" w:cstheme="majorBidi"/>
      <w:i/>
      <w:iCs/>
      <w:sz w:val="22"/>
      <w:lang w:bidi="en-US"/>
    </w:rPr>
  </w:style>
  <w:style w:type="paragraph" w:styleId="Heading8">
    <w:name w:val="heading 8"/>
    <w:basedOn w:val="Normal"/>
    <w:next w:val="Normal"/>
    <w:link w:val="Heading8Char"/>
    <w:uiPriority w:val="99"/>
    <w:semiHidden/>
    <w:qFormat/>
    <w:rsid w:val="0001240D"/>
    <w:pPr>
      <w:outlineLvl w:val="7"/>
    </w:pPr>
    <w:rPr>
      <w:rFonts w:asciiTheme="majorHAnsi" w:eastAsiaTheme="majorEastAsia" w:hAnsiTheme="majorHAnsi" w:cstheme="majorBidi"/>
      <w:sz w:val="20"/>
      <w:szCs w:val="20"/>
      <w:lang w:bidi="en-US"/>
    </w:rPr>
  </w:style>
  <w:style w:type="paragraph" w:styleId="Heading9">
    <w:name w:val="heading 9"/>
    <w:basedOn w:val="Normal"/>
    <w:next w:val="Normal"/>
    <w:link w:val="Heading9Char"/>
    <w:uiPriority w:val="99"/>
    <w:semiHidden/>
    <w:qFormat/>
    <w:rsid w:val="0001240D"/>
    <w:pPr>
      <w:outlineLvl w:val="8"/>
    </w:pPr>
    <w:rPr>
      <w:rFonts w:asciiTheme="majorHAnsi" w:eastAsiaTheme="majorEastAsia" w:hAnsiTheme="majorHAnsi" w:cstheme="majorBidi"/>
      <w:i/>
      <w:iCs/>
      <w:spacing w:val="5"/>
      <w:sz w:val="20"/>
      <w:szCs w:val="2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01240D"/>
    <w:rPr>
      <w:rFonts w:ascii="Tahoma" w:hAnsi="Tahoma" w:cs="Tahoma"/>
      <w:sz w:val="16"/>
      <w:szCs w:val="16"/>
    </w:rPr>
  </w:style>
  <w:style w:type="character" w:customStyle="1" w:styleId="BalloonTextChar">
    <w:name w:val="Balloon Text Char"/>
    <w:basedOn w:val="DefaultParagraphFont"/>
    <w:link w:val="BalloonText"/>
    <w:uiPriority w:val="99"/>
    <w:semiHidden/>
    <w:rsid w:val="0001240D"/>
    <w:rPr>
      <w:rFonts w:ascii="Tahoma" w:eastAsiaTheme="minorEastAsia" w:hAnsi="Tahoma" w:cs="Tahoma"/>
      <w:sz w:val="16"/>
      <w:szCs w:val="16"/>
      <w:lang w:val="bg-BG"/>
    </w:rPr>
  </w:style>
  <w:style w:type="character" w:styleId="BookTitle">
    <w:name w:val="Book Title"/>
    <w:uiPriority w:val="99"/>
    <w:semiHidden/>
    <w:qFormat/>
    <w:rsid w:val="0001240D"/>
    <w:rPr>
      <w:i/>
      <w:iCs/>
      <w:smallCaps/>
      <w:spacing w:val="5"/>
    </w:rPr>
  </w:style>
  <w:style w:type="paragraph" w:customStyle="1" w:styleId="ECHRHeader">
    <w:name w:val="ECHR_Header"/>
    <w:aliases w:val="Ju_Header"/>
    <w:basedOn w:val="Header"/>
    <w:uiPriority w:val="4"/>
    <w:qFormat/>
    <w:rsid w:val="0001240D"/>
    <w:pPr>
      <w:tabs>
        <w:tab w:val="clear" w:pos="4536"/>
        <w:tab w:val="clear" w:pos="9072"/>
      </w:tabs>
      <w:jc w:val="center"/>
    </w:pPr>
    <w:rPr>
      <w:sz w:val="18"/>
    </w:rPr>
  </w:style>
  <w:style w:type="character" w:styleId="Strong">
    <w:name w:val="Strong"/>
    <w:uiPriority w:val="99"/>
    <w:semiHidden/>
    <w:qFormat/>
    <w:rsid w:val="0001240D"/>
    <w:rPr>
      <w:b/>
      <w:bCs/>
    </w:rPr>
  </w:style>
  <w:style w:type="paragraph" w:styleId="NoSpacing">
    <w:name w:val="No Spacing"/>
    <w:basedOn w:val="Normal"/>
    <w:link w:val="NoSpacingChar"/>
    <w:semiHidden/>
    <w:qFormat/>
    <w:rsid w:val="0001240D"/>
    <w:rPr>
      <w:sz w:val="22"/>
    </w:rPr>
  </w:style>
  <w:style w:type="character" w:customStyle="1" w:styleId="NoSpacingChar">
    <w:name w:val="No Spacing Char"/>
    <w:basedOn w:val="DefaultParagraphFont"/>
    <w:link w:val="NoSpacing"/>
    <w:semiHidden/>
    <w:rsid w:val="0001240D"/>
    <w:rPr>
      <w:rFonts w:eastAsiaTheme="minorEastAsia"/>
    </w:rPr>
  </w:style>
  <w:style w:type="paragraph" w:customStyle="1" w:styleId="ECHRParaQuote">
    <w:name w:val="ECHR_Para_Quote"/>
    <w:aliases w:val="Ju_Quot"/>
    <w:basedOn w:val="Normal"/>
    <w:uiPriority w:val="14"/>
    <w:qFormat/>
    <w:rsid w:val="0001240D"/>
    <w:pPr>
      <w:spacing w:before="120" w:after="120"/>
      <w:ind w:left="425" w:firstLine="142"/>
    </w:pPr>
    <w:rPr>
      <w:sz w:val="20"/>
    </w:rPr>
  </w:style>
  <w:style w:type="paragraph" w:customStyle="1" w:styleId="JuParaSub">
    <w:name w:val="Ju_Para_Sub"/>
    <w:basedOn w:val="ECHRPara"/>
    <w:uiPriority w:val="13"/>
    <w:qFormat/>
    <w:rsid w:val="0001240D"/>
    <w:pPr>
      <w:ind w:left="284"/>
    </w:pPr>
  </w:style>
  <w:style w:type="paragraph" w:customStyle="1" w:styleId="ECHRTitleCentre3">
    <w:name w:val="ECHR_Title_Centre_3"/>
    <w:aliases w:val="Ju_H_Article"/>
    <w:basedOn w:val="Normal"/>
    <w:next w:val="ECHRParaQuote"/>
    <w:uiPriority w:val="27"/>
    <w:qFormat/>
    <w:rsid w:val="0001240D"/>
    <w:pPr>
      <w:keepNext/>
      <w:keepLines/>
      <w:spacing w:before="240" w:after="120"/>
      <w:jc w:val="center"/>
      <w:outlineLvl w:val="3"/>
    </w:pPr>
    <w:rPr>
      <w:rFonts w:asciiTheme="majorHAnsi" w:hAnsiTheme="majorHAnsi"/>
      <w:b/>
      <w:sz w:val="20"/>
      <w:lang w:bidi="en-US"/>
    </w:rPr>
  </w:style>
  <w:style w:type="paragraph" w:customStyle="1" w:styleId="ECHRTitleCentre1">
    <w:name w:val="ECHR_Title_Centre_1"/>
    <w:aliases w:val="Opi_H_Head"/>
    <w:basedOn w:val="Normal"/>
    <w:next w:val="OpiPara"/>
    <w:uiPriority w:val="39"/>
    <w:qFormat/>
    <w:rsid w:val="0001240D"/>
    <w:pPr>
      <w:keepNext/>
      <w:keepLines/>
      <w:spacing w:after="240"/>
      <w:jc w:val="center"/>
      <w:outlineLvl w:val="0"/>
    </w:pPr>
    <w:rPr>
      <w:rFonts w:asciiTheme="majorHAnsi" w:hAnsiTheme="majorHAnsi"/>
      <w:sz w:val="28"/>
    </w:rPr>
  </w:style>
  <w:style w:type="paragraph" w:customStyle="1" w:styleId="JuQuotSub">
    <w:name w:val="Ju_Quot_Sub"/>
    <w:basedOn w:val="ECHRParaQuote"/>
    <w:uiPriority w:val="15"/>
    <w:qFormat/>
    <w:rsid w:val="0001240D"/>
    <w:pPr>
      <w:ind w:left="567"/>
    </w:pPr>
  </w:style>
  <w:style w:type="paragraph" w:customStyle="1" w:styleId="ECHRTitle1">
    <w:name w:val="ECHR_Title_1"/>
    <w:aliases w:val="Ju_H_Head"/>
    <w:basedOn w:val="Normal"/>
    <w:next w:val="ECHRPara"/>
    <w:uiPriority w:val="18"/>
    <w:qFormat/>
    <w:rsid w:val="0001240D"/>
    <w:pPr>
      <w:keepNext/>
      <w:keepLines/>
      <w:spacing w:before="720" w:after="240"/>
      <w:outlineLvl w:val="0"/>
    </w:pPr>
    <w:rPr>
      <w:rFonts w:asciiTheme="majorHAnsi" w:hAnsiTheme="majorHAnsi"/>
      <w:sz w:val="28"/>
    </w:rPr>
  </w:style>
  <w:style w:type="paragraph" w:customStyle="1" w:styleId="JuInitialled">
    <w:name w:val="Ju_Initialled"/>
    <w:basedOn w:val="Normal"/>
    <w:uiPriority w:val="31"/>
    <w:qFormat/>
    <w:rsid w:val="0001240D"/>
    <w:pPr>
      <w:tabs>
        <w:tab w:val="center" w:pos="6407"/>
      </w:tabs>
      <w:spacing w:before="720"/>
      <w:jc w:val="right"/>
    </w:pPr>
  </w:style>
  <w:style w:type="paragraph" w:customStyle="1" w:styleId="JuSigned">
    <w:name w:val="Ju_Signed"/>
    <w:basedOn w:val="Normal"/>
    <w:next w:val="JuParaLast"/>
    <w:uiPriority w:val="32"/>
    <w:qFormat/>
    <w:rsid w:val="0001240D"/>
    <w:pPr>
      <w:tabs>
        <w:tab w:val="center" w:pos="851"/>
        <w:tab w:val="center" w:pos="6407"/>
      </w:tabs>
      <w:spacing w:before="720"/>
      <w:jc w:val="left"/>
    </w:pPr>
  </w:style>
  <w:style w:type="paragraph" w:styleId="Title">
    <w:name w:val="Title"/>
    <w:basedOn w:val="Normal"/>
    <w:next w:val="Normal"/>
    <w:link w:val="TitleChar"/>
    <w:uiPriority w:val="99"/>
    <w:semiHidden/>
    <w:qFormat/>
    <w:rsid w:val="0001240D"/>
    <w:pPr>
      <w:pBdr>
        <w:bottom w:val="single" w:sz="4" w:space="1" w:color="auto"/>
      </w:pBdr>
      <w:contextualSpacing/>
    </w:pPr>
    <w:rPr>
      <w:rFonts w:asciiTheme="majorHAnsi" w:eastAsiaTheme="majorEastAsia" w:hAnsiTheme="majorHAnsi" w:cstheme="majorBidi"/>
      <w:spacing w:val="5"/>
      <w:sz w:val="52"/>
      <w:szCs w:val="52"/>
      <w:lang w:bidi="en-US"/>
    </w:rPr>
  </w:style>
  <w:style w:type="character" w:customStyle="1" w:styleId="TitleChar">
    <w:name w:val="Title Char"/>
    <w:basedOn w:val="DefaultParagraphFont"/>
    <w:link w:val="Title"/>
    <w:uiPriority w:val="99"/>
    <w:semiHidden/>
    <w:rsid w:val="0001240D"/>
    <w:rPr>
      <w:rFonts w:asciiTheme="majorHAnsi" w:eastAsiaTheme="majorEastAsia" w:hAnsiTheme="majorHAnsi" w:cstheme="majorBidi"/>
      <w:spacing w:val="5"/>
      <w:sz w:val="52"/>
      <w:szCs w:val="52"/>
      <w:lang w:bidi="en-US"/>
    </w:rPr>
  </w:style>
  <w:style w:type="character" w:customStyle="1" w:styleId="JUNAMES">
    <w:name w:val="JU_NAMES"/>
    <w:uiPriority w:val="17"/>
    <w:qFormat/>
    <w:rsid w:val="0001240D"/>
    <w:rPr>
      <w:caps w:val="0"/>
      <w:smallCaps/>
    </w:rPr>
  </w:style>
  <w:style w:type="character" w:customStyle="1" w:styleId="JuITMark">
    <w:name w:val="Ju_ITMark"/>
    <w:basedOn w:val="DefaultParagraphFont"/>
    <w:uiPriority w:val="38"/>
    <w:qFormat/>
    <w:rsid w:val="0001240D"/>
    <w:rPr>
      <w:vanish w:val="0"/>
      <w:color w:val="auto"/>
      <w:sz w:val="14"/>
      <w:bdr w:val="none" w:sz="0" w:space="0" w:color="auto"/>
      <w:shd w:val="clear" w:color="auto" w:fill="BEE5FF" w:themeFill="background1" w:themeFillTint="33"/>
    </w:rPr>
  </w:style>
  <w:style w:type="paragraph" w:customStyle="1" w:styleId="JuCourt">
    <w:name w:val="Ju_Court"/>
    <w:basedOn w:val="Normal"/>
    <w:next w:val="Normal"/>
    <w:uiPriority w:val="16"/>
    <w:qFormat/>
    <w:rsid w:val="0001240D"/>
    <w:pPr>
      <w:tabs>
        <w:tab w:val="left" w:pos="907"/>
        <w:tab w:val="left" w:pos="1701"/>
        <w:tab w:val="right" w:pos="7371"/>
      </w:tabs>
      <w:spacing w:before="240"/>
      <w:ind w:left="397" w:hanging="397"/>
      <w:jc w:val="left"/>
    </w:pPr>
    <w:rPr>
      <w:lang w:bidi="en-US"/>
    </w:rPr>
  </w:style>
  <w:style w:type="paragraph" w:customStyle="1" w:styleId="ECHRHeading1">
    <w:name w:val="ECHR_Heading_1"/>
    <w:aliases w:val="Ju_H_I_Roman"/>
    <w:basedOn w:val="Heading1"/>
    <w:next w:val="ECHRPara"/>
    <w:uiPriority w:val="19"/>
    <w:qFormat/>
    <w:rsid w:val="0001240D"/>
    <w:pPr>
      <w:keepNext/>
      <w:keepLines/>
      <w:tabs>
        <w:tab w:val="left" w:pos="357"/>
      </w:tabs>
      <w:spacing w:before="360" w:after="240"/>
      <w:ind w:left="357" w:hanging="357"/>
      <w:contextualSpacing w:val="0"/>
    </w:pPr>
    <w:rPr>
      <w:b w:val="0"/>
      <w:color w:val="auto"/>
      <w:sz w:val="24"/>
    </w:rPr>
  </w:style>
  <w:style w:type="paragraph" w:customStyle="1" w:styleId="ECHRHeading2">
    <w:name w:val="ECHR_Heading_2"/>
    <w:aliases w:val="Ju_H_A"/>
    <w:basedOn w:val="Heading2"/>
    <w:next w:val="ECHRPara"/>
    <w:uiPriority w:val="20"/>
    <w:qFormat/>
    <w:rsid w:val="0001240D"/>
    <w:pPr>
      <w:keepNext/>
      <w:keepLines/>
      <w:tabs>
        <w:tab w:val="left" w:pos="584"/>
      </w:tabs>
      <w:spacing w:before="360" w:after="240"/>
      <w:ind w:left="584" w:hanging="352"/>
    </w:pPr>
    <w:rPr>
      <w:color w:val="auto"/>
      <w:sz w:val="24"/>
    </w:rPr>
  </w:style>
  <w:style w:type="paragraph" w:customStyle="1" w:styleId="ECHRHeading3">
    <w:name w:val="ECHR_Heading_3"/>
    <w:aliases w:val="Ju_H_1."/>
    <w:basedOn w:val="Heading3"/>
    <w:next w:val="ECHRPara"/>
    <w:uiPriority w:val="21"/>
    <w:qFormat/>
    <w:rsid w:val="0001240D"/>
    <w:pPr>
      <w:keepNext/>
      <w:keepLines/>
      <w:tabs>
        <w:tab w:val="left" w:pos="731"/>
      </w:tabs>
      <w:spacing w:before="240" w:after="120" w:line="240" w:lineRule="auto"/>
      <w:ind w:left="732" w:hanging="301"/>
    </w:pPr>
    <w:rPr>
      <w:b w:val="0"/>
      <w:i/>
      <w:color w:val="auto"/>
    </w:rPr>
  </w:style>
  <w:style w:type="paragraph" w:styleId="Header">
    <w:name w:val="header"/>
    <w:basedOn w:val="Normal"/>
    <w:link w:val="HeaderChar"/>
    <w:uiPriority w:val="57"/>
    <w:semiHidden/>
    <w:rsid w:val="0001240D"/>
    <w:pPr>
      <w:tabs>
        <w:tab w:val="center" w:pos="4536"/>
        <w:tab w:val="right" w:pos="9072"/>
      </w:tabs>
    </w:pPr>
    <w:rPr>
      <w:rFonts w:eastAsiaTheme="minorHAnsi"/>
    </w:rPr>
  </w:style>
  <w:style w:type="character" w:customStyle="1" w:styleId="HeaderChar">
    <w:name w:val="Header Char"/>
    <w:basedOn w:val="DefaultParagraphFont"/>
    <w:link w:val="Header"/>
    <w:uiPriority w:val="57"/>
    <w:semiHidden/>
    <w:rsid w:val="0001240D"/>
    <w:rPr>
      <w:sz w:val="24"/>
      <w:lang w:val="bg-BG"/>
    </w:rPr>
  </w:style>
  <w:style w:type="character" w:customStyle="1" w:styleId="Heading1Char">
    <w:name w:val="Heading 1 Char"/>
    <w:basedOn w:val="DefaultParagraphFont"/>
    <w:link w:val="Heading1"/>
    <w:uiPriority w:val="99"/>
    <w:semiHidden/>
    <w:rsid w:val="0001240D"/>
    <w:rPr>
      <w:rFonts w:asciiTheme="majorHAnsi" w:eastAsiaTheme="majorEastAsia" w:hAnsiTheme="majorHAnsi" w:cstheme="majorBidi"/>
      <w:b/>
      <w:bCs/>
      <w:color w:val="333333"/>
      <w:sz w:val="28"/>
      <w:szCs w:val="28"/>
      <w:lang w:val="bg-BG"/>
    </w:rPr>
  </w:style>
  <w:style w:type="paragraph" w:customStyle="1" w:styleId="ECHRHeading4">
    <w:name w:val="ECHR_Heading_4"/>
    <w:aliases w:val="Ju_H_a"/>
    <w:basedOn w:val="Heading4"/>
    <w:next w:val="ECHRPara"/>
    <w:uiPriority w:val="22"/>
    <w:qFormat/>
    <w:rsid w:val="0001240D"/>
    <w:pPr>
      <w:keepNext/>
      <w:keepLines/>
      <w:tabs>
        <w:tab w:val="left" w:pos="975"/>
      </w:tabs>
      <w:spacing w:before="240" w:after="120"/>
      <w:ind w:left="975" w:hanging="340"/>
    </w:pPr>
    <w:rPr>
      <w:i w:val="0"/>
      <w:color w:val="auto"/>
      <w:sz w:val="20"/>
    </w:rPr>
  </w:style>
  <w:style w:type="paragraph" w:customStyle="1" w:styleId="ECHRHeading5">
    <w:name w:val="ECHR_Heading_5"/>
    <w:aliases w:val="Ju_H_i"/>
    <w:basedOn w:val="Heading5"/>
    <w:next w:val="ECHRPara"/>
    <w:uiPriority w:val="23"/>
    <w:qFormat/>
    <w:rsid w:val="0001240D"/>
    <w:pPr>
      <w:keepNext/>
      <w:keepLines/>
      <w:tabs>
        <w:tab w:val="left" w:pos="1191"/>
      </w:tabs>
      <w:spacing w:before="240" w:after="120"/>
      <w:ind w:left="1190" w:hanging="357"/>
    </w:pPr>
    <w:rPr>
      <w:b w:val="0"/>
      <w:i/>
      <w:color w:val="auto"/>
      <w:sz w:val="20"/>
    </w:rPr>
  </w:style>
  <w:style w:type="character" w:customStyle="1" w:styleId="Heading2Char">
    <w:name w:val="Heading 2 Char"/>
    <w:basedOn w:val="DefaultParagraphFont"/>
    <w:link w:val="Heading2"/>
    <w:uiPriority w:val="99"/>
    <w:semiHidden/>
    <w:rsid w:val="0001240D"/>
    <w:rPr>
      <w:rFonts w:asciiTheme="majorHAnsi" w:eastAsiaTheme="majorEastAsia" w:hAnsiTheme="majorHAnsi" w:cstheme="majorBidi"/>
      <w:b/>
      <w:bCs/>
      <w:color w:val="4D4D4D"/>
      <w:sz w:val="26"/>
      <w:szCs w:val="26"/>
      <w:lang w:val="bg-BG"/>
    </w:rPr>
  </w:style>
  <w:style w:type="paragraph" w:customStyle="1" w:styleId="ECHRHeading6">
    <w:name w:val="ECHR_Heading_6"/>
    <w:aliases w:val="Ju_H_alpha"/>
    <w:basedOn w:val="Heading6"/>
    <w:next w:val="ECHRPara"/>
    <w:uiPriority w:val="24"/>
    <w:qFormat/>
    <w:rsid w:val="0001240D"/>
    <w:pPr>
      <w:keepNext/>
      <w:keepLines/>
      <w:tabs>
        <w:tab w:val="left" w:pos="1372"/>
      </w:tabs>
      <w:spacing w:before="240" w:after="120" w:line="240" w:lineRule="auto"/>
      <w:ind w:left="1373" w:hanging="335"/>
    </w:pPr>
    <w:rPr>
      <w:b w:val="0"/>
      <w:i w:val="0"/>
      <w:color w:val="auto"/>
      <w:sz w:val="20"/>
    </w:rPr>
  </w:style>
  <w:style w:type="paragraph" w:customStyle="1" w:styleId="ECHRHeading7">
    <w:name w:val="ECHR_Heading_7"/>
    <w:aliases w:val="Ju_H_–"/>
    <w:basedOn w:val="Heading7"/>
    <w:next w:val="ECHRPara"/>
    <w:uiPriority w:val="25"/>
    <w:qFormat/>
    <w:rsid w:val="0001240D"/>
    <w:pPr>
      <w:keepNext/>
      <w:keepLines/>
      <w:spacing w:before="240" w:after="120"/>
      <w:ind w:left="1236"/>
    </w:pPr>
    <w:rPr>
      <w:sz w:val="20"/>
    </w:rPr>
  </w:style>
  <w:style w:type="character" w:customStyle="1" w:styleId="Heading3Char">
    <w:name w:val="Heading 3 Char"/>
    <w:basedOn w:val="DefaultParagraphFont"/>
    <w:link w:val="Heading3"/>
    <w:uiPriority w:val="99"/>
    <w:semiHidden/>
    <w:rsid w:val="0001240D"/>
    <w:rPr>
      <w:rFonts w:asciiTheme="majorHAnsi" w:eastAsiaTheme="majorEastAsia" w:hAnsiTheme="majorHAnsi" w:cstheme="majorBidi"/>
      <w:b/>
      <w:bCs/>
      <w:color w:val="5F5F5F"/>
      <w:sz w:val="24"/>
      <w:lang w:val="bg-BG"/>
    </w:rPr>
  </w:style>
  <w:style w:type="paragraph" w:customStyle="1" w:styleId="JuParaLast">
    <w:name w:val="Ju_Para_Last"/>
    <w:basedOn w:val="Normal"/>
    <w:next w:val="ECHRPara"/>
    <w:uiPriority w:val="30"/>
    <w:qFormat/>
    <w:rsid w:val="0001240D"/>
    <w:pPr>
      <w:keepNext/>
      <w:keepLines/>
      <w:spacing w:before="240"/>
      <w:ind w:firstLine="284"/>
    </w:pPr>
  </w:style>
  <w:style w:type="paragraph" w:customStyle="1" w:styleId="ECHRDecisionBody">
    <w:name w:val="ECHR_Decision_Body"/>
    <w:aliases w:val="Ju_Judges"/>
    <w:basedOn w:val="Normal"/>
    <w:uiPriority w:val="11"/>
    <w:qFormat/>
    <w:rsid w:val="0001240D"/>
    <w:pPr>
      <w:tabs>
        <w:tab w:val="left" w:pos="567"/>
        <w:tab w:val="left" w:pos="1134"/>
      </w:tabs>
      <w:jc w:val="left"/>
    </w:pPr>
  </w:style>
  <w:style w:type="character" w:customStyle="1" w:styleId="Heading4Char">
    <w:name w:val="Heading 4 Char"/>
    <w:basedOn w:val="DefaultParagraphFont"/>
    <w:link w:val="Heading4"/>
    <w:uiPriority w:val="99"/>
    <w:semiHidden/>
    <w:rsid w:val="0001240D"/>
    <w:rPr>
      <w:rFonts w:asciiTheme="majorHAnsi" w:eastAsiaTheme="majorEastAsia" w:hAnsiTheme="majorHAnsi" w:cstheme="majorBidi"/>
      <w:b/>
      <w:bCs/>
      <w:i/>
      <w:iCs/>
      <w:color w:val="777777"/>
      <w:sz w:val="24"/>
      <w:lang w:val="bg-BG"/>
    </w:rPr>
  </w:style>
  <w:style w:type="paragraph" w:customStyle="1" w:styleId="JuList">
    <w:name w:val="Ju_List"/>
    <w:basedOn w:val="Normal"/>
    <w:uiPriority w:val="28"/>
    <w:qFormat/>
    <w:rsid w:val="0001240D"/>
    <w:pPr>
      <w:ind w:left="340" w:hanging="340"/>
    </w:pPr>
  </w:style>
  <w:style w:type="character" w:customStyle="1" w:styleId="Heading5Char">
    <w:name w:val="Heading 5 Char"/>
    <w:basedOn w:val="DefaultParagraphFont"/>
    <w:link w:val="Heading5"/>
    <w:uiPriority w:val="99"/>
    <w:semiHidden/>
    <w:rsid w:val="0001240D"/>
    <w:rPr>
      <w:rFonts w:asciiTheme="majorHAnsi" w:eastAsiaTheme="majorEastAsia" w:hAnsiTheme="majorHAnsi" w:cstheme="majorBidi"/>
      <w:b/>
      <w:bCs/>
      <w:color w:val="808080"/>
    </w:rPr>
  </w:style>
  <w:style w:type="paragraph" w:customStyle="1" w:styleId="JuLista">
    <w:name w:val="Ju_List_a"/>
    <w:basedOn w:val="JuList"/>
    <w:uiPriority w:val="28"/>
    <w:qFormat/>
    <w:rsid w:val="0001240D"/>
    <w:pPr>
      <w:ind w:left="346" w:firstLine="0"/>
    </w:pPr>
  </w:style>
  <w:style w:type="paragraph" w:customStyle="1" w:styleId="JuListi">
    <w:name w:val="Ju_List_i"/>
    <w:basedOn w:val="Normal"/>
    <w:next w:val="JuLista"/>
    <w:uiPriority w:val="28"/>
    <w:qFormat/>
    <w:rsid w:val="0001240D"/>
    <w:pPr>
      <w:ind w:left="794"/>
    </w:pPr>
  </w:style>
  <w:style w:type="character" w:styleId="SubtleEmphasis">
    <w:name w:val="Subtle Emphasis"/>
    <w:uiPriority w:val="99"/>
    <w:semiHidden/>
    <w:qFormat/>
    <w:rsid w:val="0001240D"/>
    <w:rPr>
      <w:i/>
      <w:iCs/>
    </w:rPr>
  </w:style>
  <w:style w:type="paragraph" w:customStyle="1" w:styleId="DummyStyle">
    <w:name w:val="Dummy_Style"/>
    <w:basedOn w:val="Normal"/>
    <w:semiHidden/>
    <w:qFormat/>
    <w:rsid w:val="0001240D"/>
    <w:rPr>
      <w:color w:val="00B050"/>
    </w:rPr>
  </w:style>
  <w:style w:type="table" w:customStyle="1" w:styleId="ECHRTable">
    <w:name w:val="ECHR_Table"/>
    <w:basedOn w:val="TableNormal"/>
    <w:rsid w:val="00860B03"/>
    <w:rPr>
      <w:rFonts w:eastAsia="Times New Roman" w:cs="Times New Roman"/>
      <w:sz w:val="20"/>
      <w:szCs w:val="20"/>
    </w:rPr>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tblStylePr w:type="firstCol">
      <w:rPr>
        <w:b/>
      </w:rPr>
    </w:tblStylePr>
    <w:tblStylePr w:type="band2Vert">
      <w:tblPr/>
      <w:tcPr>
        <w:tcBorders>
          <w:top w:val="nil"/>
          <w:left w:val="nil"/>
          <w:bottom w:val="nil"/>
          <w:right w:val="nil"/>
          <w:insideH w:val="nil"/>
          <w:insideV w:val="nil"/>
          <w:tl2br w:val="nil"/>
          <w:tr2bl w:val="nil"/>
        </w:tcBorders>
        <w:shd w:val="clear" w:color="auto" w:fill="DFDFDF" w:themeFill="background2" w:themeFillShade="E6"/>
      </w:tcPr>
    </w:tblStylePr>
    <w:tblStylePr w:type="band2Horz">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shd w:val="clear" w:color="auto" w:fill="DFDFDF" w:themeFill="background2" w:themeFillShade="E6"/>
      </w:tcPr>
    </w:tblStylePr>
  </w:style>
  <w:style w:type="table" w:customStyle="1" w:styleId="ECHRTableBoxHeader">
    <w:name w:val="ECHR_Table_Box_Header"/>
    <w:basedOn w:val="TableNormal"/>
    <w:rsid w:val="004C086C"/>
    <w:rPr>
      <w:rFonts w:ascii="Verdana" w:eastAsia="Times New Roman" w:hAnsi="Verdana" w:cs="Times New Roman"/>
      <w:sz w:val="20"/>
      <w:szCs w:val="20"/>
    </w:rPr>
    <w:tblPr>
      <w:tblCellMar>
        <w:top w:w="57" w:type="dxa"/>
        <w:left w:w="57" w:type="dxa"/>
        <w:bottom w:w="57" w:type="dxa"/>
        <w:right w:w="57" w:type="dxa"/>
      </w:tblCellMar>
    </w:tblPr>
    <w:tcPr>
      <w:shd w:val="clear" w:color="auto" w:fill="F8F8F8" w:themeFill="background2"/>
    </w:tcPr>
    <w:tblStylePr w:type="firstCol">
      <w:rPr>
        <w:b/>
        <w:color w:val="5F5F5F" w:themeColor="accent3"/>
      </w:rPr>
    </w:tblStylePr>
  </w:style>
  <w:style w:type="paragraph" w:customStyle="1" w:styleId="OpiH1">
    <w:name w:val="Opi_H_1"/>
    <w:basedOn w:val="ECHRHeading2"/>
    <w:uiPriority w:val="42"/>
    <w:qFormat/>
    <w:rsid w:val="0001240D"/>
    <w:pPr>
      <w:ind w:left="635" w:hanging="357"/>
      <w:outlineLvl w:val="2"/>
    </w:pPr>
  </w:style>
  <w:style w:type="paragraph" w:customStyle="1" w:styleId="OpiHa">
    <w:name w:val="Opi_H_a"/>
    <w:basedOn w:val="ECHRHeading3"/>
    <w:uiPriority w:val="43"/>
    <w:qFormat/>
    <w:rsid w:val="0001240D"/>
    <w:pPr>
      <w:ind w:left="833" w:hanging="357"/>
      <w:outlineLvl w:val="3"/>
    </w:pPr>
    <w:rPr>
      <w:b/>
      <w:i w:val="0"/>
      <w:sz w:val="20"/>
    </w:rPr>
  </w:style>
  <w:style w:type="paragraph" w:customStyle="1" w:styleId="OpiHA0">
    <w:name w:val="Opi_H_A"/>
    <w:basedOn w:val="ECHRHeading1"/>
    <w:next w:val="OpiPara"/>
    <w:uiPriority w:val="41"/>
    <w:qFormat/>
    <w:rsid w:val="0001240D"/>
    <w:pPr>
      <w:tabs>
        <w:tab w:val="clear" w:pos="357"/>
      </w:tabs>
      <w:outlineLvl w:val="1"/>
    </w:pPr>
    <w:rPr>
      <w:b/>
    </w:rPr>
  </w:style>
  <w:style w:type="character" w:styleId="Emphasis">
    <w:name w:val="Emphasis"/>
    <w:uiPriority w:val="99"/>
    <w:semiHidden/>
    <w:qFormat/>
    <w:rsid w:val="0001240D"/>
    <w:rPr>
      <w:b/>
      <w:bCs/>
      <w:i/>
      <w:iCs/>
      <w:spacing w:val="10"/>
      <w:bdr w:val="none" w:sz="0" w:space="0" w:color="auto"/>
      <w:shd w:val="clear" w:color="auto" w:fill="auto"/>
    </w:rPr>
  </w:style>
  <w:style w:type="paragraph" w:styleId="Footer">
    <w:name w:val="footer"/>
    <w:basedOn w:val="Normal"/>
    <w:link w:val="FooterChar"/>
    <w:uiPriority w:val="57"/>
    <w:semiHidden/>
    <w:rsid w:val="0001240D"/>
    <w:pPr>
      <w:tabs>
        <w:tab w:val="center" w:pos="4536"/>
        <w:tab w:val="right" w:pos="9696"/>
      </w:tabs>
      <w:ind w:left="-680" w:right="-680"/>
    </w:pPr>
    <w:rPr>
      <w:rFonts w:eastAsiaTheme="minorHAnsi"/>
    </w:rPr>
  </w:style>
  <w:style w:type="character" w:customStyle="1" w:styleId="FooterChar">
    <w:name w:val="Footer Char"/>
    <w:basedOn w:val="DefaultParagraphFont"/>
    <w:link w:val="Footer"/>
    <w:uiPriority w:val="57"/>
    <w:semiHidden/>
    <w:rsid w:val="0001240D"/>
    <w:rPr>
      <w:sz w:val="24"/>
      <w:lang w:val="bg-BG"/>
    </w:rPr>
  </w:style>
  <w:style w:type="character" w:styleId="FootnoteReference">
    <w:name w:val="footnote reference"/>
    <w:basedOn w:val="DefaultParagraphFont"/>
    <w:uiPriority w:val="99"/>
    <w:semiHidden/>
    <w:rsid w:val="0001240D"/>
    <w:rPr>
      <w:vertAlign w:val="superscript"/>
    </w:rPr>
  </w:style>
  <w:style w:type="paragraph" w:styleId="FootnoteText">
    <w:name w:val="footnote text"/>
    <w:basedOn w:val="Normal"/>
    <w:link w:val="FootnoteTextChar"/>
    <w:uiPriority w:val="99"/>
    <w:semiHidden/>
    <w:rsid w:val="0001240D"/>
    <w:rPr>
      <w:sz w:val="20"/>
      <w:szCs w:val="20"/>
    </w:rPr>
  </w:style>
  <w:style w:type="character" w:customStyle="1" w:styleId="FootnoteTextChar">
    <w:name w:val="Footnote Text Char"/>
    <w:basedOn w:val="DefaultParagraphFont"/>
    <w:link w:val="FootnoteText"/>
    <w:uiPriority w:val="99"/>
    <w:semiHidden/>
    <w:rsid w:val="0001240D"/>
    <w:rPr>
      <w:rFonts w:eastAsiaTheme="minorEastAsia"/>
      <w:sz w:val="20"/>
      <w:szCs w:val="20"/>
      <w:lang w:val="bg-BG"/>
    </w:rPr>
  </w:style>
  <w:style w:type="character" w:customStyle="1" w:styleId="Heading6Char">
    <w:name w:val="Heading 6 Char"/>
    <w:basedOn w:val="DefaultParagraphFont"/>
    <w:link w:val="Heading6"/>
    <w:uiPriority w:val="99"/>
    <w:semiHidden/>
    <w:rsid w:val="0001240D"/>
    <w:rPr>
      <w:rFonts w:asciiTheme="majorHAnsi" w:eastAsiaTheme="majorEastAsia" w:hAnsiTheme="majorHAnsi" w:cstheme="majorBidi"/>
      <w:b/>
      <w:bCs/>
      <w:i/>
      <w:iCs/>
      <w:color w:val="7F7F7F" w:themeColor="text1" w:themeTint="80"/>
      <w:sz w:val="24"/>
      <w:lang w:val="bg-BG" w:bidi="en-US"/>
    </w:rPr>
  </w:style>
  <w:style w:type="character" w:customStyle="1" w:styleId="Heading7Char">
    <w:name w:val="Heading 7 Char"/>
    <w:basedOn w:val="DefaultParagraphFont"/>
    <w:link w:val="Heading7"/>
    <w:uiPriority w:val="99"/>
    <w:semiHidden/>
    <w:rsid w:val="0001240D"/>
    <w:rPr>
      <w:rFonts w:asciiTheme="majorHAnsi" w:eastAsiaTheme="majorEastAsia" w:hAnsiTheme="majorHAnsi" w:cstheme="majorBidi"/>
      <w:i/>
      <w:iCs/>
      <w:lang w:bidi="en-US"/>
    </w:rPr>
  </w:style>
  <w:style w:type="character" w:customStyle="1" w:styleId="Heading8Char">
    <w:name w:val="Heading 8 Char"/>
    <w:basedOn w:val="DefaultParagraphFont"/>
    <w:link w:val="Heading8"/>
    <w:uiPriority w:val="99"/>
    <w:semiHidden/>
    <w:rsid w:val="0001240D"/>
    <w:rPr>
      <w:rFonts w:asciiTheme="majorHAnsi" w:eastAsiaTheme="majorEastAsia" w:hAnsiTheme="majorHAnsi" w:cstheme="majorBidi"/>
      <w:sz w:val="20"/>
      <w:szCs w:val="20"/>
      <w:lang w:bidi="en-US"/>
    </w:rPr>
  </w:style>
  <w:style w:type="character" w:customStyle="1" w:styleId="Heading9Char">
    <w:name w:val="Heading 9 Char"/>
    <w:basedOn w:val="DefaultParagraphFont"/>
    <w:link w:val="Heading9"/>
    <w:uiPriority w:val="99"/>
    <w:semiHidden/>
    <w:rsid w:val="0001240D"/>
    <w:rPr>
      <w:rFonts w:asciiTheme="majorHAnsi" w:eastAsiaTheme="majorEastAsia" w:hAnsiTheme="majorHAnsi" w:cstheme="majorBidi"/>
      <w:i/>
      <w:iCs/>
      <w:spacing w:val="5"/>
      <w:sz w:val="20"/>
      <w:szCs w:val="20"/>
      <w:lang w:bidi="en-US"/>
    </w:rPr>
  </w:style>
  <w:style w:type="character" w:styleId="Hyperlink">
    <w:name w:val="Hyperlink"/>
    <w:basedOn w:val="DefaultParagraphFont"/>
    <w:uiPriority w:val="99"/>
    <w:semiHidden/>
    <w:rsid w:val="0001240D"/>
    <w:rPr>
      <w:color w:val="0072BC" w:themeColor="hyperlink"/>
      <w:u w:val="single"/>
    </w:rPr>
  </w:style>
  <w:style w:type="character" w:styleId="IntenseEmphasis">
    <w:name w:val="Intense Emphasis"/>
    <w:uiPriority w:val="99"/>
    <w:semiHidden/>
    <w:qFormat/>
    <w:rsid w:val="0001240D"/>
    <w:rPr>
      <w:b/>
      <w:bCs/>
    </w:rPr>
  </w:style>
  <w:style w:type="paragraph" w:styleId="IntenseQuote">
    <w:name w:val="Intense Quote"/>
    <w:basedOn w:val="Normal"/>
    <w:next w:val="Normal"/>
    <w:link w:val="IntenseQuoteChar"/>
    <w:uiPriority w:val="99"/>
    <w:semiHidden/>
    <w:qFormat/>
    <w:rsid w:val="0001240D"/>
    <w:pPr>
      <w:pBdr>
        <w:bottom w:val="single" w:sz="4" w:space="1" w:color="auto"/>
      </w:pBdr>
      <w:spacing w:before="200" w:after="280"/>
      <w:ind w:left="1008" w:right="1152"/>
    </w:pPr>
    <w:rPr>
      <w:b/>
      <w:bCs/>
      <w:i/>
      <w:iCs/>
      <w:sz w:val="22"/>
      <w:lang w:bidi="en-US"/>
    </w:rPr>
  </w:style>
  <w:style w:type="character" w:customStyle="1" w:styleId="IntenseQuoteChar">
    <w:name w:val="Intense Quote Char"/>
    <w:basedOn w:val="DefaultParagraphFont"/>
    <w:link w:val="IntenseQuote"/>
    <w:uiPriority w:val="99"/>
    <w:semiHidden/>
    <w:rsid w:val="0001240D"/>
    <w:rPr>
      <w:rFonts w:eastAsiaTheme="minorEastAsia"/>
      <w:b/>
      <w:bCs/>
      <w:i/>
      <w:iCs/>
      <w:lang w:bidi="en-US"/>
    </w:rPr>
  </w:style>
  <w:style w:type="character" w:styleId="IntenseReference">
    <w:name w:val="Intense Reference"/>
    <w:uiPriority w:val="99"/>
    <w:semiHidden/>
    <w:qFormat/>
    <w:rsid w:val="0001240D"/>
    <w:rPr>
      <w:smallCaps/>
      <w:spacing w:val="5"/>
      <w:u w:val="single"/>
    </w:rPr>
  </w:style>
  <w:style w:type="paragraph" w:styleId="ListParagraph">
    <w:name w:val="List Paragraph"/>
    <w:basedOn w:val="Normal"/>
    <w:uiPriority w:val="99"/>
    <w:semiHidden/>
    <w:qFormat/>
    <w:rsid w:val="0001240D"/>
    <w:pPr>
      <w:ind w:left="720"/>
      <w:contextualSpacing/>
    </w:pPr>
  </w:style>
  <w:style w:type="table" w:customStyle="1" w:styleId="LtrTableAddress">
    <w:name w:val="Ltr_Table_Address"/>
    <w:basedOn w:val="TableNormal"/>
    <w:uiPriority w:val="99"/>
    <w:rsid w:val="001E6F32"/>
    <w:tblPr>
      <w:tblInd w:w="5103" w:type="dxa"/>
    </w:tblPr>
  </w:style>
  <w:style w:type="paragraph" w:styleId="Quote">
    <w:name w:val="Quote"/>
    <w:basedOn w:val="Normal"/>
    <w:next w:val="Normal"/>
    <w:link w:val="QuoteChar"/>
    <w:uiPriority w:val="99"/>
    <w:semiHidden/>
    <w:qFormat/>
    <w:rsid w:val="0001240D"/>
    <w:pPr>
      <w:spacing w:before="200"/>
      <w:ind w:left="360" w:right="360"/>
    </w:pPr>
    <w:rPr>
      <w:i/>
      <w:iCs/>
      <w:sz w:val="22"/>
      <w:lang w:bidi="en-US"/>
    </w:rPr>
  </w:style>
  <w:style w:type="character" w:customStyle="1" w:styleId="QuoteChar">
    <w:name w:val="Quote Char"/>
    <w:basedOn w:val="DefaultParagraphFont"/>
    <w:link w:val="Quote"/>
    <w:uiPriority w:val="99"/>
    <w:semiHidden/>
    <w:rsid w:val="0001240D"/>
    <w:rPr>
      <w:rFonts w:eastAsiaTheme="minorEastAsia"/>
      <w:i/>
      <w:iCs/>
      <w:lang w:bidi="en-US"/>
    </w:rPr>
  </w:style>
  <w:style w:type="character" w:styleId="SubtleReference">
    <w:name w:val="Subtle Reference"/>
    <w:uiPriority w:val="99"/>
    <w:semiHidden/>
    <w:qFormat/>
    <w:rsid w:val="0001240D"/>
    <w:rPr>
      <w:smallCaps/>
    </w:rPr>
  </w:style>
  <w:style w:type="table" w:styleId="TableGrid">
    <w:name w:val="Table Grid"/>
    <w:basedOn w:val="TableNormal"/>
    <w:uiPriority w:val="59"/>
    <w:semiHidden/>
    <w:rsid w:val="0001240D"/>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99"/>
    <w:semiHidden/>
    <w:rsid w:val="0001240D"/>
    <w:pPr>
      <w:keepNext/>
      <w:tabs>
        <w:tab w:val="right" w:leader="dot" w:pos="7371"/>
      </w:tabs>
      <w:spacing w:before="160" w:after="60" w:line="240" w:lineRule="exact"/>
      <w:ind w:left="340" w:right="567" w:hanging="340"/>
    </w:pPr>
    <w:rPr>
      <w:b/>
      <w:sz w:val="22"/>
    </w:rPr>
  </w:style>
  <w:style w:type="paragraph" w:styleId="TOC2">
    <w:name w:val="toc 2"/>
    <w:basedOn w:val="Normal"/>
    <w:next w:val="Normal"/>
    <w:autoRedefine/>
    <w:uiPriority w:val="99"/>
    <w:semiHidden/>
    <w:rsid w:val="0001240D"/>
    <w:pPr>
      <w:keepNext/>
      <w:tabs>
        <w:tab w:val="right" w:leader="dot" w:pos="7371"/>
      </w:tabs>
      <w:spacing w:after="60" w:line="240" w:lineRule="exact"/>
      <w:ind w:left="680" w:right="567" w:hanging="340"/>
    </w:pPr>
    <w:rPr>
      <w:sz w:val="22"/>
    </w:rPr>
  </w:style>
  <w:style w:type="paragraph" w:styleId="TOC3">
    <w:name w:val="toc 3"/>
    <w:basedOn w:val="Normal"/>
    <w:next w:val="Normal"/>
    <w:autoRedefine/>
    <w:uiPriority w:val="99"/>
    <w:semiHidden/>
    <w:rsid w:val="0001240D"/>
    <w:pPr>
      <w:keepNext/>
      <w:tabs>
        <w:tab w:val="right" w:leader="dot" w:pos="7371"/>
      </w:tabs>
      <w:spacing w:after="60" w:line="240" w:lineRule="exact"/>
      <w:ind w:left="1020" w:right="567" w:hanging="340"/>
    </w:pPr>
    <w:rPr>
      <w:sz w:val="20"/>
    </w:rPr>
  </w:style>
  <w:style w:type="paragraph" w:styleId="TOC4">
    <w:name w:val="toc 4"/>
    <w:basedOn w:val="Normal"/>
    <w:next w:val="Normal"/>
    <w:autoRedefine/>
    <w:uiPriority w:val="99"/>
    <w:semiHidden/>
    <w:rsid w:val="0001240D"/>
    <w:pPr>
      <w:tabs>
        <w:tab w:val="right" w:leader="dot" w:pos="7371"/>
      </w:tabs>
      <w:spacing w:after="60" w:line="240" w:lineRule="exact"/>
      <w:ind w:left="1361" w:right="567" w:hanging="340"/>
    </w:pPr>
    <w:rPr>
      <w:sz w:val="20"/>
    </w:rPr>
  </w:style>
  <w:style w:type="paragraph" w:styleId="TOC5">
    <w:name w:val="toc 5"/>
    <w:basedOn w:val="Normal"/>
    <w:next w:val="Normal"/>
    <w:autoRedefine/>
    <w:uiPriority w:val="99"/>
    <w:semiHidden/>
    <w:rsid w:val="0001240D"/>
    <w:pPr>
      <w:tabs>
        <w:tab w:val="right" w:leader="dot" w:pos="7371"/>
      </w:tabs>
      <w:spacing w:after="60" w:line="240" w:lineRule="exact"/>
      <w:ind w:left="1701" w:right="567" w:hanging="340"/>
    </w:pPr>
    <w:rPr>
      <w:sz w:val="20"/>
    </w:rPr>
  </w:style>
  <w:style w:type="paragraph" w:styleId="TOCHeading">
    <w:name w:val="TOC Heading"/>
    <w:basedOn w:val="Normal"/>
    <w:next w:val="Normal"/>
    <w:uiPriority w:val="99"/>
    <w:semiHidden/>
    <w:qFormat/>
    <w:rsid w:val="0001240D"/>
    <w:pPr>
      <w:keepNext/>
      <w:keepLines/>
      <w:spacing w:before="240"/>
      <w:contextualSpacing/>
      <w:jc w:val="center"/>
    </w:pPr>
    <w:rPr>
      <w:rFonts w:asciiTheme="majorHAnsi" w:eastAsiaTheme="minorHAnsi" w:hAnsiTheme="majorHAnsi"/>
      <w:b/>
      <w:color w:val="474747" w:themeColor="accent3" w:themeShade="BF"/>
      <w:sz w:val="28"/>
    </w:rPr>
  </w:style>
  <w:style w:type="table" w:customStyle="1" w:styleId="UGTable">
    <w:name w:val="UG_Table"/>
    <w:basedOn w:val="TableNormal"/>
    <w:uiPriority w:val="99"/>
    <w:rsid w:val="00572845"/>
    <w:rPr>
      <w:rFonts w:eastAsiaTheme="minorEastAsia"/>
      <w:sz w:val="20"/>
      <w:lang w:eastAsia="en-GB"/>
    </w:rPr>
    <w:tblPr>
      <w:tblInd w:w="-964" w:type="dxa"/>
      <w:tblCellMar>
        <w:left w:w="57" w:type="dxa"/>
        <w:bottom w:w="57" w:type="dxa"/>
        <w:right w:w="113" w:type="dxa"/>
      </w:tblCellMar>
    </w:tblPr>
    <w:tblStylePr w:type="swCell">
      <w:tblPr/>
      <w:tcPr>
        <w:tcBorders>
          <w:top w:val="nil"/>
          <w:left w:val="nil"/>
          <w:bottom w:val="nil"/>
          <w:right w:val="nil"/>
          <w:insideH w:val="nil"/>
          <w:insideV w:val="nil"/>
          <w:tl2br w:val="nil"/>
          <w:tr2bl w:val="nil"/>
        </w:tcBorders>
        <w:shd w:val="clear" w:color="auto" w:fill="EAEAEA"/>
      </w:tcPr>
    </w:tblStylePr>
  </w:style>
  <w:style w:type="table" w:customStyle="1" w:styleId="UGTableWhiteBox">
    <w:name w:val="UG_Table_White_Box"/>
    <w:basedOn w:val="TableNormal"/>
    <w:uiPriority w:val="99"/>
    <w:rsid w:val="003609FA"/>
    <w:rPr>
      <w:rFonts w:eastAsiaTheme="minorEastAsia"/>
      <w:lang w:eastAsia="en-GB"/>
    </w:rPr>
    <w:tblPr>
      <w:tblInd w:w="113" w:type="dxa"/>
      <w:tblBorders>
        <w:top w:val="single" w:sz="4" w:space="0" w:color="B9B9B9" w:themeColor="background2" w:themeShade="BF"/>
        <w:left w:val="single" w:sz="4" w:space="0" w:color="B9B9B9" w:themeColor="background2" w:themeShade="BF"/>
        <w:bottom w:val="single" w:sz="4" w:space="0" w:color="B9B9B9" w:themeColor="background2" w:themeShade="BF"/>
        <w:right w:val="single" w:sz="4" w:space="0" w:color="B9B9B9" w:themeColor="background2" w:themeShade="BF"/>
      </w:tblBorders>
      <w:tblCellMar>
        <w:top w:w="113" w:type="dxa"/>
        <w:left w:w="113" w:type="dxa"/>
        <w:bottom w:w="113" w:type="dxa"/>
        <w:right w:w="113" w:type="dxa"/>
      </w:tblCellMar>
    </w:tblPr>
    <w:tcPr>
      <w:shd w:val="clear" w:color="auto" w:fill="FFFFFF"/>
    </w:tcPr>
  </w:style>
  <w:style w:type="table" w:customStyle="1" w:styleId="PCFTableStyle">
    <w:name w:val="PCF_Table_Style"/>
    <w:basedOn w:val="TableNormal"/>
    <w:uiPriority w:val="99"/>
    <w:rsid w:val="00810B38"/>
    <w:rPr>
      <w:color w:val="000000" w:themeColor="text1"/>
      <w:sz w:val="18"/>
    </w:rPr>
    <w:tblPr>
      <w:tblBorders>
        <w:top w:val="single" w:sz="8" w:space="0" w:color="9F9F9F" w:themeColor="accent3" w:themeTint="99"/>
        <w:left w:val="single" w:sz="8" w:space="0" w:color="9F9F9F" w:themeColor="accent3" w:themeTint="99"/>
        <w:bottom w:val="single" w:sz="8" w:space="0" w:color="9F9F9F" w:themeColor="accent3" w:themeTint="99"/>
        <w:right w:val="single" w:sz="8" w:space="0" w:color="9F9F9F" w:themeColor="accent3" w:themeTint="99"/>
        <w:insideH w:val="single" w:sz="8" w:space="0" w:color="9F9F9F" w:themeColor="accent3" w:themeTint="99"/>
        <w:insideV w:val="single" w:sz="8" w:space="0" w:color="9F9F9F" w:themeColor="accent3" w:themeTint="99"/>
      </w:tblBorders>
    </w:tblPr>
    <w:tblStylePr w:type="firstRow">
      <w:pPr>
        <w:wordWrap/>
        <w:spacing w:beforeLines="0" w:before="120" w:beforeAutospacing="0" w:afterLines="0" w:after="120" w:afterAutospacing="0" w:line="240" w:lineRule="auto"/>
        <w:contextualSpacing/>
        <w:jc w:val="center"/>
      </w:pPr>
      <w:rPr>
        <w:b/>
        <w:i w:val="0"/>
        <w:color w:val="FFFFFF"/>
        <w:sz w:val="20"/>
      </w:rPr>
      <w:tblPr/>
      <w:tcPr>
        <w:tcBorders>
          <w:top w:val="nil"/>
          <w:left w:val="nil"/>
          <w:bottom w:val="nil"/>
          <w:right w:val="nil"/>
          <w:insideH w:val="nil"/>
          <w:insideV w:val="nil"/>
          <w:tl2br w:val="nil"/>
          <w:tr2bl w:val="nil"/>
        </w:tcBorders>
        <w:shd w:val="clear" w:color="auto" w:fill="0072BC" w:themeFill="accent1"/>
        <w:vAlign w:val="center"/>
      </w:tcPr>
    </w:tblStylePr>
    <w:tblStylePr w:type="firstCol">
      <w:pPr>
        <w:jc w:val="left"/>
      </w:pPr>
      <w:tblPr/>
      <w:tcPr>
        <w:vAlign w:val="center"/>
      </w:tcPr>
    </w:tblStylePr>
  </w:style>
  <w:style w:type="table" w:customStyle="1" w:styleId="ECHRTableFax">
    <w:name w:val="ECHR_Table_Fax"/>
    <w:basedOn w:val="TableNormal"/>
    <w:uiPriority w:val="99"/>
    <w:rsid w:val="00893576"/>
    <w:rPr>
      <w:color w:val="000000" w:themeColor="text1"/>
    </w:rPr>
    <w:tblPr>
      <w:tblInd w:w="-680" w:type="dxa"/>
      <w:tblBorders>
        <w:insideH w:val="single" w:sz="4" w:space="0" w:color="C6C6C6" w:themeColor="text2"/>
        <w:insideV w:val="single" w:sz="4" w:space="0" w:color="C6C6C6" w:themeColor="text2"/>
      </w:tblBorders>
      <w:tblCellMar>
        <w:top w:w="142" w:type="dxa"/>
        <w:bottom w:w="142" w:type="dxa"/>
      </w:tblCellMar>
    </w:tblPr>
    <w:trPr>
      <w:cantSplit/>
    </w:trPr>
  </w:style>
  <w:style w:type="table" w:customStyle="1" w:styleId="ECHRTableMemo">
    <w:name w:val="ECHR_Table_Memo"/>
    <w:basedOn w:val="TableNormal"/>
    <w:uiPriority w:val="99"/>
    <w:rsid w:val="00210338"/>
    <w:tblPr>
      <w:jc w:val="center"/>
      <w:tblCellMar>
        <w:top w:w="113" w:type="dxa"/>
        <w:left w:w="0" w:type="dxa"/>
        <w:bottom w:w="113" w:type="dxa"/>
        <w:right w:w="0" w:type="dxa"/>
      </w:tblCellMar>
    </w:tblPr>
    <w:trPr>
      <w:jc w:val="center"/>
    </w:trPr>
    <w:tblStylePr w:type="lastRow">
      <w:tblPr/>
      <w:tcPr>
        <w:tcBorders>
          <w:top w:val="nil"/>
          <w:left w:val="nil"/>
          <w:bottom w:val="single" w:sz="4" w:space="0" w:color="949494" w:themeColor="text2" w:themeShade="BF"/>
          <w:right w:val="nil"/>
          <w:insideH w:val="nil"/>
          <w:insideV w:val="nil"/>
          <w:tl2br w:val="nil"/>
          <w:tr2bl w:val="nil"/>
        </w:tcBorders>
      </w:tcPr>
    </w:tblStylePr>
  </w:style>
  <w:style w:type="table" w:customStyle="1" w:styleId="ECHRDNTable">
    <w:name w:val="ECHR_DN_Table"/>
    <w:aliases w:val="DN_Table"/>
    <w:basedOn w:val="TableNormal"/>
    <w:uiPriority w:val="99"/>
    <w:rsid w:val="0090506B"/>
    <w:tblPr>
      <w:jc w:val="center"/>
      <w:tblBorders>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57" w:type="dxa"/>
        <w:bottom w:w="57" w:type="dxa"/>
      </w:tblCellMar>
    </w:tblPr>
    <w:trPr>
      <w:jc w:val="center"/>
    </w:trPr>
    <w:tcPr>
      <w:vAlign w:val="center"/>
    </w:tcPr>
    <w:tblStylePr w:type="firstRow">
      <w:pPr>
        <w:wordWrap/>
        <w:spacing w:beforeLines="0"/>
        <w:ind w:leftChars="0" w:left="0"/>
      </w:pPr>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nil"/>
          <w:right w:val="single" w:sz="4" w:space="0" w:color="949494" w:themeColor="text2" w:themeShade="BF"/>
          <w:insideH w:val="nil"/>
          <w:insideV w:val="nil"/>
          <w:tl2br w:val="nil"/>
          <w:tr2bl w:val="nil"/>
        </w:tcBorders>
        <w:shd w:val="clear" w:color="auto" w:fill="DFDFDF" w:themeFill="background2" w:themeFillShade="E6"/>
      </w:tcPr>
    </w:tblStylePr>
  </w:style>
  <w:style w:type="paragraph" w:styleId="TOAHeading">
    <w:name w:val="toa heading"/>
    <w:basedOn w:val="Normal"/>
    <w:next w:val="Normal"/>
    <w:uiPriority w:val="99"/>
    <w:semiHidden/>
    <w:rsid w:val="0001240D"/>
    <w:pPr>
      <w:keepNext/>
      <w:keepLines/>
      <w:spacing w:before="240"/>
      <w:contextualSpacing/>
      <w:jc w:val="center"/>
    </w:pPr>
    <w:rPr>
      <w:rFonts w:asciiTheme="majorHAnsi" w:eastAsiaTheme="majorEastAsia" w:hAnsiTheme="majorHAnsi" w:cstheme="majorBidi"/>
      <w:b/>
      <w:bCs/>
      <w:color w:val="474747" w:themeColor="accent3" w:themeShade="BF"/>
      <w:sz w:val="28"/>
      <w:szCs w:val="24"/>
    </w:rPr>
  </w:style>
  <w:style w:type="paragraph" w:styleId="Subtitle">
    <w:name w:val="Subtitle"/>
    <w:basedOn w:val="Normal"/>
    <w:next w:val="Normal"/>
    <w:link w:val="SubtitleChar"/>
    <w:uiPriority w:val="99"/>
    <w:semiHidden/>
    <w:qFormat/>
    <w:rsid w:val="0001240D"/>
    <w:pPr>
      <w:spacing w:after="600"/>
    </w:pPr>
    <w:rPr>
      <w:rFonts w:asciiTheme="majorHAnsi" w:eastAsiaTheme="majorEastAsia" w:hAnsiTheme="majorHAnsi" w:cstheme="majorBidi"/>
      <w:i/>
      <w:iCs/>
      <w:spacing w:val="13"/>
      <w:szCs w:val="24"/>
      <w:lang w:bidi="en-US"/>
    </w:rPr>
  </w:style>
  <w:style w:type="character" w:customStyle="1" w:styleId="SubtitleChar">
    <w:name w:val="Subtitle Char"/>
    <w:basedOn w:val="DefaultParagraphFont"/>
    <w:link w:val="Subtitle"/>
    <w:uiPriority w:val="99"/>
    <w:semiHidden/>
    <w:rsid w:val="0001240D"/>
    <w:rPr>
      <w:rFonts w:asciiTheme="majorHAnsi" w:eastAsiaTheme="majorEastAsia" w:hAnsiTheme="majorHAnsi" w:cstheme="majorBidi"/>
      <w:i/>
      <w:iCs/>
      <w:spacing w:val="13"/>
      <w:sz w:val="24"/>
      <w:szCs w:val="24"/>
      <w:lang w:bidi="en-US"/>
    </w:rPr>
  </w:style>
  <w:style w:type="numbering" w:styleId="111111">
    <w:name w:val="Outline List 2"/>
    <w:basedOn w:val="NoList"/>
    <w:uiPriority w:val="99"/>
    <w:semiHidden/>
    <w:unhideWhenUsed/>
    <w:rsid w:val="0098410D"/>
    <w:pPr>
      <w:numPr>
        <w:numId w:val="10"/>
      </w:numPr>
    </w:pPr>
  </w:style>
  <w:style w:type="paragraph" w:customStyle="1" w:styleId="ECHRPara">
    <w:name w:val="ECHR_Para"/>
    <w:aliases w:val="Ju_Para,Para,_Para"/>
    <w:basedOn w:val="Normal"/>
    <w:link w:val="ECHRParaChar"/>
    <w:uiPriority w:val="4"/>
    <w:qFormat/>
    <w:rsid w:val="0001240D"/>
    <w:pPr>
      <w:ind w:firstLine="284"/>
    </w:pPr>
  </w:style>
  <w:style w:type="numbering" w:styleId="1ai">
    <w:name w:val="Outline List 1"/>
    <w:basedOn w:val="NoList"/>
    <w:uiPriority w:val="99"/>
    <w:semiHidden/>
    <w:unhideWhenUsed/>
    <w:rsid w:val="0098410D"/>
    <w:pPr>
      <w:numPr>
        <w:numId w:val="11"/>
      </w:numPr>
    </w:pPr>
  </w:style>
  <w:style w:type="table" w:customStyle="1" w:styleId="ECHRTableSimpleBox">
    <w:name w:val="ECHR_Table_Simple_Box"/>
    <w:basedOn w:val="TableNormal"/>
    <w:uiPriority w:val="99"/>
    <w:rsid w:val="00AE354C"/>
    <w:tblPr>
      <w:tblBorders>
        <w:top w:val="single" w:sz="4" w:space="0" w:color="9F9F9F" w:themeColor="accent3" w:themeTint="99"/>
        <w:left w:val="single" w:sz="4" w:space="0" w:color="9F9F9F" w:themeColor="accent3" w:themeTint="99"/>
        <w:bottom w:val="single" w:sz="4" w:space="0" w:color="9F9F9F" w:themeColor="accent3" w:themeTint="99"/>
        <w:right w:val="single" w:sz="4" w:space="0" w:color="9F9F9F" w:themeColor="accent3" w:themeTint="99"/>
      </w:tblBorders>
      <w:tblCellMar>
        <w:top w:w="113" w:type="dxa"/>
        <w:bottom w:w="113" w:type="dxa"/>
      </w:tblCellMar>
    </w:tblPr>
  </w:style>
  <w:style w:type="table" w:customStyle="1" w:styleId="ECHRTableNoLines">
    <w:name w:val="ECHR_Table_No_Lines"/>
    <w:basedOn w:val="TableNormal"/>
    <w:uiPriority w:val="99"/>
    <w:rsid w:val="00F218EF"/>
    <w:tblPr>
      <w:tblCellMar>
        <w:top w:w="85" w:type="dxa"/>
        <w:left w:w="142" w:type="dxa"/>
        <w:bottom w:w="28" w:type="dxa"/>
        <w:right w:w="142" w:type="dxa"/>
      </w:tblCellMar>
    </w:tblPr>
    <w:tblStylePr w:type="firstRow">
      <w:rPr>
        <w:rFonts w:asciiTheme="majorHAnsi" w:hAnsiTheme="majorHAnsi"/>
        <w:b/>
        <w:i w:val="0"/>
        <w:color w:val="474747" w:themeColor="accent3" w:themeShade="BF"/>
        <w:sz w:val="24"/>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nil"/>
          <w:tl2br w:val="nil"/>
          <w:tr2bl w:val="nil"/>
        </w:tcBorders>
        <w:shd w:val="clear" w:color="auto" w:fill="DFDFDF" w:themeFill="background2" w:themeFillShade="E6"/>
      </w:tcPr>
    </w:tblStylePr>
    <w:tblStylePr w:type="firstCol">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tcPr>
    </w:tblStylePr>
  </w:style>
  <w:style w:type="numbering" w:styleId="ArticleSection">
    <w:name w:val="Outline List 3"/>
    <w:basedOn w:val="NoList"/>
    <w:uiPriority w:val="99"/>
    <w:semiHidden/>
    <w:unhideWhenUsed/>
    <w:rsid w:val="0098410D"/>
    <w:pPr>
      <w:numPr>
        <w:numId w:val="12"/>
      </w:numPr>
    </w:pPr>
  </w:style>
  <w:style w:type="table" w:customStyle="1" w:styleId="ECHRTableForInternalUse">
    <w:name w:val="ECHR_Table_For_Internal_Use"/>
    <w:basedOn w:val="TableNormal"/>
    <w:uiPriority w:val="99"/>
    <w:rsid w:val="005474E7"/>
    <w:rPr>
      <w:color w:val="636363" w:themeColor="text2" w:themeShade="80"/>
      <w:sz w:val="18"/>
    </w:rPr>
    <w:tblPr>
      <w:tblStyleColBandSize w:val="1"/>
      <w:jc w:val="right"/>
      <w:tblCellMar>
        <w:top w:w="113" w:type="dxa"/>
        <w:bottom w:w="28" w:type="dxa"/>
      </w:tblCellMar>
    </w:tblPr>
    <w:trPr>
      <w:jc w:val="right"/>
    </w:trPr>
    <w:tblStylePr w:type="firstRow">
      <w:rPr>
        <w:b/>
      </w:rPr>
    </w:tblStylePr>
    <w:tblStylePr w:type="lastCol">
      <w:pPr>
        <w:jc w:val="right"/>
      </w:p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tblStylePr w:type="band1Vert">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l2br w:val="nil"/>
          <w:tr2bl w:val="nil"/>
        </w:tcBorders>
      </w:tcPr>
    </w:tblStylePr>
  </w:style>
  <w:style w:type="table" w:customStyle="1" w:styleId="ECHRListTable">
    <w:name w:val="ECHR_List_Table"/>
    <w:basedOn w:val="TableNormal"/>
    <w:uiPriority w:val="99"/>
    <w:rsid w:val="0001240D"/>
    <w:tblPr>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b/>
        <w:color w:val="474747" w:themeColor="accent3" w:themeShade="BF"/>
      </w:rPr>
      <w:tblPr/>
      <w:trPr>
        <w:tblHeader/>
      </w:tr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cBorders>
        <w:shd w:val="clear" w:color="auto" w:fill="DFDFDF" w:themeFill="background2" w:themeFillShade="E6"/>
      </w:tcPr>
    </w:tblStylePr>
  </w:style>
  <w:style w:type="paragraph" w:styleId="Bibliography">
    <w:name w:val="Bibliography"/>
    <w:basedOn w:val="Normal"/>
    <w:next w:val="Normal"/>
    <w:uiPriority w:val="99"/>
    <w:semiHidden/>
    <w:rsid w:val="0098410D"/>
  </w:style>
  <w:style w:type="paragraph" w:styleId="BlockText">
    <w:name w:val="Block Text"/>
    <w:basedOn w:val="Normal"/>
    <w:uiPriority w:val="99"/>
    <w:semiHidden/>
    <w:rsid w:val="0098410D"/>
    <w:pPr>
      <w:pBdr>
        <w:top w:val="single" w:sz="2" w:space="10" w:color="0072BC" w:themeColor="accent1" w:shadow="1" w:frame="1"/>
        <w:left w:val="single" w:sz="2" w:space="10" w:color="0072BC" w:themeColor="accent1" w:shadow="1" w:frame="1"/>
        <w:bottom w:val="single" w:sz="2" w:space="10" w:color="0072BC" w:themeColor="accent1" w:shadow="1" w:frame="1"/>
        <w:right w:val="single" w:sz="2" w:space="10" w:color="0072BC" w:themeColor="accent1" w:shadow="1" w:frame="1"/>
      </w:pBdr>
      <w:ind w:left="1152" w:right="1152"/>
    </w:pPr>
    <w:rPr>
      <w:i/>
      <w:iCs/>
      <w:color w:val="0072BC" w:themeColor="accent1"/>
    </w:rPr>
  </w:style>
  <w:style w:type="table" w:customStyle="1" w:styleId="ECHRHeaderTable">
    <w:name w:val="ECHR_Header_Table"/>
    <w:basedOn w:val="TableNormal"/>
    <w:uiPriority w:val="99"/>
    <w:rsid w:val="00661971"/>
    <w:tblPr>
      <w:tblInd w:w="-680" w:type="dxa"/>
      <w:tblBorders>
        <w:bottom w:val="single" w:sz="6" w:space="0" w:color="949494" w:themeColor="text2" w:themeShade="BF"/>
      </w:tblBorders>
      <w:tblCellMar>
        <w:left w:w="0" w:type="dxa"/>
        <w:bottom w:w="28" w:type="dxa"/>
        <w:right w:w="0" w:type="dxa"/>
      </w:tblCellMar>
    </w:tblPr>
    <w:tcPr>
      <w:vAlign w:val="bottom"/>
    </w:tcPr>
    <w:tblStylePr w:type="lastCol">
      <w:pPr>
        <w:wordWrap/>
        <w:jc w:val="both"/>
      </w:pPr>
    </w:tblStylePr>
  </w:style>
  <w:style w:type="paragraph" w:styleId="BodyText">
    <w:name w:val="Body Text"/>
    <w:basedOn w:val="Normal"/>
    <w:link w:val="BodyTextChar"/>
    <w:uiPriority w:val="99"/>
    <w:semiHidden/>
    <w:rsid w:val="0098410D"/>
    <w:pPr>
      <w:spacing w:after="120"/>
    </w:pPr>
  </w:style>
  <w:style w:type="character" w:customStyle="1" w:styleId="BodyTextChar">
    <w:name w:val="Body Text Char"/>
    <w:basedOn w:val="DefaultParagraphFont"/>
    <w:link w:val="BodyText"/>
    <w:uiPriority w:val="99"/>
    <w:semiHidden/>
    <w:rsid w:val="0098410D"/>
    <w:rPr>
      <w:rFonts w:eastAsiaTheme="minorEastAsia"/>
      <w:sz w:val="24"/>
    </w:rPr>
  </w:style>
  <w:style w:type="table" w:customStyle="1" w:styleId="ECHRTableOddBanded">
    <w:name w:val="ECHR_Table_Odd_Banded"/>
    <w:basedOn w:val="TableNormal"/>
    <w:uiPriority w:val="99"/>
    <w:rsid w:val="00860B03"/>
    <w:tblPr>
      <w:tblStyleRowBandSize w:val="1"/>
      <w:tblStyleColBandSize w:val="1"/>
      <w:tbl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single" w:sz="4" w:space="0" w:color="949494" w:themeColor="text2" w:themeShade="BF"/>
        <w:insideV w:val="single" w:sz="4" w:space="0" w:color="949494" w:themeColor="text2" w:themeShade="BF"/>
      </w:tblBorders>
      <w:tblCellMar>
        <w:top w:w="28" w:type="dxa"/>
        <w:bottom w:w="28" w:type="dxa"/>
      </w:tblCellMar>
    </w:tblPr>
    <w:tblStylePr w:type="firstRow">
      <w:rPr>
        <w:rFonts w:asciiTheme="majorHAnsi" w:hAnsiTheme="majorHAnsi"/>
        <w:b/>
        <w:i w:val="0"/>
        <w:color w:val="474747" w:themeColor="accent3" w:themeShade="BF"/>
        <w:sz w:val="22"/>
      </w:rPr>
      <w:tblPr/>
      <w:tcPr>
        <w:tcBorders>
          <w:top w:val="single" w:sz="4" w:space="0" w:color="949494" w:themeColor="text2" w:themeShade="BF"/>
          <w:left w:val="single" w:sz="4" w:space="0" w:color="949494" w:themeColor="text2" w:themeShade="BF"/>
          <w:bottom w:val="single" w:sz="4" w:space="0" w:color="949494" w:themeColor="text2" w:themeShade="BF"/>
          <w:right w:val="single" w:sz="4" w:space="0" w:color="949494" w:themeColor="text2" w:themeShade="BF"/>
          <w:insideH w:val="nil"/>
          <w:insideV w:val="single" w:sz="4" w:space="0" w:color="949494" w:themeColor="text2" w:themeShade="BF"/>
          <w:tl2br w:val="nil"/>
          <w:tr2bl w:val="nil"/>
        </w:tcBorders>
        <w:shd w:val="clear" w:color="auto" w:fill="DFDFDF" w:themeFill="background2" w:themeFillShade="E6"/>
      </w:tcPr>
    </w:tblStylePr>
    <w:tblStylePr w:type="band1Vert">
      <w:tblPr/>
      <w:tcPr>
        <w:tcBorders>
          <w:top w:val="nil"/>
          <w:left w:val="nil"/>
          <w:bottom w:val="nil"/>
          <w:right w:val="nil"/>
          <w:insideH w:val="nil"/>
          <w:insideV w:val="nil"/>
          <w:tl2br w:val="nil"/>
          <w:tr2bl w:val="nil"/>
        </w:tcBorders>
        <w:shd w:val="clear" w:color="auto" w:fill="DFDFDF" w:themeFill="background2" w:themeFillShade="E6"/>
      </w:tcPr>
    </w:tblStylePr>
    <w:tblStylePr w:type="band1Horz">
      <w:rPr>
        <w:b/>
      </w:rPr>
      <w:tblPr/>
      <w:tcPr>
        <w:shd w:val="clear" w:color="auto" w:fill="DFDFDF" w:themeFill="background2" w:themeFillShade="E6"/>
      </w:tcPr>
    </w:tblStylePr>
  </w:style>
  <w:style w:type="paragraph" w:styleId="BodyText2">
    <w:name w:val="Body Text 2"/>
    <w:basedOn w:val="Normal"/>
    <w:link w:val="BodyText2Char"/>
    <w:uiPriority w:val="99"/>
    <w:semiHidden/>
    <w:rsid w:val="0098410D"/>
    <w:pPr>
      <w:spacing w:after="120" w:line="480" w:lineRule="auto"/>
    </w:pPr>
  </w:style>
  <w:style w:type="table" w:customStyle="1" w:styleId="ECHRHeaderTableReduced">
    <w:name w:val="ECHR_Header_Table_Reduced"/>
    <w:basedOn w:val="TableNormal"/>
    <w:uiPriority w:val="99"/>
    <w:rsid w:val="00B52BE0"/>
    <w:tblPr>
      <w:tblInd w:w="-680" w:type="dxa"/>
      <w:tblCellMar>
        <w:left w:w="0" w:type="dxa"/>
        <w:right w:w="0" w:type="dxa"/>
      </w:tblCellMar>
    </w:tblPr>
    <w:tcPr>
      <w:vAlign w:val="bottom"/>
    </w:tcPr>
    <w:tblStylePr w:type="firstRow">
      <w:tblPr/>
      <w:tcPr>
        <w:tcBorders>
          <w:top w:val="nil"/>
          <w:left w:val="nil"/>
          <w:bottom w:val="single" w:sz="6" w:space="0" w:color="949494" w:themeColor="text2" w:themeShade="BF"/>
          <w:right w:val="nil"/>
          <w:insideH w:val="nil"/>
          <w:insideV w:val="nil"/>
          <w:tl2br w:val="nil"/>
          <w:tr2bl w:val="nil"/>
        </w:tcBorders>
      </w:tcPr>
    </w:tblStylePr>
    <w:tblStylePr w:type="lastRow">
      <w:pPr>
        <w:jc w:val="right"/>
      </w:pPr>
      <w:tblPr/>
      <w:tcPr>
        <w:tcBorders>
          <w:top w:val="single" w:sz="6" w:space="0" w:color="949494" w:themeColor="text2" w:themeShade="BF"/>
          <w:left w:val="nil"/>
          <w:bottom w:val="nil"/>
          <w:right w:val="nil"/>
          <w:insideH w:val="nil"/>
          <w:insideV w:val="nil"/>
          <w:tl2br w:val="nil"/>
          <w:tr2bl w:val="nil"/>
        </w:tcBorders>
      </w:tcPr>
    </w:tblStylePr>
  </w:style>
  <w:style w:type="paragraph" w:customStyle="1" w:styleId="JuCase">
    <w:name w:val="Ju_Case"/>
    <w:basedOn w:val="Normal"/>
    <w:next w:val="ECHRPara"/>
    <w:uiPriority w:val="10"/>
    <w:rsid w:val="0001240D"/>
    <w:pPr>
      <w:ind w:firstLine="284"/>
    </w:pPr>
    <w:rPr>
      <w:b/>
    </w:rPr>
  </w:style>
  <w:style w:type="character" w:styleId="PageNumber">
    <w:name w:val="page number"/>
    <w:uiPriority w:val="99"/>
    <w:semiHidden/>
    <w:rsid w:val="0098410D"/>
    <w:rPr>
      <w:sz w:val="18"/>
    </w:rPr>
  </w:style>
  <w:style w:type="paragraph" w:styleId="ListBullet">
    <w:name w:val="List Bullet"/>
    <w:basedOn w:val="Normal"/>
    <w:uiPriority w:val="99"/>
    <w:semiHidden/>
    <w:rsid w:val="0098410D"/>
    <w:pPr>
      <w:numPr>
        <w:numId w:val="9"/>
      </w:numPr>
    </w:pPr>
  </w:style>
  <w:style w:type="paragraph" w:styleId="ListBullet3">
    <w:name w:val="List Bullet 3"/>
    <w:basedOn w:val="Normal"/>
    <w:uiPriority w:val="99"/>
    <w:semiHidden/>
    <w:rsid w:val="0098410D"/>
    <w:pPr>
      <w:numPr>
        <w:numId w:val="8"/>
      </w:numPr>
      <w:contextualSpacing/>
    </w:pPr>
  </w:style>
  <w:style w:type="character" w:customStyle="1" w:styleId="BodyText2Char">
    <w:name w:val="Body Text 2 Char"/>
    <w:basedOn w:val="DefaultParagraphFont"/>
    <w:link w:val="BodyText2"/>
    <w:uiPriority w:val="99"/>
    <w:semiHidden/>
    <w:rsid w:val="0098410D"/>
    <w:rPr>
      <w:rFonts w:eastAsiaTheme="minorEastAsia"/>
      <w:sz w:val="24"/>
    </w:rPr>
  </w:style>
  <w:style w:type="paragraph" w:styleId="BodyText3">
    <w:name w:val="Body Text 3"/>
    <w:basedOn w:val="Normal"/>
    <w:link w:val="BodyText3Char"/>
    <w:uiPriority w:val="99"/>
    <w:semiHidden/>
    <w:rsid w:val="0098410D"/>
    <w:pPr>
      <w:spacing w:after="120"/>
    </w:pPr>
    <w:rPr>
      <w:sz w:val="16"/>
      <w:szCs w:val="16"/>
    </w:rPr>
  </w:style>
  <w:style w:type="character" w:customStyle="1" w:styleId="BodyText3Char">
    <w:name w:val="Body Text 3 Char"/>
    <w:basedOn w:val="DefaultParagraphFont"/>
    <w:link w:val="BodyText3"/>
    <w:uiPriority w:val="99"/>
    <w:semiHidden/>
    <w:rsid w:val="0098410D"/>
    <w:rPr>
      <w:rFonts w:eastAsiaTheme="minorEastAsia"/>
      <w:sz w:val="16"/>
      <w:szCs w:val="16"/>
    </w:rPr>
  </w:style>
  <w:style w:type="paragraph" w:styleId="BodyTextFirstIndent">
    <w:name w:val="Body Text First Indent"/>
    <w:basedOn w:val="BodyText"/>
    <w:link w:val="BodyTextFirstIndentChar"/>
    <w:uiPriority w:val="99"/>
    <w:semiHidden/>
    <w:rsid w:val="0098410D"/>
    <w:pPr>
      <w:spacing w:after="0"/>
      <w:ind w:firstLine="360"/>
    </w:pPr>
  </w:style>
  <w:style w:type="character" w:customStyle="1" w:styleId="BodyTextFirstIndentChar">
    <w:name w:val="Body Text First Indent Char"/>
    <w:basedOn w:val="BodyTextChar"/>
    <w:link w:val="BodyTextFirstIndent"/>
    <w:uiPriority w:val="99"/>
    <w:semiHidden/>
    <w:rsid w:val="0098410D"/>
    <w:rPr>
      <w:rFonts w:eastAsiaTheme="minorEastAsia"/>
      <w:sz w:val="24"/>
    </w:rPr>
  </w:style>
  <w:style w:type="paragraph" w:styleId="BodyTextIndent">
    <w:name w:val="Body Text Indent"/>
    <w:basedOn w:val="Normal"/>
    <w:link w:val="BodyTextIndentChar"/>
    <w:uiPriority w:val="99"/>
    <w:semiHidden/>
    <w:rsid w:val="0098410D"/>
    <w:pPr>
      <w:spacing w:after="120"/>
      <w:ind w:left="283"/>
    </w:pPr>
  </w:style>
  <w:style w:type="character" w:customStyle="1" w:styleId="BodyTextIndentChar">
    <w:name w:val="Body Text Indent Char"/>
    <w:basedOn w:val="DefaultParagraphFont"/>
    <w:link w:val="BodyTextIndent"/>
    <w:uiPriority w:val="99"/>
    <w:semiHidden/>
    <w:rsid w:val="0098410D"/>
    <w:rPr>
      <w:rFonts w:eastAsiaTheme="minorEastAsia"/>
      <w:sz w:val="24"/>
    </w:rPr>
  </w:style>
  <w:style w:type="paragraph" w:styleId="BodyTextFirstIndent2">
    <w:name w:val="Body Text First Indent 2"/>
    <w:basedOn w:val="BodyTextIndent"/>
    <w:link w:val="BodyTextFirstIndent2Char"/>
    <w:uiPriority w:val="99"/>
    <w:semiHidden/>
    <w:rsid w:val="0098410D"/>
    <w:pPr>
      <w:spacing w:after="0"/>
      <w:ind w:left="360" w:firstLine="360"/>
    </w:pPr>
  </w:style>
  <w:style w:type="character" w:customStyle="1" w:styleId="BodyTextFirstIndent2Char">
    <w:name w:val="Body Text First Indent 2 Char"/>
    <w:basedOn w:val="BodyTextIndentChar"/>
    <w:link w:val="BodyTextFirstIndent2"/>
    <w:uiPriority w:val="99"/>
    <w:semiHidden/>
    <w:rsid w:val="0098410D"/>
    <w:rPr>
      <w:rFonts w:eastAsiaTheme="minorEastAsia"/>
      <w:sz w:val="24"/>
    </w:rPr>
  </w:style>
  <w:style w:type="paragraph" w:styleId="BodyTextIndent2">
    <w:name w:val="Body Text Indent 2"/>
    <w:basedOn w:val="Normal"/>
    <w:link w:val="BodyTextIndent2Char"/>
    <w:uiPriority w:val="99"/>
    <w:semiHidden/>
    <w:rsid w:val="0098410D"/>
    <w:pPr>
      <w:spacing w:after="120" w:line="480" w:lineRule="auto"/>
      <w:ind w:left="283"/>
    </w:pPr>
  </w:style>
  <w:style w:type="character" w:customStyle="1" w:styleId="BodyTextIndent2Char">
    <w:name w:val="Body Text Indent 2 Char"/>
    <w:basedOn w:val="DefaultParagraphFont"/>
    <w:link w:val="BodyTextIndent2"/>
    <w:uiPriority w:val="99"/>
    <w:semiHidden/>
    <w:rsid w:val="0098410D"/>
    <w:rPr>
      <w:rFonts w:eastAsiaTheme="minorEastAsia"/>
      <w:sz w:val="24"/>
    </w:rPr>
  </w:style>
  <w:style w:type="paragraph" w:styleId="BodyTextIndent3">
    <w:name w:val="Body Text Indent 3"/>
    <w:basedOn w:val="Normal"/>
    <w:link w:val="BodyTextIndent3Char"/>
    <w:uiPriority w:val="99"/>
    <w:semiHidden/>
    <w:rsid w:val="0098410D"/>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98410D"/>
    <w:rPr>
      <w:rFonts w:eastAsiaTheme="minorEastAsia"/>
      <w:sz w:val="16"/>
      <w:szCs w:val="16"/>
    </w:rPr>
  </w:style>
  <w:style w:type="paragraph" w:styleId="Caption">
    <w:name w:val="caption"/>
    <w:basedOn w:val="Normal"/>
    <w:next w:val="Normal"/>
    <w:uiPriority w:val="99"/>
    <w:semiHidden/>
    <w:unhideWhenUsed/>
    <w:qFormat/>
    <w:rsid w:val="0098410D"/>
    <w:pPr>
      <w:spacing w:after="200"/>
    </w:pPr>
    <w:rPr>
      <w:b/>
      <w:bCs/>
      <w:color w:val="0072BC" w:themeColor="accent1"/>
      <w:sz w:val="18"/>
      <w:szCs w:val="18"/>
    </w:rPr>
  </w:style>
  <w:style w:type="paragraph" w:styleId="Closing">
    <w:name w:val="Closing"/>
    <w:basedOn w:val="Normal"/>
    <w:link w:val="ClosingChar"/>
    <w:uiPriority w:val="99"/>
    <w:semiHidden/>
    <w:rsid w:val="0098410D"/>
    <w:pPr>
      <w:ind w:left="4252"/>
    </w:pPr>
  </w:style>
  <w:style w:type="character" w:customStyle="1" w:styleId="ClosingChar">
    <w:name w:val="Closing Char"/>
    <w:basedOn w:val="DefaultParagraphFont"/>
    <w:link w:val="Closing"/>
    <w:uiPriority w:val="99"/>
    <w:semiHidden/>
    <w:rsid w:val="0098410D"/>
    <w:rPr>
      <w:rFonts w:eastAsiaTheme="minorEastAsia"/>
      <w:sz w:val="24"/>
    </w:rPr>
  </w:style>
  <w:style w:type="table" w:styleId="ColorfulGrid">
    <w:name w:val="Colorful Grid"/>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0072BC" w:themeColor="background1"/>
      </w:rPr>
      <w:tblPr/>
      <w:tcPr>
        <w:shd w:val="clear" w:color="auto" w:fill="000000" w:themeFill="text1" w:themeFillShade="BF"/>
      </w:tcPr>
    </w:tblStylePr>
    <w:tblStylePr w:type="lastCol">
      <w:rPr>
        <w:color w:val="0072BC"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BEE5FF" w:themeFill="accent1" w:themeFillTint="33"/>
    </w:tcPr>
    <w:tblStylePr w:type="firstRow">
      <w:rPr>
        <w:b/>
        <w:bCs/>
      </w:rPr>
      <w:tblPr/>
      <w:tcPr>
        <w:shd w:val="clear" w:color="auto" w:fill="7ECBFF" w:themeFill="accent1" w:themeFillTint="66"/>
      </w:tcPr>
    </w:tblStylePr>
    <w:tblStylePr w:type="lastRow">
      <w:rPr>
        <w:b/>
        <w:bCs/>
        <w:color w:val="000000" w:themeColor="text1"/>
      </w:rPr>
      <w:tblPr/>
      <w:tcPr>
        <w:shd w:val="clear" w:color="auto" w:fill="7ECBFF" w:themeFill="accent1" w:themeFillTint="66"/>
      </w:tcPr>
    </w:tblStylePr>
    <w:tblStylePr w:type="firstCol">
      <w:rPr>
        <w:color w:val="0072BC" w:themeColor="background1"/>
      </w:rPr>
      <w:tblPr/>
      <w:tcPr>
        <w:shd w:val="clear" w:color="auto" w:fill="00548C" w:themeFill="accent1" w:themeFillShade="BF"/>
      </w:tcPr>
    </w:tblStylePr>
    <w:tblStylePr w:type="lastCol">
      <w:rPr>
        <w:color w:val="0072BC" w:themeColor="background1"/>
      </w:rPr>
      <w:tblPr/>
      <w:tcPr>
        <w:shd w:val="clear" w:color="auto" w:fill="00548C" w:themeFill="accent1" w:themeFillShade="BF"/>
      </w:tc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ColorfulGrid-Accent2">
    <w:name w:val="Colorful Grid Accent 2"/>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FFBFBF" w:themeFill="accent2" w:themeFillTint="33"/>
    </w:tcPr>
    <w:tblStylePr w:type="firstRow">
      <w:rPr>
        <w:b/>
        <w:bCs/>
      </w:rPr>
      <w:tblPr/>
      <w:tcPr>
        <w:shd w:val="clear" w:color="auto" w:fill="FF7F7F" w:themeFill="accent2" w:themeFillTint="66"/>
      </w:tcPr>
    </w:tblStylePr>
    <w:tblStylePr w:type="lastRow">
      <w:rPr>
        <w:b/>
        <w:bCs/>
        <w:color w:val="000000" w:themeColor="text1"/>
      </w:rPr>
      <w:tblPr/>
      <w:tcPr>
        <w:shd w:val="clear" w:color="auto" w:fill="FF7F7F" w:themeFill="accent2" w:themeFillTint="66"/>
      </w:tcPr>
    </w:tblStylePr>
    <w:tblStylePr w:type="firstCol">
      <w:rPr>
        <w:color w:val="0072BC" w:themeColor="background1"/>
      </w:rPr>
      <w:tblPr/>
      <w:tcPr>
        <w:shd w:val="clear" w:color="auto" w:fill="8F0000" w:themeFill="accent2" w:themeFillShade="BF"/>
      </w:tcPr>
    </w:tblStylePr>
    <w:tblStylePr w:type="lastCol">
      <w:rPr>
        <w:color w:val="0072BC" w:themeColor="background1"/>
      </w:rPr>
      <w:tblPr/>
      <w:tcPr>
        <w:shd w:val="clear" w:color="auto" w:fill="8F0000" w:themeFill="accent2" w:themeFillShade="BF"/>
      </w:tc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ColorfulGrid-Accent3">
    <w:name w:val="Colorful Grid Accent 3"/>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3" w:themeFillTint="33"/>
    </w:tcPr>
    <w:tblStylePr w:type="firstRow">
      <w:rPr>
        <w:b/>
        <w:bCs/>
      </w:rPr>
      <w:tblPr/>
      <w:tcPr>
        <w:shd w:val="clear" w:color="auto" w:fill="BFBFBF" w:themeFill="accent3" w:themeFillTint="66"/>
      </w:tcPr>
    </w:tblStylePr>
    <w:tblStylePr w:type="lastRow">
      <w:rPr>
        <w:b/>
        <w:bCs/>
        <w:color w:val="000000" w:themeColor="text1"/>
      </w:rPr>
      <w:tblPr/>
      <w:tcPr>
        <w:shd w:val="clear" w:color="auto" w:fill="BFBFBF" w:themeFill="accent3" w:themeFillTint="66"/>
      </w:tcPr>
    </w:tblStylePr>
    <w:tblStylePr w:type="firstCol">
      <w:rPr>
        <w:color w:val="0072BC" w:themeColor="background1"/>
      </w:rPr>
      <w:tblPr/>
      <w:tcPr>
        <w:shd w:val="clear" w:color="auto" w:fill="474747" w:themeFill="accent3" w:themeFillShade="BF"/>
      </w:tcPr>
    </w:tblStylePr>
    <w:tblStylePr w:type="lastCol">
      <w:rPr>
        <w:color w:val="0072BC" w:themeColor="background1"/>
      </w:rPr>
      <w:tblPr/>
      <w:tcPr>
        <w:shd w:val="clear" w:color="auto" w:fill="474747" w:themeFill="accent3" w:themeFillShade="BF"/>
      </w:tc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ColorfulGrid-Accent4">
    <w:name w:val="Colorful Grid Accent 4"/>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EAEAEA" w:themeFill="accent4" w:themeFillTint="33"/>
    </w:tcPr>
    <w:tblStylePr w:type="firstRow">
      <w:rPr>
        <w:b/>
        <w:bCs/>
      </w:rPr>
      <w:tblPr/>
      <w:tcPr>
        <w:shd w:val="clear" w:color="auto" w:fill="D5D5D5" w:themeFill="accent4" w:themeFillTint="66"/>
      </w:tcPr>
    </w:tblStylePr>
    <w:tblStylePr w:type="lastRow">
      <w:rPr>
        <w:b/>
        <w:bCs/>
        <w:color w:val="000000" w:themeColor="text1"/>
      </w:rPr>
      <w:tblPr/>
      <w:tcPr>
        <w:shd w:val="clear" w:color="auto" w:fill="D5D5D5" w:themeFill="accent4" w:themeFillTint="66"/>
      </w:tcPr>
    </w:tblStylePr>
    <w:tblStylePr w:type="firstCol">
      <w:rPr>
        <w:color w:val="0072BC" w:themeColor="background1"/>
      </w:rPr>
      <w:tblPr/>
      <w:tcPr>
        <w:shd w:val="clear" w:color="auto" w:fill="707070" w:themeFill="accent4" w:themeFillShade="BF"/>
      </w:tcPr>
    </w:tblStylePr>
    <w:tblStylePr w:type="lastCol">
      <w:rPr>
        <w:color w:val="0072BC" w:themeColor="background1"/>
      </w:rPr>
      <w:tblPr/>
      <w:tcPr>
        <w:shd w:val="clear" w:color="auto" w:fill="707070" w:themeFill="accent4" w:themeFillShade="BF"/>
      </w:tc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ColorfulGrid-Accent5">
    <w:name w:val="Colorful Grid Accent 5"/>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FDFDF" w:themeFill="accent5" w:themeFillTint="33"/>
    </w:tcPr>
    <w:tblStylePr w:type="firstRow">
      <w:rPr>
        <w:b/>
        <w:bCs/>
      </w:rPr>
      <w:tblPr/>
      <w:tcPr>
        <w:shd w:val="clear" w:color="auto" w:fill="BFBFBF" w:themeFill="accent5" w:themeFillTint="66"/>
      </w:tcPr>
    </w:tblStylePr>
    <w:tblStylePr w:type="lastRow">
      <w:rPr>
        <w:b/>
        <w:bCs/>
        <w:color w:val="000000" w:themeColor="text1"/>
      </w:rPr>
      <w:tblPr/>
      <w:tcPr>
        <w:shd w:val="clear" w:color="auto" w:fill="BFBFBF" w:themeFill="accent5" w:themeFillTint="66"/>
      </w:tcPr>
    </w:tblStylePr>
    <w:tblStylePr w:type="firstCol">
      <w:rPr>
        <w:color w:val="0072BC" w:themeColor="background1"/>
      </w:rPr>
      <w:tblPr/>
      <w:tcPr>
        <w:shd w:val="clear" w:color="auto" w:fill="474747" w:themeFill="accent5" w:themeFillShade="BF"/>
      </w:tcPr>
    </w:tblStylePr>
    <w:tblStylePr w:type="lastCol">
      <w:rPr>
        <w:color w:val="0072BC" w:themeColor="background1"/>
      </w:rPr>
      <w:tblPr/>
      <w:tcPr>
        <w:shd w:val="clear" w:color="auto" w:fill="474747" w:themeFill="accent5" w:themeFillShade="BF"/>
      </w:tc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ColorfulGrid-Accent6">
    <w:name w:val="Colorful Grid Accent 6"/>
    <w:basedOn w:val="TableNormal"/>
    <w:uiPriority w:val="99"/>
    <w:semiHidden/>
    <w:rsid w:val="0098410D"/>
    <w:rPr>
      <w:color w:val="000000" w:themeColor="text1"/>
    </w:rPr>
    <w:tblPr>
      <w:tblStyleRowBandSize w:val="1"/>
      <w:tblStyleColBandSize w:val="1"/>
      <w:tblBorders>
        <w:insideH w:val="single" w:sz="4" w:space="0" w:color="0072BC" w:themeColor="background1"/>
      </w:tblBorders>
    </w:tblPr>
    <w:tcPr>
      <w:shd w:val="clear" w:color="auto" w:fill="DBDBDB" w:themeFill="accent6" w:themeFillTint="33"/>
    </w:tcPr>
    <w:tblStylePr w:type="firstRow">
      <w:rPr>
        <w:b/>
        <w:bCs/>
      </w:rPr>
      <w:tblPr/>
      <w:tcPr>
        <w:shd w:val="clear" w:color="auto" w:fill="B7B7B7" w:themeFill="accent6" w:themeFillTint="66"/>
      </w:tcPr>
    </w:tblStylePr>
    <w:tblStylePr w:type="lastRow">
      <w:rPr>
        <w:b/>
        <w:bCs/>
        <w:color w:val="000000" w:themeColor="text1"/>
      </w:rPr>
      <w:tblPr/>
      <w:tcPr>
        <w:shd w:val="clear" w:color="auto" w:fill="B7B7B7" w:themeFill="accent6" w:themeFillTint="66"/>
      </w:tcPr>
    </w:tblStylePr>
    <w:tblStylePr w:type="firstCol">
      <w:rPr>
        <w:color w:val="0072BC" w:themeColor="background1"/>
      </w:rPr>
      <w:tblPr/>
      <w:tcPr>
        <w:shd w:val="clear" w:color="auto" w:fill="393939" w:themeFill="accent6" w:themeFillShade="BF"/>
      </w:tcPr>
    </w:tblStylePr>
    <w:tblStylePr w:type="lastCol">
      <w:rPr>
        <w:color w:val="0072BC" w:themeColor="background1"/>
      </w:rPr>
      <w:tblPr/>
      <w:tcPr>
        <w:shd w:val="clear" w:color="auto" w:fill="393939" w:themeFill="accent6" w:themeFillShade="BF"/>
      </w:tc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ColorfulList">
    <w:name w:val="Colorful List"/>
    <w:basedOn w:val="TableNormal"/>
    <w:uiPriority w:val="99"/>
    <w:semiHidden/>
    <w:rsid w:val="0098410D"/>
    <w:rPr>
      <w:color w:val="000000" w:themeColor="text1"/>
    </w:rPr>
    <w:tblPr>
      <w:tblStyleRowBandSize w:val="1"/>
      <w:tblStyleColBandSize w:val="1"/>
    </w:tblPr>
    <w:tcPr>
      <w:shd w:val="clear" w:color="auto" w:fill="E6E6E6" w:themeFill="tex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9"/>
    <w:semiHidden/>
    <w:rsid w:val="0098410D"/>
    <w:rPr>
      <w:color w:val="000000" w:themeColor="text1"/>
    </w:rPr>
    <w:tblPr>
      <w:tblStyleRowBandSize w:val="1"/>
      <w:tblStyleColBandSize w:val="1"/>
    </w:tblPr>
    <w:tcPr>
      <w:shd w:val="clear" w:color="auto" w:fill="DFF2FF" w:themeFill="accent1"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AFDFFF" w:themeFill="accent1" w:themeFillTint="3F"/>
      </w:tcPr>
    </w:tblStylePr>
    <w:tblStylePr w:type="band1Horz">
      <w:tblPr/>
      <w:tcPr>
        <w:shd w:val="clear" w:color="auto" w:fill="BEE5FF" w:themeFill="accent1" w:themeFillTint="33"/>
      </w:tcPr>
    </w:tblStylePr>
  </w:style>
  <w:style w:type="table" w:styleId="ColorfulList-Accent2">
    <w:name w:val="Colorful List Accent 2"/>
    <w:basedOn w:val="TableNormal"/>
    <w:uiPriority w:val="99"/>
    <w:semiHidden/>
    <w:rsid w:val="0098410D"/>
    <w:rPr>
      <w:color w:val="000000" w:themeColor="text1"/>
    </w:rPr>
    <w:tblPr>
      <w:tblStyleRowBandSize w:val="1"/>
      <w:tblStyleColBandSize w:val="1"/>
    </w:tblPr>
    <w:tcPr>
      <w:shd w:val="clear" w:color="auto" w:fill="FFDFDF" w:themeFill="accent2" w:themeFillTint="19"/>
    </w:tcPr>
    <w:tblStylePr w:type="firstRow">
      <w:rPr>
        <w:b/>
        <w:bCs/>
        <w:color w:val="0072BC" w:themeColor="background1"/>
      </w:rPr>
      <w:tblPr/>
      <w:tcPr>
        <w:tcBorders>
          <w:bottom w:val="single" w:sz="12" w:space="0" w:color="0072BC" w:themeColor="background1"/>
        </w:tcBorders>
        <w:shd w:val="clear" w:color="auto" w:fill="990000" w:themeFill="accent2" w:themeFillShade="CC"/>
      </w:tcPr>
    </w:tblStylePr>
    <w:tblStylePr w:type="lastRow">
      <w:rPr>
        <w:b/>
        <w:bCs/>
        <w:color w:val="990000" w:themeColor="accent2"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B0B0" w:themeFill="accent2" w:themeFillTint="3F"/>
      </w:tcPr>
    </w:tblStylePr>
    <w:tblStylePr w:type="band1Horz">
      <w:tblPr/>
      <w:tcPr>
        <w:shd w:val="clear" w:color="auto" w:fill="FFBFBF" w:themeFill="accent2" w:themeFillTint="33"/>
      </w:tcPr>
    </w:tblStylePr>
  </w:style>
  <w:style w:type="table" w:styleId="ColorfulList-Accent3">
    <w:name w:val="Colorful List Accent 3"/>
    <w:basedOn w:val="TableNormal"/>
    <w:uiPriority w:val="99"/>
    <w:semiHidden/>
    <w:rsid w:val="0098410D"/>
    <w:rPr>
      <w:color w:val="000000" w:themeColor="text1"/>
    </w:rPr>
    <w:tblPr>
      <w:tblStyleRowBandSize w:val="1"/>
      <w:tblStyleColBandSize w:val="1"/>
    </w:tblPr>
    <w:tcPr>
      <w:shd w:val="clear" w:color="auto" w:fill="EFEFEF" w:themeFill="accent3" w:themeFillTint="19"/>
    </w:tcPr>
    <w:tblStylePr w:type="firstRow">
      <w:rPr>
        <w:b/>
        <w:bCs/>
        <w:color w:val="0072BC" w:themeColor="background1"/>
      </w:rPr>
      <w:tblPr/>
      <w:tcPr>
        <w:tcBorders>
          <w:bottom w:val="single" w:sz="12" w:space="0" w:color="0072BC" w:themeColor="background1"/>
        </w:tcBorders>
        <w:shd w:val="clear" w:color="auto" w:fill="787878" w:themeFill="accent4" w:themeFillShade="CC"/>
      </w:tcPr>
    </w:tblStylePr>
    <w:tblStylePr w:type="lastRow">
      <w:rPr>
        <w:b/>
        <w:bCs/>
        <w:color w:val="787878" w:themeColor="accent4"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3" w:themeFillTint="3F"/>
      </w:tcPr>
    </w:tblStylePr>
    <w:tblStylePr w:type="band1Horz">
      <w:tblPr/>
      <w:tcPr>
        <w:shd w:val="clear" w:color="auto" w:fill="DFDFDF" w:themeFill="accent3" w:themeFillTint="33"/>
      </w:tcPr>
    </w:tblStylePr>
  </w:style>
  <w:style w:type="table" w:styleId="ColorfulList-Accent4">
    <w:name w:val="Colorful List Accent 4"/>
    <w:basedOn w:val="TableNormal"/>
    <w:uiPriority w:val="99"/>
    <w:semiHidden/>
    <w:rsid w:val="0098410D"/>
    <w:rPr>
      <w:color w:val="000000" w:themeColor="text1"/>
    </w:rPr>
    <w:tblPr>
      <w:tblStyleRowBandSize w:val="1"/>
      <w:tblStyleColBandSize w:val="1"/>
    </w:tblPr>
    <w:tcPr>
      <w:shd w:val="clear" w:color="auto" w:fill="F4F4F4" w:themeFill="accent4" w:themeFillTint="19"/>
    </w:tcPr>
    <w:tblStylePr w:type="firstRow">
      <w:rPr>
        <w:b/>
        <w:bCs/>
        <w:color w:val="0072BC" w:themeColor="background1"/>
      </w:rPr>
      <w:tblPr/>
      <w:tcPr>
        <w:tcBorders>
          <w:bottom w:val="single" w:sz="12" w:space="0" w:color="0072BC" w:themeColor="background1"/>
        </w:tcBorders>
        <w:shd w:val="clear" w:color="auto" w:fill="4C4C4C" w:themeFill="accent3" w:themeFillShade="CC"/>
      </w:tcPr>
    </w:tblStylePr>
    <w:tblStylePr w:type="lastRow">
      <w:rPr>
        <w:b/>
        <w:bCs/>
        <w:color w:val="4C4C4C" w:themeColor="accent3"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5E5E5" w:themeFill="accent4" w:themeFillTint="3F"/>
      </w:tcPr>
    </w:tblStylePr>
    <w:tblStylePr w:type="band1Horz">
      <w:tblPr/>
      <w:tcPr>
        <w:shd w:val="clear" w:color="auto" w:fill="EAEAEA" w:themeFill="accent4" w:themeFillTint="33"/>
      </w:tcPr>
    </w:tblStylePr>
  </w:style>
  <w:style w:type="table" w:styleId="ColorfulList-Accent5">
    <w:name w:val="Colorful List Accent 5"/>
    <w:basedOn w:val="TableNormal"/>
    <w:uiPriority w:val="99"/>
    <w:semiHidden/>
    <w:rsid w:val="0098410D"/>
    <w:rPr>
      <w:color w:val="000000" w:themeColor="text1"/>
    </w:rPr>
    <w:tblPr>
      <w:tblStyleRowBandSize w:val="1"/>
      <w:tblStyleColBandSize w:val="1"/>
    </w:tblPr>
    <w:tcPr>
      <w:shd w:val="clear" w:color="auto" w:fill="EFEFEF" w:themeFill="accent5" w:themeFillTint="19"/>
    </w:tcPr>
    <w:tblStylePr w:type="firstRow">
      <w:rPr>
        <w:b/>
        <w:bCs/>
        <w:color w:val="0072BC" w:themeColor="background1"/>
      </w:rPr>
      <w:tblPr/>
      <w:tcPr>
        <w:tcBorders>
          <w:bottom w:val="single" w:sz="12" w:space="0" w:color="0072BC" w:themeColor="background1"/>
        </w:tcBorders>
        <w:shd w:val="clear" w:color="auto" w:fill="3D3D3D" w:themeFill="accent6" w:themeFillShade="CC"/>
      </w:tcPr>
    </w:tblStylePr>
    <w:tblStylePr w:type="lastRow">
      <w:rPr>
        <w:b/>
        <w:bCs/>
        <w:color w:val="3D3D3D" w:themeColor="accent6"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7D7D7" w:themeFill="accent5" w:themeFillTint="3F"/>
      </w:tcPr>
    </w:tblStylePr>
    <w:tblStylePr w:type="band1Horz">
      <w:tblPr/>
      <w:tcPr>
        <w:shd w:val="clear" w:color="auto" w:fill="DFDFDF" w:themeFill="accent5" w:themeFillTint="33"/>
      </w:tcPr>
    </w:tblStylePr>
  </w:style>
  <w:style w:type="table" w:styleId="ColorfulList-Accent6">
    <w:name w:val="Colorful List Accent 6"/>
    <w:basedOn w:val="TableNormal"/>
    <w:uiPriority w:val="99"/>
    <w:semiHidden/>
    <w:rsid w:val="0098410D"/>
    <w:rPr>
      <w:color w:val="000000" w:themeColor="text1"/>
    </w:rPr>
    <w:tblPr>
      <w:tblStyleRowBandSize w:val="1"/>
      <w:tblStyleColBandSize w:val="1"/>
    </w:tblPr>
    <w:tcPr>
      <w:shd w:val="clear" w:color="auto" w:fill="EDEDED" w:themeFill="accent6" w:themeFillTint="19"/>
    </w:tcPr>
    <w:tblStylePr w:type="firstRow">
      <w:rPr>
        <w:b/>
        <w:bCs/>
        <w:color w:val="0072BC" w:themeColor="background1"/>
      </w:rPr>
      <w:tblPr/>
      <w:tcPr>
        <w:tcBorders>
          <w:bottom w:val="single" w:sz="12" w:space="0" w:color="0072BC" w:themeColor="background1"/>
        </w:tcBorders>
        <w:shd w:val="clear" w:color="auto" w:fill="4C4C4C" w:themeFill="accent5" w:themeFillShade="CC"/>
      </w:tcPr>
    </w:tblStylePr>
    <w:tblStylePr w:type="lastRow">
      <w:rPr>
        <w:b/>
        <w:bCs/>
        <w:color w:val="4C4C4C" w:themeColor="accent5" w:themeShade="CC"/>
      </w:rPr>
      <w:tblPr/>
      <w:tcPr>
        <w:tcBorders>
          <w:top w:val="single" w:sz="12" w:space="0" w:color="000000" w:themeColor="text1"/>
        </w:tcBorders>
        <w:shd w:val="clear" w:color="auto" w:fill="0072BC"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3D3" w:themeFill="accent6" w:themeFillTint="3F"/>
      </w:tcPr>
    </w:tblStylePr>
    <w:tblStylePr w:type="band1Horz">
      <w:tblPr/>
      <w:tcPr>
        <w:shd w:val="clear" w:color="auto" w:fill="DBDBDB" w:themeFill="accent6" w:themeFillTint="33"/>
      </w:tcPr>
    </w:tblStylePr>
  </w:style>
  <w:style w:type="table" w:styleId="ColorfulShading">
    <w:name w:val="Colorful Shading"/>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0000" w:themeColor="text1"/>
        <w:bottom w:val="single" w:sz="4" w:space="0" w:color="000000" w:themeColor="text1"/>
        <w:right w:val="single" w:sz="4" w:space="0" w:color="000000" w:themeColor="text1"/>
        <w:insideH w:val="single" w:sz="4" w:space="0" w:color="0072BC" w:themeColor="background1"/>
        <w:insideV w:val="single" w:sz="4" w:space="0" w:color="0072BC" w:themeColor="background1"/>
      </w:tblBorders>
    </w:tblPr>
    <w:tcPr>
      <w:shd w:val="clear" w:color="auto" w:fill="E6E6E6" w:themeFill="tex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0000" w:themeFill="text1" w:themeFillShade="99"/>
      </w:tcPr>
    </w:tblStylePr>
    <w:tblStylePr w:type="firstCol">
      <w:rPr>
        <w:color w:val="0072BC"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0072BC"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0072BC" w:themeColor="accent1"/>
        <w:bottom w:val="single" w:sz="4" w:space="0" w:color="0072BC" w:themeColor="accent1"/>
        <w:right w:val="single" w:sz="4" w:space="0" w:color="0072BC" w:themeColor="accent1"/>
        <w:insideH w:val="single" w:sz="4" w:space="0" w:color="0072BC" w:themeColor="background1"/>
        <w:insideV w:val="single" w:sz="4" w:space="0" w:color="0072BC" w:themeColor="background1"/>
      </w:tblBorders>
    </w:tblPr>
    <w:tcPr>
      <w:shd w:val="clear" w:color="auto" w:fill="DFF2FF" w:themeFill="accent1"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004470" w:themeFill="accent1" w:themeFillShade="99"/>
      </w:tcPr>
    </w:tblStylePr>
    <w:tblStylePr w:type="firstCol">
      <w:rPr>
        <w:color w:val="0072BC" w:themeColor="background1"/>
      </w:rPr>
      <w:tblPr/>
      <w:tcPr>
        <w:tcBorders>
          <w:top w:val="nil"/>
          <w:left w:val="nil"/>
          <w:bottom w:val="nil"/>
          <w:right w:val="nil"/>
          <w:insideH w:val="single" w:sz="4" w:space="0" w:color="004470" w:themeColor="accent1" w:themeShade="99"/>
          <w:insideV w:val="nil"/>
        </w:tcBorders>
        <w:shd w:val="clear" w:color="auto" w:fill="004470" w:themeFill="accent1" w:themeFillShade="99"/>
      </w:tcPr>
    </w:tblStylePr>
    <w:tblStylePr w:type="lastCol">
      <w:rPr>
        <w:color w:val="0072BC" w:themeColor="background1"/>
      </w:rPr>
      <w:tblPr/>
      <w:tcPr>
        <w:tcBorders>
          <w:top w:val="nil"/>
          <w:left w:val="nil"/>
          <w:bottom w:val="nil"/>
          <w:right w:val="nil"/>
          <w:insideH w:val="nil"/>
          <w:insideV w:val="nil"/>
        </w:tcBorders>
        <w:shd w:val="clear" w:color="auto" w:fill="004470" w:themeFill="accent1" w:themeFillShade="99"/>
      </w:tcPr>
    </w:tblStylePr>
    <w:tblStylePr w:type="band1Vert">
      <w:tblPr/>
      <w:tcPr>
        <w:shd w:val="clear" w:color="auto" w:fill="7ECBFF" w:themeFill="accent1" w:themeFillTint="66"/>
      </w:tcPr>
    </w:tblStylePr>
    <w:tblStylePr w:type="band1Horz">
      <w:tblPr/>
      <w:tcPr>
        <w:shd w:val="clear" w:color="auto" w:fill="5EBFFF"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9"/>
    <w:semiHidden/>
    <w:rsid w:val="0098410D"/>
    <w:rPr>
      <w:color w:val="000000" w:themeColor="text1"/>
    </w:rPr>
    <w:tblPr>
      <w:tblStyleRowBandSize w:val="1"/>
      <w:tblStyleColBandSize w:val="1"/>
      <w:tblBorders>
        <w:top w:val="single" w:sz="24" w:space="0" w:color="C00000" w:themeColor="accent2"/>
        <w:left w:val="single" w:sz="4" w:space="0" w:color="C00000" w:themeColor="accent2"/>
        <w:bottom w:val="single" w:sz="4" w:space="0" w:color="C00000" w:themeColor="accent2"/>
        <w:right w:val="single" w:sz="4" w:space="0" w:color="C00000" w:themeColor="accent2"/>
        <w:insideH w:val="single" w:sz="4" w:space="0" w:color="0072BC" w:themeColor="background1"/>
        <w:insideV w:val="single" w:sz="4" w:space="0" w:color="0072BC" w:themeColor="background1"/>
      </w:tblBorders>
    </w:tblPr>
    <w:tcPr>
      <w:shd w:val="clear" w:color="auto" w:fill="FFDFDF" w:themeFill="accent2" w:themeFillTint="19"/>
    </w:tcPr>
    <w:tblStylePr w:type="firstRow">
      <w:rPr>
        <w:b/>
        <w:bCs/>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730000" w:themeFill="accent2" w:themeFillShade="99"/>
      </w:tcPr>
    </w:tblStylePr>
    <w:tblStylePr w:type="firstCol">
      <w:rPr>
        <w:color w:val="0072BC" w:themeColor="background1"/>
      </w:rPr>
      <w:tblPr/>
      <w:tcPr>
        <w:tcBorders>
          <w:top w:val="nil"/>
          <w:left w:val="nil"/>
          <w:bottom w:val="nil"/>
          <w:right w:val="nil"/>
          <w:insideH w:val="single" w:sz="4" w:space="0" w:color="730000" w:themeColor="accent2" w:themeShade="99"/>
          <w:insideV w:val="nil"/>
        </w:tcBorders>
        <w:shd w:val="clear" w:color="auto" w:fill="730000" w:themeFill="accent2" w:themeFillShade="99"/>
      </w:tcPr>
    </w:tblStylePr>
    <w:tblStylePr w:type="lastCol">
      <w:rPr>
        <w:color w:val="0072BC" w:themeColor="background1"/>
      </w:rPr>
      <w:tblPr/>
      <w:tcPr>
        <w:tcBorders>
          <w:top w:val="nil"/>
          <w:left w:val="nil"/>
          <w:bottom w:val="nil"/>
          <w:right w:val="nil"/>
          <w:insideH w:val="nil"/>
          <w:insideV w:val="nil"/>
        </w:tcBorders>
        <w:shd w:val="clear" w:color="auto" w:fill="730000" w:themeFill="accent2" w:themeFillShade="99"/>
      </w:tcPr>
    </w:tblStylePr>
    <w:tblStylePr w:type="band1Vert">
      <w:tblPr/>
      <w:tcPr>
        <w:shd w:val="clear" w:color="auto" w:fill="FF7F7F" w:themeFill="accent2" w:themeFillTint="66"/>
      </w:tcPr>
    </w:tblStylePr>
    <w:tblStylePr w:type="band1Horz">
      <w:tblPr/>
      <w:tcPr>
        <w:shd w:val="clear" w:color="auto" w:fill="FF6060"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9"/>
    <w:semiHidden/>
    <w:rsid w:val="0098410D"/>
    <w:rPr>
      <w:color w:val="000000" w:themeColor="text1"/>
    </w:rPr>
    <w:tblPr>
      <w:tblStyleRowBandSize w:val="1"/>
      <w:tblStyleColBandSize w:val="1"/>
      <w:tblBorders>
        <w:top w:val="single" w:sz="24" w:space="0" w:color="969696" w:themeColor="accent4"/>
        <w:left w:val="single" w:sz="4" w:space="0" w:color="5F5F5F" w:themeColor="accent3"/>
        <w:bottom w:val="single" w:sz="4" w:space="0" w:color="5F5F5F" w:themeColor="accent3"/>
        <w:right w:val="single" w:sz="4" w:space="0" w:color="5F5F5F" w:themeColor="accent3"/>
        <w:insideH w:val="single" w:sz="4" w:space="0" w:color="0072BC" w:themeColor="background1"/>
        <w:insideV w:val="single" w:sz="4" w:space="0" w:color="0072BC" w:themeColor="background1"/>
      </w:tblBorders>
    </w:tblPr>
    <w:tcPr>
      <w:shd w:val="clear" w:color="auto" w:fill="EFEFEF" w:themeFill="accent3" w:themeFillTint="19"/>
    </w:tcPr>
    <w:tblStylePr w:type="firstRow">
      <w:rPr>
        <w:b/>
        <w:bCs/>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3" w:themeFillShade="99"/>
      </w:tcPr>
    </w:tblStylePr>
    <w:tblStylePr w:type="firstCol">
      <w:rPr>
        <w:color w:val="0072BC" w:themeColor="background1"/>
      </w:rPr>
      <w:tblPr/>
      <w:tcPr>
        <w:tcBorders>
          <w:top w:val="nil"/>
          <w:left w:val="nil"/>
          <w:bottom w:val="nil"/>
          <w:right w:val="nil"/>
          <w:insideH w:val="single" w:sz="4" w:space="0" w:color="393939" w:themeColor="accent3" w:themeShade="99"/>
          <w:insideV w:val="nil"/>
        </w:tcBorders>
        <w:shd w:val="clear" w:color="auto" w:fill="393939" w:themeFill="accent3"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3" w:themeFillShade="99"/>
      </w:tcPr>
    </w:tblStylePr>
    <w:tblStylePr w:type="band1Vert">
      <w:tblPr/>
      <w:tcPr>
        <w:shd w:val="clear" w:color="auto" w:fill="BFBFBF" w:themeFill="accent3" w:themeFillTint="66"/>
      </w:tcPr>
    </w:tblStylePr>
    <w:tblStylePr w:type="band1Horz">
      <w:tblPr/>
      <w:tcPr>
        <w:shd w:val="clear" w:color="auto" w:fill="AFAFAF" w:themeFill="accent3" w:themeFillTint="7F"/>
      </w:tcPr>
    </w:tblStylePr>
  </w:style>
  <w:style w:type="table" w:styleId="ColorfulShading-Accent4">
    <w:name w:val="Colorful Shading Accent 4"/>
    <w:basedOn w:val="TableNormal"/>
    <w:uiPriority w:val="99"/>
    <w:semiHidden/>
    <w:rsid w:val="0098410D"/>
    <w:rPr>
      <w:color w:val="000000" w:themeColor="text1"/>
    </w:rPr>
    <w:tblPr>
      <w:tblStyleRowBandSize w:val="1"/>
      <w:tblStyleColBandSize w:val="1"/>
      <w:tblBorders>
        <w:top w:val="single" w:sz="24" w:space="0" w:color="5F5F5F" w:themeColor="accent3"/>
        <w:left w:val="single" w:sz="4" w:space="0" w:color="969696" w:themeColor="accent4"/>
        <w:bottom w:val="single" w:sz="4" w:space="0" w:color="969696" w:themeColor="accent4"/>
        <w:right w:val="single" w:sz="4" w:space="0" w:color="969696" w:themeColor="accent4"/>
        <w:insideH w:val="single" w:sz="4" w:space="0" w:color="0072BC" w:themeColor="background1"/>
        <w:insideV w:val="single" w:sz="4" w:space="0" w:color="0072BC" w:themeColor="background1"/>
      </w:tblBorders>
    </w:tblPr>
    <w:tcPr>
      <w:shd w:val="clear" w:color="auto" w:fill="F4F4F4" w:themeFill="accent4" w:themeFillTint="19"/>
    </w:tcPr>
    <w:tblStylePr w:type="firstRow">
      <w:rPr>
        <w:b/>
        <w:bCs/>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5A5A5A" w:themeFill="accent4" w:themeFillShade="99"/>
      </w:tcPr>
    </w:tblStylePr>
    <w:tblStylePr w:type="firstCol">
      <w:rPr>
        <w:color w:val="0072BC" w:themeColor="background1"/>
      </w:rPr>
      <w:tblPr/>
      <w:tcPr>
        <w:tcBorders>
          <w:top w:val="nil"/>
          <w:left w:val="nil"/>
          <w:bottom w:val="nil"/>
          <w:right w:val="nil"/>
          <w:insideH w:val="single" w:sz="4" w:space="0" w:color="5A5A5A" w:themeColor="accent4" w:themeShade="99"/>
          <w:insideV w:val="nil"/>
        </w:tcBorders>
        <w:shd w:val="clear" w:color="auto" w:fill="5A5A5A" w:themeFill="accent4" w:themeFillShade="99"/>
      </w:tcPr>
    </w:tblStylePr>
    <w:tblStylePr w:type="lastCol">
      <w:rPr>
        <w:color w:val="0072BC" w:themeColor="background1"/>
      </w:rPr>
      <w:tblPr/>
      <w:tcPr>
        <w:tcBorders>
          <w:top w:val="nil"/>
          <w:left w:val="nil"/>
          <w:bottom w:val="nil"/>
          <w:right w:val="nil"/>
          <w:insideH w:val="nil"/>
          <w:insideV w:val="nil"/>
        </w:tcBorders>
        <w:shd w:val="clear" w:color="auto" w:fill="5A5A5A" w:themeFill="accent4" w:themeFillShade="99"/>
      </w:tcPr>
    </w:tblStylePr>
    <w:tblStylePr w:type="band1Vert">
      <w:tblPr/>
      <w:tcPr>
        <w:shd w:val="clear" w:color="auto" w:fill="D5D5D5" w:themeFill="accent4" w:themeFillTint="66"/>
      </w:tcPr>
    </w:tblStylePr>
    <w:tblStylePr w:type="band1Horz">
      <w:tblPr/>
      <w:tcPr>
        <w:shd w:val="clear" w:color="auto" w:fill="CACACA"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9"/>
    <w:semiHidden/>
    <w:rsid w:val="0098410D"/>
    <w:rPr>
      <w:color w:val="000000" w:themeColor="text1"/>
    </w:rPr>
    <w:tblPr>
      <w:tblStyleRowBandSize w:val="1"/>
      <w:tblStyleColBandSize w:val="1"/>
      <w:tblBorders>
        <w:top w:val="single" w:sz="24" w:space="0" w:color="4D4D4D" w:themeColor="accent6"/>
        <w:left w:val="single" w:sz="4" w:space="0" w:color="5F5F5F" w:themeColor="accent5"/>
        <w:bottom w:val="single" w:sz="4" w:space="0" w:color="5F5F5F" w:themeColor="accent5"/>
        <w:right w:val="single" w:sz="4" w:space="0" w:color="5F5F5F" w:themeColor="accent5"/>
        <w:insideH w:val="single" w:sz="4" w:space="0" w:color="0072BC" w:themeColor="background1"/>
        <w:insideV w:val="single" w:sz="4" w:space="0" w:color="0072BC" w:themeColor="background1"/>
      </w:tblBorders>
    </w:tblPr>
    <w:tcPr>
      <w:shd w:val="clear" w:color="auto" w:fill="EFEFEF" w:themeFill="accent5" w:themeFillTint="19"/>
    </w:tcPr>
    <w:tblStylePr w:type="firstRow">
      <w:rPr>
        <w:b/>
        <w:bCs/>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393939" w:themeFill="accent5" w:themeFillShade="99"/>
      </w:tcPr>
    </w:tblStylePr>
    <w:tblStylePr w:type="firstCol">
      <w:rPr>
        <w:color w:val="0072BC" w:themeColor="background1"/>
      </w:rPr>
      <w:tblPr/>
      <w:tcPr>
        <w:tcBorders>
          <w:top w:val="nil"/>
          <w:left w:val="nil"/>
          <w:bottom w:val="nil"/>
          <w:right w:val="nil"/>
          <w:insideH w:val="single" w:sz="4" w:space="0" w:color="393939" w:themeColor="accent5" w:themeShade="99"/>
          <w:insideV w:val="nil"/>
        </w:tcBorders>
        <w:shd w:val="clear" w:color="auto" w:fill="393939" w:themeFill="accent5" w:themeFillShade="99"/>
      </w:tcPr>
    </w:tblStylePr>
    <w:tblStylePr w:type="lastCol">
      <w:rPr>
        <w:color w:val="0072BC" w:themeColor="background1"/>
      </w:rPr>
      <w:tblPr/>
      <w:tcPr>
        <w:tcBorders>
          <w:top w:val="nil"/>
          <w:left w:val="nil"/>
          <w:bottom w:val="nil"/>
          <w:right w:val="nil"/>
          <w:insideH w:val="nil"/>
          <w:insideV w:val="nil"/>
        </w:tcBorders>
        <w:shd w:val="clear" w:color="auto" w:fill="393939" w:themeFill="accent5" w:themeFillShade="99"/>
      </w:tcPr>
    </w:tblStylePr>
    <w:tblStylePr w:type="band1Vert">
      <w:tblPr/>
      <w:tcPr>
        <w:shd w:val="clear" w:color="auto" w:fill="BFBFBF" w:themeFill="accent5" w:themeFillTint="66"/>
      </w:tcPr>
    </w:tblStylePr>
    <w:tblStylePr w:type="band1Horz">
      <w:tblPr/>
      <w:tcPr>
        <w:shd w:val="clear" w:color="auto" w:fill="AFAFAF"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9"/>
    <w:semiHidden/>
    <w:rsid w:val="0098410D"/>
    <w:rPr>
      <w:color w:val="000000" w:themeColor="text1"/>
    </w:rPr>
    <w:tblPr>
      <w:tblStyleRowBandSize w:val="1"/>
      <w:tblStyleColBandSize w:val="1"/>
      <w:tblBorders>
        <w:top w:val="single" w:sz="24" w:space="0" w:color="5F5F5F" w:themeColor="accent5"/>
        <w:left w:val="single" w:sz="4" w:space="0" w:color="4D4D4D" w:themeColor="accent6"/>
        <w:bottom w:val="single" w:sz="4" w:space="0" w:color="4D4D4D" w:themeColor="accent6"/>
        <w:right w:val="single" w:sz="4" w:space="0" w:color="4D4D4D" w:themeColor="accent6"/>
        <w:insideH w:val="single" w:sz="4" w:space="0" w:color="0072BC" w:themeColor="background1"/>
        <w:insideV w:val="single" w:sz="4" w:space="0" w:color="0072BC" w:themeColor="background1"/>
      </w:tblBorders>
    </w:tblPr>
    <w:tcPr>
      <w:shd w:val="clear" w:color="auto" w:fill="EDEDED" w:themeFill="accent6" w:themeFillTint="19"/>
    </w:tcPr>
    <w:tblStylePr w:type="firstRow">
      <w:rPr>
        <w:b/>
        <w:bCs/>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rPr>
        <w:b/>
        <w:bCs/>
        <w:color w:val="0072BC" w:themeColor="background1"/>
      </w:rPr>
      <w:tblPr/>
      <w:tcPr>
        <w:tcBorders>
          <w:top w:val="single" w:sz="6" w:space="0" w:color="0072BC" w:themeColor="background1"/>
        </w:tcBorders>
        <w:shd w:val="clear" w:color="auto" w:fill="2E2E2E" w:themeFill="accent6" w:themeFillShade="99"/>
      </w:tcPr>
    </w:tblStylePr>
    <w:tblStylePr w:type="firstCol">
      <w:rPr>
        <w:color w:val="0072BC" w:themeColor="background1"/>
      </w:rPr>
      <w:tblPr/>
      <w:tcPr>
        <w:tcBorders>
          <w:top w:val="nil"/>
          <w:left w:val="nil"/>
          <w:bottom w:val="nil"/>
          <w:right w:val="nil"/>
          <w:insideH w:val="single" w:sz="4" w:space="0" w:color="2E2E2E" w:themeColor="accent6" w:themeShade="99"/>
          <w:insideV w:val="nil"/>
        </w:tcBorders>
        <w:shd w:val="clear" w:color="auto" w:fill="2E2E2E" w:themeFill="accent6" w:themeFillShade="99"/>
      </w:tcPr>
    </w:tblStylePr>
    <w:tblStylePr w:type="lastCol">
      <w:rPr>
        <w:color w:val="0072BC" w:themeColor="background1"/>
      </w:rPr>
      <w:tblPr/>
      <w:tcPr>
        <w:tcBorders>
          <w:top w:val="nil"/>
          <w:left w:val="nil"/>
          <w:bottom w:val="nil"/>
          <w:right w:val="nil"/>
          <w:insideH w:val="nil"/>
          <w:insideV w:val="nil"/>
        </w:tcBorders>
        <w:shd w:val="clear" w:color="auto" w:fill="2E2E2E" w:themeFill="accent6" w:themeFillShade="99"/>
      </w:tcPr>
    </w:tblStylePr>
    <w:tblStylePr w:type="band1Vert">
      <w:tblPr/>
      <w:tcPr>
        <w:shd w:val="clear" w:color="auto" w:fill="B7B7B7" w:themeFill="accent6" w:themeFillTint="66"/>
      </w:tcPr>
    </w:tblStylePr>
    <w:tblStylePr w:type="band1Horz">
      <w:tblPr/>
      <w:tcPr>
        <w:shd w:val="clear" w:color="auto" w:fill="A6A6A6"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9"/>
    <w:semiHidden/>
    <w:rsid w:val="0098410D"/>
    <w:rPr>
      <w:sz w:val="16"/>
      <w:szCs w:val="16"/>
    </w:rPr>
  </w:style>
  <w:style w:type="paragraph" w:styleId="CommentText">
    <w:name w:val="annotation text"/>
    <w:basedOn w:val="Normal"/>
    <w:link w:val="CommentTextChar"/>
    <w:uiPriority w:val="99"/>
    <w:semiHidden/>
    <w:rsid w:val="0098410D"/>
    <w:rPr>
      <w:sz w:val="20"/>
      <w:szCs w:val="20"/>
    </w:rPr>
  </w:style>
  <w:style w:type="character" w:customStyle="1" w:styleId="CommentTextChar">
    <w:name w:val="Comment Text Char"/>
    <w:basedOn w:val="DefaultParagraphFont"/>
    <w:link w:val="CommentText"/>
    <w:uiPriority w:val="99"/>
    <w:semiHidden/>
    <w:rsid w:val="0098410D"/>
    <w:rPr>
      <w:rFonts w:eastAsiaTheme="minorEastAsia"/>
      <w:sz w:val="20"/>
      <w:szCs w:val="20"/>
    </w:rPr>
  </w:style>
  <w:style w:type="paragraph" w:styleId="CommentSubject">
    <w:name w:val="annotation subject"/>
    <w:basedOn w:val="CommentText"/>
    <w:next w:val="CommentText"/>
    <w:link w:val="CommentSubjectChar"/>
    <w:uiPriority w:val="99"/>
    <w:semiHidden/>
    <w:rsid w:val="0098410D"/>
    <w:rPr>
      <w:b/>
      <w:bCs/>
    </w:rPr>
  </w:style>
  <w:style w:type="character" w:customStyle="1" w:styleId="CommentSubjectChar">
    <w:name w:val="Comment Subject Char"/>
    <w:basedOn w:val="CommentTextChar"/>
    <w:link w:val="CommentSubject"/>
    <w:uiPriority w:val="99"/>
    <w:semiHidden/>
    <w:rsid w:val="0098410D"/>
    <w:rPr>
      <w:rFonts w:eastAsiaTheme="minorEastAsia"/>
      <w:b/>
      <w:bCs/>
      <w:sz w:val="20"/>
      <w:szCs w:val="20"/>
    </w:rPr>
  </w:style>
  <w:style w:type="table" w:styleId="DarkList">
    <w:name w:val="Dark List"/>
    <w:basedOn w:val="TableNormal"/>
    <w:uiPriority w:val="99"/>
    <w:semiHidden/>
    <w:rsid w:val="0098410D"/>
    <w:rPr>
      <w:color w:val="0072BC"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0072BC" w:themeColor="background1"/>
          <w:insideH w:val="nil"/>
          <w:insideV w:val="nil"/>
        </w:tcBorders>
        <w:shd w:val="clear" w:color="auto" w:fill="000000" w:themeFill="text1" w:themeFillShade="BF"/>
      </w:tcPr>
    </w:tblStylePr>
    <w:tblStylePr w:type="lastCol">
      <w:tblPr/>
      <w:tcPr>
        <w:tcBorders>
          <w:top w:val="nil"/>
          <w:left w:val="single" w:sz="18" w:space="0" w:color="0072BC"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9"/>
    <w:semiHidden/>
    <w:rsid w:val="0098410D"/>
    <w:rPr>
      <w:color w:val="0072BC" w:themeColor="background1"/>
    </w:rPr>
    <w:tblPr>
      <w:tblStyleRowBandSize w:val="1"/>
      <w:tblStyleColBandSize w:val="1"/>
    </w:tblPr>
    <w:tcPr>
      <w:shd w:val="clear" w:color="auto" w:fill="0072BC" w:themeFill="accent1"/>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00385D" w:themeFill="accent1" w:themeFillShade="7F"/>
      </w:tcPr>
    </w:tblStylePr>
    <w:tblStylePr w:type="firstCol">
      <w:tblPr/>
      <w:tcPr>
        <w:tcBorders>
          <w:top w:val="nil"/>
          <w:left w:val="nil"/>
          <w:bottom w:val="nil"/>
          <w:right w:val="single" w:sz="18" w:space="0" w:color="0072BC" w:themeColor="background1"/>
          <w:insideH w:val="nil"/>
          <w:insideV w:val="nil"/>
        </w:tcBorders>
        <w:shd w:val="clear" w:color="auto" w:fill="00548C" w:themeFill="accent1" w:themeFillShade="BF"/>
      </w:tcPr>
    </w:tblStylePr>
    <w:tblStylePr w:type="lastCol">
      <w:tblPr/>
      <w:tcPr>
        <w:tcBorders>
          <w:top w:val="nil"/>
          <w:left w:val="single" w:sz="18" w:space="0" w:color="0072BC" w:themeColor="background1"/>
          <w:bottom w:val="nil"/>
          <w:right w:val="nil"/>
          <w:insideH w:val="nil"/>
          <w:insideV w:val="nil"/>
        </w:tcBorders>
        <w:shd w:val="clear" w:color="auto" w:fill="00548C" w:themeFill="accent1" w:themeFillShade="BF"/>
      </w:tcPr>
    </w:tblStylePr>
    <w:tblStylePr w:type="band1Vert">
      <w:tblPr/>
      <w:tcPr>
        <w:tcBorders>
          <w:top w:val="nil"/>
          <w:left w:val="nil"/>
          <w:bottom w:val="nil"/>
          <w:right w:val="nil"/>
          <w:insideH w:val="nil"/>
          <w:insideV w:val="nil"/>
        </w:tcBorders>
        <w:shd w:val="clear" w:color="auto" w:fill="00548C" w:themeFill="accent1" w:themeFillShade="BF"/>
      </w:tcPr>
    </w:tblStylePr>
    <w:tblStylePr w:type="band1Horz">
      <w:tblPr/>
      <w:tcPr>
        <w:tcBorders>
          <w:top w:val="nil"/>
          <w:left w:val="nil"/>
          <w:bottom w:val="nil"/>
          <w:right w:val="nil"/>
          <w:insideH w:val="nil"/>
          <w:insideV w:val="nil"/>
        </w:tcBorders>
        <w:shd w:val="clear" w:color="auto" w:fill="00548C" w:themeFill="accent1" w:themeFillShade="BF"/>
      </w:tcPr>
    </w:tblStylePr>
  </w:style>
  <w:style w:type="table" w:styleId="DarkList-Accent2">
    <w:name w:val="Dark List Accent 2"/>
    <w:basedOn w:val="TableNormal"/>
    <w:uiPriority w:val="99"/>
    <w:semiHidden/>
    <w:rsid w:val="0098410D"/>
    <w:rPr>
      <w:color w:val="0072BC" w:themeColor="background1"/>
    </w:rPr>
    <w:tblPr>
      <w:tblStyleRowBandSize w:val="1"/>
      <w:tblStyleColBandSize w:val="1"/>
    </w:tblPr>
    <w:tcPr>
      <w:shd w:val="clear" w:color="auto" w:fill="C00000" w:themeFill="accent2"/>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5F0000" w:themeFill="accent2" w:themeFillShade="7F"/>
      </w:tcPr>
    </w:tblStylePr>
    <w:tblStylePr w:type="firstCol">
      <w:tblPr/>
      <w:tcPr>
        <w:tcBorders>
          <w:top w:val="nil"/>
          <w:left w:val="nil"/>
          <w:bottom w:val="nil"/>
          <w:right w:val="single" w:sz="18" w:space="0" w:color="0072BC" w:themeColor="background1"/>
          <w:insideH w:val="nil"/>
          <w:insideV w:val="nil"/>
        </w:tcBorders>
        <w:shd w:val="clear" w:color="auto" w:fill="8F0000" w:themeFill="accent2" w:themeFillShade="BF"/>
      </w:tcPr>
    </w:tblStylePr>
    <w:tblStylePr w:type="lastCol">
      <w:tblPr/>
      <w:tcPr>
        <w:tcBorders>
          <w:top w:val="nil"/>
          <w:left w:val="single" w:sz="18" w:space="0" w:color="0072BC" w:themeColor="background1"/>
          <w:bottom w:val="nil"/>
          <w:right w:val="nil"/>
          <w:insideH w:val="nil"/>
          <w:insideV w:val="nil"/>
        </w:tcBorders>
        <w:shd w:val="clear" w:color="auto" w:fill="8F0000" w:themeFill="accent2" w:themeFillShade="BF"/>
      </w:tcPr>
    </w:tblStylePr>
    <w:tblStylePr w:type="band1Vert">
      <w:tblPr/>
      <w:tcPr>
        <w:tcBorders>
          <w:top w:val="nil"/>
          <w:left w:val="nil"/>
          <w:bottom w:val="nil"/>
          <w:right w:val="nil"/>
          <w:insideH w:val="nil"/>
          <w:insideV w:val="nil"/>
        </w:tcBorders>
        <w:shd w:val="clear" w:color="auto" w:fill="8F0000" w:themeFill="accent2" w:themeFillShade="BF"/>
      </w:tcPr>
    </w:tblStylePr>
    <w:tblStylePr w:type="band1Horz">
      <w:tblPr/>
      <w:tcPr>
        <w:tcBorders>
          <w:top w:val="nil"/>
          <w:left w:val="nil"/>
          <w:bottom w:val="nil"/>
          <w:right w:val="nil"/>
          <w:insideH w:val="nil"/>
          <w:insideV w:val="nil"/>
        </w:tcBorders>
        <w:shd w:val="clear" w:color="auto" w:fill="8F0000" w:themeFill="accent2" w:themeFillShade="BF"/>
      </w:tcPr>
    </w:tblStylePr>
  </w:style>
  <w:style w:type="table" w:styleId="DarkList-Accent3">
    <w:name w:val="Dark List Accent 3"/>
    <w:basedOn w:val="TableNormal"/>
    <w:uiPriority w:val="99"/>
    <w:semiHidden/>
    <w:rsid w:val="0098410D"/>
    <w:rPr>
      <w:color w:val="0072BC" w:themeColor="background1"/>
    </w:rPr>
    <w:tblPr>
      <w:tblStyleRowBandSize w:val="1"/>
      <w:tblStyleColBandSize w:val="1"/>
    </w:tblPr>
    <w:tcPr>
      <w:shd w:val="clear" w:color="auto" w:fill="5F5F5F" w:themeFill="accent3"/>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3"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3"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3" w:themeFillShade="BF"/>
      </w:tcPr>
    </w:tblStylePr>
    <w:tblStylePr w:type="band1Vert">
      <w:tblPr/>
      <w:tcPr>
        <w:tcBorders>
          <w:top w:val="nil"/>
          <w:left w:val="nil"/>
          <w:bottom w:val="nil"/>
          <w:right w:val="nil"/>
          <w:insideH w:val="nil"/>
          <w:insideV w:val="nil"/>
        </w:tcBorders>
        <w:shd w:val="clear" w:color="auto" w:fill="474747" w:themeFill="accent3" w:themeFillShade="BF"/>
      </w:tcPr>
    </w:tblStylePr>
    <w:tblStylePr w:type="band1Horz">
      <w:tblPr/>
      <w:tcPr>
        <w:tcBorders>
          <w:top w:val="nil"/>
          <w:left w:val="nil"/>
          <w:bottom w:val="nil"/>
          <w:right w:val="nil"/>
          <w:insideH w:val="nil"/>
          <w:insideV w:val="nil"/>
        </w:tcBorders>
        <w:shd w:val="clear" w:color="auto" w:fill="474747" w:themeFill="accent3" w:themeFillShade="BF"/>
      </w:tcPr>
    </w:tblStylePr>
  </w:style>
  <w:style w:type="table" w:styleId="DarkList-Accent4">
    <w:name w:val="Dark List Accent 4"/>
    <w:basedOn w:val="TableNormal"/>
    <w:uiPriority w:val="99"/>
    <w:semiHidden/>
    <w:rsid w:val="0098410D"/>
    <w:rPr>
      <w:color w:val="0072BC" w:themeColor="background1"/>
    </w:rPr>
    <w:tblPr>
      <w:tblStyleRowBandSize w:val="1"/>
      <w:tblStyleColBandSize w:val="1"/>
    </w:tblPr>
    <w:tcPr>
      <w:shd w:val="clear" w:color="auto" w:fill="969696" w:themeFill="accent4"/>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4A4A4A" w:themeFill="accent4" w:themeFillShade="7F"/>
      </w:tcPr>
    </w:tblStylePr>
    <w:tblStylePr w:type="firstCol">
      <w:tblPr/>
      <w:tcPr>
        <w:tcBorders>
          <w:top w:val="nil"/>
          <w:left w:val="nil"/>
          <w:bottom w:val="nil"/>
          <w:right w:val="single" w:sz="18" w:space="0" w:color="0072BC" w:themeColor="background1"/>
          <w:insideH w:val="nil"/>
          <w:insideV w:val="nil"/>
        </w:tcBorders>
        <w:shd w:val="clear" w:color="auto" w:fill="707070" w:themeFill="accent4" w:themeFillShade="BF"/>
      </w:tcPr>
    </w:tblStylePr>
    <w:tblStylePr w:type="lastCol">
      <w:tblPr/>
      <w:tcPr>
        <w:tcBorders>
          <w:top w:val="nil"/>
          <w:left w:val="single" w:sz="18" w:space="0" w:color="0072BC" w:themeColor="background1"/>
          <w:bottom w:val="nil"/>
          <w:right w:val="nil"/>
          <w:insideH w:val="nil"/>
          <w:insideV w:val="nil"/>
        </w:tcBorders>
        <w:shd w:val="clear" w:color="auto" w:fill="707070" w:themeFill="accent4" w:themeFillShade="BF"/>
      </w:tcPr>
    </w:tblStylePr>
    <w:tblStylePr w:type="band1Vert">
      <w:tblPr/>
      <w:tcPr>
        <w:tcBorders>
          <w:top w:val="nil"/>
          <w:left w:val="nil"/>
          <w:bottom w:val="nil"/>
          <w:right w:val="nil"/>
          <w:insideH w:val="nil"/>
          <w:insideV w:val="nil"/>
        </w:tcBorders>
        <w:shd w:val="clear" w:color="auto" w:fill="707070" w:themeFill="accent4" w:themeFillShade="BF"/>
      </w:tcPr>
    </w:tblStylePr>
    <w:tblStylePr w:type="band1Horz">
      <w:tblPr/>
      <w:tcPr>
        <w:tcBorders>
          <w:top w:val="nil"/>
          <w:left w:val="nil"/>
          <w:bottom w:val="nil"/>
          <w:right w:val="nil"/>
          <w:insideH w:val="nil"/>
          <w:insideV w:val="nil"/>
        </w:tcBorders>
        <w:shd w:val="clear" w:color="auto" w:fill="707070" w:themeFill="accent4" w:themeFillShade="BF"/>
      </w:tcPr>
    </w:tblStylePr>
  </w:style>
  <w:style w:type="table" w:styleId="DarkList-Accent5">
    <w:name w:val="Dark List Accent 5"/>
    <w:basedOn w:val="TableNormal"/>
    <w:uiPriority w:val="99"/>
    <w:semiHidden/>
    <w:rsid w:val="0098410D"/>
    <w:rPr>
      <w:color w:val="0072BC" w:themeColor="background1"/>
    </w:rPr>
    <w:tblPr>
      <w:tblStyleRowBandSize w:val="1"/>
      <w:tblStyleColBandSize w:val="1"/>
    </w:tblPr>
    <w:tcPr>
      <w:shd w:val="clear" w:color="auto" w:fill="5F5F5F" w:themeFill="accent5"/>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F2F2F" w:themeFill="accent5" w:themeFillShade="7F"/>
      </w:tcPr>
    </w:tblStylePr>
    <w:tblStylePr w:type="firstCol">
      <w:tblPr/>
      <w:tcPr>
        <w:tcBorders>
          <w:top w:val="nil"/>
          <w:left w:val="nil"/>
          <w:bottom w:val="nil"/>
          <w:right w:val="single" w:sz="18" w:space="0" w:color="0072BC" w:themeColor="background1"/>
          <w:insideH w:val="nil"/>
          <w:insideV w:val="nil"/>
        </w:tcBorders>
        <w:shd w:val="clear" w:color="auto" w:fill="474747" w:themeFill="accent5" w:themeFillShade="BF"/>
      </w:tcPr>
    </w:tblStylePr>
    <w:tblStylePr w:type="lastCol">
      <w:tblPr/>
      <w:tcPr>
        <w:tcBorders>
          <w:top w:val="nil"/>
          <w:left w:val="single" w:sz="18" w:space="0" w:color="0072BC" w:themeColor="background1"/>
          <w:bottom w:val="nil"/>
          <w:right w:val="nil"/>
          <w:insideH w:val="nil"/>
          <w:insideV w:val="nil"/>
        </w:tcBorders>
        <w:shd w:val="clear" w:color="auto" w:fill="474747" w:themeFill="accent5" w:themeFillShade="BF"/>
      </w:tcPr>
    </w:tblStylePr>
    <w:tblStylePr w:type="band1Vert">
      <w:tblPr/>
      <w:tcPr>
        <w:tcBorders>
          <w:top w:val="nil"/>
          <w:left w:val="nil"/>
          <w:bottom w:val="nil"/>
          <w:right w:val="nil"/>
          <w:insideH w:val="nil"/>
          <w:insideV w:val="nil"/>
        </w:tcBorders>
        <w:shd w:val="clear" w:color="auto" w:fill="474747" w:themeFill="accent5" w:themeFillShade="BF"/>
      </w:tcPr>
    </w:tblStylePr>
    <w:tblStylePr w:type="band1Horz">
      <w:tblPr/>
      <w:tcPr>
        <w:tcBorders>
          <w:top w:val="nil"/>
          <w:left w:val="nil"/>
          <w:bottom w:val="nil"/>
          <w:right w:val="nil"/>
          <w:insideH w:val="nil"/>
          <w:insideV w:val="nil"/>
        </w:tcBorders>
        <w:shd w:val="clear" w:color="auto" w:fill="474747" w:themeFill="accent5" w:themeFillShade="BF"/>
      </w:tcPr>
    </w:tblStylePr>
  </w:style>
  <w:style w:type="table" w:styleId="DarkList-Accent6">
    <w:name w:val="Dark List Accent 6"/>
    <w:basedOn w:val="TableNormal"/>
    <w:uiPriority w:val="99"/>
    <w:semiHidden/>
    <w:rsid w:val="0098410D"/>
    <w:rPr>
      <w:color w:val="0072BC" w:themeColor="background1"/>
    </w:rPr>
    <w:tblPr>
      <w:tblStyleRowBandSize w:val="1"/>
      <w:tblStyleColBandSize w:val="1"/>
    </w:tblPr>
    <w:tcPr>
      <w:shd w:val="clear" w:color="auto" w:fill="4D4D4D" w:themeFill="accent6"/>
    </w:tcPr>
    <w:tblStylePr w:type="firstRow">
      <w:rPr>
        <w:b/>
        <w:bCs/>
      </w:rPr>
      <w:tblPr/>
      <w:tcPr>
        <w:tcBorders>
          <w:top w:val="nil"/>
          <w:left w:val="nil"/>
          <w:bottom w:val="single" w:sz="18" w:space="0" w:color="0072BC" w:themeColor="background1"/>
          <w:right w:val="nil"/>
          <w:insideH w:val="nil"/>
          <w:insideV w:val="nil"/>
        </w:tcBorders>
        <w:shd w:val="clear" w:color="auto" w:fill="000000" w:themeFill="text1"/>
      </w:tcPr>
    </w:tblStylePr>
    <w:tblStylePr w:type="lastRow">
      <w:tblPr/>
      <w:tcPr>
        <w:tcBorders>
          <w:top w:val="single" w:sz="18" w:space="0" w:color="0072BC" w:themeColor="background1"/>
          <w:left w:val="nil"/>
          <w:bottom w:val="nil"/>
          <w:right w:val="nil"/>
          <w:insideH w:val="nil"/>
          <w:insideV w:val="nil"/>
        </w:tcBorders>
        <w:shd w:val="clear" w:color="auto" w:fill="262626" w:themeFill="accent6" w:themeFillShade="7F"/>
      </w:tcPr>
    </w:tblStylePr>
    <w:tblStylePr w:type="firstCol">
      <w:tblPr/>
      <w:tcPr>
        <w:tcBorders>
          <w:top w:val="nil"/>
          <w:left w:val="nil"/>
          <w:bottom w:val="nil"/>
          <w:right w:val="single" w:sz="18" w:space="0" w:color="0072BC" w:themeColor="background1"/>
          <w:insideH w:val="nil"/>
          <w:insideV w:val="nil"/>
        </w:tcBorders>
        <w:shd w:val="clear" w:color="auto" w:fill="393939" w:themeFill="accent6" w:themeFillShade="BF"/>
      </w:tcPr>
    </w:tblStylePr>
    <w:tblStylePr w:type="lastCol">
      <w:tblPr/>
      <w:tcPr>
        <w:tcBorders>
          <w:top w:val="nil"/>
          <w:left w:val="single" w:sz="18" w:space="0" w:color="0072BC" w:themeColor="background1"/>
          <w:bottom w:val="nil"/>
          <w:right w:val="nil"/>
          <w:insideH w:val="nil"/>
          <w:insideV w:val="nil"/>
        </w:tcBorders>
        <w:shd w:val="clear" w:color="auto" w:fill="393939" w:themeFill="accent6" w:themeFillShade="BF"/>
      </w:tcPr>
    </w:tblStylePr>
    <w:tblStylePr w:type="band1Vert">
      <w:tblPr/>
      <w:tcPr>
        <w:tcBorders>
          <w:top w:val="nil"/>
          <w:left w:val="nil"/>
          <w:bottom w:val="nil"/>
          <w:right w:val="nil"/>
          <w:insideH w:val="nil"/>
          <w:insideV w:val="nil"/>
        </w:tcBorders>
        <w:shd w:val="clear" w:color="auto" w:fill="393939" w:themeFill="accent6" w:themeFillShade="BF"/>
      </w:tcPr>
    </w:tblStylePr>
    <w:tblStylePr w:type="band1Horz">
      <w:tblPr/>
      <w:tcPr>
        <w:tcBorders>
          <w:top w:val="nil"/>
          <w:left w:val="nil"/>
          <w:bottom w:val="nil"/>
          <w:right w:val="nil"/>
          <w:insideH w:val="nil"/>
          <w:insideV w:val="nil"/>
        </w:tcBorders>
        <w:shd w:val="clear" w:color="auto" w:fill="393939" w:themeFill="accent6" w:themeFillShade="BF"/>
      </w:tcPr>
    </w:tblStylePr>
  </w:style>
  <w:style w:type="paragraph" w:styleId="Date">
    <w:name w:val="Date"/>
    <w:basedOn w:val="Normal"/>
    <w:next w:val="Normal"/>
    <w:link w:val="DateChar"/>
    <w:uiPriority w:val="99"/>
    <w:semiHidden/>
    <w:rsid w:val="0098410D"/>
  </w:style>
  <w:style w:type="character" w:customStyle="1" w:styleId="DateChar">
    <w:name w:val="Date Char"/>
    <w:basedOn w:val="DefaultParagraphFont"/>
    <w:link w:val="Date"/>
    <w:uiPriority w:val="99"/>
    <w:semiHidden/>
    <w:rsid w:val="0098410D"/>
    <w:rPr>
      <w:rFonts w:eastAsiaTheme="minorEastAsia"/>
      <w:sz w:val="24"/>
    </w:rPr>
  </w:style>
  <w:style w:type="paragraph" w:styleId="DocumentMap">
    <w:name w:val="Document Map"/>
    <w:basedOn w:val="Normal"/>
    <w:link w:val="DocumentMapChar"/>
    <w:uiPriority w:val="99"/>
    <w:semiHidden/>
    <w:rsid w:val="0098410D"/>
    <w:rPr>
      <w:rFonts w:ascii="Tahoma" w:hAnsi="Tahoma" w:cs="Tahoma"/>
      <w:sz w:val="16"/>
      <w:szCs w:val="16"/>
    </w:rPr>
  </w:style>
  <w:style w:type="character" w:customStyle="1" w:styleId="DocumentMapChar">
    <w:name w:val="Document Map Char"/>
    <w:basedOn w:val="DefaultParagraphFont"/>
    <w:link w:val="DocumentMap"/>
    <w:uiPriority w:val="99"/>
    <w:semiHidden/>
    <w:rsid w:val="0098410D"/>
    <w:rPr>
      <w:rFonts w:ascii="Tahoma" w:eastAsiaTheme="minorEastAsia" w:hAnsi="Tahoma" w:cs="Tahoma"/>
      <w:sz w:val="16"/>
      <w:szCs w:val="16"/>
    </w:rPr>
  </w:style>
  <w:style w:type="paragraph" w:styleId="E-mailSignature">
    <w:name w:val="E-mail Signature"/>
    <w:basedOn w:val="Normal"/>
    <w:link w:val="E-mailSignatureChar"/>
    <w:uiPriority w:val="99"/>
    <w:semiHidden/>
    <w:rsid w:val="0098410D"/>
  </w:style>
  <w:style w:type="character" w:customStyle="1" w:styleId="E-mailSignatureChar">
    <w:name w:val="E-mail Signature Char"/>
    <w:basedOn w:val="DefaultParagraphFont"/>
    <w:link w:val="E-mailSignature"/>
    <w:uiPriority w:val="99"/>
    <w:semiHidden/>
    <w:rsid w:val="0098410D"/>
    <w:rPr>
      <w:rFonts w:eastAsiaTheme="minorEastAsia"/>
      <w:sz w:val="24"/>
    </w:rPr>
  </w:style>
  <w:style w:type="character" w:styleId="EndnoteReference">
    <w:name w:val="endnote reference"/>
    <w:basedOn w:val="DefaultParagraphFont"/>
    <w:uiPriority w:val="99"/>
    <w:semiHidden/>
    <w:rsid w:val="0001240D"/>
    <w:rPr>
      <w:vertAlign w:val="superscript"/>
    </w:rPr>
  </w:style>
  <w:style w:type="paragraph" w:styleId="EndnoteText">
    <w:name w:val="endnote text"/>
    <w:basedOn w:val="Normal"/>
    <w:link w:val="EndnoteTextChar"/>
    <w:uiPriority w:val="99"/>
    <w:semiHidden/>
    <w:rsid w:val="0001240D"/>
    <w:rPr>
      <w:sz w:val="20"/>
      <w:szCs w:val="20"/>
    </w:rPr>
  </w:style>
  <w:style w:type="character" w:customStyle="1" w:styleId="EndnoteTextChar">
    <w:name w:val="Endnote Text Char"/>
    <w:basedOn w:val="DefaultParagraphFont"/>
    <w:link w:val="EndnoteText"/>
    <w:uiPriority w:val="99"/>
    <w:semiHidden/>
    <w:rsid w:val="0001240D"/>
    <w:rPr>
      <w:rFonts w:eastAsiaTheme="minorEastAsia"/>
      <w:sz w:val="20"/>
      <w:szCs w:val="20"/>
      <w:lang w:val="bg-BG"/>
    </w:rPr>
  </w:style>
  <w:style w:type="paragraph" w:styleId="EnvelopeAddress">
    <w:name w:val="envelope address"/>
    <w:basedOn w:val="Normal"/>
    <w:uiPriority w:val="99"/>
    <w:semiHidden/>
    <w:rsid w:val="0098410D"/>
    <w:pPr>
      <w:framePr w:w="7938" w:h="1985" w:hRule="exact" w:hSpace="141" w:wrap="auto" w:hAnchor="page" w:xAlign="center" w:yAlign="bottom"/>
      <w:ind w:left="2835"/>
    </w:pPr>
    <w:rPr>
      <w:rFonts w:asciiTheme="majorHAnsi" w:eastAsiaTheme="majorEastAsia" w:hAnsiTheme="majorHAnsi" w:cstheme="majorBidi"/>
      <w:szCs w:val="24"/>
    </w:rPr>
  </w:style>
  <w:style w:type="paragraph" w:styleId="EnvelopeReturn">
    <w:name w:val="envelope return"/>
    <w:basedOn w:val="Normal"/>
    <w:uiPriority w:val="99"/>
    <w:semiHidden/>
    <w:rsid w:val="0098410D"/>
    <w:rPr>
      <w:rFonts w:asciiTheme="majorHAnsi" w:eastAsiaTheme="majorEastAsia" w:hAnsiTheme="majorHAnsi" w:cstheme="majorBidi"/>
      <w:sz w:val="20"/>
      <w:szCs w:val="20"/>
    </w:rPr>
  </w:style>
  <w:style w:type="character" w:styleId="FollowedHyperlink">
    <w:name w:val="FollowedHyperlink"/>
    <w:basedOn w:val="DefaultParagraphFont"/>
    <w:uiPriority w:val="99"/>
    <w:semiHidden/>
    <w:rsid w:val="0098410D"/>
    <w:rPr>
      <w:color w:val="7030A0" w:themeColor="followedHyperlink"/>
      <w:u w:val="single"/>
    </w:rPr>
  </w:style>
  <w:style w:type="character" w:styleId="HTMLAcronym">
    <w:name w:val="HTML Acronym"/>
    <w:basedOn w:val="DefaultParagraphFont"/>
    <w:uiPriority w:val="99"/>
    <w:semiHidden/>
    <w:rsid w:val="0098410D"/>
  </w:style>
  <w:style w:type="paragraph" w:styleId="HTMLAddress">
    <w:name w:val="HTML Address"/>
    <w:basedOn w:val="Normal"/>
    <w:link w:val="HTMLAddressChar"/>
    <w:uiPriority w:val="99"/>
    <w:semiHidden/>
    <w:rsid w:val="0098410D"/>
    <w:rPr>
      <w:i/>
      <w:iCs/>
    </w:rPr>
  </w:style>
  <w:style w:type="character" w:customStyle="1" w:styleId="HTMLAddressChar">
    <w:name w:val="HTML Address Char"/>
    <w:basedOn w:val="DefaultParagraphFont"/>
    <w:link w:val="HTMLAddress"/>
    <w:uiPriority w:val="99"/>
    <w:semiHidden/>
    <w:rsid w:val="0098410D"/>
    <w:rPr>
      <w:rFonts w:eastAsiaTheme="minorEastAsia"/>
      <w:i/>
      <w:iCs/>
      <w:sz w:val="24"/>
    </w:rPr>
  </w:style>
  <w:style w:type="character" w:styleId="HTMLCite">
    <w:name w:val="HTML Cite"/>
    <w:basedOn w:val="DefaultParagraphFont"/>
    <w:uiPriority w:val="99"/>
    <w:semiHidden/>
    <w:rsid w:val="0098410D"/>
    <w:rPr>
      <w:i/>
      <w:iCs/>
    </w:rPr>
  </w:style>
  <w:style w:type="character" w:styleId="HTMLCode">
    <w:name w:val="HTML Code"/>
    <w:basedOn w:val="DefaultParagraphFont"/>
    <w:uiPriority w:val="99"/>
    <w:semiHidden/>
    <w:rsid w:val="0098410D"/>
    <w:rPr>
      <w:rFonts w:ascii="Consolas" w:hAnsi="Consolas" w:cs="Consolas"/>
      <w:sz w:val="20"/>
      <w:szCs w:val="20"/>
    </w:rPr>
  </w:style>
  <w:style w:type="character" w:styleId="HTMLDefinition">
    <w:name w:val="HTML Definition"/>
    <w:basedOn w:val="DefaultParagraphFont"/>
    <w:uiPriority w:val="99"/>
    <w:semiHidden/>
    <w:rsid w:val="0098410D"/>
    <w:rPr>
      <w:i/>
      <w:iCs/>
    </w:rPr>
  </w:style>
  <w:style w:type="character" w:styleId="HTMLKeyboard">
    <w:name w:val="HTML Keyboard"/>
    <w:basedOn w:val="DefaultParagraphFont"/>
    <w:uiPriority w:val="99"/>
    <w:semiHidden/>
    <w:rsid w:val="0098410D"/>
    <w:rPr>
      <w:rFonts w:ascii="Consolas" w:hAnsi="Consolas" w:cs="Consolas"/>
      <w:sz w:val="20"/>
      <w:szCs w:val="20"/>
    </w:rPr>
  </w:style>
  <w:style w:type="paragraph" w:styleId="HTMLPreformatted">
    <w:name w:val="HTML Preformatted"/>
    <w:basedOn w:val="Normal"/>
    <w:link w:val="HTMLPreformattedChar"/>
    <w:uiPriority w:val="99"/>
    <w:semiHidden/>
    <w:rsid w:val="0098410D"/>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98410D"/>
    <w:rPr>
      <w:rFonts w:ascii="Consolas" w:eastAsiaTheme="minorEastAsia" w:hAnsi="Consolas" w:cs="Consolas"/>
      <w:sz w:val="20"/>
      <w:szCs w:val="20"/>
    </w:rPr>
  </w:style>
  <w:style w:type="character" w:styleId="HTMLSample">
    <w:name w:val="HTML Sample"/>
    <w:basedOn w:val="DefaultParagraphFont"/>
    <w:uiPriority w:val="99"/>
    <w:semiHidden/>
    <w:rsid w:val="0098410D"/>
    <w:rPr>
      <w:rFonts w:ascii="Consolas" w:hAnsi="Consolas" w:cs="Consolas"/>
      <w:sz w:val="24"/>
      <w:szCs w:val="24"/>
    </w:rPr>
  </w:style>
  <w:style w:type="character" w:styleId="HTMLTypewriter">
    <w:name w:val="HTML Typewriter"/>
    <w:basedOn w:val="DefaultParagraphFont"/>
    <w:uiPriority w:val="99"/>
    <w:semiHidden/>
    <w:rsid w:val="0098410D"/>
    <w:rPr>
      <w:rFonts w:ascii="Consolas" w:hAnsi="Consolas" w:cs="Consolas"/>
      <w:sz w:val="20"/>
      <w:szCs w:val="20"/>
    </w:rPr>
  </w:style>
  <w:style w:type="character" w:styleId="HTMLVariable">
    <w:name w:val="HTML Variable"/>
    <w:basedOn w:val="DefaultParagraphFont"/>
    <w:uiPriority w:val="99"/>
    <w:semiHidden/>
    <w:rsid w:val="0098410D"/>
    <w:rPr>
      <w:i/>
      <w:iCs/>
    </w:rPr>
  </w:style>
  <w:style w:type="paragraph" w:styleId="Index1">
    <w:name w:val="index 1"/>
    <w:basedOn w:val="Normal"/>
    <w:next w:val="Normal"/>
    <w:autoRedefine/>
    <w:uiPriority w:val="99"/>
    <w:semiHidden/>
    <w:rsid w:val="0098410D"/>
    <w:pPr>
      <w:ind w:left="240" w:hanging="240"/>
    </w:pPr>
  </w:style>
  <w:style w:type="paragraph" w:styleId="Index2">
    <w:name w:val="index 2"/>
    <w:basedOn w:val="Normal"/>
    <w:next w:val="Normal"/>
    <w:autoRedefine/>
    <w:uiPriority w:val="99"/>
    <w:semiHidden/>
    <w:rsid w:val="0098410D"/>
    <w:pPr>
      <w:ind w:left="480" w:hanging="240"/>
    </w:pPr>
  </w:style>
  <w:style w:type="paragraph" w:styleId="Index3">
    <w:name w:val="index 3"/>
    <w:basedOn w:val="Normal"/>
    <w:next w:val="Normal"/>
    <w:autoRedefine/>
    <w:uiPriority w:val="99"/>
    <w:semiHidden/>
    <w:rsid w:val="0098410D"/>
    <w:pPr>
      <w:ind w:left="720" w:hanging="240"/>
    </w:pPr>
  </w:style>
  <w:style w:type="paragraph" w:styleId="Index4">
    <w:name w:val="index 4"/>
    <w:basedOn w:val="Normal"/>
    <w:next w:val="Normal"/>
    <w:autoRedefine/>
    <w:uiPriority w:val="99"/>
    <w:semiHidden/>
    <w:rsid w:val="0098410D"/>
    <w:pPr>
      <w:ind w:left="960" w:hanging="240"/>
    </w:pPr>
  </w:style>
  <w:style w:type="paragraph" w:styleId="Index5">
    <w:name w:val="index 5"/>
    <w:basedOn w:val="Normal"/>
    <w:next w:val="Normal"/>
    <w:autoRedefine/>
    <w:uiPriority w:val="99"/>
    <w:semiHidden/>
    <w:rsid w:val="0098410D"/>
    <w:pPr>
      <w:ind w:left="1200" w:hanging="240"/>
    </w:pPr>
  </w:style>
  <w:style w:type="paragraph" w:styleId="Index6">
    <w:name w:val="index 6"/>
    <w:basedOn w:val="Normal"/>
    <w:next w:val="Normal"/>
    <w:autoRedefine/>
    <w:uiPriority w:val="99"/>
    <w:semiHidden/>
    <w:rsid w:val="0098410D"/>
    <w:pPr>
      <w:ind w:left="1440" w:hanging="240"/>
    </w:pPr>
  </w:style>
  <w:style w:type="paragraph" w:styleId="Index7">
    <w:name w:val="index 7"/>
    <w:basedOn w:val="Normal"/>
    <w:next w:val="Normal"/>
    <w:autoRedefine/>
    <w:uiPriority w:val="99"/>
    <w:semiHidden/>
    <w:rsid w:val="0098410D"/>
    <w:pPr>
      <w:ind w:left="1680" w:hanging="240"/>
    </w:pPr>
  </w:style>
  <w:style w:type="paragraph" w:styleId="Index8">
    <w:name w:val="index 8"/>
    <w:basedOn w:val="Normal"/>
    <w:next w:val="Normal"/>
    <w:autoRedefine/>
    <w:uiPriority w:val="99"/>
    <w:semiHidden/>
    <w:rsid w:val="0098410D"/>
    <w:pPr>
      <w:ind w:left="1920" w:hanging="240"/>
    </w:pPr>
  </w:style>
  <w:style w:type="paragraph" w:styleId="Index9">
    <w:name w:val="index 9"/>
    <w:basedOn w:val="Normal"/>
    <w:next w:val="Normal"/>
    <w:autoRedefine/>
    <w:uiPriority w:val="99"/>
    <w:semiHidden/>
    <w:rsid w:val="0098410D"/>
    <w:pPr>
      <w:ind w:left="2160" w:hanging="240"/>
    </w:pPr>
  </w:style>
  <w:style w:type="paragraph" w:styleId="IndexHeading">
    <w:name w:val="index heading"/>
    <w:basedOn w:val="Normal"/>
    <w:next w:val="Index1"/>
    <w:uiPriority w:val="99"/>
    <w:semiHidden/>
    <w:rsid w:val="0098410D"/>
    <w:rPr>
      <w:rFonts w:asciiTheme="majorHAnsi" w:eastAsiaTheme="majorEastAsia" w:hAnsiTheme="majorHAnsi" w:cstheme="majorBidi"/>
      <w:b/>
      <w:bCs/>
    </w:rPr>
  </w:style>
  <w:style w:type="table" w:styleId="LightGrid">
    <w:name w:val="Light Grid"/>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18" w:space="0" w:color="0072BC" w:themeColor="accent1"/>
          <w:right w:val="single" w:sz="8" w:space="0" w:color="0072BC" w:themeColor="accent1"/>
          <w:insideH w:val="nil"/>
          <w:insideV w:val="single" w:sz="8" w:space="0" w:color="0072BC"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insideH w:val="nil"/>
          <w:insideV w:val="single" w:sz="8" w:space="0" w:color="0072BC"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shd w:val="clear" w:color="auto" w:fill="AFDFFF" w:themeFill="accent1" w:themeFillTint="3F"/>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shd w:val="clear" w:color="auto" w:fill="AFDFFF" w:themeFill="accent1" w:themeFillTint="3F"/>
      </w:tcPr>
    </w:tblStylePr>
    <w:tblStylePr w:type="band2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insideV w:val="single" w:sz="8" w:space="0" w:color="0072BC" w:themeColor="accent1"/>
        </w:tcBorders>
      </w:tcPr>
    </w:tblStylePr>
  </w:style>
  <w:style w:type="table" w:styleId="LightGrid-Accent2">
    <w:name w:val="Light Grid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18" w:space="0" w:color="C00000" w:themeColor="accent2"/>
          <w:right w:val="single" w:sz="8" w:space="0" w:color="C00000" w:themeColor="accent2"/>
          <w:insideH w:val="nil"/>
          <w:insideV w:val="single" w:sz="8" w:space="0" w:color="C00000"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insideH w:val="nil"/>
          <w:insideV w:val="single" w:sz="8" w:space="0" w:color="C00000"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shd w:val="clear" w:color="auto" w:fill="FFB0B0" w:themeFill="accent2" w:themeFillTint="3F"/>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shd w:val="clear" w:color="auto" w:fill="FFB0B0" w:themeFill="accent2" w:themeFillTint="3F"/>
      </w:tcPr>
    </w:tblStylePr>
    <w:tblStylePr w:type="band2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insideV w:val="single" w:sz="8" w:space="0" w:color="C00000" w:themeColor="accent2"/>
        </w:tcBorders>
      </w:tcPr>
    </w:tblStylePr>
  </w:style>
  <w:style w:type="table" w:styleId="LightGrid-Accent3">
    <w:name w:val="Light Grid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18" w:space="0" w:color="5F5F5F" w:themeColor="accent3"/>
          <w:right w:val="single" w:sz="8" w:space="0" w:color="5F5F5F" w:themeColor="accent3"/>
          <w:insideH w:val="nil"/>
          <w:insideV w:val="single" w:sz="8" w:space="0" w:color="5F5F5F"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insideH w:val="nil"/>
          <w:insideV w:val="single" w:sz="8" w:space="0" w:color="5F5F5F"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shd w:val="clear" w:color="auto" w:fill="D7D7D7" w:themeFill="accent3" w:themeFillTint="3F"/>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shd w:val="clear" w:color="auto" w:fill="D7D7D7" w:themeFill="accent3" w:themeFillTint="3F"/>
      </w:tcPr>
    </w:tblStylePr>
    <w:tblStylePr w:type="band2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insideV w:val="single" w:sz="8" w:space="0" w:color="5F5F5F" w:themeColor="accent3"/>
        </w:tcBorders>
      </w:tcPr>
    </w:tblStylePr>
  </w:style>
  <w:style w:type="table" w:styleId="LightGrid-Accent4">
    <w:name w:val="Light Grid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18" w:space="0" w:color="969696" w:themeColor="accent4"/>
          <w:right w:val="single" w:sz="8" w:space="0" w:color="969696" w:themeColor="accent4"/>
          <w:insideH w:val="nil"/>
          <w:insideV w:val="single" w:sz="8" w:space="0" w:color="969696"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insideH w:val="nil"/>
          <w:insideV w:val="single" w:sz="8" w:space="0" w:color="969696"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shd w:val="clear" w:color="auto" w:fill="E5E5E5" w:themeFill="accent4" w:themeFillTint="3F"/>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shd w:val="clear" w:color="auto" w:fill="E5E5E5" w:themeFill="accent4" w:themeFillTint="3F"/>
      </w:tcPr>
    </w:tblStylePr>
    <w:tblStylePr w:type="band2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insideV w:val="single" w:sz="8" w:space="0" w:color="969696" w:themeColor="accent4"/>
        </w:tcBorders>
      </w:tcPr>
    </w:tblStylePr>
  </w:style>
  <w:style w:type="table" w:styleId="LightGrid-Accent5">
    <w:name w:val="Light Grid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18" w:space="0" w:color="5F5F5F" w:themeColor="accent5"/>
          <w:right w:val="single" w:sz="8" w:space="0" w:color="5F5F5F" w:themeColor="accent5"/>
          <w:insideH w:val="nil"/>
          <w:insideV w:val="single" w:sz="8" w:space="0" w:color="5F5F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insideH w:val="nil"/>
          <w:insideV w:val="single" w:sz="8" w:space="0" w:color="5F5F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shd w:val="clear" w:color="auto" w:fill="D7D7D7" w:themeFill="accent5" w:themeFillTint="3F"/>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shd w:val="clear" w:color="auto" w:fill="D7D7D7" w:themeFill="accent5" w:themeFillTint="3F"/>
      </w:tcPr>
    </w:tblStylePr>
    <w:tblStylePr w:type="band2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insideV w:val="single" w:sz="8" w:space="0" w:color="5F5F5F" w:themeColor="accent5"/>
        </w:tcBorders>
      </w:tcPr>
    </w:tblStylePr>
  </w:style>
  <w:style w:type="table" w:styleId="LightGrid-Accent6">
    <w:name w:val="Light Grid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18" w:space="0" w:color="4D4D4D" w:themeColor="accent6"/>
          <w:right w:val="single" w:sz="8" w:space="0" w:color="4D4D4D" w:themeColor="accent6"/>
          <w:insideH w:val="nil"/>
          <w:insideV w:val="single" w:sz="8" w:space="0" w:color="4D4D4D"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insideH w:val="nil"/>
          <w:insideV w:val="single" w:sz="8" w:space="0" w:color="4D4D4D"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shd w:val="clear" w:color="auto" w:fill="D3D3D3" w:themeFill="accent6" w:themeFillTint="3F"/>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shd w:val="clear" w:color="auto" w:fill="D3D3D3" w:themeFill="accent6" w:themeFillTint="3F"/>
      </w:tcPr>
    </w:tblStylePr>
    <w:tblStylePr w:type="band2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insideV w:val="single" w:sz="8" w:space="0" w:color="4D4D4D" w:themeColor="accent6"/>
        </w:tcBorders>
      </w:tcPr>
    </w:tblStylePr>
  </w:style>
  <w:style w:type="table" w:styleId="LightList">
    <w:name w:val="Light List"/>
    <w:basedOn w:val="TableNormal"/>
    <w:uiPriority w:val="99"/>
    <w:semiHidden/>
    <w:rsid w:val="0098410D"/>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0072BC"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9"/>
    <w:semiHidden/>
    <w:rsid w:val="0098410D"/>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pPr>
        <w:spacing w:before="0" w:after="0" w:line="240" w:lineRule="auto"/>
      </w:pPr>
      <w:rPr>
        <w:b/>
        <w:bCs/>
        <w:color w:val="0072BC" w:themeColor="background1"/>
      </w:rPr>
      <w:tblPr/>
      <w:tcPr>
        <w:shd w:val="clear" w:color="auto" w:fill="0072BC" w:themeFill="accent1"/>
      </w:tcPr>
    </w:tblStylePr>
    <w:tblStylePr w:type="lastRow">
      <w:pPr>
        <w:spacing w:before="0" w:after="0" w:line="240" w:lineRule="auto"/>
      </w:pPr>
      <w:rPr>
        <w:b/>
        <w:bCs/>
      </w:rPr>
      <w:tblPr/>
      <w:tcPr>
        <w:tcBorders>
          <w:top w:val="double" w:sz="6" w:space="0" w:color="0072BC" w:themeColor="accent1"/>
          <w:left w:val="single" w:sz="8" w:space="0" w:color="0072BC" w:themeColor="accent1"/>
          <w:bottom w:val="single" w:sz="8" w:space="0" w:color="0072BC" w:themeColor="accent1"/>
          <w:right w:val="single" w:sz="8" w:space="0" w:color="0072BC" w:themeColor="accent1"/>
        </w:tcBorders>
      </w:tcPr>
    </w:tblStylePr>
    <w:tblStylePr w:type="firstCol">
      <w:rPr>
        <w:b/>
        <w:bCs/>
      </w:rPr>
    </w:tblStylePr>
    <w:tblStylePr w:type="lastCol">
      <w:rPr>
        <w:b/>
        <w:bCs/>
      </w:rPr>
    </w:tblStylePr>
    <w:tblStylePr w:type="band1Vert">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tblStylePr w:type="band1Horz">
      <w:tblPr/>
      <w:tcPr>
        <w:tcBorders>
          <w:top w:val="single" w:sz="8" w:space="0" w:color="0072BC" w:themeColor="accent1"/>
          <w:left w:val="single" w:sz="8" w:space="0" w:color="0072BC" w:themeColor="accent1"/>
          <w:bottom w:val="single" w:sz="8" w:space="0" w:color="0072BC" w:themeColor="accent1"/>
          <w:right w:val="single" w:sz="8" w:space="0" w:color="0072BC" w:themeColor="accent1"/>
        </w:tcBorders>
      </w:tcPr>
    </w:tblStylePr>
  </w:style>
  <w:style w:type="table" w:styleId="LightList-Accent2">
    <w:name w:val="Light List Accent 2"/>
    <w:basedOn w:val="TableNormal"/>
    <w:uiPriority w:val="99"/>
    <w:semiHidden/>
    <w:rsid w:val="0098410D"/>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pPr>
        <w:spacing w:before="0" w:after="0" w:line="240" w:lineRule="auto"/>
      </w:pPr>
      <w:rPr>
        <w:b/>
        <w:bCs/>
        <w:color w:val="0072BC" w:themeColor="background1"/>
      </w:rPr>
      <w:tblPr/>
      <w:tcPr>
        <w:shd w:val="clear" w:color="auto" w:fill="C00000" w:themeFill="accent2"/>
      </w:tcPr>
    </w:tblStylePr>
    <w:tblStylePr w:type="lastRow">
      <w:pPr>
        <w:spacing w:before="0" w:after="0" w:line="240" w:lineRule="auto"/>
      </w:pPr>
      <w:rPr>
        <w:b/>
        <w:bCs/>
      </w:rPr>
      <w:tblPr/>
      <w:tcPr>
        <w:tcBorders>
          <w:top w:val="double" w:sz="6" w:space="0" w:color="C00000" w:themeColor="accent2"/>
          <w:left w:val="single" w:sz="8" w:space="0" w:color="C00000" w:themeColor="accent2"/>
          <w:bottom w:val="single" w:sz="8" w:space="0" w:color="C00000" w:themeColor="accent2"/>
          <w:right w:val="single" w:sz="8" w:space="0" w:color="C00000" w:themeColor="accent2"/>
        </w:tcBorders>
      </w:tcPr>
    </w:tblStylePr>
    <w:tblStylePr w:type="firstCol">
      <w:rPr>
        <w:b/>
        <w:bCs/>
      </w:rPr>
    </w:tblStylePr>
    <w:tblStylePr w:type="lastCol">
      <w:rPr>
        <w:b/>
        <w:bCs/>
      </w:rPr>
    </w:tblStylePr>
    <w:tblStylePr w:type="band1Vert">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tblStylePr w:type="band1Horz">
      <w:tblPr/>
      <w:tcPr>
        <w:tcBorders>
          <w:top w:val="single" w:sz="8" w:space="0" w:color="C00000" w:themeColor="accent2"/>
          <w:left w:val="single" w:sz="8" w:space="0" w:color="C00000" w:themeColor="accent2"/>
          <w:bottom w:val="single" w:sz="8" w:space="0" w:color="C00000" w:themeColor="accent2"/>
          <w:right w:val="single" w:sz="8" w:space="0" w:color="C00000" w:themeColor="accent2"/>
        </w:tcBorders>
      </w:tcPr>
    </w:tblStylePr>
  </w:style>
  <w:style w:type="table" w:styleId="LightList-Accent3">
    <w:name w:val="Light List Accent 3"/>
    <w:basedOn w:val="TableNormal"/>
    <w:uiPriority w:val="99"/>
    <w:semiHidden/>
    <w:rsid w:val="0098410D"/>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pPr>
        <w:spacing w:before="0" w:after="0" w:line="240" w:lineRule="auto"/>
      </w:pPr>
      <w:rPr>
        <w:b/>
        <w:bCs/>
        <w:color w:val="0072BC" w:themeColor="background1"/>
      </w:rPr>
      <w:tblPr/>
      <w:tcPr>
        <w:shd w:val="clear" w:color="auto" w:fill="5F5F5F" w:themeFill="accent3"/>
      </w:tcPr>
    </w:tblStylePr>
    <w:tblStylePr w:type="lastRow">
      <w:pPr>
        <w:spacing w:before="0" w:after="0" w:line="240" w:lineRule="auto"/>
      </w:pPr>
      <w:rPr>
        <w:b/>
        <w:bCs/>
      </w:rPr>
      <w:tblPr/>
      <w:tcPr>
        <w:tcBorders>
          <w:top w:val="double" w:sz="6" w:space="0" w:color="5F5F5F" w:themeColor="accent3"/>
          <w:left w:val="single" w:sz="8" w:space="0" w:color="5F5F5F" w:themeColor="accent3"/>
          <w:bottom w:val="single" w:sz="8" w:space="0" w:color="5F5F5F" w:themeColor="accent3"/>
          <w:right w:val="single" w:sz="8" w:space="0" w:color="5F5F5F" w:themeColor="accent3"/>
        </w:tcBorders>
      </w:tcPr>
    </w:tblStylePr>
    <w:tblStylePr w:type="firstCol">
      <w:rPr>
        <w:b/>
        <w:bCs/>
      </w:rPr>
    </w:tblStylePr>
    <w:tblStylePr w:type="lastCol">
      <w:rPr>
        <w:b/>
        <w:bCs/>
      </w:rPr>
    </w:tblStylePr>
    <w:tblStylePr w:type="band1Vert">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tblStylePr w:type="band1Horz">
      <w:tblPr/>
      <w:tcPr>
        <w:tcBorders>
          <w:top w:val="single" w:sz="8" w:space="0" w:color="5F5F5F" w:themeColor="accent3"/>
          <w:left w:val="single" w:sz="8" w:space="0" w:color="5F5F5F" w:themeColor="accent3"/>
          <w:bottom w:val="single" w:sz="8" w:space="0" w:color="5F5F5F" w:themeColor="accent3"/>
          <w:right w:val="single" w:sz="8" w:space="0" w:color="5F5F5F" w:themeColor="accent3"/>
        </w:tcBorders>
      </w:tcPr>
    </w:tblStylePr>
  </w:style>
  <w:style w:type="table" w:styleId="LightList-Accent4">
    <w:name w:val="Light List Accent 4"/>
    <w:basedOn w:val="TableNormal"/>
    <w:uiPriority w:val="99"/>
    <w:semiHidden/>
    <w:rsid w:val="0098410D"/>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pPr>
        <w:spacing w:before="0" w:after="0" w:line="240" w:lineRule="auto"/>
      </w:pPr>
      <w:rPr>
        <w:b/>
        <w:bCs/>
        <w:color w:val="0072BC" w:themeColor="background1"/>
      </w:rPr>
      <w:tblPr/>
      <w:tcPr>
        <w:shd w:val="clear" w:color="auto" w:fill="969696" w:themeFill="accent4"/>
      </w:tcPr>
    </w:tblStylePr>
    <w:tblStylePr w:type="lastRow">
      <w:pPr>
        <w:spacing w:before="0" w:after="0" w:line="240" w:lineRule="auto"/>
      </w:pPr>
      <w:rPr>
        <w:b/>
        <w:bCs/>
      </w:rPr>
      <w:tblPr/>
      <w:tcPr>
        <w:tcBorders>
          <w:top w:val="double" w:sz="6" w:space="0" w:color="969696" w:themeColor="accent4"/>
          <w:left w:val="single" w:sz="8" w:space="0" w:color="969696" w:themeColor="accent4"/>
          <w:bottom w:val="single" w:sz="8" w:space="0" w:color="969696" w:themeColor="accent4"/>
          <w:right w:val="single" w:sz="8" w:space="0" w:color="969696" w:themeColor="accent4"/>
        </w:tcBorders>
      </w:tcPr>
    </w:tblStylePr>
    <w:tblStylePr w:type="firstCol">
      <w:rPr>
        <w:b/>
        <w:bCs/>
      </w:rPr>
    </w:tblStylePr>
    <w:tblStylePr w:type="lastCol">
      <w:rPr>
        <w:b/>
        <w:bCs/>
      </w:rPr>
    </w:tblStylePr>
    <w:tblStylePr w:type="band1Vert">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tblStylePr w:type="band1Horz">
      <w:tblPr/>
      <w:tcPr>
        <w:tcBorders>
          <w:top w:val="single" w:sz="8" w:space="0" w:color="969696" w:themeColor="accent4"/>
          <w:left w:val="single" w:sz="8" w:space="0" w:color="969696" w:themeColor="accent4"/>
          <w:bottom w:val="single" w:sz="8" w:space="0" w:color="969696" w:themeColor="accent4"/>
          <w:right w:val="single" w:sz="8" w:space="0" w:color="969696" w:themeColor="accent4"/>
        </w:tcBorders>
      </w:tcPr>
    </w:tblStylePr>
  </w:style>
  <w:style w:type="table" w:styleId="LightList-Accent5">
    <w:name w:val="Light List Accent 5"/>
    <w:basedOn w:val="TableNormal"/>
    <w:uiPriority w:val="99"/>
    <w:semiHidden/>
    <w:rsid w:val="0098410D"/>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pPr>
        <w:spacing w:before="0" w:after="0" w:line="240" w:lineRule="auto"/>
      </w:pPr>
      <w:rPr>
        <w:b/>
        <w:bCs/>
        <w:color w:val="0072BC" w:themeColor="background1"/>
      </w:rPr>
      <w:tblPr/>
      <w:tcPr>
        <w:shd w:val="clear" w:color="auto" w:fill="5F5F5F" w:themeFill="accent5"/>
      </w:tcPr>
    </w:tblStylePr>
    <w:tblStylePr w:type="lastRow">
      <w:pPr>
        <w:spacing w:before="0" w:after="0" w:line="240" w:lineRule="auto"/>
      </w:pPr>
      <w:rPr>
        <w:b/>
        <w:bCs/>
      </w:rPr>
      <w:tblPr/>
      <w:tcPr>
        <w:tcBorders>
          <w:top w:val="double" w:sz="6" w:space="0" w:color="5F5F5F" w:themeColor="accent5"/>
          <w:left w:val="single" w:sz="8" w:space="0" w:color="5F5F5F" w:themeColor="accent5"/>
          <w:bottom w:val="single" w:sz="8" w:space="0" w:color="5F5F5F" w:themeColor="accent5"/>
          <w:right w:val="single" w:sz="8" w:space="0" w:color="5F5F5F" w:themeColor="accent5"/>
        </w:tcBorders>
      </w:tcPr>
    </w:tblStylePr>
    <w:tblStylePr w:type="firstCol">
      <w:rPr>
        <w:b/>
        <w:bCs/>
      </w:rPr>
    </w:tblStylePr>
    <w:tblStylePr w:type="lastCol">
      <w:rPr>
        <w:b/>
        <w:bCs/>
      </w:rPr>
    </w:tblStylePr>
    <w:tblStylePr w:type="band1Vert">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tblStylePr w:type="band1Horz">
      <w:tblPr/>
      <w:tcPr>
        <w:tcBorders>
          <w:top w:val="single" w:sz="8" w:space="0" w:color="5F5F5F" w:themeColor="accent5"/>
          <w:left w:val="single" w:sz="8" w:space="0" w:color="5F5F5F" w:themeColor="accent5"/>
          <w:bottom w:val="single" w:sz="8" w:space="0" w:color="5F5F5F" w:themeColor="accent5"/>
          <w:right w:val="single" w:sz="8" w:space="0" w:color="5F5F5F" w:themeColor="accent5"/>
        </w:tcBorders>
      </w:tcPr>
    </w:tblStylePr>
  </w:style>
  <w:style w:type="table" w:styleId="LightList-Accent6">
    <w:name w:val="Light List Accent 6"/>
    <w:basedOn w:val="TableNormal"/>
    <w:uiPriority w:val="99"/>
    <w:semiHidden/>
    <w:rsid w:val="0098410D"/>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pPr>
        <w:spacing w:before="0" w:after="0" w:line="240" w:lineRule="auto"/>
      </w:pPr>
      <w:rPr>
        <w:b/>
        <w:bCs/>
        <w:color w:val="0072BC" w:themeColor="background1"/>
      </w:rPr>
      <w:tblPr/>
      <w:tcPr>
        <w:shd w:val="clear" w:color="auto" w:fill="4D4D4D" w:themeFill="accent6"/>
      </w:tcPr>
    </w:tblStylePr>
    <w:tblStylePr w:type="lastRow">
      <w:pPr>
        <w:spacing w:before="0" w:after="0" w:line="240" w:lineRule="auto"/>
      </w:pPr>
      <w:rPr>
        <w:b/>
        <w:bCs/>
      </w:rPr>
      <w:tblPr/>
      <w:tcPr>
        <w:tcBorders>
          <w:top w:val="double" w:sz="6" w:space="0" w:color="4D4D4D" w:themeColor="accent6"/>
          <w:left w:val="single" w:sz="8" w:space="0" w:color="4D4D4D" w:themeColor="accent6"/>
          <w:bottom w:val="single" w:sz="8" w:space="0" w:color="4D4D4D" w:themeColor="accent6"/>
          <w:right w:val="single" w:sz="8" w:space="0" w:color="4D4D4D" w:themeColor="accent6"/>
        </w:tcBorders>
      </w:tcPr>
    </w:tblStylePr>
    <w:tblStylePr w:type="firstCol">
      <w:rPr>
        <w:b/>
        <w:bCs/>
      </w:rPr>
    </w:tblStylePr>
    <w:tblStylePr w:type="lastCol">
      <w:rPr>
        <w:b/>
        <w:bCs/>
      </w:rPr>
    </w:tblStylePr>
    <w:tblStylePr w:type="band1Vert">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tblStylePr w:type="band1Horz">
      <w:tblPr/>
      <w:tcPr>
        <w:tcBorders>
          <w:top w:val="single" w:sz="8" w:space="0" w:color="4D4D4D" w:themeColor="accent6"/>
          <w:left w:val="single" w:sz="8" w:space="0" w:color="4D4D4D" w:themeColor="accent6"/>
          <w:bottom w:val="single" w:sz="8" w:space="0" w:color="4D4D4D" w:themeColor="accent6"/>
          <w:right w:val="single" w:sz="8" w:space="0" w:color="4D4D4D" w:themeColor="accent6"/>
        </w:tcBorders>
      </w:tcPr>
    </w:tblStylePr>
  </w:style>
  <w:style w:type="table" w:styleId="LightShading">
    <w:name w:val="Light Shading"/>
    <w:basedOn w:val="TableNormal"/>
    <w:uiPriority w:val="99"/>
    <w:semiHidden/>
    <w:rsid w:val="0098410D"/>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9"/>
    <w:semiHidden/>
    <w:rsid w:val="0098410D"/>
    <w:rPr>
      <w:color w:val="00548C" w:themeColor="accent1" w:themeShade="BF"/>
    </w:rPr>
    <w:tblPr>
      <w:tblStyleRowBandSize w:val="1"/>
      <w:tblStyleColBandSize w:val="1"/>
      <w:tblBorders>
        <w:top w:val="single" w:sz="8" w:space="0" w:color="0072BC" w:themeColor="accent1"/>
        <w:bottom w:val="single" w:sz="8" w:space="0" w:color="0072BC" w:themeColor="accent1"/>
      </w:tblBorders>
    </w:tblPr>
    <w:tblStylePr w:type="fir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lastRow">
      <w:pPr>
        <w:spacing w:before="0" w:after="0" w:line="240" w:lineRule="auto"/>
      </w:pPr>
      <w:rPr>
        <w:b/>
        <w:bCs/>
      </w:rPr>
      <w:tblPr/>
      <w:tcPr>
        <w:tcBorders>
          <w:top w:val="single" w:sz="8" w:space="0" w:color="0072BC" w:themeColor="accent1"/>
          <w:left w:val="nil"/>
          <w:bottom w:val="single" w:sz="8" w:space="0" w:color="0072BC"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left w:val="nil"/>
          <w:right w:val="nil"/>
          <w:insideH w:val="nil"/>
          <w:insideV w:val="nil"/>
        </w:tcBorders>
        <w:shd w:val="clear" w:color="auto" w:fill="AFDFFF" w:themeFill="accent1" w:themeFillTint="3F"/>
      </w:tcPr>
    </w:tblStylePr>
  </w:style>
  <w:style w:type="table" w:styleId="LightShading-Accent2">
    <w:name w:val="Light Shading Accent 2"/>
    <w:basedOn w:val="TableNormal"/>
    <w:uiPriority w:val="99"/>
    <w:semiHidden/>
    <w:rsid w:val="0098410D"/>
    <w:rPr>
      <w:color w:val="8F0000" w:themeColor="accent2" w:themeShade="BF"/>
    </w:rPr>
    <w:tblPr>
      <w:tblStyleRowBandSize w:val="1"/>
      <w:tblStyleColBandSize w:val="1"/>
      <w:tblBorders>
        <w:top w:val="single" w:sz="8" w:space="0" w:color="C00000" w:themeColor="accent2"/>
        <w:bottom w:val="single" w:sz="8" w:space="0" w:color="C00000" w:themeColor="accent2"/>
      </w:tblBorders>
    </w:tblPr>
    <w:tblStylePr w:type="fir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lastRow">
      <w:pPr>
        <w:spacing w:before="0" w:after="0" w:line="240" w:lineRule="auto"/>
      </w:pPr>
      <w:rPr>
        <w:b/>
        <w:bCs/>
      </w:rPr>
      <w:tblPr/>
      <w:tcPr>
        <w:tcBorders>
          <w:top w:val="single" w:sz="8" w:space="0" w:color="C00000" w:themeColor="accent2"/>
          <w:left w:val="nil"/>
          <w:bottom w:val="single" w:sz="8" w:space="0" w:color="C00000"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left w:val="nil"/>
          <w:right w:val="nil"/>
          <w:insideH w:val="nil"/>
          <w:insideV w:val="nil"/>
        </w:tcBorders>
        <w:shd w:val="clear" w:color="auto" w:fill="FFB0B0" w:themeFill="accent2" w:themeFillTint="3F"/>
      </w:tcPr>
    </w:tblStylePr>
  </w:style>
  <w:style w:type="table" w:styleId="LightShading-Accent3">
    <w:name w:val="Light Shading Accent 3"/>
    <w:basedOn w:val="TableNormal"/>
    <w:uiPriority w:val="99"/>
    <w:semiHidden/>
    <w:rsid w:val="0098410D"/>
    <w:rPr>
      <w:color w:val="474747" w:themeColor="accent3" w:themeShade="BF"/>
    </w:rPr>
    <w:tblPr>
      <w:tblStyleRowBandSize w:val="1"/>
      <w:tblStyleColBandSize w:val="1"/>
      <w:tblBorders>
        <w:top w:val="single" w:sz="8" w:space="0" w:color="5F5F5F" w:themeColor="accent3"/>
        <w:bottom w:val="single" w:sz="8" w:space="0" w:color="5F5F5F" w:themeColor="accent3"/>
      </w:tblBorders>
    </w:tblPr>
    <w:tblStylePr w:type="fir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lastRow">
      <w:pPr>
        <w:spacing w:before="0" w:after="0" w:line="240" w:lineRule="auto"/>
      </w:pPr>
      <w:rPr>
        <w:b/>
        <w:bCs/>
      </w:rPr>
      <w:tblPr/>
      <w:tcPr>
        <w:tcBorders>
          <w:top w:val="single" w:sz="8" w:space="0" w:color="5F5F5F" w:themeColor="accent3"/>
          <w:left w:val="nil"/>
          <w:bottom w:val="single" w:sz="8" w:space="0" w:color="5F5F5F"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left w:val="nil"/>
          <w:right w:val="nil"/>
          <w:insideH w:val="nil"/>
          <w:insideV w:val="nil"/>
        </w:tcBorders>
        <w:shd w:val="clear" w:color="auto" w:fill="D7D7D7" w:themeFill="accent3" w:themeFillTint="3F"/>
      </w:tcPr>
    </w:tblStylePr>
  </w:style>
  <w:style w:type="table" w:styleId="LightShading-Accent4">
    <w:name w:val="Light Shading Accent 4"/>
    <w:basedOn w:val="TableNormal"/>
    <w:uiPriority w:val="99"/>
    <w:semiHidden/>
    <w:rsid w:val="0098410D"/>
    <w:rPr>
      <w:color w:val="707070" w:themeColor="accent4" w:themeShade="BF"/>
    </w:rPr>
    <w:tblPr>
      <w:tblStyleRowBandSize w:val="1"/>
      <w:tblStyleColBandSize w:val="1"/>
      <w:tblBorders>
        <w:top w:val="single" w:sz="8" w:space="0" w:color="969696" w:themeColor="accent4"/>
        <w:bottom w:val="single" w:sz="8" w:space="0" w:color="969696" w:themeColor="accent4"/>
      </w:tblBorders>
    </w:tblPr>
    <w:tblStylePr w:type="fir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lastRow">
      <w:pPr>
        <w:spacing w:before="0" w:after="0" w:line="240" w:lineRule="auto"/>
      </w:pPr>
      <w:rPr>
        <w:b/>
        <w:bCs/>
      </w:rPr>
      <w:tblPr/>
      <w:tcPr>
        <w:tcBorders>
          <w:top w:val="single" w:sz="8" w:space="0" w:color="969696" w:themeColor="accent4"/>
          <w:left w:val="nil"/>
          <w:bottom w:val="single" w:sz="8" w:space="0" w:color="969696"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left w:val="nil"/>
          <w:right w:val="nil"/>
          <w:insideH w:val="nil"/>
          <w:insideV w:val="nil"/>
        </w:tcBorders>
        <w:shd w:val="clear" w:color="auto" w:fill="E5E5E5" w:themeFill="accent4" w:themeFillTint="3F"/>
      </w:tcPr>
    </w:tblStylePr>
  </w:style>
  <w:style w:type="table" w:styleId="LightShading-Accent5">
    <w:name w:val="Light Shading Accent 5"/>
    <w:basedOn w:val="TableNormal"/>
    <w:uiPriority w:val="99"/>
    <w:semiHidden/>
    <w:rsid w:val="0098410D"/>
    <w:rPr>
      <w:color w:val="474747" w:themeColor="accent5" w:themeShade="BF"/>
    </w:rPr>
    <w:tblPr>
      <w:tblStyleRowBandSize w:val="1"/>
      <w:tblStyleColBandSize w:val="1"/>
      <w:tblBorders>
        <w:top w:val="single" w:sz="8" w:space="0" w:color="5F5F5F" w:themeColor="accent5"/>
        <w:bottom w:val="single" w:sz="8" w:space="0" w:color="5F5F5F" w:themeColor="accent5"/>
      </w:tblBorders>
    </w:tblPr>
    <w:tblStylePr w:type="fir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lastRow">
      <w:pPr>
        <w:spacing w:before="0" w:after="0" w:line="240" w:lineRule="auto"/>
      </w:pPr>
      <w:rPr>
        <w:b/>
        <w:bCs/>
      </w:rPr>
      <w:tblPr/>
      <w:tcPr>
        <w:tcBorders>
          <w:top w:val="single" w:sz="8" w:space="0" w:color="5F5F5F" w:themeColor="accent5"/>
          <w:left w:val="nil"/>
          <w:bottom w:val="single" w:sz="8" w:space="0" w:color="5F5F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left w:val="nil"/>
          <w:right w:val="nil"/>
          <w:insideH w:val="nil"/>
          <w:insideV w:val="nil"/>
        </w:tcBorders>
        <w:shd w:val="clear" w:color="auto" w:fill="D7D7D7" w:themeFill="accent5" w:themeFillTint="3F"/>
      </w:tcPr>
    </w:tblStylePr>
  </w:style>
  <w:style w:type="table" w:styleId="LightShading-Accent6">
    <w:name w:val="Light Shading Accent 6"/>
    <w:basedOn w:val="TableNormal"/>
    <w:uiPriority w:val="99"/>
    <w:semiHidden/>
    <w:rsid w:val="0098410D"/>
    <w:rPr>
      <w:color w:val="393939" w:themeColor="accent6" w:themeShade="BF"/>
    </w:rPr>
    <w:tblPr>
      <w:tblStyleRowBandSize w:val="1"/>
      <w:tblStyleColBandSize w:val="1"/>
      <w:tblBorders>
        <w:top w:val="single" w:sz="8" w:space="0" w:color="4D4D4D" w:themeColor="accent6"/>
        <w:bottom w:val="single" w:sz="8" w:space="0" w:color="4D4D4D" w:themeColor="accent6"/>
      </w:tblBorders>
    </w:tblPr>
    <w:tblStylePr w:type="fir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lastRow">
      <w:pPr>
        <w:spacing w:before="0" w:after="0" w:line="240" w:lineRule="auto"/>
      </w:pPr>
      <w:rPr>
        <w:b/>
        <w:bCs/>
      </w:rPr>
      <w:tblPr/>
      <w:tcPr>
        <w:tcBorders>
          <w:top w:val="single" w:sz="8" w:space="0" w:color="4D4D4D" w:themeColor="accent6"/>
          <w:left w:val="nil"/>
          <w:bottom w:val="single" w:sz="8" w:space="0" w:color="4D4D4D"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left w:val="nil"/>
          <w:right w:val="nil"/>
          <w:insideH w:val="nil"/>
          <w:insideV w:val="nil"/>
        </w:tcBorders>
        <w:shd w:val="clear" w:color="auto" w:fill="D3D3D3" w:themeFill="accent6" w:themeFillTint="3F"/>
      </w:tcPr>
    </w:tblStylePr>
  </w:style>
  <w:style w:type="character" w:styleId="LineNumber">
    <w:name w:val="line number"/>
    <w:basedOn w:val="DefaultParagraphFont"/>
    <w:uiPriority w:val="99"/>
    <w:semiHidden/>
    <w:rsid w:val="0098410D"/>
  </w:style>
  <w:style w:type="paragraph" w:styleId="List">
    <w:name w:val="List"/>
    <w:basedOn w:val="Normal"/>
    <w:uiPriority w:val="99"/>
    <w:semiHidden/>
    <w:rsid w:val="0098410D"/>
    <w:pPr>
      <w:ind w:left="283" w:hanging="283"/>
      <w:contextualSpacing/>
    </w:pPr>
  </w:style>
  <w:style w:type="paragraph" w:styleId="List2">
    <w:name w:val="List 2"/>
    <w:basedOn w:val="Normal"/>
    <w:uiPriority w:val="99"/>
    <w:semiHidden/>
    <w:rsid w:val="0098410D"/>
    <w:pPr>
      <w:ind w:left="566" w:hanging="283"/>
      <w:contextualSpacing/>
    </w:pPr>
  </w:style>
  <w:style w:type="paragraph" w:styleId="List3">
    <w:name w:val="List 3"/>
    <w:basedOn w:val="Normal"/>
    <w:uiPriority w:val="99"/>
    <w:semiHidden/>
    <w:rsid w:val="0098410D"/>
    <w:pPr>
      <w:ind w:left="849" w:hanging="283"/>
      <w:contextualSpacing/>
    </w:pPr>
  </w:style>
  <w:style w:type="paragraph" w:styleId="List4">
    <w:name w:val="List 4"/>
    <w:basedOn w:val="Normal"/>
    <w:uiPriority w:val="99"/>
    <w:semiHidden/>
    <w:rsid w:val="0098410D"/>
    <w:pPr>
      <w:ind w:left="1132" w:hanging="283"/>
      <w:contextualSpacing/>
    </w:pPr>
  </w:style>
  <w:style w:type="paragraph" w:styleId="List5">
    <w:name w:val="List 5"/>
    <w:basedOn w:val="Normal"/>
    <w:uiPriority w:val="99"/>
    <w:semiHidden/>
    <w:rsid w:val="0098410D"/>
    <w:pPr>
      <w:ind w:left="1415" w:hanging="283"/>
      <w:contextualSpacing/>
    </w:pPr>
  </w:style>
  <w:style w:type="paragraph" w:styleId="ListBullet2">
    <w:name w:val="List Bullet 2"/>
    <w:basedOn w:val="Normal"/>
    <w:uiPriority w:val="99"/>
    <w:semiHidden/>
    <w:rsid w:val="0098410D"/>
    <w:pPr>
      <w:numPr>
        <w:numId w:val="13"/>
      </w:numPr>
      <w:contextualSpacing/>
    </w:pPr>
  </w:style>
  <w:style w:type="paragraph" w:styleId="ListBullet4">
    <w:name w:val="List Bullet 4"/>
    <w:basedOn w:val="Normal"/>
    <w:uiPriority w:val="99"/>
    <w:semiHidden/>
    <w:rsid w:val="0098410D"/>
    <w:pPr>
      <w:numPr>
        <w:numId w:val="14"/>
      </w:numPr>
      <w:contextualSpacing/>
    </w:pPr>
  </w:style>
  <w:style w:type="paragraph" w:styleId="ListBullet5">
    <w:name w:val="List Bullet 5"/>
    <w:basedOn w:val="Normal"/>
    <w:uiPriority w:val="99"/>
    <w:semiHidden/>
    <w:rsid w:val="0098410D"/>
    <w:pPr>
      <w:numPr>
        <w:numId w:val="15"/>
      </w:numPr>
      <w:contextualSpacing/>
    </w:pPr>
  </w:style>
  <w:style w:type="paragraph" w:styleId="ListContinue">
    <w:name w:val="List Continue"/>
    <w:basedOn w:val="Normal"/>
    <w:uiPriority w:val="99"/>
    <w:semiHidden/>
    <w:rsid w:val="0098410D"/>
    <w:pPr>
      <w:spacing w:after="120"/>
      <w:ind w:left="283"/>
      <w:contextualSpacing/>
    </w:pPr>
  </w:style>
  <w:style w:type="paragraph" w:styleId="ListContinue2">
    <w:name w:val="List Continue 2"/>
    <w:basedOn w:val="Normal"/>
    <w:uiPriority w:val="99"/>
    <w:semiHidden/>
    <w:rsid w:val="0098410D"/>
    <w:pPr>
      <w:spacing w:after="120"/>
      <w:ind w:left="566"/>
      <w:contextualSpacing/>
    </w:pPr>
  </w:style>
  <w:style w:type="paragraph" w:styleId="ListContinue3">
    <w:name w:val="List Continue 3"/>
    <w:basedOn w:val="Normal"/>
    <w:uiPriority w:val="99"/>
    <w:semiHidden/>
    <w:rsid w:val="0098410D"/>
    <w:pPr>
      <w:spacing w:after="120"/>
      <w:ind w:left="849"/>
      <w:contextualSpacing/>
    </w:pPr>
  </w:style>
  <w:style w:type="paragraph" w:styleId="ListContinue4">
    <w:name w:val="List Continue 4"/>
    <w:basedOn w:val="Normal"/>
    <w:uiPriority w:val="99"/>
    <w:semiHidden/>
    <w:rsid w:val="0098410D"/>
    <w:pPr>
      <w:spacing w:after="120"/>
      <w:ind w:left="1132"/>
      <w:contextualSpacing/>
    </w:pPr>
  </w:style>
  <w:style w:type="paragraph" w:styleId="ListContinue5">
    <w:name w:val="List Continue 5"/>
    <w:basedOn w:val="Normal"/>
    <w:uiPriority w:val="99"/>
    <w:semiHidden/>
    <w:rsid w:val="0098410D"/>
    <w:pPr>
      <w:spacing w:after="120"/>
      <w:ind w:left="1415"/>
      <w:contextualSpacing/>
    </w:pPr>
  </w:style>
  <w:style w:type="paragraph" w:styleId="ListNumber">
    <w:name w:val="List Number"/>
    <w:basedOn w:val="Normal"/>
    <w:uiPriority w:val="99"/>
    <w:semiHidden/>
    <w:rsid w:val="0098410D"/>
    <w:pPr>
      <w:numPr>
        <w:numId w:val="16"/>
      </w:numPr>
      <w:contextualSpacing/>
    </w:pPr>
  </w:style>
  <w:style w:type="paragraph" w:styleId="ListNumber2">
    <w:name w:val="List Number 2"/>
    <w:basedOn w:val="Normal"/>
    <w:uiPriority w:val="99"/>
    <w:semiHidden/>
    <w:rsid w:val="0098410D"/>
    <w:pPr>
      <w:numPr>
        <w:numId w:val="17"/>
      </w:numPr>
      <w:contextualSpacing/>
    </w:pPr>
  </w:style>
  <w:style w:type="paragraph" w:styleId="ListNumber3">
    <w:name w:val="List Number 3"/>
    <w:basedOn w:val="Normal"/>
    <w:uiPriority w:val="99"/>
    <w:semiHidden/>
    <w:rsid w:val="0098410D"/>
    <w:pPr>
      <w:numPr>
        <w:numId w:val="18"/>
      </w:numPr>
      <w:contextualSpacing/>
    </w:pPr>
  </w:style>
  <w:style w:type="paragraph" w:styleId="ListNumber4">
    <w:name w:val="List Number 4"/>
    <w:basedOn w:val="Normal"/>
    <w:uiPriority w:val="99"/>
    <w:semiHidden/>
    <w:rsid w:val="0098410D"/>
    <w:pPr>
      <w:numPr>
        <w:numId w:val="19"/>
      </w:numPr>
      <w:contextualSpacing/>
    </w:pPr>
  </w:style>
  <w:style w:type="paragraph" w:styleId="ListNumber5">
    <w:name w:val="List Number 5"/>
    <w:basedOn w:val="Normal"/>
    <w:uiPriority w:val="99"/>
    <w:semiHidden/>
    <w:rsid w:val="0098410D"/>
    <w:pPr>
      <w:numPr>
        <w:numId w:val="20"/>
      </w:numPr>
      <w:contextualSpacing/>
    </w:pPr>
  </w:style>
  <w:style w:type="paragraph" w:styleId="MacroText">
    <w:name w:val="macro"/>
    <w:link w:val="MacroTextChar"/>
    <w:uiPriority w:val="99"/>
    <w:semiHidden/>
    <w:rsid w:val="0098410D"/>
    <w:pPr>
      <w:tabs>
        <w:tab w:val="left" w:pos="480"/>
        <w:tab w:val="left" w:pos="960"/>
        <w:tab w:val="left" w:pos="1440"/>
        <w:tab w:val="left" w:pos="1920"/>
        <w:tab w:val="left" w:pos="2400"/>
        <w:tab w:val="left" w:pos="2880"/>
        <w:tab w:val="left" w:pos="3360"/>
        <w:tab w:val="left" w:pos="3840"/>
        <w:tab w:val="left" w:pos="4320"/>
      </w:tabs>
      <w:jc w:val="both"/>
    </w:pPr>
    <w:rPr>
      <w:rFonts w:ascii="Consolas" w:eastAsiaTheme="minorEastAsia" w:hAnsi="Consolas" w:cs="Consolas"/>
      <w:sz w:val="20"/>
      <w:szCs w:val="20"/>
    </w:rPr>
  </w:style>
  <w:style w:type="character" w:customStyle="1" w:styleId="MacroTextChar">
    <w:name w:val="Macro Text Char"/>
    <w:basedOn w:val="DefaultParagraphFont"/>
    <w:link w:val="MacroText"/>
    <w:uiPriority w:val="99"/>
    <w:semiHidden/>
    <w:rsid w:val="0098410D"/>
    <w:rPr>
      <w:rFonts w:ascii="Consolas" w:eastAsiaTheme="minorEastAsia" w:hAnsi="Consolas" w:cs="Consolas"/>
      <w:sz w:val="20"/>
      <w:szCs w:val="20"/>
    </w:rPr>
  </w:style>
  <w:style w:type="table" w:styleId="MediumGrid1">
    <w:name w:val="Medium Grid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insideV w:val="single" w:sz="8" w:space="0" w:color="0D9FFF" w:themeColor="accent1" w:themeTint="BF"/>
      </w:tblBorders>
    </w:tblPr>
    <w:tcPr>
      <w:shd w:val="clear" w:color="auto" w:fill="AFDFFF" w:themeFill="accent1" w:themeFillTint="3F"/>
    </w:tcPr>
    <w:tblStylePr w:type="firstRow">
      <w:rPr>
        <w:b/>
        <w:bCs/>
      </w:rPr>
    </w:tblStylePr>
    <w:tblStylePr w:type="lastRow">
      <w:rPr>
        <w:b/>
        <w:bCs/>
      </w:rPr>
      <w:tblPr/>
      <w:tcPr>
        <w:tcBorders>
          <w:top w:val="single" w:sz="18" w:space="0" w:color="0D9FFF" w:themeColor="accent1" w:themeTint="BF"/>
        </w:tcBorders>
      </w:tcPr>
    </w:tblStylePr>
    <w:tblStylePr w:type="firstCol">
      <w:rPr>
        <w:b/>
        <w:bCs/>
      </w:rPr>
    </w:tblStylePr>
    <w:tblStylePr w:type="lastCol">
      <w:rPr>
        <w:b/>
        <w:bCs/>
      </w:rPr>
    </w:tblStylePr>
    <w:tblStylePr w:type="band1Vert">
      <w:tblPr/>
      <w:tcPr>
        <w:shd w:val="clear" w:color="auto" w:fill="5EBFFF" w:themeFill="accent1" w:themeFillTint="7F"/>
      </w:tcPr>
    </w:tblStylePr>
    <w:tblStylePr w:type="band1Horz">
      <w:tblPr/>
      <w:tcPr>
        <w:shd w:val="clear" w:color="auto" w:fill="5EBFFF" w:themeFill="accent1" w:themeFillTint="7F"/>
      </w:tcPr>
    </w:tblStylePr>
  </w:style>
  <w:style w:type="table" w:styleId="MediumGrid1-Accent2">
    <w:name w:val="Medium Grid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insideV w:val="single" w:sz="8" w:space="0" w:color="FF1010" w:themeColor="accent2" w:themeTint="BF"/>
      </w:tblBorders>
    </w:tblPr>
    <w:tcPr>
      <w:shd w:val="clear" w:color="auto" w:fill="FFB0B0" w:themeFill="accent2" w:themeFillTint="3F"/>
    </w:tcPr>
    <w:tblStylePr w:type="firstRow">
      <w:rPr>
        <w:b/>
        <w:bCs/>
      </w:rPr>
    </w:tblStylePr>
    <w:tblStylePr w:type="lastRow">
      <w:rPr>
        <w:b/>
        <w:bCs/>
      </w:rPr>
      <w:tblPr/>
      <w:tcPr>
        <w:tcBorders>
          <w:top w:val="single" w:sz="18" w:space="0" w:color="FF1010" w:themeColor="accent2" w:themeTint="BF"/>
        </w:tcBorders>
      </w:tcPr>
    </w:tblStylePr>
    <w:tblStylePr w:type="firstCol">
      <w:rPr>
        <w:b/>
        <w:bCs/>
      </w:rPr>
    </w:tblStylePr>
    <w:tblStylePr w:type="lastCol">
      <w:rPr>
        <w:b/>
        <w:bCs/>
      </w:rPr>
    </w:tblStylePr>
    <w:tblStylePr w:type="band1Vert">
      <w:tblPr/>
      <w:tcPr>
        <w:shd w:val="clear" w:color="auto" w:fill="FF6060" w:themeFill="accent2" w:themeFillTint="7F"/>
      </w:tcPr>
    </w:tblStylePr>
    <w:tblStylePr w:type="band1Horz">
      <w:tblPr/>
      <w:tcPr>
        <w:shd w:val="clear" w:color="auto" w:fill="FF6060" w:themeFill="accent2" w:themeFillTint="7F"/>
      </w:tcPr>
    </w:tblStylePr>
  </w:style>
  <w:style w:type="table" w:styleId="MediumGrid1-Accent3">
    <w:name w:val="Medium Grid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insideV w:val="single" w:sz="8" w:space="0" w:color="878787" w:themeColor="accent3" w:themeTint="BF"/>
      </w:tblBorders>
    </w:tblPr>
    <w:tcPr>
      <w:shd w:val="clear" w:color="auto" w:fill="D7D7D7" w:themeFill="accent3" w:themeFillTint="3F"/>
    </w:tcPr>
    <w:tblStylePr w:type="firstRow">
      <w:rPr>
        <w:b/>
        <w:bCs/>
      </w:rPr>
    </w:tblStylePr>
    <w:tblStylePr w:type="lastRow">
      <w:rPr>
        <w:b/>
        <w:bCs/>
      </w:rPr>
      <w:tblPr/>
      <w:tcPr>
        <w:tcBorders>
          <w:top w:val="single" w:sz="18" w:space="0" w:color="878787" w:themeColor="accent3" w:themeTint="BF"/>
        </w:tcBorders>
      </w:tcPr>
    </w:tblStylePr>
    <w:tblStylePr w:type="firstCol">
      <w:rPr>
        <w:b/>
        <w:bCs/>
      </w:rPr>
    </w:tblStylePr>
    <w:tblStylePr w:type="lastCol">
      <w:rPr>
        <w:b/>
        <w:bCs/>
      </w:rPr>
    </w:tblStylePr>
    <w:tblStylePr w:type="band1Vert">
      <w:tblPr/>
      <w:tcPr>
        <w:shd w:val="clear" w:color="auto" w:fill="AFAFAF" w:themeFill="accent3" w:themeFillTint="7F"/>
      </w:tcPr>
    </w:tblStylePr>
    <w:tblStylePr w:type="band1Horz">
      <w:tblPr/>
      <w:tcPr>
        <w:shd w:val="clear" w:color="auto" w:fill="AFAFAF" w:themeFill="accent3" w:themeFillTint="7F"/>
      </w:tcPr>
    </w:tblStylePr>
  </w:style>
  <w:style w:type="table" w:styleId="MediumGrid1-Accent4">
    <w:name w:val="Medium Grid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insideV w:val="single" w:sz="8" w:space="0" w:color="B0B0B0" w:themeColor="accent4" w:themeTint="BF"/>
      </w:tblBorders>
    </w:tblPr>
    <w:tcPr>
      <w:shd w:val="clear" w:color="auto" w:fill="E5E5E5" w:themeFill="accent4" w:themeFillTint="3F"/>
    </w:tcPr>
    <w:tblStylePr w:type="firstRow">
      <w:rPr>
        <w:b/>
        <w:bCs/>
      </w:rPr>
    </w:tblStylePr>
    <w:tblStylePr w:type="lastRow">
      <w:rPr>
        <w:b/>
        <w:bCs/>
      </w:rPr>
      <w:tblPr/>
      <w:tcPr>
        <w:tcBorders>
          <w:top w:val="single" w:sz="18" w:space="0" w:color="B0B0B0" w:themeColor="accent4" w:themeTint="BF"/>
        </w:tcBorders>
      </w:tcPr>
    </w:tblStylePr>
    <w:tblStylePr w:type="firstCol">
      <w:rPr>
        <w:b/>
        <w:bCs/>
      </w:rPr>
    </w:tblStylePr>
    <w:tblStylePr w:type="lastCol">
      <w:rPr>
        <w:b/>
        <w:bCs/>
      </w:rPr>
    </w:tblStylePr>
    <w:tblStylePr w:type="band1Vert">
      <w:tblPr/>
      <w:tcPr>
        <w:shd w:val="clear" w:color="auto" w:fill="CACACA" w:themeFill="accent4" w:themeFillTint="7F"/>
      </w:tcPr>
    </w:tblStylePr>
    <w:tblStylePr w:type="band1Horz">
      <w:tblPr/>
      <w:tcPr>
        <w:shd w:val="clear" w:color="auto" w:fill="CACACA" w:themeFill="accent4" w:themeFillTint="7F"/>
      </w:tcPr>
    </w:tblStylePr>
  </w:style>
  <w:style w:type="table" w:styleId="MediumGrid1-Accent5">
    <w:name w:val="Medium Grid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insideV w:val="single" w:sz="8" w:space="0" w:color="878787" w:themeColor="accent5" w:themeTint="BF"/>
      </w:tblBorders>
    </w:tblPr>
    <w:tcPr>
      <w:shd w:val="clear" w:color="auto" w:fill="D7D7D7" w:themeFill="accent5" w:themeFillTint="3F"/>
    </w:tcPr>
    <w:tblStylePr w:type="firstRow">
      <w:rPr>
        <w:b/>
        <w:bCs/>
      </w:rPr>
    </w:tblStylePr>
    <w:tblStylePr w:type="lastRow">
      <w:rPr>
        <w:b/>
        <w:bCs/>
      </w:rPr>
      <w:tblPr/>
      <w:tcPr>
        <w:tcBorders>
          <w:top w:val="single" w:sz="18" w:space="0" w:color="878787" w:themeColor="accent5" w:themeTint="BF"/>
        </w:tcBorders>
      </w:tcPr>
    </w:tblStylePr>
    <w:tblStylePr w:type="firstCol">
      <w:rPr>
        <w:b/>
        <w:bCs/>
      </w:rPr>
    </w:tblStylePr>
    <w:tblStylePr w:type="lastCol">
      <w:rPr>
        <w:b/>
        <w:bCs/>
      </w:rPr>
    </w:tblStylePr>
    <w:tblStylePr w:type="band1Vert">
      <w:tblPr/>
      <w:tcPr>
        <w:shd w:val="clear" w:color="auto" w:fill="AFAFAF" w:themeFill="accent5" w:themeFillTint="7F"/>
      </w:tcPr>
    </w:tblStylePr>
    <w:tblStylePr w:type="band1Horz">
      <w:tblPr/>
      <w:tcPr>
        <w:shd w:val="clear" w:color="auto" w:fill="AFAFAF" w:themeFill="accent5" w:themeFillTint="7F"/>
      </w:tcPr>
    </w:tblStylePr>
  </w:style>
  <w:style w:type="table" w:styleId="MediumGrid1-Accent6">
    <w:name w:val="Medium Grid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insideV w:val="single" w:sz="8" w:space="0" w:color="797979" w:themeColor="accent6" w:themeTint="BF"/>
      </w:tblBorders>
    </w:tblPr>
    <w:tcPr>
      <w:shd w:val="clear" w:color="auto" w:fill="D3D3D3" w:themeFill="accent6" w:themeFillTint="3F"/>
    </w:tcPr>
    <w:tblStylePr w:type="firstRow">
      <w:rPr>
        <w:b/>
        <w:bCs/>
      </w:rPr>
    </w:tblStylePr>
    <w:tblStylePr w:type="lastRow">
      <w:rPr>
        <w:b/>
        <w:bCs/>
      </w:rPr>
      <w:tblPr/>
      <w:tcPr>
        <w:tcBorders>
          <w:top w:val="single" w:sz="18" w:space="0" w:color="797979" w:themeColor="accent6" w:themeTint="BF"/>
        </w:tcBorders>
      </w:tcPr>
    </w:tblStylePr>
    <w:tblStylePr w:type="firstCol">
      <w:rPr>
        <w:b/>
        <w:bCs/>
      </w:rPr>
    </w:tblStylePr>
    <w:tblStylePr w:type="lastCol">
      <w:rPr>
        <w:b/>
        <w:bCs/>
      </w:rPr>
    </w:tblStylePr>
    <w:tblStylePr w:type="band1Vert">
      <w:tblPr/>
      <w:tcPr>
        <w:shd w:val="clear" w:color="auto" w:fill="A6A6A6" w:themeFill="accent6" w:themeFillTint="7F"/>
      </w:tcPr>
    </w:tblStylePr>
    <w:tblStylePr w:type="band1Horz">
      <w:tblPr/>
      <w:tcPr>
        <w:shd w:val="clear" w:color="auto" w:fill="A6A6A6" w:themeFill="accent6" w:themeFillTint="7F"/>
      </w:tcPr>
    </w:tblStylePr>
  </w:style>
  <w:style w:type="table" w:styleId="MediumGrid2">
    <w:name w:val="Medium Grid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0072BC" w:themeFill="background1"/>
      </w:tcPr>
    </w:tblStylePr>
  </w:style>
  <w:style w:type="table" w:styleId="MediumGrid2-Accent1">
    <w:name w:val="Medium Grid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insideH w:val="single" w:sz="8" w:space="0" w:color="0072BC" w:themeColor="accent1"/>
        <w:insideV w:val="single" w:sz="8" w:space="0" w:color="0072BC" w:themeColor="accent1"/>
      </w:tblBorders>
    </w:tblPr>
    <w:tcPr>
      <w:shd w:val="clear" w:color="auto" w:fill="AFDFFF" w:themeFill="accent1" w:themeFillTint="3F"/>
    </w:tcPr>
    <w:tblStylePr w:type="firstRow">
      <w:rPr>
        <w:b/>
        <w:bCs/>
        <w:color w:val="000000" w:themeColor="text1"/>
      </w:rPr>
      <w:tblPr/>
      <w:tcPr>
        <w:shd w:val="clear" w:color="auto" w:fill="DFF2FF"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BEE5FF" w:themeFill="accent1" w:themeFillTint="33"/>
      </w:tcPr>
    </w:tblStylePr>
    <w:tblStylePr w:type="band1Vert">
      <w:tblPr/>
      <w:tcPr>
        <w:shd w:val="clear" w:color="auto" w:fill="5EBFFF" w:themeFill="accent1" w:themeFillTint="7F"/>
      </w:tcPr>
    </w:tblStylePr>
    <w:tblStylePr w:type="band1Horz">
      <w:tblPr/>
      <w:tcPr>
        <w:tcBorders>
          <w:insideH w:val="single" w:sz="6" w:space="0" w:color="0072BC" w:themeColor="accent1"/>
          <w:insideV w:val="single" w:sz="6" w:space="0" w:color="0072BC" w:themeColor="accent1"/>
        </w:tcBorders>
        <w:shd w:val="clear" w:color="auto" w:fill="5EBFFF" w:themeFill="accent1" w:themeFillTint="7F"/>
      </w:tcPr>
    </w:tblStylePr>
    <w:tblStylePr w:type="nwCell">
      <w:tblPr/>
      <w:tcPr>
        <w:shd w:val="clear" w:color="auto" w:fill="0072BC" w:themeFill="background1"/>
      </w:tcPr>
    </w:tblStylePr>
  </w:style>
  <w:style w:type="table" w:styleId="MediumGrid2-Accent2">
    <w:name w:val="Medium Grid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insideH w:val="single" w:sz="8" w:space="0" w:color="C00000" w:themeColor="accent2"/>
        <w:insideV w:val="single" w:sz="8" w:space="0" w:color="C00000" w:themeColor="accent2"/>
      </w:tblBorders>
    </w:tblPr>
    <w:tcPr>
      <w:shd w:val="clear" w:color="auto" w:fill="FFB0B0" w:themeFill="accent2" w:themeFillTint="3F"/>
    </w:tcPr>
    <w:tblStylePr w:type="firstRow">
      <w:rPr>
        <w:b/>
        <w:bCs/>
        <w:color w:val="000000" w:themeColor="text1"/>
      </w:rPr>
      <w:tblPr/>
      <w:tcPr>
        <w:shd w:val="clear" w:color="auto" w:fill="FFDFDF"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FBFBF" w:themeFill="accent2" w:themeFillTint="33"/>
      </w:tcPr>
    </w:tblStylePr>
    <w:tblStylePr w:type="band1Vert">
      <w:tblPr/>
      <w:tcPr>
        <w:shd w:val="clear" w:color="auto" w:fill="FF6060" w:themeFill="accent2" w:themeFillTint="7F"/>
      </w:tcPr>
    </w:tblStylePr>
    <w:tblStylePr w:type="band1Horz">
      <w:tblPr/>
      <w:tcPr>
        <w:tcBorders>
          <w:insideH w:val="single" w:sz="6" w:space="0" w:color="C00000" w:themeColor="accent2"/>
          <w:insideV w:val="single" w:sz="6" w:space="0" w:color="C00000" w:themeColor="accent2"/>
        </w:tcBorders>
        <w:shd w:val="clear" w:color="auto" w:fill="FF6060" w:themeFill="accent2" w:themeFillTint="7F"/>
      </w:tcPr>
    </w:tblStylePr>
    <w:tblStylePr w:type="nwCell">
      <w:tblPr/>
      <w:tcPr>
        <w:shd w:val="clear" w:color="auto" w:fill="0072BC" w:themeFill="background1"/>
      </w:tcPr>
    </w:tblStylePr>
  </w:style>
  <w:style w:type="table" w:styleId="MediumGrid2-Accent3">
    <w:name w:val="Medium Grid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insideH w:val="single" w:sz="8" w:space="0" w:color="5F5F5F" w:themeColor="accent3"/>
        <w:insideV w:val="single" w:sz="8" w:space="0" w:color="5F5F5F" w:themeColor="accent3"/>
      </w:tblBorders>
    </w:tblPr>
    <w:tcPr>
      <w:shd w:val="clear" w:color="auto" w:fill="D7D7D7" w:themeFill="accent3" w:themeFillTint="3F"/>
    </w:tcPr>
    <w:tblStylePr w:type="firstRow">
      <w:rPr>
        <w:b/>
        <w:bCs/>
        <w:color w:val="000000" w:themeColor="text1"/>
      </w:rPr>
      <w:tblPr/>
      <w:tcPr>
        <w:shd w:val="clear" w:color="auto" w:fill="EFEFEF"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3" w:themeFillTint="33"/>
      </w:tcPr>
    </w:tblStylePr>
    <w:tblStylePr w:type="band1Vert">
      <w:tblPr/>
      <w:tcPr>
        <w:shd w:val="clear" w:color="auto" w:fill="AFAFAF" w:themeFill="accent3" w:themeFillTint="7F"/>
      </w:tcPr>
    </w:tblStylePr>
    <w:tblStylePr w:type="band1Horz">
      <w:tblPr/>
      <w:tcPr>
        <w:tcBorders>
          <w:insideH w:val="single" w:sz="6" w:space="0" w:color="5F5F5F" w:themeColor="accent3"/>
          <w:insideV w:val="single" w:sz="6" w:space="0" w:color="5F5F5F" w:themeColor="accent3"/>
        </w:tcBorders>
        <w:shd w:val="clear" w:color="auto" w:fill="AFAFAF" w:themeFill="accent3" w:themeFillTint="7F"/>
      </w:tcPr>
    </w:tblStylePr>
    <w:tblStylePr w:type="nwCell">
      <w:tblPr/>
      <w:tcPr>
        <w:shd w:val="clear" w:color="auto" w:fill="0072BC" w:themeFill="background1"/>
      </w:tcPr>
    </w:tblStylePr>
  </w:style>
  <w:style w:type="table" w:styleId="MediumGrid2-Accent4">
    <w:name w:val="Medium Grid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insideH w:val="single" w:sz="8" w:space="0" w:color="969696" w:themeColor="accent4"/>
        <w:insideV w:val="single" w:sz="8" w:space="0" w:color="969696" w:themeColor="accent4"/>
      </w:tblBorders>
    </w:tblPr>
    <w:tcPr>
      <w:shd w:val="clear" w:color="auto" w:fill="E5E5E5" w:themeFill="accent4" w:themeFillTint="3F"/>
    </w:tcPr>
    <w:tblStylePr w:type="firstRow">
      <w:rPr>
        <w:b/>
        <w:bCs/>
        <w:color w:val="000000" w:themeColor="text1"/>
      </w:rPr>
      <w:tblPr/>
      <w:tcPr>
        <w:shd w:val="clear" w:color="auto" w:fill="F4F4F4"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EAEA" w:themeFill="accent4" w:themeFillTint="33"/>
      </w:tcPr>
    </w:tblStylePr>
    <w:tblStylePr w:type="band1Vert">
      <w:tblPr/>
      <w:tcPr>
        <w:shd w:val="clear" w:color="auto" w:fill="CACACA" w:themeFill="accent4" w:themeFillTint="7F"/>
      </w:tcPr>
    </w:tblStylePr>
    <w:tblStylePr w:type="band1Horz">
      <w:tblPr/>
      <w:tcPr>
        <w:tcBorders>
          <w:insideH w:val="single" w:sz="6" w:space="0" w:color="969696" w:themeColor="accent4"/>
          <w:insideV w:val="single" w:sz="6" w:space="0" w:color="969696" w:themeColor="accent4"/>
        </w:tcBorders>
        <w:shd w:val="clear" w:color="auto" w:fill="CACACA" w:themeFill="accent4" w:themeFillTint="7F"/>
      </w:tcPr>
    </w:tblStylePr>
    <w:tblStylePr w:type="nwCell">
      <w:tblPr/>
      <w:tcPr>
        <w:shd w:val="clear" w:color="auto" w:fill="0072BC" w:themeFill="background1"/>
      </w:tcPr>
    </w:tblStylePr>
  </w:style>
  <w:style w:type="table" w:styleId="MediumGrid2-Accent5">
    <w:name w:val="Medium Grid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insideH w:val="single" w:sz="8" w:space="0" w:color="5F5F5F" w:themeColor="accent5"/>
        <w:insideV w:val="single" w:sz="8" w:space="0" w:color="5F5F5F" w:themeColor="accent5"/>
      </w:tblBorders>
    </w:tblPr>
    <w:tcPr>
      <w:shd w:val="clear" w:color="auto" w:fill="D7D7D7" w:themeFill="accent5" w:themeFillTint="3F"/>
    </w:tcPr>
    <w:tblStylePr w:type="firstRow">
      <w:rPr>
        <w:b/>
        <w:bCs/>
        <w:color w:val="000000" w:themeColor="text1"/>
      </w:rPr>
      <w:tblPr/>
      <w:tcPr>
        <w:shd w:val="clear" w:color="auto" w:fill="EFEFEF"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FDFDF" w:themeFill="accent5" w:themeFillTint="33"/>
      </w:tcPr>
    </w:tblStylePr>
    <w:tblStylePr w:type="band1Vert">
      <w:tblPr/>
      <w:tcPr>
        <w:shd w:val="clear" w:color="auto" w:fill="AFAFAF" w:themeFill="accent5" w:themeFillTint="7F"/>
      </w:tcPr>
    </w:tblStylePr>
    <w:tblStylePr w:type="band1Horz">
      <w:tblPr/>
      <w:tcPr>
        <w:tcBorders>
          <w:insideH w:val="single" w:sz="6" w:space="0" w:color="5F5F5F" w:themeColor="accent5"/>
          <w:insideV w:val="single" w:sz="6" w:space="0" w:color="5F5F5F" w:themeColor="accent5"/>
        </w:tcBorders>
        <w:shd w:val="clear" w:color="auto" w:fill="AFAFAF" w:themeFill="accent5" w:themeFillTint="7F"/>
      </w:tcPr>
    </w:tblStylePr>
    <w:tblStylePr w:type="nwCell">
      <w:tblPr/>
      <w:tcPr>
        <w:shd w:val="clear" w:color="auto" w:fill="0072BC" w:themeFill="background1"/>
      </w:tcPr>
    </w:tblStylePr>
  </w:style>
  <w:style w:type="table" w:styleId="MediumGrid2-Accent6">
    <w:name w:val="Medium Grid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insideH w:val="single" w:sz="8" w:space="0" w:color="4D4D4D" w:themeColor="accent6"/>
        <w:insideV w:val="single" w:sz="8" w:space="0" w:color="4D4D4D" w:themeColor="accent6"/>
      </w:tblBorders>
    </w:tblPr>
    <w:tcPr>
      <w:shd w:val="clear" w:color="auto" w:fill="D3D3D3" w:themeFill="accent6" w:themeFillTint="3F"/>
    </w:tcPr>
    <w:tblStylePr w:type="firstRow">
      <w:rPr>
        <w:b/>
        <w:bCs/>
        <w:color w:val="000000" w:themeColor="text1"/>
      </w:rPr>
      <w:tblPr/>
      <w:tcPr>
        <w:shd w:val="clear" w:color="auto" w:fill="EDEDE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0072BC" w:themeFill="background1"/>
      </w:tcPr>
    </w:tblStylePr>
    <w:tblStylePr w:type="firstCol">
      <w:rPr>
        <w:b/>
        <w:bCs/>
        <w:color w:val="000000" w:themeColor="text1"/>
      </w:rPr>
      <w:tblPr/>
      <w:tcPr>
        <w:tcBorders>
          <w:top w:val="nil"/>
          <w:left w:val="nil"/>
          <w:bottom w:val="nil"/>
          <w:right w:val="nil"/>
          <w:insideH w:val="nil"/>
          <w:insideV w:val="nil"/>
        </w:tcBorders>
        <w:shd w:val="clear" w:color="auto" w:fill="0072BC"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DBDB" w:themeFill="accent6" w:themeFillTint="33"/>
      </w:tcPr>
    </w:tblStylePr>
    <w:tblStylePr w:type="band1Vert">
      <w:tblPr/>
      <w:tcPr>
        <w:shd w:val="clear" w:color="auto" w:fill="A6A6A6" w:themeFill="accent6" w:themeFillTint="7F"/>
      </w:tcPr>
    </w:tblStylePr>
    <w:tblStylePr w:type="band1Horz">
      <w:tblPr/>
      <w:tcPr>
        <w:tcBorders>
          <w:insideH w:val="single" w:sz="6" w:space="0" w:color="4D4D4D" w:themeColor="accent6"/>
          <w:insideV w:val="single" w:sz="6" w:space="0" w:color="4D4D4D" w:themeColor="accent6"/>
        </w:tcBorders>
        <w:shd w:val="clear" w:color="auto" w:fill="A6A6A6" w:themeFill="accent6" w:themeFillTint="7F"/>
      </w:tcPr>
    </w:tblStylePr>
    <w:tblStylePr w:type="nwCell">
      <w:tblPr/>
      <w:tcPr>
        <w:shd w:val="clear" w:color="auto" w:fill="0072BC" w:themeFill="background1"/>
      </w:tcPr>
    </w:tblStylePr>
  </w:style>
  <w:style w:type="table" w:styleId="MediumGrid3">
    <w:name w:val="Medium Grid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C0C0C0" w:themeFill="tex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0000" w:themeFill="tex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0000" w:themeFill="tex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0000" w:themeFill="tex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808080" w:themeFill="tex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808080" w:themeFill="text1" w:themeFillTint="7F"/>
      </w:tcPr>
    </w:tblStylePr>
  </w:style>
  <w:style w:type="table" w:styleId="MediumGrid3-Accent1">
    <w:name w:val="Medium Grid 3 Accent 1"/>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AFDFFF" w:themeFill="accent1"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0072BC" w:themeFill="accent1"/>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0072BC" w:themeFill="accent1"/>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0072BC" w:themeFill="accent1"/>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5EBFFF" w:themeFill="accent1"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5EBFFF" w:themeFill="accent1" w:themeFillTint="7F"/>
      </w:tcPr>
    </w:tblStylePr>
  </w:style>
  <w:style w:type="table" w:styleId="MediumGrid3-Accent2">
    <w:name w:val="Medium Grid 3 Accent 2"/>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FFB0B0" w:themeFill="accent2"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C00000" w:themeFill="accent2"/>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C00000" w:themeFill="accent2"/>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C00000" w:themeFill="accent2"/>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FF6060" w:themeFill="accent2"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FF6060" w:themeFill="accent2" w:themeFillTint="7F"/>
      </w:tcPr>
    </w:tblStylePr>
  </w:style>
  <w:style w:type="table" w:styleId="MediumGrid3-Accent3">
    <w:name w:val="Medium Grid 3 Accent 3"/>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3"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3"/>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3"/>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3"/>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3"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3" w:themeFillTint="7F"/>
      </w:tcPr>
    </w:tblStylePr>
  </w:style>
  <w:style w:type="table" w:styleId="MediumGrid3-Accent4">
    <w:name w:val="Medium Grid 3 Accent 4"/>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E5E5E5" w:themeFill="accent4"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969696" w:themeFill="accent4"/>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969696" w:themeFill="accent4"/>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969696" w:themeFill="accent4"/>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CACACA" w:themeFill="accent4"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CACACA" w:themeFill="accent4" w:themeFillTint="7F"/>
      </w:tcPr>
    </w:tblStylePr>
  </w:style>
  <w:style w:type="table" w:styleId="MediumGrid3-Accent5">
    <w:name w:val="Medium Grid 3 Accent 5"/>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7D7D7" w:themeFill="accent5"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5F5F5F" w:themeFill="accent5"/>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5F5F5F" w:themeFill="accent5"/>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5F5F5F" w:themeFill="accent5"/>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FAFAF" w:themeFill="accent5"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FAFAF" w:themeFill="accent5" w:themeFillTint="7F"/>
      </w:tcPr>
    </w:tblStylePr>
  </w:style>
  <w:style w:type="table" w:styleId="MediumGrid3-Accent6">
    <w:name w:val="Medium Grid 3 Accent 6"/>
    <w:basedOn w:val="TableNormal"/>
    <w:uiPriority w:val="99"/>
    <w:semiHidden/>
    <w:rsid w:val="0098410D"/>
    <w:tblPr>
      <w:tblStyleRowBandSize w:val="1"/>
      <w:tblStyleColBandSize w:val="1"/>
      <w:tbl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6" w:space="0" w:color="0072BC" w:themeColor="background1"/>
        <w:insideV w:val="single" w:sz="6" w:space="0" w:color="0072BC" w:themeColor="background1"/>
      </w:tblBorders>
    </w:tblPr>
    <w:tcPr>
      <w:shd w:val="clear" w:color="auto" w:fill="D3D3D3" w:themeFill="accent6" w:themeFillTint="3F"/>
    </w:tcPr>
    <w:tblStylePr w:type="firstRow">
      <w:rPr>
        <w:b/>
        <w:bCs/>
        <w:i w:val="0"/>
        <w:iCs w:val="0"/>
        <w:color w:val="0072BC" w:themeColor="background1"/>
      </w:rPr>
      <w:tblPr/>
      <w:tcPr>
        <w:tcBorders>
          <w:top w:val="single" w:sz="8" w:space="0" w:color="0072BC" w:themeColor="background1"/>
          <w:left w:val="single" w:sz="8" w:space="0" w:color="0072BC" w:themeColor="background1"/>
          <w:bottom w:val="single" w:sz="24"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lastRow">
      <w:rPr>
        <w:b/>
        <w:bCs/>
        <w:i w:val="0"/>
        <w:iCs w:val="0"/>
        <w:color w:val="0072BC" w:themeColor="background1"/>
      </w:rPr>
      <w:tblPr/>
      <w:tcPr>
        <w:tcBorders>
          <w:top w:val="single" w:sz="24" w:space="0" w:color="0072BC" w:themeColor="background1"/>
          <w:left w:val="single" w:sz="8" w:space="0" w:color="0072BC" w:themeColor="background1"/>
          <w:bottom w:val="single" w:sz="8" w:space="0" w:color="0072BC" w:themeColor="background1"/>
          <w:right w:val="single" w:sz="8" w:space="0" w:color="0072BC" w:themeColor="background1"/>
          <w:insideH w:val="nil"/>
          <w:insideV w:val="single" w:sz="8" w:space="0" w:color="0072BC" w:themeColor="background1"/>
        </w:tcBorders>
        <w:shd w:val="clear" w:color="auto" w:fill="4D4D4D" w:themeFill="accent6"/>
      </w:tcPr>
    </w:tblStylePr>
    <w:tblStylePr w:type="firstCol">
      <w:rPr>
        <w:b/>
        <w:bCs/>
        <w:i w:val="0"/>
        <w:iCs w:val="0"/>
        <w:color w:val="0072BC" w:themeColor="background1"/>
      </w:rPr>
      <w:tblPr/>
      <w:tcPr>
        <w:tcBorders>
          <w:left w:val="single" w:sz="8" w:space="0" w:color="0072BC" w:themeColor="background1"/>
          <w:right w:val="single" w:sz="24" w:space="0" w:color="0072BC" w:themeColor="background1"/>
          <w:insideH w:val="nil"/>
          <w:insideV w:val="nil"/>
        </w:tcBorders>
        <w:shd w:val="clear" w:color="auto" w:fill="4D4D4D" w:themeFill="accent6"/>
      </w:tcPr>
    </w:tblStylePr>
    <w:tblStylePr w:type="lastCol">
      <w:rPr>
        <w:b/>
        <w:bCs/>
        <w:i w:val="0"/>
        <w:iCs w:val="0"/>
        <w:color w:val="0072BC" w:themeColor="background1"/>
      </w:rPr>
      <w:tblPr/>
      <w:tcPr>
        <w:tcBorders>
          <w:top w:val="nil"/>
          <w:left w:val="single" w:sz="24" w:space="0" w:color="0072BC" w:themeColor="background1"/>
          <w:bottom w:val="nil"/>
          <w:right w:val="nil"/>
          <w:insideH w:val="nil"/>
          <w:insideV w:val="nil"/>
        </w:tcBorders>
        <w:shd w:val="clear" w:color="auto" w:fill="4D4D4D" w:themeFill="accent6"/>
      </w:tcPr>
    </w:tblStylePr>
    <w:tblStylePr w:type="band1Vert">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nil"/>
          <w:insideV w:val="nil"/>
        </w:tcBorders>
        <w:shd w:val="clear" w:color="auto" w:fill="A6A6A6" w:themeFill="accent6" w:themeFillTint="7F"/>
      </w:tcPr>
    </w:tblStylePr>
    <w:tblStylePr w:type="band1Horz">
      <w:tblPr/>
      <w:tcPr>
        <w:tcBorders>
          <w:top w:val="single" w:sz="8" w:space="0" w:color="0072BC" w:themeColor="background1"/>
          <w:left w:val="single" w:sz="8" w:space="0" w:color="0072BC" w:themeColor="background1"/>
          <w:bottom w:val="single" w:sz="8" w:space="0" w:color="0072BC" w:themeColor="background1"/>
          <w:right w:val="single" w:sz="8" w:space="0" w:color="0072BC" w:themeColor="background1"/>
          <w:insideH w:val="single" w:sz="8" w:space="0" w:color="0072BC" w:themeColor="background1"/>
          <w:insideV w:val="single" w:sz="8" w:space="0" w:color="0072BC" w:themeColor="background1"/>
        </w:tcBorders>
        <w:shd w:val="clear" w:color="auto" w:fill="A6A6A6" w:themeFill="accent6" w:themeFillTint="7F"/>
      </w:tcPr>
    </w:tblStylePr>
  </w:style>
  <w:style w:type="table" w:styleId="MediumList1">
    <w:name w:val="Medium List 1"/>
    <w:basedOn w:val="TableNormal"/>
    <w:uiPriority w:val="99"/>
    <w:semiHidden/>
    <w:rsid w:val="0098410D"/>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C6C6C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9"/>
    <w:semiHidden/>
    <w:rsid w:val="0098410D"/>
    <w:rPr>
      <w:color w:val="000000" w:themeColor="text1"/>
    </w:rPr>
    <w:tblPr>
      <w:tblStyleRowBandSize w:val="1"/>
      <w:tblStyleColBandSize w:val="1"/>
      <w:tblBorders>
        <w:top w:val="single" w:sz="8" w:space="0" w:color="0072BC" w:themeColor="accent1"/>
        <w:bottom w:val="single" w:sz="8" w:space="0" w:color="0072BC" w:themeColor="accent1"/>
      </w:tblBorders>
    </w:tblPr>
    <w:tblStylePr w:type="firstRow">
      <w:rPr>
        <w:rFonts w:asciiTheme="majorHAnsi" w:eastAsiaTheme="majorEastAsia" w:hAnsiTheme="majorHAnsi" w:cstheme="majorBidi"/>
      </w:rPr>
      <w:tblPr/>
      <w:tcPr>
        <w:tcBorders>
          <w:top w:val="nil"/>
          <w:bottom w:val="single" w:sz="8" w:space="0" w:color="0072BC" w:themeColor="accent1"/>
        </w:tcBorders>
      </w:tcPr>
    </w:tblStylePr>
    <w:tblStylePr w:type="lastRow">
      <w:rPr>
        <w:b/>
        <w:bCs/>
        <w:color w:val="C6C6C6" w:themeColor="text2"/>
      </w:rPr>
      <w:tblPr/>
      <w:tcPr>
        <w:tcBorders>
          <w:top w:val="single" w:sz="8" w:space="0" w:color="0072BC" w:themeColor="accent1"/>
          <w:bottom w:val="single" w:sz="8" w:space="0" w:color="0072BC" w:themeColor="accent1"/>
        </w:tcBorders>
      </w:tcPr>
    </w:tblStylePr>
    <w:tblStylePr w:type="firstCol">
      <w:rPr>
        <w:b/>
        <w:bCs/>
      </w:rPr>
    </w:tblStylePr>
    <w:tblStylePr w:type="lastCol">
      <w:rPr>
        <w:b/>
        <w:bCs/>
      </w:rPr>
      <w:tblPr/>
      <w:tcPr>
        <w:tcBorders>
          <w:top w:val="single" w:sz="8" w:space="0" w:color="0072BC" w:themeColor="accent1"/>
          <w:bottom w:val="single" w:sz="8" w:space="0" w:color="0072BC" w:themeColor="accent1"/>
        </w:tcBorders>
      </w:tcPr>
    </w:tblStylePr>
    <w:tblStylePr w:type="band1Vert">
      <w:tblPr/>
      <w:tcPr>
        <w:shd w:val="clear" w:color="auto" w:fill="AFDFFF" w:themeFill="accent1" w:themeFillTint="3F"/>
      </w:tcPr>
    </w:tblStylePr>
    <w:tblStylePr w:type="band1Horz">
      <w:tblPr/>
      <w:tcPr>
        <w:shd w:val="clear" w:color="auto" w:fill="AFDFFF" w:themeFill="accent1" w:themeFillTint="3F"/>
      </w:tcPr>
    </w:tblStylePr>
  </w:style>
  <w:style w:type="table" w:styleId="MediumList1-Accent2">
    <w:name w:val="Medium List 1 Accent 2"/>
    <w:basedOn w:val="TableNormal"/>
    <w:uiPriority w:val="99"/>
    <w:semiHidden/>
    <w:rsid w:val="0098410D"/>
    <w:rPr>
      <w:color w:val="000000" w:themeColor="text1"/>
    </w:rPr>
    <w:tblPr>
      <w:tblStyleRowBandSize w:val="1"/>
      <w:tblStyleColBandSize w:val="1"/>
      <w:tblBorders>
        <w:top w:val="single" w:sz="8" w:space="0" w:color="C00000" w:themeColor="accent2"/>
        <w:bottom w:val="single" w:sz="8" w:space="0" w:color="C00000" w:themeColor="accent2"/>
      </w:tblBorders>
    </w:tblPr>
    <w:tblStylePr w:type="firstRow">
      <w:rPr>
        <w:rFonts w:asciiTheme="majorHAnsi" w:eastAsiaTheme="majorEastAsia" w:hAnsiTheme="majorHAnsi" w:cstheme="majorBidi"/>
      </w:rPr>
      <w:tblPr/>
      <w:tcPr>
        <w:tcBorders>
          <w:top w:val="nil"/>
          <w:bottom w:val="single" w:sz="8" w:space="0" w:color="C00000" w:themeColor="accent2"/>
        </w:tcBorders>
      </w:tcPr>
    </w:tblStylePr>
    <w:tblStylePr w:type="lastRow">
      <w:rPr>
        <w:b/>
        <w:bCs/>
        <w:color w:val="C6C6C6" w:themeColor="text2"/>
      </w:rPr>
      <w:tblPr/>
      <w:tcPr>
        <w:tcBorders>
          <w:top w:val="single" w:sz="8" w:space="0" w:color="C00000" w:themeColor="accent2"/>
          <w:bottom w:val="single" w:sz="8" w:space="0" w:color="C00000" w:themeColor="accent2"/>
        </w:tcBorders>
      </w:tcPr>
    </w:tblStylePr>
    <w:tblStylePr w:type="firstCol">
      <w:rPr>
        <w:b/>
        <w:bCs/>
      </w:rPr>
    </w:tblStylePr>
    <w:tblStylePr w:type="lastCol">
      <w:rPr>
        <w:b/>
        <w:bCs/>
      </w:rPr>
      <w:tblPr/>
      <w:tcPr>
        <w:tcBorders>
          <w:top w:val="single" w:sz="8" w:space="0" w:color="C00000" w:themeColor="accent2"/>
          <w:bottom w:val="single" w:sz="8" w:space="0" w:color="C00000" w:themeColor="accent2"/>
        </w:tcBorders>
      </w:tcPr>
    </w:tblStylePr>
    <w:tblStylePr w:type="band1Vert">
      <w:tblPr/>
      <w:tcPr>
        <w:shd w:val="clear" w:color="auto" w:fill="FFB0B0" w:themeFill="accent2" w:themeFillTint="3F"/>
      </w:tcPr>
    </w:tblStylePr>
    <w:tblStylePr w:type="band1Horz">
      <w:tblPr/>
      <w:tcPr>
        <w:shd w:val="clear" w:color="auto" w:fill="FFB0B0" w:themeFill="accent2" w:themeFillTint="3F"/>
      </w:tcPr>
    </w:tblStylePr>
  </w:style>
  <w:style w:type="table" w:styleId="MediumList1-Accent3">
    <w:name w:val="Medium List 1 Accent 3"/>
    <w:basedOn w:val="TableNormal"/>
    <w:uiPriority w:val="99"/>
    <w:semiHidden/>
    <w:rsid w:val="0098410D"/>
    <w:rPr>
      <w:color w:val="000000" w:themeColor="text1"/>
    </w:rPr>
    <w:tblPr>
      <w:tblStyleRowBandSize w:val="1"/>
      <w:tblStyleColBandSize w:val="1"/>
      <w:tblBorders>
        <w:top w:val="single" w:sz="8" w:space="0" w:color="5F5F5F" w:themeColor="accent3"/>
        <w:bottom w:val="single" w:sz="8" w:space="0" w:color="5F5F5F" w:themeColor="accent3"/>
      </w:tblBorders>
    </w:tblPr>
    <w:tblStylePr w:type="firstRow">
      <w:rPr>
        <w:rFonts w:asciiTheme="majorHAnsi" w:eastAsiaTheme="majorEastAsia" w:hAnsiTheme="majorHAnsi" w:cstheme="majorBidi"/>
      </w:rPr>
      <w:tblPr/>
      <w:tcPr>
        <w:tcBorders>
          <w:top w:val="nil"/>
          <w:bottom w:val="single" w:sz="8" w:space="0" w:color="5F5F5F" w:themeColor="accent3"/>
        </w:tcBorders>
      </w:tcPr>
    </w:tblStylePr>
    <w:tblStylePr w:type="lastRow">
      <w:rPr>
        <w:b/>
        <w:bCs/>
        <w:color w:val="C6C6C6" w:themeColor="text2"/>
      </w:rPr>
      <w:tblPr/>
      <w:tcPr>
        <w:tcBorders>
          <w:top w:val="single" w:sz="8" w:space="0" w:color="5F5F5F" w:themeColor="accent3"/>
          <w:bottom w:val="single" w:sz="8" w:space="0" w:color="5F5F5F" w:themeColor="accent3"/>
        </w:tcBorders>
      </w:tcPr>
    </w:tblStylePr>
    <w:tblStylePr w:type="firstCol">
      <w:rPr>
        <w:b/>
        <w:bCs/>
      </w:rPr>
    </w:tblStylePr>
    <w:tblStylePr w:type="lastCol">
      <w:rPr>
        <w:b/>
        <w:bCs/>
      </w:rPr>
      <w:tblPr/>
      <w:tcPr>
        <w:tcBorders>
          <w:top w:val="single" w:sz="8" w:space="0" w:color="5F5F5F" w:themeColor="accent3"/>
          <w:bottom w:val="single" w:sz="8" w:space="0" w:color="5F5F5F" w:themeColor="accent3"/>
        </w:tcBorders>
      </w:tcPr>
    </w:tblStylePr>
    <w:tblStylePr w:type="band1Vert">
      <w:tblPr/>
      <w:tcPr>
        <w:shd w:val="clear" w:color="auto" w:fill="D7D7D7" w:themeFill="accent3" w:themeFillTint="3F"/>
      </w:tcPr>
    </w:tblStylePr>
    <w:tblStylePr w:type="band1Horz">
      <w:tblPr/>
      <w:tcPr>
        <w:shd w:val="clear" w:color="auto" w:fill="D7D7D7" w:themeFill="accent3" w:themeFillTint="3F"/>
      </w:tcPr>
    </w:tblStylePr>
  </w:style>
  <w:style w:type="table" w:styleId="MediumList1-Accent4">
    <w:name w:val="Medium List 1 Accent 4"/>
    <w:basedOn w:val="TableNormal"/>
    <w:uiPriority w:val="99"/>
    <w:semiHidden/>
    <w:rsid w:val="0098410D"/>
    <w:rPr>
      <w:color w:val="000000" w:themeColor="text1"/>
    </w:rPr>
    <w:tblPr>
      <w:tblStyleRowBandSize w:val="1"/>
      <w:tblStyleColBandSize w:val="1"/>
      <w:tblBorders>
        <w:top w:val="single" w:sz="8" w:space="0" w:color="969696" w:themeColor="accent4"/>
        <w:bottom w:val="single" w:sz="8" w:space="0" w:color="969696" w:themeColor="accent4"/>
      </w:tblBorders>
    </w:tblPr>
    <w:tblStylePr w:type="firstRow">
      <w:rPr>
        <w:rFonts w:asciiTheme="majorHAnsi" w:eastAsiaTheme="majorEastAsia" w:hAnsiTheme="majorHAnsi" w:cstheme="majorBidi"/>
      </w:rPr>
      <w:tblPr/>
      <w:tcPr>
        <w:tcBorders>
          <w:top w:val="nil"/>
          <w:bottom w:val="single" w:sz="8" w:space="0" w:color="969696" w:themeColor="accent4"/>
        </w:tcBorders>
      </w:tcPr>
    </w:tblStylePr>
    <w:tblStylePr w:type="lastRow">
      <w:rPr>
        <w:b/>
        <w:bCs/>
        <w:color w:val="C6C6C6" w:themeColor="text2"/>
      </w:rPr>
      <w:tblPr/>
      <w:tcPr>
        <w:tcBorders>
          <w:top w:val="single" w:sz="8" w:space="0" w:color="969696" w:themeColor="accent4"/>
          <w:bottom w:val="single" w:sz="8" w:space="0" w:color="969696" w:themeColor="accent4"/>
        </w:tcBorders>
      </w:tcPr>
    </w:tblStylePr>
    <w:tblStylePr w:type="firstCol">
      <w:rPr>
        <w:b/>
        <w:bCs/>
      </w:rPr>
    </w:tblStylePr>
    <w:tblStylePr w:type="lastCol">
      <w:rPr>
        <w:b/>
        <w:bCs/>
      </w:rPr>
      <w:tblPr/>
      <w:tcPr>
        <w:tcBorders>
          <w:top w:val="single" w:sz="8" w:space="0" w:color="969696" w:themeColor="accent4"/>
          <w:bottom w:val="single" w:sz="8" w:space="0" w:color="969696" w:themeColor="accent4"/>
        </w:tcBorders>
      </w:tcPr>
    </w:tblStylePr>
    <w:tblStylePr w:type="band1Vert">
      <w:tblPr/>
      <w:tcPr>
        <w:shd w:val="clear" w:color="auto" w:fill="E5E5E5" w:themeFill="accent4" w:themeFillTint="3F"/>
      </w:tcPr>
    </w:tblStylePr>
    <w:tblStylePr w:type="band1Horz">
      <w:tblPr/>
      <w:tcPr>
        <w:shd w:val="clear" w:color="auto" w:fill="E5E5E5" w:themeFill="accent4" w:themeFillTint="3F"/>
      </w:tcPr>
    </w:tblStylePr>
  </w:style>
  <w:style w:type="table" w:styleId="MediumList1-Accent5">
    <w:name w:val="Medium List 1 Accent 5"/>
    <w:basedOn w:val="TableNormal"/>
    <w:uiPriority w:val="99"/>
    <w:semiHidden/>
    <w:rsid w:val="0098410D"/>
    <w:rPr>
      <w:color w:val="000000" w:themeColor="text1"/>
    </w:rPr>
    <w:tblPr>
      <w:tblStyleRowBandSize w:val="1"/>
      <w:tblStyleColBandSize w:val="1"/>
      <w:tblBorders>
        <w:top w:val="single" w:sz="8" w:space="0" w:color="5F5F5F" w:themeColor="accent5"/>
        <w:bottom w:val="single" w:sz="8" w:space="0" w:color="5F5F5F" w:themeColor="accent5"/>
      </w:tblBorders>
    </w:tblPr>
    <w:tblStylePr w:type="firstRow">
      <w:rPr>
        <w:rFonts w:asciiTheme="majorHAnsi" w:eastAsiaTheme="majorEastAsia" w:hAnsiTheme="majorHAnsi" w:cstheme="majorBidi"/>
      </w:rPr>
      <w:tblPr/>
      <w:tcPr>
        <w:tcBorders>
          <w:top w:val="nil"/>
          <w:bottom w:val="single" w:sz="8" w:space="0" w:color="5F5F5F" w:themeColor="accent5"/>
        </w:tcBorders>
      </w:tcPr>
    </w:tblStylePr>
    <w:tblStylePr w:type="lastRow">
      <w:rPr>
        <w:b/>
        <w:bCs/>
        <w:color w:val="C6C6C6" w:themeColor="text2"/>
      </w:rPr>
      <w:tblPr/>
      <w:tcPr>
        <w:tcBorders>
          <w:top w:val="single" w:sz="8" w:space="0" w:color="5F5F5F" w:themeColor="accent5"/>
          <w:bottom w:val="single" w:sz="8" w:space="0" w:color="5F5F5F" w:themeColor="accent5"/>
        </w:tcBorders>
      </w:tcPr>
    </w:tblStylePr>
    <w:tblStylePr w:type="firstCol">
      <w:rPr>
        <w:b/>
        <w:bCs/>
      </w:rPr>
    </w:tblStylePr>
    <w:tblStylePr w:type="lastCol">
      <w:rPr>
        <w:b/>
        <w:bCs/>
      </w:rPr>
      <w:tblPr/>
      <w:tcPr>
        <w:tcBorders>
          <w:top w:val="single" w:sz="8" w:space="0" w:color="5F5F5F" w:themeColor="accent5"/>
          <w:bottom w:val="single" w:sz="8" w:space="0" w:color="5F5F5F" w:themeColor="accent5"/>
        </w:tcBorders>
      </w:tcPr>
    </w:tblStylePr>
    <w:tblStylePr w:type="band1Vert">
      <w:tblPr/>
      <w:tcPr>
        <w:shd w:val="clear" w:color="auto" w:fill="D7D7D7" w:themeFill="accent5" w:themeFillTint="3F"/>
      </w:tcPr>
    </w:tblStylePr>
    <w:tblStylePr w:type="band1Horz">
      <w:tblPr/>
      <w:tcPr>
        <w:shd w:val="clear" w:color="auto" w:fill="D7D7D7" w:themeFill="accent5" w:themeFillTint="3F"/>
      </w:tcPr>
    </w:tblStylePr>
  </w:style>
  <w:style w:type="table" w:styleId="MediumList1-Accent6">
    <w:name w:val="Medium List 1 Accent 6"/>
    <w:basedOn w:val="TableNormal"/>
    <w:uiPriority w:val="99"/>
    <w:semiHidden/>
    <w:rsid w:val="0098410D"/>
    <w:rPr>
      <w:color w:val="000000" w:themeColor="text1"/>
    </w:rPr>
    <w:tblPr>
      <w:tblStyleRowBandSize w:val="1"/>
      <w:tblStyleColBandSize w:val="1"/>
      <w:tblBorders>
        <w:top w:val="single" w:sz="8" w:space="0" w:color="4D4D4D" w:themeColor="accent6"/>
        <w:bottom w:val="single" w:sz="8" w:space="0" w:color="4D4D4D" w:themeColor="accent6"/>
      </w:tblBorders>
    </w:tblPr>
    <w:tblStylePr w:type="firstRow">
      <w:rPr>
        <w:rFonts w:asciiTheme="majorHAnsi" w:eastAsiaTheme="majorEastAsia" w:hAnsiTheme="majorHAnsi" w:cstheme="majorBidi"/>
      </w:rPr>
      <w:tblPr/>
      <w:tcPr>
        <w:tcBorders>
          <w:top w:val="nil"/>
          <w:bottom w:val="single" w:sz="8" w:space="0" w:color="4D4D4D" w:themeColor="accent6"/>
        </w:tcBorders>
      </w:tcPr>
    </w:tblStylePr>
    <w:tblStylePr w:type="lastRow">
      <w:rPr>
        <w:b/>
        <w:bCs/>
        <w:color w:val="C6C6C6" w:themeColor="text2"/>
      </w:rPr>
      <w:tblPr/>
      <w:tcPr>
        <w:tcBorders>
          <w:top w:val="single" w:sz="8" w:space="0" w:color="4D4D4D" w:themeColor="accent6"/>
          <w:bottom w:val="single" w:sz="8" w:space="0" w:color="4D4D4D" w:themeColor="accent6"/>
        </w:tcBorders>
      </w:tcPr>
    </w:tblStylePr>
    <w:tblStylePr w:type="firstCol">
      <w:rPr>
        <w:b/>
        <w:bCs/>
      </w:rPr>
    </w:tblStylePr>
    <w:tblStylePr w:type="lastCol">
      <w:rPr>
        <w:b/>
        <w:bCs/>
      </w:rPr>
      <w:tblPr/>
      <w:tcPr>
        <w:tcBorders>
          <w:top w:val="single" w:sz="8" w:space="0" w:color="4D4D4D" w:themeColor="accent6"/>
          <w:bottom w:val="single" w:sz="8" w:space="0" w:color="4D4D4D" w:themeColor="accent6"/>
        </w:tcBorders>
      </w:tcPr>
    </w:tblStylePr>
    <w:tblStylePr w:type="band1Vert">
      <w:tblPr/>
      <w:tcPr>
        <w:shd w:val="clear" w:color="auto" w:fill="D3D3D3" w:themeFill="accent6" w:themeFillTint="3F"/>
      </w:tcPr>
    </w:tblStylePr>
    <w:tblStylePr w:type="band1Horz">
      <w:tblPr/>
      <w:tcPr>
        <w:shd w:val="clear" w:color="auto" w:fill="D3D3D3" w:themeFill="accent6" w:themeFillTint="3F"/>
      </w:tcPr>
    </w:tblStylePr>
  </w:style>
  <w:style w:type="table" w:styleId="MediumList2">
    <w:name w:val="Medium Lis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0072BC" w:themeFill="background1"/>
      </w:tcPr>
    </w:tblStylePr>
    <w:tblStylePr w:type="lastRow">
      <w:tblPr/>
      <w:tcPr>
        <w:tcBorders>
          <w:top w:val="single" w:sz="8" w:space="0" w:color="000000" w:themeColor="tex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0000" w:themeColor="text1"/>
          <w:insideH w:val="nil"/>
          <w:insideV w:val="nil"/>
        </w:tcBorders>
        <w:shd w:val="clear" w:color="auto" w:fill="0072BC" w:themeFill="background1"/>
      </w:tcPr>
    </w:tblStylePr>
    <w:tblStylePr w:type="lastCol">
      <w:tblPr/>
      <w:tcPr>
        <w:tcBorders>
          <w:top w:val="nil"/>
          <w:left w:val="single" w:sz="8" w:space="0" w:color="000000" w:themeColor="tex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1">
    <w:name w:val="Medium List 2 Accent 1"/>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0072BC" w:themeColor="accent1"/>
        <w:left w:val="single" w:sz="8" w:space="0" w:color="0072BC" w:themeColor="accent1"/>
        <w:bottom w:val="single" w:sz="8" w:space="0" w:color="0072BC" w:themeColor="accent1"/>
        <w:right w:val="single" w:sz="8" w:space="0" w:color="0072BC" w:themeColor="accent1"/>
      </w:tblBorders>
    </w:tblPr>
    <w:tblStylePr w:type="firstRow">
      <w:rPr>
        <w:sz w:val="24"/>
        <w:szCs w:val="24"/>
      </w:rPr>
      <w:tblPr/>
      <w:tcPr>
        <w:tcBorders>
          <w:top w:val="nil"/>
          <w:left w:val="nil"/>
          <w:bottom w:val="single" w:sz="24" w:space="0" w:color="0072BC" w:themeColor="accent1"/>
          <w:right w:val="nil"/>
          <w:insideH w:val="nil"/>
          <w:insideV w:val="nil"/>
        </w:tcBorders>
        <w:shd w:val="clear" w:color="auto" w:fill="0072BC" w:themeFill="background1"/>
      </w:tcPr>
    </w:tblStylePr>
    <w:tblStylePr w:type="lastRow">
      <w:tblPr/>
      <w:tcPr>
        <w:tcBorders>
          <w:top w:val="single" w:sz="8" w:space="0" w:color="0072BC" w:themeColor="accent1"/>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0072BC" w:themeColor="accent1"/>
          <w:insideH w:val="nil"/>
          <w:insideV w:val="nil"/>
        </w:tcBorders>
        <w:shd w:val="clear" w:color="auto" w:fill="0072BC" w:themeFill="background1"/>
      </w:tcPr>
    </w:tblStylePr>
    <w:tblStylePr w:type="lastCol">
      <w:tblPr/>
      <w:tcPr>
        <w:tcBorders>
          <w:top w:val="nil"/>
          <w:left w:val="single" w:sz="8" w:space="0" w:color="0072BC" w:themeColor="accent1"/>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AFDFFF" w:themeFill="accent1" w:themeFillTint="3F"/>
      </w:tcPr>
    </w:tblStylePr>
    <w:tblStylePr w:type="band1Horz">
      <w:tblPr/>
      <w:tcPr>
        <w:tcBorders>
          <w:top w:val="nil"/>
          <w:bottom w:val="nil"/>
          <w:insideH w:val="nil"/>
          <w:insideV w:val="nil"/>
        </w:tcBorders>
        <w:shd w:val="clear" w:color="auto" w:fill="AFDFFF" w:themeFill="accent1"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2">
    <w:name w:val="Medium List 2 Accent 2"/>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C00000" w:themeColor="accent2"/>
        <w:left w:val="single" w:sz="8" w:space="0" w:color="C00000" w:themeColor="accent2"/>
        <w:bottom w:val="single" w:sz="8" w:space="0" w:color="C00000" w:themeColor="accent2"/>
        <w:right w:val="single" w:sz="8" w:space="0" w:color="C00000" w:themeColor="accent2"/>
      </w:tblBorders>
    </w:tblPr>
    <w:tblStylePr w:type="firstRow">
      <w:rPr>
        <w:sz w:val="24"/>
        <w:szCs w:val="24"/>
      </w:rPr>
      <w:tblPr/>
      <w:tcPr>
        <w:tcBorders>
          <w:top w:val="nil"/>
          <w:left w:val="nil"/>
          <w:bottom w:val="single" w:sz="24" w:space="0" w:color="C00000" w:themeColor="accent2"/>
          <w:right w:val="nil"/>
          <w:insideH w:val="nil"/>
          <w:insideV w:val="nil"/>
        </w:tcBorders>
        <w:shd w:val="clear" w:color="auto" w:fill="0072BC" w:themeFill="background1"/>
      </w:tcPr>
    </w:tblStylePr>
    <w:tblStylePr w:type="lastRow">
      <w:tblPr/>
      <w:tcPr>
        <w:tcBorders>
          <w:top w:val="single" w:sz="8" w:space="0" w:color="C00000" w:themeColor="accent2"/>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C00000" w:themeColor="accent2"/>
          <w:insideH w:val="nil"/>
          <w:insideV w:val="nil"/>
        </w:tcBorders>
        <w:shd w:val="clear" w:color="auto" w:fill="0072BC" w:themeFill="background1"/>
      </w:tcPr>
    </w:tblStylePr>
    <w:tblStylePr w:type="lastCol">
      <w:tblPr/>
      <w:tcPr>
        <w:tcBorders>
          <w:top w:val="nil"/>
          <w:left w:val="single" w:sz="8" w:space="0" w:color="C00000" w:themeColor="accent2"/>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FFB0B0" w:themeFill="accent2" w:themeFillTint="3F"/>
      </w:tcPr>
    </w:tblStylePr>
    <w:tblStylePr w:type="band1Horz">
      <w:tblPr/>
      <w:tcPr>
        <w:tcBorders>
          <w:top w:val="nil"/>
          <w:bottom w:val="nil"/>
          <w:insideH w:val="nil"/>
          <w:insideV w:val="nil"/>
        </w:tcBorders>
        <w:shd w:val="clear" w:color="auto" w:fill="FFB0B0" w:themeFill="accent2"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3">
    <w:name w:val="Medium List 2 Accent 3"/>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3"/>
        <w:left w:val="single" w:sz="8" w:space="0" w:color="5F5F5F" w:themeColor="accent3"/>
        <w:bottom w:val="single" w:sz="8" w:space="0" w:color="5F5F5F" w:themeColor="accent3"/>
        <w:right w:val="single" w:sz="8" w:space="0" w:color="5F5F5F" w:themeColor="accent3"/>
      </w:tblBorders>
    </w:tblPr>
    <w:tblStylePr w:type="firstRow">
      <w:rPr>
        <w:sz w:val="24"/>
        <w:szCs w:val="24"/>
      </w:rPr>
      <w:tblPr/>
      <w:tcPr>
        <w:tcBorders>
          <w:top w:val="nil"/>
          <w:left w:val="nil"/>
          <w:bottom w:val="single" w:sz="24" w:space="0" w:color="5F5F5F" w:themeColor="accent3"/>
          <w:right w:val="nil"/>
          <w:insideH w:val="nil"/>
          <w:insideV w:val="nil"/>
        </w:tcBorders>
        <w:shd w:val="clear" w:color="auto" w:fill="0072BC" w:themeFill="background1"/>
      </w:tcPr>
    </w:tblStylePr>
    <w:tblStylePr w:type="lastRow">
      <w:tblPr/>
      <w:tcPr>
        <w:tcBorders>
          <w:top w:val="single" w:sz="8" w:space="0" w:color="5F5F5F" w:themeColor="accent3"/>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3"/>
          <w:insideH w:val="nil"/>
          <w:insideV w:val="nil"/>
        </w:tcBorders>
        <w:shd w:val="clear" w:color="auto" w:fill="0072BC" w:themeFill="background1"/>
      </w:tcPr>
    </w:tblStylePr>
    <w:tblStylePr w:type="lastCol">
      <w:tblPr/>
      <w:tcPr>
        <w:tcBorders>
          <w:top w:val="nil"/>
          <w:left w:val="single" w:sz="8" w:space="0" w:color="5F5F5F" w:themeColor="accent3"/>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3" w:themeFillTint="3F"/>
      </w:tcPr>
    </w:tblStylePr>
    <w:tblStylePr w:type="band1Horz">
      <w:tblPr/>
      <w:tcPr>
        <w:tcBorders>
          <w:top w:val="nil"/>
          <w:bottom w:val="nil"/>
          <w:insideH w:val="nil"/>
          <w:insideV w:val="nil"/>
        </w:tcBorders>
        <w:shd w:val="clear" w:color="auto" w:fill="D7D7D7" w:themeFill="accent3"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4">
    <w:name w:val="Medium List 2 Accent 4"/>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969696" w:themeColor="accent4"/>
        <w:left w:val="single" w:sz="8" w:space="0" w:color="969696" w:themeColor="accent4"/>
        <w:bottom w:val="single" w:sz="8" w:space="0" w:color="969696" w:themeColor="accent4"/>
        <w:right w:val="single" w:sz="8" w:space="0" w:color="969696" w:themeColor="accent4"/>
      </w:tblBorders>
    </w:tblPr>
    <w:tblStylePr w:type="firstRow">
      <w:rPr>
        <w:sz w:val="24"/>
        <w:szCs w:val="24"/>
      </w:rPr>
      <w:tblPr/>
      <w:tcPr>
        <w:tcBorders>
          <w:top w:val="nil"/>
          <w:left w:val="nil"/>
          <w:bottom w:val="single" w:sz="24" w:space="0" w:color="969696" w:themeColor="accent4"/>
          <w:right w:val="nil"/>
          <w:insideH w:val="nil"/>
          <w:insideV w:val="nil"/>
        </w:tcBorders>
        <w:shd w:val="clear" w:color="auto" w:fill="0072BC" w:themeFill="background1"/>
      </w:tcPr>
    </w:tblStylePr>
    <w:tblStylePr w:type="lastRow">
      <w:tblPr/>
      <w:tcPr>
        <w:tcBorders>
          <w:top w:val="single" w:sz="8" w:space="0" w:color="969696" w:themeColor="accent4"/>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969696" w:themeColor="accent4"/>
          <w:insideH w:val="nil"/>
          <w:insideV w:val="nil"/>
        </w:tcBorders>
        <w:shd w:val="clear" w:color="auto" w:fill="0072BC" w:themeFill="background1"/>
      </w:tcPr>
    </w:tblStylePr>
    <w:tblStylePr w:type="lastCol">
      <w:tblPr/>
      <w:tcPr>
        <w:tcBorders>
          <w:top w:val="nil"/>
          <w:left w:val="single" w:sz="8" w:space="0" w:color="969696" w:themeColor="accent4"/>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E5E5E5" w:themeFill="accent4" w:themeFillTint="3F"/>
      </w:tcPr>
    </w:tblStylePr>
    <w:tblStylePr w:type="band1Horz">
      <w:tblPr/>
      <w:tcPr>
        <w:tcBorders>
          <w:top w:val="nil"/>
          <w:bottom w:val="nil"/>
          <w:insideH w:val="nil"/>
          <w:insideV w:val="nil"/>
        </w:tcBorders>
        <w:shd w:val="clear" w:color="auto" w:fill="E5E5E5" w:themeFill="accent4"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5">
    <w:name w:val="Medium List 2 Accent 5"/>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5F5F5F" w:themeColor="accent5"/>
        <w:left w:val="single" w:sz="8" w:space="0" w:color="5F5F5F" w:themeColor="accent5"/>
        <w:bottom w:val="single" w:sz="8" w:space="0" w:color="5F5F5F" w:themeColor="accent5"/>
        <w:right w:val="single" w:sz="8" w:space="0" w:color="5F5F5F" w:themeColor="accent5"/>
      </w:tblBorders>
    </w:tblPr>
    <w:tblStylePr w:type="firstRow">
      <w:rPr>
        <w:sz w:val="24"/>
        <w:szCs w:val="24"/>
      </w:rPr>
      <w:tblPr/>
      <w:tcPr>
        <w:tcBorders>
          <w:top w:val="nil"/>
          <w:left w:val="nil"/>
          <w:bottom w:val="single" w:sz="24" w:space="0" w:color="5F5F5F" w:themeColor="accent5"/>
          <w:right w:val="nil"/>
          <w:insideH w:val="nil"/>
          <w:insideV w:val="nil"/>
        </w:tcBorders>
        <w:shd w:val="clear" w:color="auto" w:fill="0072BC" w:themeFill="background1"/>
      </w:tcPr>
    </w:tblStylePr>
    <w:tblStylePr w:type="lastRow">
      <w:tblPr/>
      <w:tcPr>
        <w:tcBorders>
          <w:top w:val="single" w:sz="8" w:space="0" w:color="5F5F5F" w:themeColor="accent5"/>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5F5F5F" w:themeColor="accent5"/>
          <w:insideH w:val="nil"/>
          <w:insideV w:val="nil"/>
        </w:tcBorders>
        <w:shd w:val="clear" w:color="auto" w:fill="0072BC" w:themeFill="background1"/>
      </w:tcPr>
    </w:tblStylePr>
    <w:tblStylePr w:type="lastCol">
      <w:tblPr/>
      <w:tcPr>
        <w:tcBorders>
          <w:top w:val="nil"/>
          <w:left w:val="single" w:sz="8" w:space="0" w:color="5F5F5F" w:themeColor="accent5"/>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7D7D7" w:themeFill="accent5" w:themeFillTint="3F"/>
      </w:tcPr>
    </w:tblStylePr>
    <w:tblStylePr w:type="band1Horz">
      <w:tblPr/>
      <w:tcPr>
        <w:tcBorders>
          <w:top w:val="nil"/>
          <w:bottom w:val="nil"/>
          <w:insideH w:val="nil"/>
          <w:insideV w:val="nil"/>
        </w:tcBorders>
        <w:shd w:val="clear" w:color="auto" w:fill="D7D7D7" w:themeFill="accent5"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List2-Accent6">
    <w:name w:val="Medium List 2 Accent 6"/>
    <w:basedOn w:val="TableNormal"/>
    <w:uiPriority w:val="99"/>
    <w:semiHidden/>
    <w:rsid w:val="0098410D"/>
    <w:rPr>
      <w:rFonts w:asciiTheme="majorHAnsi" w:eastAsiaTheme="majorEastAsia" w:hAnsiTheme="majorHAnsi" w:cstheme="majorBidi"/>
      <w:color w:val="000000" w:themeColor="text1"/>
    </w:rPr>
    <w:tblPr>
      <w:tblStyleRowBandSize w:val="1"/>
      <w:tblStyleColBandSize w:val="1"/>
      <w:tblBorders>
        <w:top w:val="single" w:sz="8" w:space="0" w:color="4D4D4D" w:themeColor="accent6"/>
        <w:left w:val="single" w:sz="8" w:space="0" w:color="4D4D4D" w:themeColor="accent6"/>
        <w:bottom w:val="single" w:sz="8" w:space="0" w:color="4D4D4D" w:themeColor="accent6"/>
        <w:right w:val="single" w:sz="8" w:space="0" w:color="4D4D4D" w:themeColor="accent6"/>
      </w:tblBorders>
    </w:tblPr>
    <w:tblStylePr w:type="firstRow">
      <w:rPr>
        <w:sz w:val="24"/>
        <w:szCs w:val="24"/>
      </w:rPr>
      <w:tblPr/>
      <w:tcPr>
        <w:tcBorders>
          <w:top w:val="nil"/>
          <w:left w:val="nil"/>
          <w:bottom w:val="single" w:sz="24" w:space="0" w:color="4D4D4D" w:themeColor="accent6"/>
          <w:right w:val="nil"/>
          <w:insideH w:val="nil"/>
          <w:insideV w:val="nil"/>
        </w:tcBorders>
        <w:shd w:val="clear" w:color="auto" w:fill="0072BC" w:themeFill="background1"/>
      </w:tcPr>
    </w:tblStylePr>
    <w:tblStylePr w:type="lastRow">
      <w:tblPr/>
      <w:tcPr>
        <w:tcBorders>
          <w:top w:val="single" w:sz="8" w:space="0" w:color="4D4D4D" w:themeColor="accent6"/>
          <w:left w:val="nil"/>
          <w:bottom w:val="nil"/>
          <w:right w:val="nil"/>
          <w:insideH w:val="nil"/>
          <w:insideV w:val="nil"/>
        </w:tcBorders>
        <w:shd w:val="clear" w:color="auto" w:fill="0072BC" w:themeFill="background1"/>
      </w:tcPr>
    </w:tblStylePr>
    <w:tblStylePr w:type="firstCol">
      <w:tblPr/>
      <w:tcPr>
        <w:tcBorders>
          <w:top w:val="nil"/>
          <w:left w:val="nil"/>
          <w:bottom w:val="nil"/>
          <w:right w:val="single" w:sz="8" w:space="0" w:color="4D4D4D" w:themeColor="accent6"/>
          <w:insideH w:val="nil"/>
          <w:insideV w:val="nil"/>
        </w:tcBorders>
        <w:shd w:val="clear" w:color="auto" w:fill="0072BC" w:themeFill="background1"/>
      </w:tcPr>
    </w:tblStylePr>
    <w:tblStylePr w:type="lastCol">
      <w:tblPr/>
      <w:tcPr>
        <w:tcBorders>
          <w:top w:val="nil"/>
          <w:left w:val="single" w:sz="8" w:space="0" w:color="4D4D4D" w:themeColor="accent6"/>
          <w:bottom w:val="nil"/>
          <w:right w:val="nil"/>
          <w:insideH w:val="nil"/>
          <w:insideV w:val="nil"/>
        </w:tcBorders>
        <w:shd w:val="clear" w:color="auto" w:fill="0072BC" w:themeFill="background1"/>
      </w:tcPr>
    </w:tblStylePr>
    <w:tblStylePr w:type="band1Vert">
      <w:tblPr/>
      <w:tcPr>
        <w:tcBorders>
          <w:left w:val="nil"/>
          <w:right w:val="nil"/>
          <w:insideH w:val="nil"/>
          <w:insideV w:val="nil"/>
        </w:tcBorders>
        <w:shd w:val="clear" w:color="auto" w:fill="D3D3D3" w:themeFill="accent6" w:themeFillTint="3F"/>
      </w:tcPr>
    </w:tblStylePr>
    <w:tblStylePr w:type="band1Horz">
      <w:tblPr/>
      <w:tcPr>
        <w:tcBorders>
          <w:top w:val="nil"/>
          <w:bottom w:val="nil"/>
          <w:insideH w:val="nil"/>
          <w:insideV w:val="nil"/>
        </w:tcBorders>
        <w:shd w:val="clear" w:color="auto" w:fill="D3D3D3" w:themeFill="accent6" w:themeFillTint="3F"/>
      </w:tcPr>
    </w:tblStylePr>
    <w:tblStylePr w:type="nwCell">
      <w:tblPr/>
      <w:tcPr>
        <w:shd w:val="clear" w:color="auto" w:fill="0072BC" w:themeFill="background1"/>
      </w:tcPr>
    </w:tblStylePr>
    <w:tblStylePr w:type="swCell">
      <w:tblPr/>
      <w:tcPr>
        <w:tcBorders>
          <w:top w:val="nil"/>
        </w:tcBorders>
      </w:tcPr>
    </w:tblStylePr>
  </w:style>
  <w:style w:type="table" w:styleId="MediumShading1">
    <w:name w:val="Medium Shading 1"/>
    <w:basedOn w:val="TableNormal"/>
    <w:uiPriority w:val="99"/>
    <w:semiHidden/>
    <w:rsid w:val="0098410D"/>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0072BC"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9"/>
    <w:semiHidden/>
    <w:rsid w:val="0098410D"/>
    <w:tblPr>
      <w:tblStyleRowBandSize w:val="1"/>
      <w:tblStyleColBandSize w:val="1"/>
      <w:tbl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single" w:sz="8" w:space="0" w:color="0D9FFF" w:themeColor="accent1" w:themeTint="BF"/>
      </w:tblBorders>
    </w:tblPr>
    <w:tblStylePr w:type="firstRow">
      <w:pPr>
        <w:spacing w:before="0" w:after="0" w:line="240" w:lineRule="auto"/>
      </w:pPr>
      <w:rPr>
        <w:b/>
        <w:bCs/>
        <w:color w:val="0072BC" w:themeColor="background1"/>
      </w:rPr>
      <w:tblPr/>
      <w:tcPr>
        <w:tcBorders>
          <w:top w:val="single" w:sz="8"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shd w:val="clear" w:color="auto" w:fill="0072BC" w:themeFill="accent1"/>
      </w:tcPr>
    </w:tblStylePr>
    <w:tblStylePr w:type="lastRow">
      <w:pPr>
        <w:spacing w:before="0" w:after="0" w:line="240" w:lineRule="auto"/>
      </w:pPr>
      <w:rPr>
        <w:b/>
        <w:bCs/>
      </w:rPr>
      <w:tblPr/>
      <w:tcPr>
        <w:tcBorders>
          <w:top w:val="double" w:sz="6" w:space="0" w:color="0D9FFF" w:themeColor="accent1" w:themeTint="BF"/>
          <w:left w:val="single" w:sz="8" w:space="0" w:color="0D9FFF" w:themeColor="accent1" w:themeTint="BF"/>
          <w:bottom w:val="single" w:sz="8" w:space="0" w:color="0D9FFF" w:themeColor="accent1" w:themeTint="BF"/>
          <w:right w:val="single" w:sz="8" w:space="0" w:color="0D9FFF" w:themeColor="accent1" w:themeTint="BF"/>
          <w:insideH w:val="nil"/>
          <w:insideV w:val="nil"/>
        </w:tcBorders>
      </w:tcPr>
    </w:tblStylePr>
    <w:tblStylePr w:type="firstCol">
      <w:rPr>
        <w:b/>
        <w:bCs/>
      </w:rPr>
    </w:tblStylePr>
    <w:tblStylePr w:type="lastCol">
      <w:rPr>
        <w:b/>
        <w:bCs/>
      </w:rPr>
    </w:tblStylePr>
    <w:tblStylePr w:type="band1Vert">
      <w:tblPr/>
      <w:tcPr>
        <w:shd w:val="clear" w:color="auto" w:fill="AFDFFF" w:themeFill="accent1" w:themeFillTint="3F"/>
      </w:tcPr>
    </w:tblStylePr>
    <w:tblStylePr w:type="band1Horz">
      <w:tblPr/>
      <w:tcPr>
        <w:tcBorders>
          <w:insideH w:val="nil"/>
          <w:insideV w:val="nil"/>
        </w:tcBorders>
        <w:shd w:val="clear" w:color="auto" w:fill="AFDFFF"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9"/>
    <w:semiHidden/>
    <w:rsid w:val="0098410D"/>
    <w:tblPr>
      <w:tblStyleRowBandSize w:val="1"/>
      <w:tblStyleColBandSize w:val="1"/>
      <w:tbl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single" w:sz="8" w:space="0" w:color="FF1010" w:themeColor="accent2" w:themeTint="BF"/>
      </w:tblBorders>
    </w:tblPr>
    <w:tblStylePr w:type="firstRow">
      <w:pPr>
        <w:spacing w:before="0" w:after="0" w:line="240" w:lineRule="auto"/>
      </w:pPr>
      <w:rPr>
        <w:b/>
        <w:bCs/>
        <w:color w:val="0072BC" w:themeColor="background1"/>
      </w:rPr>
      <w:tblPr/>
      <w:tcPr>
        <w:tcBorders>
          <w:top w:val="single" w:sz="8"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shd w:val="clear" w:color="auto" w:fill="C00000" w:themeFill="accent2"/>
      </w:tcPr>
    </w:tblStylePr>
    <w:tblStylePr w:type="lastRow">
      <w:pPr>
        <w:spacing w:before="0" w:after="0" w:line="240" w:lineRule="auto"/>
      </w:pPr>
      <w:rPr>
        <w:b/>
        <w:bCs/>
      </w:rPr>
      <w:tblPr/>
      <w:tcPr>
        <w:tcBorders>
          <w:top w:val="double" w:sz="6" w:space="0" w:color="FF1010" w:themeColor="accent2" w:themeTint="BF"/>
          <w:left w:val="single" w:sz="8" w:space="0" w:color="FF1010" w:themeColor="accent2" w:themeTint="BF"/>
          <w:bottom w:val="single" w:sz="8" w:space="0" w:color="FF1010" w:themeColor="accent2" w:themeTint="BF"/>
          <w:right w:val="single" w:sz="8" w:space="0" w:color="FF1010" w:themeColor="accent2" w:themeTint="BF"/>
          <w:insideH w:val="nil"/>
          <w:insideV w:val="nil"/>
        </w:tcBorders>
      </w:tcPr>
    </w:tblStylePr>
    <w:tblStylePr w:type="firstCol">
      <w:rPr>
        <w:b/>
        <w:bCs/>
      </w:rPr>
    </w:tblStylePr>
    <w:tblStylePr w:type="lastCol">
      <w:rPr>
        <w:b/>
        <w:bCs/>
      </w:rPr>
    </w:tblStylePr>
    <w:tblStylePr w:type="band1Vert">
      <w:tblPr/>
      <w:tcPr>
        <w:shd w:val="clear" w:color="auto" w:fill="FFB0B0" w:themeFill="accent2" w:themeFillTint="3F"/>
      </w:tcPr>
    </w:tblStylePr>
    <w:tblStylePr w:type="band1Horz">
      <w:tblPr/>
      <w:tcPr>
        <w:tcBorders>
          <w:insideH w:val="nil"/>
          <w:insideV w:val="nil"/>
        </w:tcBorders>
        <w:shd w:val="clear" w:color="auto" w:fill="FFB0B0"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9"/>
    <w:semiHidden/>
    <w:rsid w:val="0098410D"/>
    <w:tblPr>
      <w:tblStyleRowBandSize w:val="1"/>
      <w:tblStyleColBandSize w:val="1"/>
      <w:tbl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single" w:sz="8" w:space="0" w:color="878787" w:themeColor="accent3" w:themeTint="BF"/>
      </w:tblBorders>
    </w:tblPr>
    <w:tblStylePr w:type="firstRow">
      <w:pPr>
        <w:spacing w:before="0" w:after="0" w:line="240" w:lineRule="auto"/>
      </w:pPr>
      <w:rPr>
        <w:b/>
        <w:bCs/>
        <w:color w:val="0072BC" w:themeColor="background1"/>
      </w:rPr>
      <w:tblPr/>
      <w:tcPr>
        <w:tcBorders>
          <w:top w:val="single" w:sz="8"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shd w:val="clear" w:color="auto" w:fill="5F5F5F" w:themeFill="accent3"/>
      </w:tcPr>
    </w:tblStylePr>
    <w:tblStylePr w:type="lastRow">
      <w:pPr>
        <w:spacing w:before="0" w:after="0" w:line="240" w:lineRule="auto"/>
      </w:pPr>
      <w:rPr>
        <w:b/>
        <w:bCs/>
      </w:rPr>
      <w:tblPr/>
      <w:tcPr>
        <w:tcBorders>
          <w:top w:val="double" w:sz="6" w:space="0" w:color="878787" w:themeColor="accent3" w:themeTint="BF"/>
          <w:left w:val="single" w:sz="8" w:space="0" w:color="878787" w:themeColor="accent3" w:themeTint="BF"/>
          <w:bottom w:val="single" w:sz="8" w:space="0" w:color="878787" w:themeColor="accent3" w:themeTint="BF"/>
          <w:right w:val="single" w:sz="8" w:space="0" w:color="878787" w:themeColor="accent3"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3" w:themeFillTint="3F"/>
      </w:tcPr>
    </w:tblStylePr>
    <w:tblStylePr w:type="band1Horz">
      <w:tblPr/>
      <w:tcPr>
        <w:tcBorders>
          <w:insideH w:val="nil"/>
          <w:insideV w:val="nil"/>
        </w:tcBorders>
        <w:shd w:val="clear" w:color="auto" w:fill="D7D7D7"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9"/>
    <w:semiHidden/>
    <w:rsid w:val="0098410D"/>
    <w:tblPr>
      <w:tblStyleRowBandSize w:val="1"/>
      <w:tblStyleColBandSize w:val="1"/>
      <w:tbl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single" w:sz="8" w:space="0" w:color="B0B0B0" w:themeColor="accent4" w:themeTint="BF"/>
      </w:tblBorders>
    </w:tblPr>
    <w:tblStylePr w:type="firstRow">
      <w:pPr>
        <w:spacing w:before="0" w:after="0" w:line="240" w:lineRule="auto"/>
      </w:pPr>
      <w:rPr>
        <w:b/>
        <w:bCs/>
        <w:color w:val="0072BC" w:themeColor="background1"/>
      </w:rPr>
      <w:tblPr/>
      <w:tcPr>
        <w:tcBorders>
          <w:top w:val="single" w:sz="8"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shd w:val="clear" w:color="auto" w:fill="969696" w:themeFill="accent4"/>
      </w:tcPr>
    </w:tblStylePr>
    <w:tblStylePr w:type="lastRow">
      <w:pPr>
        <w:spacing w:before="0" w:after="0" w:line="240" w:lineRule="auto"/>
      </w:pPr>
      <w:rPr>
        <w:b/>
        <w:bCs/>
      </w:rPr>
      <w:tblPr/>
      <w:tcPr>
        <w:tcBorders>
          <w:top w:val="double" w:sz="6" w:space="0" w:color="B0B0B0" w:themeColor="accent4" w:themeTint="BF"/>
          <w:left w:val="single" w:sz="8" w:space="0" w:color="B0B0B0" w:themeColor="accent4" w:themeTint="BF"/>
          <w:bottom w:val="single" w:sz="8" w:space="0" w:color="B0B0B0" w:themeColor="accent4" w:themeTint="BF"/>
          <w:right w:val="single" w:sz="8" w:space="0" w:color="B0B0B0" w:themeColor="accent4" w:themeTint="BF"/>
          <w:insideH w:val="nil"/>
          <w:insideV w:val="nil"/>
        </w:tcBorders>
      </w:tcPr>
    </w:tblStylePr>
    <w:tblStylePr w:type="firstCol">
      <w:rPr>
        <w:b/>
        <w:bCs/>
      </w:rPr>
    </w:tblStylePr>
    <w:tblStylePr w:type="lastCol">
      <w:rPr>
        <w:b/>
        <w:bCs/>
      </w:rPr>
    </w:tblStylePr>
    <w:tblStylePr w:type="band1Vert">
      <w:tblPr/>
      <w:tcPr>
        <w:shd w:val="clear" w:color="auto" w:fill="E5E5E5" w:themeFill="accent4" w:themeFillTint="3F"/>
      </w:tcPr>
    </w:tblStylePr>
    <w:tblStylePr w:type="band1Horz">
      <w:tblPr/>
      <w:tcPr>
        <w:tcBorders>
          <w:insideH w:val="nil"/>
          <w:insideV w:val="nil"/>
        </w:tcBorders>
        <w:shd w:val="clear" w:color="auto" w:fill="E5E5E5"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9"/>
    <w:semiHidden/>
    <w:rsid w:val="0098410D"/>
    <w:tblPr>
      <w:tblStyleRowBandSize w:val="1"/>
      <w:tblStyleColBandSize w:val="1"/>
      <w:tbl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single" w:sz="8" w:space="0" w:color="878787" w:themeColor="accent5" w:themeTint="BF"/>
      </w:tblBorders>
    </w:tblPr>
    <w:tblStylePr w:type="firstRow">
      <w:pPr>
        <w:spacing w:before="0" w:after="0" w:line="240" w:lineRule="auto"/>
      </w:pPr>
      <w:rPr>
        <w:b/>
        <w:bCs/>
        <w:color w:val="0072BC" w:themeColor="background1"/>
      </w:rPr>
      <w:tblPr/>
      <w:tcPr>
        <w:tcBorders>
          <w:top w:val="single" w:sz="8"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shd w:val="clear" w:color="auto" w:fill="5F5F5F" w:themeFill="accent5"/>
      </w:tcPr>
    </w:tblStylePr>
    <w:tblStylePr w:type="lastRow">
      <w:pPr>
        <w:spacing w:before="0" w:after="0" w:line="240" w:lineRule="auto"/>
      </w:pPr>
      <w:rPr>
        <w:b/>
        <w:bCs/>
      </w:rPr>
      <w:tblPr/>
      <w:tcPr>
        <w:tcBorders>
          <w:top w:val="double" w:sz="6" w:space="0" w:color="878787" w:themeColor="accent5" w:themeTint="BF"/>
          <w:left w:val="single" w:sz="8" w:space="0" w:color="878787" w:themeColor="accent5" w:themeTint="BF"/>
          <w:bottom w:val="single" w:sz="8" w:space="0" w:color="878787" w:themeColor="accent5" w:themeTint="BF"/>
          <w:right w:val="single" w:sz="8" w:space="0" w:color="878787" w:themeColor="accent5" w:themeTint="BF"/>
          <w:insideH w:val="nil"/>
          <w:insideV w:val="nil"/>
        </w:tcBorders>
      </w:tcPr>
    </w:tblStylePr>
    <w:tblStylePr w:type="firstCol">
      <w:rPr>
        <w:b/>
        <w:bCs/>
      </w:rPr>
    </w:tblStylePr>
    <w:tblStylePr w:type="lastCol">
      <w:rPr>
        <w:b/>
        <w:bCs/>
      </w:rPr>
    </w:tblStylePr>
    <w:tblStylePr w:type="band1Vert">
      <w:tblPr/>
      <w:tcPr>
        <w:shd w:val="clear" w:color="auto" w:fill="D7D7D7" w:themeFill="accent5" w:themeFillTint="3F"/>
      </w:tcPr>
    </w:tblStylePr>
    <w:tblStylePr w:type="band1Horz">
      <w:tblPr/>
      <w:tcPr>
        <w:tcBorders>
          <w:insideH w:val="nil"/>
          <w:insideV w:val="nil"/>
        </w:tcBorders>
        <w:shd w:val="clear" w:color="auto" w:fill="D7D7D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9"/>
    <w:semiHidden/>
    <w:rsid w:val="0098410D"/>
    <w:tblPr>
      <w:tblStyleRowBandSize w:val="1"/>
      <w:tblStyleColBandSize w:val="1"/>
      <w:tbl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single" w:sz="8" w:space="0" w:color="797979" w:themeColor="accent6" w:themeTint="BF"/>
      </w:tblBorders>
    </w:tblPr>
    <w:tblStylePr w:type="firstRow">
      <w:pPr>
        <w:spacing w:before="0" w:after="0" w:line="240" w:lineRule="auto"/>
      </w:pPr>
      <w:rPr>
        <w:b/>
        <w:bCs/>
        <w:color w:val="0072BC" w:themeColor="background1"/>
      </w:rPr>
      <w:tblPr/>
      <w:tcPr>
        <w:tcBorders>
          <w:top w:val="single" w:sz="8"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shd w:val="clear" w:color="auto" w:fill="4D4D4D" w:themeFill="accent6"/>
      </w:tcPr>
    </w:tblStylePr>
    <w:tblStylePr w:type="lastRow">
      <w:pPr>
        <w:spacing w:before="0" w:after="0" w:line="240" w:lineRule="auto"/>
      </w:pPr>
      <w:rPr>
        <w:b/>
        <w:bCs/>
      </w:rPr>
      <w:tblPr/>
      <w:tcPr>
        <w:tcBorders>
          <w:top w:val="double" w:sz="6" w:space="0" w:color="797979" w:themeColor="accent6" w:themeTint="BF"/>
          <w:left w:val="single" w:sz="8" w:space="0" w:color="797979" w:themeColor="accent6" w:themeTint="BF"/>
          <w:bottom w:val="single" w:sz="8" w:space="0" w:color="797979" w:themeColor="accent6" w:themeTint="BF"/>
          <w:right w:val="single" w:sz="8" w:space="0" w:color="797979" w:themeColor="accent6" w:themeTint="BF"/>
          <w:insideH w:val="nil"/>
          <w:insideV w:val="nil"/>
        </w:tcBorders>
      </w:tcPr>
    </w:tblStylePr>
    <w:tblStylePr w:type="firstCol">
      <w:rPr>
        <w:b/>
        <w:bCs/>
      </w:rPr>
    </w:tblStylePr>
    <w:tblStylePr w:type="lastCol">
      <w:rPr>
        <w:b/>
        <w:bCs/>
      </w:rPr>
    </w:tblStylePr>
    <w:tblStylePr w:type="band1Vert">
      <w:tblPr/>
      <w:tcPr>
        <w:shd w:val="clear" w:color="auto" w:fill="D3D3D3" w:themeFill="accent6" w:themeFillTint="3F"/>
      </w:tcPr>
    </w:tblStylePr>
    <w:tblStylePr w:type="band1Horz">
      <w:tblPr/>
      <w:tcPr>
        <w:tcBorders>
          <w:insideH w:val="nil"/>
          <w:insideV w:val="nil"/>
        </w:tcBorders>
        <w:shd w:val="clear" w:color="auto" w:fill="D3D3D3"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0072BC"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0072BC"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0072BC" w:themeFill="accent1"/>
      </w:tcPr>
    </w:tblStylePr>
    <w:tblStylePr w:type="lastCol">
      <w:rPr>
        <w:b/>
        <w:bCs/>
        <w:color w:val="0072BC" w:themeColor="background1"/>
      </w:rPr>
      <w:tblPr/>
      <w:tcPr>
        <w:tcBorders>
          <w:left w:val="nil"/>
          <w:right w:val="nil"/>
          <w:insideH w:val="nil"/>
          <w:insideV w:val="nil"/>
        </w:tcBorders>
        <w:shd w:val="clear" w:color="auto" w:fill="0072BC" w:themeFill="accent1"/>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C00000"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C00000" w:themeFill="accent2"/>
      </w:tcPr>
    </w:tblStylePr>
    <w:tblStylePr w:type="lastCol">
      <w:rPr>
        <w:b/>
        <w:bCs/>
        <w:color w:val="0072BC" w:themeColor="background1"/>
      </w:rPr>
      <w:tblPr/>
      <w:tcPr>
        <w:tcBorders>
          <w:left w:val="nil"/>
          <w:right w:val="nil"/>
          <w:insideH w:val="nil"/>
          <w:insideV w:val="nil"/>
        </w:tcBorders>
        <w:shd w:val="clear" w:color="auto" w:fill="C00000" w:themeFill="accent2"/>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3"/>
      </w:tcPr>
    </w:tblStylePr>
    <w:tblStylePr w:type="lastCol">
      <w:rPr>
        <w:b/>
        <w:bCs/>
        <w:color w:val="0072BC" w:themeColor="background1"/>
      </w:rPr>
      <w:tblPr/>
      <w:tcPr>
        <w:tcBorders>
          <w:left w:val="nil"/>
          <w:right w:val="nil"/>
          <w:insideH w:val="nil"/>
          <w:insideV w:val="nil"/>
        </w:tcBorders>
        <w:shd w:val="clear" w:color="auto" w:fill="5F5F5F" w:themeFill="accent3"/>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969696"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969696" w:themeFill="accent4"/>
      </w:tcPr>
    </w:tblStylePr>
    <w:tblStylePr w:type="lastCol">
      <w:rPr>
        <w:b/>
        <w:bCs/>
        <w:color w:val="0072BC" w:themeColor="background1"/>
      </w:rPr>
      <w:tblPr/>
      <w:tcPr>
        <w:tcBorders>
          <w:left w:val="nil"/>
          <w:right w:val="nil"/>
          <w:insideH w:val="nil"/>
          <w:insideV w:val="nil"/>
        </w:tcBorders>
        <w:shd w:val="clear" w:color="auto" w:fill="969696" w:themeFill="accent4"/>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5F5F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5F5F5F" w:themeFill="accent5"/>
      </w:tcPr>
    </w:tblStylePr>
    <w:tblStylePr w:type="lastCol">
      <w:rPr>
        <w:b/>
        <w:bCs/>
        <w:color w:val="0072BC" w:themeColor="background1"/>
      </w:rPr>
      <w:tblPr/>
      <w:tcPr>
        <w:tcBorders>
          <w:left w:val="nil"/>
          <w:right w:val="nil"/>
          <w:insideH w:val="nil"/>
          <w:insideV w:val="nil"/>
        </w:tcBorders>
        <w:shd w:val="clear" w:color="auto" w:fill="5F5F5F" w:themeFill="accent5"/>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9"/>
    <w:semiHidden/>
    <w:rsid w:val="0098410D"/>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0072BC" w:themeColor="background1"/>
      </w:rPr>
      <w:tblPr/>
      <w:tcPr>
        <w:tcBorders>
          <w:top w:val="single" w:sz="18" w:space="0" w:color="auto"/>
          <w:left w:val="nil"/>
          <w:bottom w:val="single" w:sz="18" w:space="0" w:color="auto"/>
          <w:right w:val="nil"/>
          <w:insideH w:val="nil"/>
          <w:insideV w:val="nil"/>
        </w:tcBorders>
        <w:shd w:val="clear" w:color="auto" w:fill="4D4D4D"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0072BC" w:themeFill="background1"/>
      </w:tcPr>
    </w:tblStylePr>
    <w:tblStylePr w:type="firstCol">
      <w:rPr>
        <w:b/>
        <w:bCs/>
        <w:color w:val="0072BC" w:themeColor="background1"/>
      </w:rPr>
      <w:tblPr/>
      <w:tcPr>
        <w:tcBorders>
          <w:top w:val="nil"/>
          <w:left w:val="nil"/>
          <w:bottom w:val="single" w:sz="18" w:space="0" w:color="auto"/>
          <w:right w:val="nil"/>
          <w:insideH w:val="nil"/>
          <w:insideV w:val="nil"/>
        </w:tcBorders>
        <w:shd w:val="clear" w:color="auto" w:fill="4D4D4D" w:themeFill="accent6"/>
      </w:tcPr>
    </w:tblStylePr>
    <w:tblStylePr w:type="lastCol">
      <w:rPr>
        <w:b/>
        <w:bCs/>
        <w:color w:val="0072BC" w:themeColor="background1"/>
      </w:rPr>
      <w:tblPr/>
      <w:tcPr>
        <w:tcBorders>
          <w:left w:val="nil"/>
          <w:right w:val="nil"/>
          <w:insideH w:val="nil"/>
          <w:insideV w:val="nil"/>
        </w:tcBorders>
        <w:shd w:val="clear" w:color="auto" w:fill="4D4D4D" w:themeFill="accent6"/>
      </w:tcPr>
    </w:tblStylePr>
    <w:tblStylePr w:type="band1Vert">
      <w:tblPr/>
      <w:tcPr>
        <w:tcBorders>
          <w:left w:val="nil"/>
          <w:right w:val="nil"/>
          <w:insideH w:val="nil"/>
          <w:insideV w:val="nil"/>
        </w:tcBorders>
        <w:shd w:val="clear" w:color="auto" w:fill="00609F" w:themeFill="background1" w:themeFillShade="D8"/>
      </w:tcPr>
    </w:tblStylePr>
    <w:tblStylePr w:type="band1Horz">
      <w:tblPr/>
      <w:tcPr>
        <w:shd w:val="clear" w:color="auto" w:fill="00609F"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0072BC"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9"/>
    <w:semiHidden/>
    <w:rsid w:val="0098410D"/>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Cs w:val="24"/>
    </w:rPr>
  </w:style>
  <w:style w:type="character" w:customStyle="1" w:styleId="MessageHeaderChar">
    <w:name w:val="Message Header Char"/>
    <w:basedOn w:val="DefaultParagraphFont"/>
    <w:link w:val="MessageHeader"/>
    <w:uiPriority w:val="99"/>
    <w:semiHidden/>
    <w:rsid w:val="0098410D"/>
    <w:rPr>
      <w:rFonts w:asciiTheme="majorHAnsi" w:eastAsiaTheme="majorEastAsia" w:hAnsiTheme="majorHAnsi" w:cstheme="majorBidi"/>
      <w:sz w:val="24"/>
      <w:szCs w:val="24"/>
      <w:shd w:val="pct20" w:color="auto" w:fill="auto"/>
    </w:rPr>
  </w:style>
  <w:style w:type="paragraph" w:styleId="NormalWeb">
    <w:name w:val="Normal (Web)"/>
    <w:basedOn w:val="Normal"/>
    <w:uiPriority w:val="99"/>
    <w:semiHidden/>
    <w:rsid w:val="0098410D"/>
    <w:rPr>
      <w:rFonts w:ascii="Times New Roman" w:hAnsi="Times New Roman" w:cs="Times New Roman"/>
      <w:szCs w:val="24"/>
    </w:rPr>
  </w:style>
  <w:style w:type="paragraph" w:styleId="NormalIndent">
    <w:name w:val="Normal Indent"/>
    <w:basedOn w:val="Normal"/>
    <w:uiPriority w:val="99"/>
    <w:semiHidden/>
    <w:rsid w:val="0098410D"/>
    <w:pPr>
      <w:ind w:left="720"/>
    </w:pPr>
  </w:style>
  <w:style w:type="character" w:styleId="PlaceholderText">
    <w:name w:val="Placeholder Text"/>
    <w:basedOn w:val="DefaultParagraphFont"/>
    <w:uiPriority w:val="99"/>
    <w:semiHidden/>
    <w:rsid w:val="0001240D"/>
    <w:rPr>
      <w:color w:val="auto"/>
      <w:bdr w:val="none" w:sz="0" w:space="0" w:color="auto"/>
      <w:shd w:val="clear" w:color="auto" w:fill="DFDFDF" w:themeFill="background2" w:themeFillShade="E6"/>
    </w:rPr>
  </w:style>
  <w:style w:type="paragraph" w:styleId="PlainText">
    <w:name w:val="Plain Text"/>
    <w:basedOn w:val="Normal"/>
    <w:link w:val="PlainTextChar"/>
    <w:uiPriority w:val="99"/>
    <w:semiHidden/>
    <w:rsid w:val="0098410D"/>
    <w:rPr>
      <w:rFonts w:ascii="Consolas" w:hAnsi="Consolas" w:cs="Consolas"/>
      <w:sz w:val="21"/>
      <w:szCs w:val="21"/>
    </w:rPr>
  </w:style>
  <w:style w:type="character" w:customStyle="1" w:styleId="PlainTextChar">
    <w:name w:val="Plain Text Char"/>
    <w:basedOn w:val="DefaultParagraphFont"/>
    <w:link w:val="PlainText"/>
    <w:uiPriority w:val="99"/>
    <w:semiHidden/>
    <w:rsid w:val="0098410D"/>
    <w:rPr>
      <w:rFonts w:ascii="Consolas" w:eastAsiaTheme="minorEastAsia" w:hAnsi="Consolas" w:cs="Consolas"/>
      <w:sz w:val="21"/>
      <w:szCs w:val="21"/>
    </w:rPr>
  </w:style>
  <w:style w:type="paragraph" w:styleId="Salutation">
    <w:name w:val="Salutation"/>
    <w:basedOn w:val="Normal"/>
    <w:next w:val="Normal"/>
    <w:link w:val="SalutationChar"/>
    <w:uiPriority w:val="99"/>
    <w:semiHidden/>
    <w:rsid w:val="0098410D"/>
  </w:style>
  <w:style w:type="character" w:customStyle="1" w:styleId="SalutationChar">
    <w:name w:val="Salutation Char"/>
    <w:basedOn w:val="DefaultParagraphFont"/>
    <w:link w:val="Salutation"/>
    <w:uiPriority w:val="99"/>
    <w:semiHidden/>
    <w:rsid w:val="0098410D"/>
    <w:rPr>
      <w:rFonts w:eastAsiaTheme="minorEastAsia"/>
      <w:sz w:val="24"/>
    </w:rPr>
  </w:style>
  <w:style w:type="paragraph" w:styleId="Signature">
    <w:name w:val="Signature"/>
    <w:basedOn w:val="Normal"/>
    <w:link w:val="SignatureChar"/>
    <w:uiPriority w:val="99"/>
    <w:semiHidden/>
    <w:rsid w:val="0098410D"/>
    <w:pPr>
      <w:ind w:left="4252"/>
    </w:pPr>
  </w:style>
  <w:style w:type="character" w:customStyle="1" w:styleId="SignatureChar">
    <w:name w:val="Signature Char"/>
    <w:basedOn w:val="DefaultParagraphFont"/>
    <w:link w:val="Signature"/>
    <w:uiPriority w:val="99"/>
    <w:semiHidden/>
    <w:rsid w:val="0098410D"/>
    <w:rPr>
      <w:rFonts w:eastAsiaTheme="minorEastAsia"/>
      <w:sz w:val="24"/>
    </w:rPr>
  </w:style>
  <w:style w:type="table" w:styleId="Table3Deffects1">
    <w:name w:val="Table 3D effects 1"/>
    <w:basedOn w:val="TableNormal"/>
    <w:uiPriority w:val="99"/>
    <w:semiHidden/>
    <w:unhideWhenUsed/>
    <w:rsid w:val="0098410D"/>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8410D"/>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8410D"/>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8410D"/>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8410D"/>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8410D"/>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8410D"/>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8410D"/>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8410D"/>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8410D"/>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8410D"/>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8410D"/>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8410D"/>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8410D"/>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8410D"/>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8410D"/>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8410D"/>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8410D"/>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8410D"/>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8410D"/>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8410D"/>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8410D"/>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8410D"/>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8410D"/>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8410D"/>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8410D"/>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9"/>
    <w:semiHidden/>
    <w:rsid w:val="0098410D"/>
    <w:pPr>
      <w:ind w:left="240" w:hanging="240"/>
    </w:pPr>
  </w:style>
  <w:style w:type="paragraph" w:styleId="TableofFigures">
    <w:name w:val="table of figures"/>
    <w:basedOn w:val="Normal"/>
    <w:next w:val="Normal"/>
    <w:uiPriority w:val="99"/>
    <w:semiHidden/>
    <w:rsid w:val="0098410D"/>
  </w:style>
  <w:style w:type="table" w:styleId="TableProfessional">
    <w:name w:val="Table Professional"/>
    <w:basedOn w:val="TableNormal"/>
    <w:uiPriority w:val="99"/>
    <w:semiHidden/>
    <w:unhideWhenUsed/>
    <w:rsid w:val="0098410D"/>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8410D"/>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8410D"/>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8410D"/>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8410D"/>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8410D"/>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8410D"/>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8410D"/>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8410D"/>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8410D"/>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OC6">
    <w:name w:val="toc 6"/>
    <w:basedOn w:val="Normal"/>
    <w:next w:val="Normal"/>
    <w:autoRedefine/>
    <w:uiPriority w:val="99"/>
    <w:semiHidden/>
    <w:rsid w:val="0001240D"/>
    <w:pPr>
      <w:tabs>
        <w:tab w:val="right" w:leader="dot" w:pos="7371"/>
      </w:tabs>
      <w:spacing w:after="60" w:line="240" w:lineRule="exact"/>
      <w:ind w:left="2041" w:right="567" w:hanging="340"/>
    </w:pPr>
    <w:rPr>
      <w:sz w:val="20"/>
    </w:rPr>
  </w:style>
  <w:style w:type="paragraph" w:styleId="TOC7">
    <w:name w:val="toc 7"/>
    <w:basedOn w:val="Normal"/>
    <w:next w:val="Normal"/>
    <w:autoRedefine/>
    <w:uiPriority w:val="99"/>
    <w:semiHidden/>
    <w:rsid w:val="0001240D"/>
    <w:pPr>
      <w:tabs>
        <w:tab w:val="right" w:leader="dot" w:pos="7371"/>
      </w:tabs>
      <w:spacing w:after="60" w:line="240" w:lineRule="exact"/>
      <w:ind w:left="2381" w:right="567" w:hanging="340"/>
    </w:pPr>
    <w:rPr>
      <w:sz w:val="20"/>
    </w:rPr>
  </w:style>
  <w:style w:type="paragraph" w:styleId="TOC8">
    <w:name w:val="toc 8"/>
    <w:basedOn w:val="Normal"/>
    <w:next w:val="Normal"/>
    <w:autoRedefine/>
    <w:uiPriority w:val="99"/>
    <w:semiHidden/>
    <w:rsid w:val="0098410D"/>
    <w:pPr>
      <w:spacing w:after="100"/>
      <w:ind w:left="1680"/>
    </w:pPr>
  </w:style>
  <w:style w:type="paragraph" w:styleId="TOC9">
    <w:name w:val="toc 9"/>
    <w:basedOn w:val="Normal"/>
    <w:next w:val="Normal"/>
    <w:autoRedefine/>
    <w:uiPriority w:val="99"/>
    <w:semiHidden/>
    <w:rsid w:val="0098410D"/>
    <w:pPr>
      <w:spacing w:after="100"/>
      <w:ind w:left="1920"/>
    </w:pPr>
  </w:style>
  <w:style w:type="paragraph" w:customStyle="1" w:styleId="DecHTitle">
    <w:name w:val="Dec_H_Title"/>
    <w:basedOn w:val="ECHRTitleCentre1"/>
    <w:uiPriority w:val="7"/>
    <w:qFormat/>
    <w:rsid w:val="0001240D"/>
  </w:style>
  <w:style w:type="paragraph" w:customStyle="1" w:styleId="DecList">
    <w:name w:val="Dec_List"/>
    <w:basedOn w:val="Normal"/>
    <w:uiPriority w:val="9"/>
    <w:qFormat/>
    <w:rsid w:val="0001240D"/>
    <w:pPr>
      <w:spacing w:before="240"/>
      <w:ind w:left="284"/>
    </w:pPr>
  </w:style>
  <w:style w:type="paragraph" w:customStyle="1" w:styleId="ECHRFooter">
    <w:name w:val="ECHR_Footer"/>
    <w:aliases w:val="Footer_ECHR"/>
    <w:basedOn w:val="Footer"/>
    <w:uiPriority w:val="57"/>
    <w:semiHidden/>
    <w:rsid w:val="0001240D"/>
    <w:pPr>
      <w:jc w:val="left"/>
    </w:pPr>
    <w:rPr>
      <w:sz w:val="8"/>
    </w:rPr>
  </w:style>
  <w:style w:type="paragraph" w:customStyle="1" w:styleId="ECHRFooterLine">
    <w:name w:val="ECHR_Footer_Line"/>
    <w:aliases w:val="Footer_Line"/>
    <w:basedOn w:val="Normal"/>
    <w:next w:val="ECHRFooter"/>
    <w:uiPriority w:val="57"/>
    <w:semiHidden/>
    <w:rsid w:val="0001240D"/>
    <w:pPr>
      <w:pBdr>
        <w:top w:val="single" w:sz="6" w:space="1" w:color="5F5F5F"/>
      </w:pBdr>
      <w:tabs>
        <w:tab w:val="center" w:pos="4536"/>
        <w:tab w:val="right" w:pos="9696"/>
      </w:tabs>
      <w:ind w:left="-680" w:right="-680"/>
      <w:jc w:val="left"/>
    </w:pPr>
    <w:rPr>
      <w:color w:val="5F5F5F"/>
    </w:rPr>
  </w:style>
  <w:style w:type="paragraph" w:customStyle="1" w:styleId="ECHRTitleCentre2">
    <w:name w:val="ECHR_Title_Centre_2"/>
    <w:aliases w:val="Dec_H_Case"/>
    <w:basedOn w:val="Normal"/>
    <w:next w:val="ECHRPara"/>
    <w:uiPriority w:val="8"/>
    <w:qFormat/>
    <w:rsid w:val="0001240D"/>
    <w:pPr>
      <w:spacing w:after="240"/>
      <w:jc w:val="center"/>
      <w:outlineLvl w:val="0"/>
    </w:pPr>
    <w:rPr>
      <w:rFonts w:asciiTheme="majorHAnsi" w:hAnsiTheme="majorHAnsi"/>
    </w:rPr>
  </w:style>
  <w:style w:type="paragraph" w:customStyle="1" w:styleId="JuAppQuestion">
    <w:name w:val="Ju_App_Question"/>
    <w:basedOn w:val="Normal"/>
    <w:uiPriority w:val="5"/>
    <w:qFormat/>
    <w:rsid w:val="0001240D"/>
    <w:pPr>
      <w:numPr>
        <w:numId w:val="26"/>
      </w:numPr>
      <w:jc w:val="left"/>
    </w:pPr>
    <w:rPr>
      <w:b/>
    </w:rPr>
  </w:style>
  <w:style w:type="paragraph" w:customStyle="1" w:styleId="JuTitle">
    <w:name w:val="Ju_Title"/>
    <w:basedOn w:val="Normal"/>
    <w:next w:val="ECHRPara"/>
    <w:uiPriority w:val="3"/>
    <w:qFormat/>
    <w:rsid w:val="0001240D"/>
    <w:pPr>
      <w:spacing w:before="720" w:after="240"/>
      <w:jc w:val="center"/>
      <w:outlineLvl w:val="0"/>
    </w:pPr>
    <w:rPr>
      <w:rFonts w:asciiTheme="majorHAnsi" w:hAnsiTheme="majorHAnsi"/>
      <w:b/>
      <w:caps/>
    </w:rPr>
  </w:style>
  <w:style w:type="character" w:customStyle="1" w:styleId="JuNames0">
    <w:name w:val="Ju_Names"/>
    <w:rsid w:val="00B64935"/>
    <w:rPr>
      <w:smallCaps/>
    </w:rPr>
  </w:style>
  <w:style w:type="paragraph" w:styleId="NoteHeading">
    <w:name w:val="Note Heading"/>
    <w:basedOn w:val="Normal"/>
    <w:next w:val="Normal"/>
    <w:uiPriority w:val="99"/>
    <w:semiHidden/>
    <w:rsid w:val="00B64935"/>
  </w:style>
  <w:style w:type="paragraph" w:customStyle="1" w:styleId="JuHeaderLandscape">
    <w:name w:val="Ju_Header_Landscape"/>
    <w:basedOn w:val="ECHRHeader"/>
    <w:uiPriority w:val="4"/>
    <w:rsid w:val="00B64935"/>
    <w:pPr>
      <w:tabs>
        <w:tab w:val="center" w:pos="6146"/>
        <w:tab w:val="right" w:pos="12293"/>
      </w:tabs>
      <w:jc w:val="left"/>
    </w:pPr>
  </w:style>
  <w:style w:type="character" w:customStyle="1" w:styleId="ECHRParaChar">
    <w:name w:val="ECHR_Para Char"/>
    <w:aliases w:val="Ju_Para Char"/>
    <w:link w:val="ECHRPara"/>
    <w:uiPriority w:val="12"/>
    <w:rsid w:val="00B64935"/>
    <w:rPr>
      <w:rFonts w:eastAsiaTheme="minorEastAsia"/>
      <w:sz w:val="24"/>
      <w:lang w:val="bg-BG"/>
    </w:rPr>
  </w:style>
  <w:style w:type="paragraph" w:customStyle="1" w:styleId="ECHRHeaderRefIt">
    <w:name w:val="ECHR_Header_Ref_It"/>
    <w:aliases w:val="Ref_Ital"/>
    <w:basedOn w:val="Normal"/>
    <w:next w:val="Normal"/>
    <w:uiPriority w:val="38"/>
    <w:rsid w:val="00B64935"/>
    <w:pPr>
      <w:jc w:val="right"/>
    </w:pPr>
    <w:rPr>
      <w:rFonts w:eastAsiaTheme="minorHAnsi"/>
      <w:i/>
      <w:sz w:val="20"/>
    </w:rPr>
  </w:style>
  <w:style w:type="paragraph" w:styleId="Revision">
    <w:name w:val="Revision"/>
    <w:hidden/>
    <w:uiPriority w:val="99"/>
    <w:semiHidden/>
    <w:rsid w:val="00B64935"/>
    <w:rPr>
      <w:rFonts w:eastAsiaTheme="minorEastAsia"/>
      <w:sz w:val="24"/>
    </w:rPr>
  </w:style>
  <w:style w:type="paragraph" w:customStyle="1" w:styleId="OpiHi">
    <w:name w:val="Opi_H_i"/>
    <w:basedOn w:val="ECHRHeading4"/>
    <w:uiPriority w:val="44"/>
    <w:qFormat/>
    <w:rsid w:val="0001240D"/>
    <w:pPr>
      <w:ind w:left="1037" w:hanging="357"/>
      <w:outlineLvl w:val="4"/>
    </w:pPr>
    <w:rPr>
      <w:b w:val="0"/>
      <w:i/>
    </w:rPr>
  </w:style>
  <w:style w:type="paragraph" w:customStyle="1" w:styleId="OpiPara">
    <w:name w:val="Opi_Para"/>
    <w:basedOn w:val="ECHRPara"/>
    <w:uiPriority w:val="46"/>
    <w:qFormat/>
    <w:rsid w:val="0001240D"/>
  </w:style>
  <w:style w:type="paragraph" w:customStyle="1" w:styleId="OpiParaSub">
    <w:name w:val="Opi_Para_Sub"/>
    <w:basedOn w:val="JuParaSub"/>
    <w:uiPriority w:val="47"/>
    <w:qFormat/>
    <w:rsid w:val="0001240D"/>
  </w:style>
  <w:style w:type="paragraph" w:customStyle="1" w:styleId="OpiQuot">
    <w:name w:val="Opi_Quot"/>
    <w:basedOn w:val="ECHRParaQuote"/>
    <w:uiPriority w:val="48"/>
    <w:qFormat/>
    <w:rsid w:val="0001240D"/>
  </w:style>
  <w:style w:type="paragraph" w:customStyle="1" w:styleId="OpiQuotSub">
    <w:name w:val="Opi_Quot_Sub"/>
    <w:basedOn w:val="JuQuotSub"/>
    <w:uiPriority w:val="49"/>
    <w:qFormat/>
    <w:rsid w:val="0001240D"/>
  </w:style>
  <w:style w:type="paragraph" w:customStyle="1" w:styleId="OpiTranslation">
    <w:name w:val="Opi_Translation"/>
    <w:basedOn w:val="Normal"/>
    <w:next w:val="OpiPara"/>
    <w:uiPriority w:val="40"/>
    <w:qFormat/>
    <w:rsid w:val="0001240D"/>
    <w:pPr>
      <w:jc w:val="center"/>
      <w:outlineLvl w:val="0"/>
    </w:pPr>
    <w:rPr>
      <w:i/>
    </w:rPr>
  </w:style>
  <w:style w:type="paragraph" w:customStyle="1" w:styleId="jupara">
    <w:name w:val="jupara"/>
    <w:basedOn w:val="Normal"/>
    <w:rsid w:val="000D3951"/>
    <w:pPr>
      <w:ind w:firstLine="284"/>
    </w:pPr>
    <w:rPr>
      <w:rFonts w:ascii="Times New Roman" w:eastAsia="Times New Roman" w:hAnsi="Times New Roman" w:cs="Times New Roman"/>
      <w:szCs w:val="24"/>
      <w:lang w:eastAsia="en-GB"/>
    </w:rPr>
  </w:style>
  <w:style w:type="paragraph" w:customStyle="1" w:styleId="jucase0">
    <w:name w:val="jucase"/>
    <w:basedOn w:val="Normal"/>
    <w:rsid w:val="000D3951"/>
    <w:pPr>
      <w:ind w:firstLine="284"/>
    </w:pPr>
    <w:rPr>
      <w:rFonts w:ascii="Times New Roman" w:eastAsia="Times New Roman" w:hAnsi="Times New Roman" w:cs="Times New Roman"/>
      <w:b/>
      <w:bCs/>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5488698">
      <w:bodyDiv w:val="1"/>
      <w:marLeft w:val="0"/>
      <w:marRight w:val="0"/>
      <w:marTop w:val="0"/>
      <w:marBottom w:val="0"/>
      <w:divBdr>
        <w:top w:val="none" w:sz="0" w:space="0" w:color="auto"/>
        <w:left w:val="none" w:sz="0" w:space="0" w:color="auto"/>
        <w:bottom w:val="none" w:sz="0" w:space="0" w:color="auto"/>
        <w:right w:val="none" w:sz="0" w:space="0" w:color="auto"/>
      </w:divBdr>
    </w:div>
    <w:div w:id="1950698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footer3.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ECHR_Theme_Judgments_Decisions_Reports">
  <a:themeElements>
    <a:clrScheme name="ECHR_grey">
      <a:dk1>
        <a:sysClr val="windowText" lastClr="000000"/>
      </a:dk1>
      <a:lt1>
        <a:srgbClr val="0072BC"/>
      </a:lt1>
      <a:dk2>
        <a:srgbClr val="C6C6C6"/>
      </a:dk2>
      <a:lt2>
        <a:srgbClr val="F8F8F8"/>
      </a:lt2>
      <a:accent1>
        <a:srgbClr val="0072BC"/>
      </a:accent1>
      <a:accent2>
        <a:srgbClr val="C00000"/>
      </a:accent2>
      <a:accent3>
        <a:srgbClr val="5F5F5F"/>
      </a:accent3>
      <a:accent4>
        <a:srgbClr val="969696"/>
      </a:accent4>
      <a:accent5>
        <a:srgbClr val="5F5F5F"/>
      </a:accent5>
      <a:accent6>
        <a:srgbClr val="4D4D4D"/>
      </a:accent6>
      <a:hlink>
        <a:srgbClr val="0072BC"/>
      </a:hlink>
      <a:folHlink>
        <a:srgbClr val="7030A0"/>
      </a:folHlink>
    </a:clrScheme>
    <a:fontScheme name="ECHR_Judgments_Reports_Decisions">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hade val="50000"/>
                <a:satMod val="155000"/>
              </a:schemeClr>
            </a:gs>
            <a:gs pos="35000">
              <a:schemeClr val="phClr">
                <a:shade val="75000"/>
                <a:satMod val="155000"/>
              </a:schemeClr>
            </a:gs>
            <a:gs pos="100000">
              <a:schemeClr val="phClr">
                <a:tint val="80000"/>
                <a:satMod val="255000"/>
              </a:schemeClr>
            </a:gs>
          </a:gsLst>
          <a:lin ang="16200000" scaled="0"/>
        </a:gradFill>
        <a:gradFill rotWithShape="1">
          <a:gsLst>
            <a:gs pos="0">
              <a:schemeClr val="phClr">
                <a:tint val="80000"/>
                <a:satMod val="300000"/>
              </a:schemeClr>
            </a:gs>
            <a:gs pos="100000">
              <a:schemeClr val="phClr">
                <a:shade val="30000"/>
                <a:satMod val="200000"/>
              </a:schemeClr>
            </a:gs>
          </a:gsLst>
          <a:path path="circle">
            <a:fillToRect l="100000" t="100000" r="100000" b="10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173ED9-0202-43DA-AC20-5DB96B053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30</Pages>
  <Words>11025</Words>
  <Characters>62843</Characters>
  <Application>Microsoft Office Word</Application>
  <DocSecurity>0</DocSecurity>
  <Lines>523</Lines>
  <Paragraphs>147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73721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lastModifiedBy/>
  <cp:revision>1</cp:revision>
  <dcterms:created xsi:type="dcterms:W3CDTF">2021-01-13T15:19:00Z</dcterms:created>
  <dcterms:modified xsi:type="dcterms:W3CDTF">2021-01-13T15:19:00Z</dcterms:modified>
  <cp:category/>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