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E3" w:rsidRPr="009A6304" w:rsidRDefault="00573BE3" w:rsidP="006C1B3A">
      <w:pPr>
        <w:jc w:val="center"/>
        <w:rPr>
          <w:rFonts w:ascii="Times New Roman" w:hAnsi="Times New Roman" w:cs="Times New Roman"/>
          <w:noProof/>
          <w:lang w:val="en-US"/>
        </w:rPr>
      </w:pPr>
    </w:p>
    <w:p w:rsidR="0098410D" w:rsidRPr="006C1B3A" w:rsidRDefault="0098410D" w:rsidP="006C1B3A">
      <w:pPr>
        <w:jc w:val="center"/>
      </w:pPr>
    </w:p>
    <w:p w:rsidR="0098410D" w:rsidRPr="006C1B3A" w:rsidRDefault="00573BE3" w:rsidP="006C1B3A">
      <w:pPr>
        <w:pStyle w:val="DecHTitle"/>
      </w:pPr>
      <w:r>
        <w:t>ЧЕТВЪРТО ОТДЕЛЕНИЕ</w:t>
      </w:r>
    </w:p>
    <w:p w:rsidR="008E6217" w:rsidRPr="006C1B3A" w:rsidRDefault="008E6217" w:rsidP="006C1B3A">
      <w:pPr>
        <w:pStyle w:val="JuTitle"/>
      </w:pPr>
      <w:bookmarkStart w:id="0" w:name="To"/>
      <w:r>
        <w:rPr>
          <w:color w:val="000000" w:themeColor="text1"/>
        </w:rPr>
        <w:t xml:space="preserve">ДЕЛО </w:t>
      </w:r>
      <w:bookmarkEnd w:id="0"/>
      <w:r>
        <w:t>БОЖИЛОВИ СРЕЩУ БЪЛГАРИЯ</w:t>
      </w:r>
    </w:p>
    <w:p w:rsidR="00D74888" w:rsidRPr="006C1B3A" w:rsidRDefault="008E6217" w:rsidP="006C1B3A">
      <w:pPr>
        <w:pStyle w:val="ECHRCoverTitle4"/>
      </w:pPr>
      <w:r>
        <w:t>(Жалба № 9051/18)</w:t>
      </w:r>
    </w:p>
    <w:p w:rsidR="0098410D" w:rsidRPr="006C1B3A" w:rsidRDefault="0098410D" w:rsidP="006C1B3A">
      <w:pPr>
        <w:pStyle w:val="DecHCase"/>
      </w:pPr>
    </w:p>
    <w:p w:rsidR="0098410D" w:rsidRPr="006C1B3A" w:rsidRDefault="0098410D" w:rsidP="006C1B3A">
      <w:pPr>
        <w:pStyle w:val="DecHCase"/>
      </w:pPr>
    </w:p>
    <w:p w:rsidR="00AC4CD4" w:rsidRPr="006C1B3A" w:rsidRDefault="00AC4CD4" w:rsidP="006C1B3A">
      <w:pPr>
        <w:pStyle w:val="DecHCase"/>
      </w:pPr>
    </w:p>
    <w:p w:rsidR="0098410D" w:rsidRPr="006C1B3A" w:rsidRDefault="0098410D" w:rsidP="006C1B3A">
      <w:pPr>
        <w:pStyle w:val="DecHCase"/>
      </w:pPr>
    </w:p>
    <w:p w:rsidR="0098410D" w:rsidRPr="006C1B3A" w:rsidRDefault="0098410D" w:rsidP="006C1B3A">
      <w:pPr>
        <w:pStyle w:val="DecHCase"/>
      </w:pPr>
      <w:r>
        <w:t>РЕШЕНИЕ</w:t>
      </w:r>
      <w:r>
        <w:br/>
      </w:r>
    </w:p>
    <w:p w:rsidR="0098410D" w:rsidRPr="006C1B3A" w:rsidRDefault="0098410D" w:rsidP="006C1B3A">
      <w:pPr>
        <w:pStyle w:val="DecHCase"/>
      </w:pPr>
      <w:r>
        <w:t>СТРАСБУРГ</w:t>
      </w:r>
    </w:p>
    <w:p w:rsidR="0098410D" w:rsidRPr="006C1B3A" w:rsidRDefault="00573BE3" w:rsidP="006C1B3A">
      <w:pPr>
        <w:pStyle w:val="DecHCase"/>
      </w:pPr>
      <w:r>
        <w:rPr>
          <w:rFonts w:ascii="Times New Roman" w:hAnsi="Times New Roman"/>
        </w:rPr>
        <w:t>15 март 2022 г.</w:t>
      </w:r>
    </w:p>
    <w:p w:rsidR="00AC4CD4" w:rsidRPr="006C1B3A" w:rsidRDefault="00AC4CD4" w:rsidP="006C1B3A">
      <w:pPr>
        <w:pStyle w:val="JuPara"/>
      </w:pPr>
    </w:p>
    <w:p w:rsidR="002422B6" w:rsidRPr="006C1B3A" w:rsidRDefault="0098410D" w:rsidP="006C1B3A">
      <w:pPr>
        <w:rPr>
          <w:i/>
          <w:sz w:val="22"/>
        </w:rPr>
      </w:pPr>
      <w:r>
        <w:rPr>
          <w:i/>
          <w:sz w:val="22"/>
        </w:rPr>
        <w:t>Настоящото решение е окончателно, но може да бъде предмет на редакционни промени.</w:t>
      </w:r>
    </w:p>
    <w:p w:rsidR="0098410D" w:rsidRPr="006C1B3A" w:rsidRDefault="0098410D" w:rsidP="006C1B3A">
      <w:pPr>
        <w:sectPr w:rsidR="0098410D" w:rsidRPr="006C1B3A"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6C1B3A" w:rsidRDefault="0098410D" w:rsidP="006C1B3A">
      <w:pPr>
        <w:pStyle w:val="JuCase"/>
      </w:pPr>
      <w:r>
        <w:lastRenderedPageBreak/>
        <w:t>По делото Божилови срещу България,</w:t>
      </w:r>
    </w:p>
    <w:p w:rsidR="009F4C8F" w:rsidRPr="006C1B3A" w:rsidRDefault="009F4C8F" w:rsidP="006C1B3A">
      <w:pPr>
        <w:pStyle w:val="JuPara"/>
      </w:pPr>
      <w:r>
        <w:t>Европейският съд по правата на човека (Четвърто отделение), заседаващ като коми</w:t>
      </w:r>
      <w:r w:rsidR="009A6304">
        <w:t>тет, състоящ се от</w:t>
      </w:r>
      <w:r>
        <w:t>:</w:t>
      </w:r>
    </w:p>
    <w:p w:rsidR="009F4C8F" w:rsidRPr="006C1B3A" w:rsidRDefault="006575BA" w:rsidP="006C1B3A">
      <w:pPr>
        <w:pStyle w:val="JuJudges"/>
      </w:pPr>
      <w:r>
        <w:tab/>
        <w:t xml:space="preserve">Тим </w:t>
      </w:r>
      <w:proofErr w:type="spellStart"/>
      <w:r>
        <w:t>Айки</w:t>
      </w:r>
      <w:proofErr w:type="spellEnd"/>
      <w:r>
        <w:t xml:space="preserve"> (</w:t>
      </w:r>
      <w:proofErr w:type="spellStart"/>
      <w:r>
        <w:t>Tim</w:t>
      </w:r>
      <w:proofErr w:type="spellEnd"/>
      <w:r>
        <w:t xml:space="preserve"> </w:t>
      </w:r>
      <w:proofErr w:type="spellStart"/>
      <w:r>
        <w:t>Eicke</w:t>
      </w:r>
      <w:proofErr w:type="spellEnd"/>
      <w:r>
        <w:t>),</w:t>
      </w:r>
      <w:r>
        <w:rPr>
          <w:i/>
        </w:rPr>
        <w:t xml:space="preserve"> председател,</w:t>
      </w:r>
      <w:r>
        <w:rPr>
          <w:i/>
        </w:rPr>
        <w:br/>
      </w:r>
      <w:r>
        <w:tab/>
      </w:r>
      <w:proofErr w:type="spellStart"/>
      <w:r>
        <w:t>Фарис</w:t>
      </w:r>
      <w:proofErr w:type="spellEnd"/>
      <w:r>
        <w:t xml:space="preserve"> </w:t>
      </w:r>
      <w:proofErr w:type="spellStart"/>
      <w:r>
        <w:t>Вехабович</w:t>
      </w:r>
      <w:proofErr w:type="spellEnd"/>
      <w:r>
        <w:t xml:space="preserve"> (</w:t>
      </w:r>
      <w:proofErr w:type="spellStart"/>
      <w:r>
        <w:t>Faris</w:t>
      </w:r>
      <w:proofErr w:type="spellEnd"/>
      <w:r>
        <w:t xml:space="preserve"> </w:t>
      </w:r>
      <w:proofErr w:type="spellStart"/>
      <w:r>
        <w:t>Vehabović</w:t>
      </w:r>
      <w:proofErr w:type="spellEnd"/>
      <w:r>
        <w:t>),</w:t>
      </w:r>
      <w:r>
        <w:rPr>
          <w:i/>
        </w:rPr>
        <w:br/>
      </w:r>
      <w:r>
        <w:tab/>
        <w:t xml:space="preserve">Пере Пастор </w:t>
      </w:r>
      <w:proofErr w:type="spellStart"/>
      <w:r>
        <w:t>Виланова</w:t>
      </w:r>
      <w:proofErr w:type="spellEnd"/>
      <w:r>
        <w:t xml:space="preserve"> (</w:t>
      </w:r>
      <w:proofErr w:type="spellStart"/>
      <w:r>
        <w:t>Pere</w:t>
      </w:r>
      <w:proofErr w:type="spellEnd"/>
      <w:r>
        <w:t xml:space="preserve"> </w:t>
      </w:r>
      <w:proofErr w:type="spellStart"/>
      <w:r>
        <w:t>Pastor</w:t>
      </w:r>
      <w:proofErr w:type="spellEnd"/>
      <w:r>
        <w:t xml:space="preserve"> </w:t>
      </w:r>
      <w:proofErr w:type="spellStart"/>
      <w:r>
        <w:t>Vilanova</w:t>
      </w:r>
      <w:proofErr w:type="spellEnd"/>
      <w:r>
        <w:t>),</w:t>
      </w:r>
      <w:r>
        <w:rPr>
          <w:i/>
        </w:rPr>
        <w:t xml:space="preserve"> съдии,</w:t>
      </w:r>
      <w:r>
        <w:br/>
        <w:t xml:space="preserve">и Илзе </w:t>
      </w:r>
      <w:proofErr w:type="spellStart"/>
      <w:r>
        <w:t>Фрайвирт</w:t>
      </w:r>
      <w:proofErr w:type="spellEnd"/>
      <w:r>
        <w:t xml:space="preserve"> (</w:t>
      </w:r>
      <w:proofErr w:type="spellStart"/>
      <w:r>
        <w:t>Ilse</w:t>
      </w:r>
      <w:proofErr w:type="spellEnd"/>
      <w:r>
        <w:t xml:space="preserve"> </w:t>
      </w:r>
      <w:proofErr w:type="spellStart"/>
      <w:r>
        <w:t>Freiwirth</w:t>
      </w:r>
      <w:proofErr w:type="spellEnd"/>
      <w:r>
        <w:t xml:space="preserve">), </w:t>
      </w:r>
      <w:r>
        <w:rPr>
          <w:i/>
        </w:rPr>
        <w:t>заместник-секретар на отделението,</w:t>
      </w:r>
    </w:p>
    <w:p w:rsidR="00573BE3" w:rsidRPr="006C1B3A" w:rsidRDefault="00573BE3" w:rsidP="006C1B3A">
      <w:pPr>
        <w:pStyle w:val="JuPara"/>
      </w:pPr>
      <w:r>
        <w:t>Като взема предвид:</w:t>
      </w:r>
    </w:p>
    <w:p w:rsidR="00573BE3" w:rsidRPr="006C1B3A" w:rsidRDefault="00573BE3" w:rsidP="006C1B3A">
      <w:pPr>
        <w:pStyle w:val="JuPara"/>
      </w:pPr>
      <w:r>
        <w:t xml:space="preserve">жалба (№ 9051/18) срещу Република България, подадена в Съда на основание чл. 34 от Конвенцията за защита на правата на човека и основните свободи (”Конвенцията”) на 14 февруари 2018 г. от двама български граждани, г-жа Павлинка Панева Божилова и г-н Красимир Божидаров Божилов, родени съответно през 1944 г. и 1975 г. и живущи в София („жалбоподателите“), представлявани от г-жа Н. </w:t>
      </w:r>
      <w:proofErr w:type="spellStart"/>
      <w:r>
        <w:t>Седефова</w:t>
      </w:r>
      <w:proofErr w:type="spellEnd"/>
      <w:r>
        <w:t>, адвокат, практикуващ в София;</w:t>
      </w:r>
    </w:p>
    <w:p w:rsidR="00573BE3" w:rsidRPr="006C1B3A" w:rsidRDefault="00573BE3" w:rsidP="006C1B3A">
      <w:pPr>
        <w:pStyle w:val="JuPara"/>
      </w:pPr>
      <w:r>
        <w:t xml:space="preserve">решението да уведоми </w:t>
      </w:r>
      <w:r w:rsidR="009A6304">
        <w:t>българското Правителство („Правителството“)</w:t>
      </w:r>
      <w:r w:rsidR="009A6304" w:rsidRPr="00326EEC">
        <w:t xml:space="preserve"> </w:t>
      </w:r>
      <w:r>
        <w:t xml:space="preserve">за оплакванията относно забавянето на предоставяне на обезщетение на жалбоподателите за </w:t>
      </w:r>
      <w:r w:rsidR="009A6304">
        <w:t>техен</w:t>
      </w:r>
      <w:r w:rsidR="009A6304" w:rsidRPr="00326EEC">
        <w:t xml:space="preserve"> </w:t>
      </w:r>
      <w:r>
        <w:t>отчужден имот, представлявано от правителствения агент г-жа В. Христова от Министерството на правосъдието, и да обяви останалата част от жалбата за недопустима;</w:t>
      </w:r>
    </w:p>
    <w:p w:rsidR="00573BE3" w:rsidRPr="006C1B3A" w:rsidRDefault="00573BE3" w:rsidP="006C1B3A">
      <w:pPr>
        <w:pStyle w:val="JuPara"/>
      </w:pPr>
      <w:r>
        <w:t>становищата на страните;</w:t>
      </w:r>
    </w:p>
    <w:p w:rsidR="00573BE3" w:rsidRPr="006C1B3A" w:rsidRDefault="00573BE3" w:rsidP="006C1B3A">
      <w:pPr>
        <w:pStyle w:val="JuPara"/>
      </w:pPr>
      <w:r>
        <w:t>решението да отхвърли възражението на Правителството срещу разглеждане на жалбата от комитет;</w:t>
      </w:r>
    </w:p>
    <w:p w:rsidR="009F4C8F" w:rsidRPr="006C1B3A" w:rsidRDefault="009F4C8F" w:rsidP="006C1B3A">
      <w:pPr>
        <w:pStyle w:val="JuPara"/>
      </w:pPr>
      <w:r>
        <w:t>След закрито заседание, проведено на 22 февруари 2022 г.,</w:t>
      </w:r>
    </w:p>
    <w:p w:rsidR="009F4C8F" w:rsidRPr="006C1B3A" w:rsidRDefault="009F4C8F" w:rsidP="006C1B3A">
      <w:pPr>
        <w:pStyle w:val="JuPara"/>
      </w:pPr>
      <w:r>
        <w:t>Постановява следното решение, прието на същата дата:</w:t>
      </w:r>
    </w:p>
    <w:p w:rsidR="00573BE3" w:rsidRPr="006C1B3A" w:rsidRDefault="00573BE3" w:rsidP="006C1B3A">
      <w:pPr>
        <w:pStyle w:val="JuHHead"/>
        <w:numPr>
          <w:ilvl w:val="0"/>
          <w:numId w:val="0"/>
        </w:numPr>
      </w:pPr>
      <w:r>
        <w:t>ПРЕДМЕТ НА ДЕЛОТО</w:t>
      </w:r>
    </w:p>
    <w:p w:rsidR="00573BE3" w:rsidRPr="006C1B3A" w:rsidRDefault="00326EEC" w:rsidP="006C1B3A">
      <w:pPr>
        <w:pStyle w:val="JuPara"/>
      </w:pPr>
      <w:r>
        <w:fldChar w:fldCharType="begin"/>
      </w:r>
      <w:r>
        <w:instrText xml:space="preserve"> SEQ level0 \*arabic </w:instrText>
      </w:r>
      <w:r>
        <w:fldChar w:fldCharType="separate"/>
      </w:r>
      <w:r w:rsidR="00A44193">
        <w:rPr>
          <w:noProof/>
        </w:rPr>
        <w:t>1</w:t>
      </w:r>
      <w:r>
        <w:rPr>
          <w:noProof/>
        </w:rPr>
        <w:fldChar w:fldCharType="end"/>
      </w:r>
      <w:r w:rsidR="00573BE3">
        <w:t>.  </w:t>
      </w:r>
      <w:bookmarkStart w:id="1" w:name="_Hlk55469353"/>
      <w:r w:rsidR="00573BE3">
        <w:t xml:space="preserve">Жалбата се отнася до забавено предоставяне на обезщетение на жалбоподателите за имот на техен предшественик, който е отчужден от общинските власти в София през 1985 г. за градоустройство. По силата на заповед от 10 юли 2006 г. на жалбоподателите </w:t>
      </w:r>
      <w:r w:rsidR="007E0069">
        <w:t xml:space="preserve">е </w:t>
      </w:r>
      <w:r w:rsidR="00573BE3">
        <w:t>трябва</w:t>
      </w:r>
      <w:r w:rsidR="007E0069">
        <w:t>ло</w:t>
      </w:r>
      <w:r w:rsidR="00573BE3">
        <w:t xml:space="preserve"> да бъде предоставен апартамент в сграда, която властите възнамеряват да построят. Сградата обаче така и не е завършена и фирмата, натоварена със строителните работи, фалира през 2013 г.</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2</w:t>
      </w:r>
      <w:r>
        <w:rPr>
          <w:noProof/>
        </w:rPr>
        <w:fldChar w:fldCharType="end"/>
      </w:r>
      <w:r w:rsidR="004178F9">
        <w:t xml:space="preserve">.  С писма от 28 декември 2011 г. и 9 януари 2013 г. до общинските власти жалбоподателите искат да им бъде предложен друг апартамент/други апартаменти като обезщетение. Изявленията в тях не са нотариално заверени, както изисква вътрешното право. Изглежда, че в писма от 17 юли 2012 г. и 8 август 2012 г. кметът уведомява жалбоподателите, че могат да поискат финансово обезщетение вместо обезщетение чрез друг апартамент. През 2013 г. жалбоподателите завеждат производство срещу общината, като претендират пазарната </w:t>
      </w:r>
      <w:r w:rsidR="004178F9">
        <w:lastRenderedPageBreak/>
        <w:t>стойност на апартамента, който им се полага, но съдилищата обявяват претенцията им за недопустима, като постановяват, че жалбоподателите не са представили валидни молби до властите за замяна на апартамента, който им се полага, с други активи. Все още не е предоставено обезщетение на жалбоподателите към момента, в който те подават последното си становище пред Съда през май 2021 г.</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3</w:t>
      </w:r>
      <w:r>
        <w:rPr>
          <w:noProof/>
        </w:rPr>
        <w:fldChar w:fldCharType="end"/>
      </w:r>
      <w:r w:rsidR="004178F9">
        <w:t>.  Жалбоподателите се оплакват по чл. 1 от Протокол № 1 и чл. 13 от Конвенцията</w:t>
      </w:r>
      <w:bookmarkEnd w:id="1"/>
      <w:r w:rsidR="004178F9">
        <w:t>.</w:t>
      </w:r>
    </w:p>
    <w:p w:rsidR="00573BE3" w:rsidRPr="006C1B3A" w:rsidRDefault="00573BE3" w:rsidP="006C1B3A">
      <w:pPr>
        <w:pStyle w:val="JuHHead"/>
      </w:pPr>
      <w:r>
        <w:t>ПРЕЦЕНКА НА СЪДА</w:t>
      </w:r>
    </w:p>
    <w:p w:rsidR="00573BE3" w:rsidRPr="006C1B3A" w:rsidRDefault="00573BE3" w:rsidP="006C1B3A">
      <w:pPr>
        <w:pStyle w:val="JuHIRoman"/>
        <w:tabs>
          <w:tab w:val="clear" w:pos="454"/>
        </w:tabs>
      </w:pPr>
      <w:r>
        <w:t>ТВЪРДЯНО НАРУШЕНИЕ НА ЧЛ. 1 ОТ ПРОТОКОЛ № 1 КЪМ КОНВЕНЦИЯТА</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4</w:t>
      </w:r>
      <w:r>
        <w:rPr>
          <w:noProof/>
        </w:rPr>
        <w:fldChar w:fldCharType="end"/>
      </w:r>
      <w:r w:rsidR="004178F9">
        <w:t xml:space="preserve">.  Случаят е от вида, разгледан в </w:t>
      </w:r>
      <w:r w:rsidR="004178F9">
        <w:rPr>
          <w:i/>
        </w:rPr>
        <w:t>Кирилова и други срещу България</w:t>
      </w:r>
      <w:r w:rsidR="004178F9">
        <w:t xml:space="preserve"> (№ 42908/98 и 3 други, 9 юни 2005 г.) и последващите дела. Следователно Съдът ще приложи установените в него общи принципи относно прекомерните закъснения за обезщетение за отчужден имот.</w:t>
      </w:r>
    </w:p>
    <w:p w:rsidR="00573BE3" w:rsidRPr="006C1B3A" w:rsidRDefault="00326EEC" w:rsidP="006C1B3A">
      <w:pPr>
        <w:pStyle w:val="JuPara"/>
      </w:pPr>
      <w:r>
        <w:fldChar w:fldCharType="begin"/>
      </w:r>
      <w:r>
        <w:instrText xml:space="preserve"> SEQ level0 \*arabic</w:instrText>
      </w:r>
      <w:r>
        <w:instrText xml:space="preserve"> \* MERGEFORMAT </w:instrText>
      </w:r>
      <w:r>
        <w:fldChar w:fldCharType="separate"/>
      </w:r>
      <w:r w:rsidR="00A44193">
        <w:rPr>
          <w:noProof/>
        </w:rPr>
        <w:t>5</w:t>
      </w:r>
      <w:r>
        <w:rPr>
          <w:noProof/>
        </w:rPr>
        <w:fldChar w:fldCharType="end"/>
      </w:r>
      <w:r w:rsidR="004178F9">
        <w:t xml:space="preserve">.  Правителството твърди, че жалбоподателите не са изчерпали наличните вътрешни правни средства за защита, тъй като не са спазили надлежно предписаната от закона процедура да подадат нотариално заверена молба за преобезщетяване чрез друг апартамент или за финансово обезщетение. Те също така не са поискали отмяна на отчуждаването или нова оценка на отчуждения им имот за целите на получаване на финансово обезщетение (за </w:t>
      </w:r>
      <w:proofErr w:type="spellStart"/>
      <w:r w:rsidR="004178F9">
        <w:t>относимите</w:t>
      </w:r>
      <w:proofErr w:type="spellEnd"/>
      <w:r w:rsidR="004178F9">
        <w:t xml:space="preserve"> разпоредби на вътрешното право вж. </w:t>
      </w:r>
      <w:r w:rsidR="004178F9">
        <w:rPr>
          <w:i/>
        </w:rPr>
        <w:t>Кирилова и други</w:t>
      </w:r>
      <w:r w:rsidR="004178F9">
        <w:t>, цитирано по-горе, §§ 72-79). Жалбоподателите не са съгласни с тези аргументи.</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6</w:t>
      </w:r>
      <w:r>
        <w:rPr>
          <w:noProof/>
        </w:rPr>
        <w:fldChar w:fldCharType="end"/>
      </w:r>
      <w:r w:rsidR="004178F9">
        <w:t>.  Неуспехът на жалбоподателите да преследват тези възможности не може да доведе до заключението, че те не са изчерпали ефективните вътрешни правни средства за защита, както се изисква съгласно чл. 35 § 1 от Конвенцията. Въпреки че въпросните правни средства за защита биха могли да „</w:t>
      </w:r>
      <w:proofErr w:type="spellStart"/>
      <w:r w:rsidR="004178F9">
        <w:t>отблокират</w:t>
      </w:r>
      <w:proofErr w:type="spellEnd"/>
      <w:r w:rsidR="004178F9">
        <w:t>“ процедурата за обезщетение и да позволят нейното приключване, те не биха компенсирали значителните закъснения, които вече са се натрупали преди въпросните правни средства за защита да станат достъпни за жалбоподателите (вж. по-долу). Следователно, въпреки че възражението на Правителството трябва да бъде отхвърлено, неговите аргументи в това отношение ще бъдат взети предвид при преценката дали властите са изцяло отговорни за прекомерното забавяне при предоставянето на обезщетение на жалбоподателите.</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7</w:t>
      </w:r>
      <w:r>
        <w:rPr>
          <w:noProof/>
        </w:rPr>
        <w:fldChar w:fldCharType="end"/>
      </w:r>
      <w:r w:rsidR="004178F9">
        <w:t>.  Освен това жалбата не е явно необоснована по смисъла на член 35 § 3 (а) от Конвенцията или недопустима на друго основание. Следователно тя трябва да бъде обявена за допустима.</w:t>
      </w:r>
    </w:p>
    <w:p w:rsidR="00573BE3" w:rsidRPr="006C1B3A" w:rsidRDefault="00326EEC" w:rsidP="006C1B3A">
      <w:pPr>
        <w:pStyle w:val="JuPara"/>
      </w:pPr>
      <w:r>
        <w:lastRenderedPageBreak/>
        <w:fldChar w:fldCharType="begin"/>
      </w:r>
      <w:r>
        <w:instrText xml:space="preserve"> SEQ level0 \*arabic \* MERGEFORMAT </w:instrText>
      </w:r>
      <w:r>
        <w:fldChar w:fldCharType="separate"/>
      </w:r>
      <w:r w:rsidR="00A44193">
        <w:rPr>
          <w:noProof/>
        </w:rPr>
        <w:t>8</w:t>
      </w:r>
      <w:r>
        <w:rPr>
          <w:noProof/>
        </w:rPr>
        <w:fldChar w:fldCharType="end"/>
      </w:r>
      <w:r w:rsidR="004178F9">
        <w:t>.  Правото на жалбоподателите да получат апартамент като обезщетение за отчуждения им имот възниква през 1985 г. и те все още не са получили апартамента, който им се полага, или каквото и да е алтернативно обезщетение. Така в настоящия случай забавянето е двадесет и девет години (от влизането в сила на Протокол № 1 към Конвенцията за България през 1992 г.).</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9</w:t>
      </w:r>
      <w:r>
        <w:rPr>
          <w:noProof/>
        </w:rPr>
        <w:fldChar w:fldCharType="end"/>
      </w:r>
      <w:r w:rsidR="004178F9">
        <w:t xml:space="preserve">.  В даден момент в периода 2012-2013 г. жалбоподателите изглежда разбират, че конкретният апартамент, който им се полага, няма да бъде предоставен. Приблизително по това време фирмата, натоварена с изграждането му, фалира и по това време жалбоподателите вече са изпратили писма, макар и неотговарящи на формалните законови изисквания, до общинските власти, с които искат преобезщетяване чрез друг апартамент. Жалбоподателите твърдят, че не са получили писмата на кмета от юли и август 2012 г., но </w:t>
      </w:r>
      <w:r w:rsidR="007E0069">
        <w:t xml:space="preserve">дали е така </w:t>
      </w:r>
      <w:r w:rsidR="004178F9">
        <w:t>е без значение. От изявленията на жалбоподателите до Съда е видно, че те са знаели за възможността да търсят финансово обезщетение вместо обезщетение чрез апартамент. Освен това през септември 2013 г. те завеждат производство за вреди срещу общинските власти и строителната фирма, като искат пазарната стойност на апартамента, който им се полага. По този начин най-късно до септември 2013 г. те трябва да са били наясно, че могат да прибягнат до различни други правни средства за защита, налични съгласно вътрешното право, за да „</w:t>
      </w:r>
      <w:proofErr w:type="spellStart"/>
      <w:r w:rsidR="004178F9">
        <w:t>отблокират</w:t>
      </w:r>
      <w:proofErr w:type="spellEnd"/>
      <w:r w:rsidR="004178F9">
        <w:t xml:space="preserve">“ процедурата по обезщетение (сравнете обстоятелствата в </w:t>
      </w:r>
      <w:r w:rsidR="004178F9">
        <w:rPr>
          <w:i/>
        </w:rPr>
        <w:t xml:space="preserve">Рашкова и </w:t>
      </w:r>
      <w:proofErr w:type="spellStart"/>
      <w:r w:rsidR="004178F9">
        <w:rPr>
          <w:i/>
        </w:rPr>
        <w:t>Симеонска</w:t>
      </w:r>
      <w:proofErr w:type="spellEnd"/>
      <w:r w:rsidR="004178F9">
        <w:rPr>
          <w:i/>
        </w:rPr>
        <w:t xml:space="preserve"> срещу  България</w:t>
      </w:r>
      <w:r w:rsidR="004178F9">
        <w:t xml:space="preserve"> [Комитет], № 41090/12, §§ 10-15, 2 февруари 2017 г., където това е направено успешно). Следователно жалбоподателите явно са отговорни за част от забавянето.</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10</w:t>
      </w:r>
      <w:r>
        <w:rPr>
          <w:noProof/>
        </w:rPr>
        <w:fldChar w:fldCharType="end"/>
      </w:r>
      <w:r w:rsidR="004178F9">
        <w:t xml:space="preserve">.  Въпреки че жалбоподателите са изпратили писма до властите с молба за преобезщетяване чрез друг апартамент, те не демонстрират, че са следвали надлежно процедурата, предписана от закона, и не предоставят задоволителна обосновка за неуспеха да го направят (вж. за сравнение </w:t>
      </w:r>
      <w:r w:rsidR="004178F9">
        <w:rPr>
          <w:i/>
        </w:rPr>
        <w:t>Вельов и Димитров срещу България</w:t>
      </w:r>
      <w:r w:rsidR="004178F9">
        <w:t xml:space="preserve"> (</w:t>
      </w:r>
      <w:proofErr w:type="spellStart"/>
      <w:r w:rsidR="004178F9">
        <w:t>опр</w:t>
      </w:r>
      <w:proofErr w:type="spellEnd"/>
      <w:r w:rsidR="004178F9">
        <w:t>.) [Комитет], № 64570/10, §§ 27</w:t>
      </w:r>
      <w:bookmarkStart w:id="2" w:name="_Hlk89424783"/>
      <w:r w:rsidR="004178F9">
        <w:t>-</w:t>
      </w:r>
      <w:bookmarkEnd w:id="2"/>
      <w:r w:rsidR="004178F9">
        <w:t xml:space="preserve">31, 20 септември 2016 г.). Освен това те не са потърсили финансово обезщетение. Те твърдят, че преследването на тази последна възможност би било неадекватно в техния случай, тъй като всяко присъдено обезщетение би се основавало на пазарната стойност на имота към момента на отчуждаването през 1985 г. и следователно не би взело предвид съответните икономически промени. Това обаче не е подходът на националните съдилища, като те приемат, че обезщетението трябва да се изчислява въз основа на това каква би била стойността на отчуждения имот към момента на решението за обезщетение (относимата вътрешна съдебна практика в това отношение е цитирана в </w:t>
      </w:r>
      <w:r w:rsidR="004178F9">
        <w:rPr>
          <w:i/>
        </w:rPr>
        <w:t>Петрови срещу България</w:t>
      </w:r>
      <w:r w:rsidR="004178F9">
        <w:t xml:space="preserve"> [Комитет], № 26759/12, § 16, 2 февруари 2017 г.).</w:t>
      </w:r>
    </w:p>
    <w:p w:rsidR="00573BE3" w:rsidRPr="006C1B3A" w:rsidRDefault="00326EEC" w:rsidP="006C1B3A">
      <w:pPr>
        <w:pStyle w:val="JuPara"/>
      </w:pPr>
      <w:r>
        <w:lastRenderedPageBreak/>
        <w:fldChar w:fldCharType="begin"/>
      </w:r>
      <w:r>
        <w:instrText xml:space="preserve"> SEQ level0 \*arabic \* MERGEFORMAT </w:instrText>
      </w:r>
      <w:r>
        <w:fldChar w:fldCharType="separate"/>
      </w:r>
      <w:r w:rsidR="00A44193">
        <w:rPr>
          <w:noProof/>
        </w:rPr>
        <w:t>11</w:t>
      </w:r>
      <w:r>
        <w:rPr>
          <w:noProof/>
        </w:rPr>
        <w:fldChar w:fldCharType="end"/>
      </w:r>
      <w:r w:rsidR="004178F9">
        <w:t xml:space="preserve">.  Съответно Съдът не може да заключи, че закъсненията, настъпили след септември 2013 г., при предоставянето на обезщетение на жалбоподателите, се дължат на каквото и да било пасивно отношение от страна на властите или неуспех да се действа навреме и по подходящ и последователен начин (за разлика от това вж. </w:t>
      </w:r>
      <w:proofErr w:type="spellStart"/>
      <w:r w:rsidR="004178F9">
        <w:rPr>
          <w:i/>
        </w:rPr>
        <w:t>Добродолска</w:t>
      </w:r>
      <w:proofErr w:type="spellEnd"/>
      <w:r w:rsidR="004178F9">
        <w:rPr>
          <w:i/>
        </w:rPr>
        <w:t xml:space="preserve"> срещу България</w:t>
      </w:r>
      <w:r w:rsidR="004178F9">
        <w:t xml:space="preserve"> [Комитет], № 34272/09, §§ 19-22, 13 октомври 2016 г.). Напротив, изглежда, че приложимите правила не позволяват на властите да предприемат каквито и да било стъпки, насочени към замяна на конкретния апартамент, който се полага, с други активи, без валидни молби от страна на жалбоподателите. Следователно жалбоподателите до голяма степен са отговорни за всяко забавяне след 2013 г.</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12</w:t>
      </w:r>
      <w:r>
        <w:rPr>
          <w:noProof/>
        </w:rPr>
        <w:fldChar w:fldCharType="end"/>
      </w:r>
      <w:r w:rsidR="004178F9">
        <w:t>.  Независимо от горните съображения, забавянето от около двадесет години (от 1992 до 2013 г.) при предоставянето на обезщетение за отчужденото имущество на жалбоподателите, за което Правителството не предоставя каквато и да било обосновка, е значително. Освен това всяко действие, което жалбоподателите биха могли да предприемат, не би приключило автоматично производството по обезщетение, тъй като би трябвало да се вземат допълнителни решения, идентифициращи конкретните активи, които да бъдат предоставени. Това е достатъчно, за да заключи Съдът, че закъсненията, причинени по вина на властите, са твърде дълги, че жалбоподателите е трябвало да понесат прекомерна тежест</w:t>
      </w:r>
      <w:r w:rsidR="0064151E">
        <w:t>,</w:t>
      </w:r>
      <w:r w:rsidR="004178F9">
        <w:t xml:space="preserve"> и че справедливият баланс, изискван съгласно чл. 1 от Протокол № 1, не е постигнат (вж. </w:t>
      </w:r>
      <w:r w:rsidR="004178F9">
        <w:rPr>
          <w:i/>
        </w:rPr>
        <w:t>Кирилова и други</w:t>
      </w:r>
      <w:r w:rsidR="004178F9">
        <w:t>, цитирано по-горе, § 123).</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13</w:t>
      </w:r>
      <w:r>
        <w:rPr>
          <w:noProof/>
        </w:rPr>
        <w:fldChar w:fldCharType="end"/>
      </w:r>
      <w:r w:rsidR="004178F9">
        <w:t>.  Следователно е налице нарушение на чл. 1 от Протокол № 1 към Конвенцията.</w:t>
      </w:r>
    </w:p>
    <w:p w:rsidR="00573BE3" w:rsidRPr="006C1B3A" w:rsidRDefault="00573BE3" w:rsidP="006C1B3A">
      <w:pPr>
        <w:pStyle w:val="JuHIRoman"/>
      </w:pPr>
      <w:r>
        <w:t>ТВЪРДЯНО НАРУШЕНИЕ НА ЧЛ. 13 ОТ КОНВЕНЦИЯТА</w:t>
      </w:r>
    </w:p>
    <w:p w:rsidR="00573BE3" w:rsidRPr="006C1B3A" w:rsidRDefault="00326EEC" w:rsidP="006C1B3A">
      <w:pPr>
        <w:pStyle w:val="JuPara"/>
      </w:pPr>
      <w:r>
        <w:fldChar w:fldCharType="begin"/>
      </w:r>
      <w:r>
        <w:instrText xml:space="preserve"> SEQ level0 \*arabic </w:instrText>
      </w:r>
      <w:r>
        <w:fldChar w:fldCharType="separate"/>
      </w:r>
      <w:r w:rsidR="00A44193">
        <w:rPr>
          <w:noProof/>
        </w:rPr>
        <w:t>14</w:t>
      </w:r>
      <w:r>
        <w:rPr>
          <w:noProof/>
        </w:rPr>
        <w:fldChar w:fldCharType="end"/>
      </w:r>
      <w:r w:rsidR="00573BE3">
        <w:t xml:space="preserve">.  Жалбоподателите също така се оплакват по чл. 13 от липсата на ефективни вътрешни правни средства за защита. Оплакването е тясно свързано с това по чл. 1 от Протокол № 1 и поради това също трябва да бъде обявено за допустимо. Въпреки това, предвид изложените по-горе съображения и заключения, Съдът смята, че не е необходимо да разглежда отделно оплакването по чл. 13 (вж. </w:t>
      </w:r>
      <w:r w:rsidR="00573BE3">
        <w:rPr>
          <w:i/>
        </w:rPr>
        <w:t>Кирилова и други</w:t>
      </w:r>
      <w:r w:rsidR="00573BE3">
        <w:t>, цитирано по-горе, § 127).</w:t>
      </w:r>
    </w:p>
    <w:p w:rsidR="00573BE3" w:rsidRPr="006C1B3A" w:rsidRDefault="00573BE3" w:rsidP="006C1B3A">
      <w:pPr>
        <w:pStyle w:val="JuHHead"/>
        <w:jc w:val="left"/>
      </w:pPr>
      <w:r>
        <w:rPr>
          <w:caps w:val="0"/>
        </w:rPr>
        <w:t>ПРИЛОЖЕНИЕ НА ЧЛ. 41 ОТ КОНВЕНЦИЯТА</w:t>
      </w:r>
    </w:p>
    <w:p w:rsidR="00573BE3" w:rsidRPr="006C1B3A" w:rsidRDefault="00326EEC" w:rsidP="006C1B3A">
      <w:pPr>
        <w:pStyle w:val="JuPara"/>
      </w:pPr>
      <w:r>
        <w:fldChar w:fldCharType="begin"/>
      </w:r>
      <w:r>
        <w:instrText xml:space="preserve"> SEQ level0 \*arabic </w:instrText>
      </w:r>
      <w:r>
        <w:fldChar w:fldCharType="separate"/>
      </w:r>
      <w:r w:rsidR="00A44193">
        <w:rPr>
          <w:noProof/>
        </w:rPr>
        <w:t>15</w:t>
      </w:r>
      <w:r>
        <w:rPr>
          <w:noProof/>
        </w:rPr>
        <w:fldChar w:fldCharType="end"/>
      </w:r>
      <w:r w:rsidR="00573BE3">
        <w:t xml:space="preserve">.  Жалбоподателите искат от Съда да даде указания на властите да предоставят апартамента, който им се полага, или ако властите не го направят, да им изплатят пазарната стойност на такъв апартамент. В това отношение жалбоподателите се позовават на експертиза, възложена от тях за целите на вътрешното производство за обезщетение </w:t>
      </w:r>
      <w:r w:rsidR="00573BE3">
        <w:lastRenderedPageBreak/>
        <w:t>за вреди, която оценява стойността на имота на 139 829 евро (EUR). Те също така претендират обезщетение в размер на 18 000 евро по отношение на имуществени вреди поради невъзможността им да използват дължимото им обезщетение в продължение на много години. Освен това те претендират стойността на ремонтните дейности, които са извършили в общинското жилище, където са настанени, в размер на 621 евро.</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16</w:t>
      </w:r>
      <w:r>
        <w:rPr>
          <w:noProof/>
        </w:rPr>
        <w:fldChar w:fldCharType="end"/>
      </w:r>
      <w:r w:rsidR="004178F9">
        <w:t>.  Жалбоподателите претендират 10 000 евро за всеки от тях по отношение на неимуществени вреди.</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17</w:t>
      </w:r>
      <w:r>
        <w:rPr>
          <w:noProof/>
        </w:rPr>
        <w:fldChar w:fldCharType="end"/>
      </w:r>
      <w:r w:rsidR="004178F9">
        <w:t>.  На последно място те претендират 2352 евро за разходи и разноски, покриващи 1840 евро за процесуално представителство, 205 евро за превод и 307 евро за разноските за експертизата, посочена по-горе. В подкрепа на своята претенция те представят договори за процесуално представителство и съответните квитанции.</w:t>
      </w:r>
    </w:p>
    <w:p w:rsidR="00573BE3" w:rsidRPr="006C1B3A" w:rsidRDefault="00326EEC" w:rsidP="006C1B3A">
      <w:pPr>
        <w:pStyle w:val="JuPara"/>
      </w:pPr>
      <w:r>
        <w:fldChar w:fldCharType="begin"/>
      </w:r>
      <w:r>
        <w:instrText xml:space="preserve"> SEQ level0 \*arabic </w:instrText>
      </w:r>
      <w:r>
        <w:fldChar w:fldCharType="separate"/>
      </w:r>
      <w:r w:rsidR="00A44193">
        <w:rPr>
          <w:noProof/>
        </w:rPr>
        <w:t>18</w:t>
      </w:r>
      <w:r>
        <w:rPr>
          <w:noProof/>
        </w:rPr>
        <w:fldChar w:fldCharType="end"/>
      </w:r>
      <w:r w:rsidR="00573BE3">
        <w:t>.  Правителството оспорва претенциите и ги намира за преувеличени.</w:t>
      </w:r>
    </w:p>
    <w:p w:rsidR="00573BE3" w:rsidRPr="006C1B3A" w:rsidRDefault="00326EEC" w:rsidP="006C1B3A">
      <w:pPr>
        <w:pStyle w:val="JuPara"/>
      </w:pPr>
      <w:r>
        <w:fldChar w:fldCharType="begin"/>
      </w:r>
      <w:r>
        <w:instrText xml:space="preserve"> SEQ level0 \*arabic </w:instrText>
      </w:r>
      <w:r>
        <w:fldChar w:fldCharType="separate"/>
      </w:r>
      <w:r w:rsidR="00A44193">
        <w:rPr>
          <w:noProof/>
        </w:rPr>
        <w:t>19</w:t>
      </w:r>
      <w:r>
        <w:rPr>
          <w:noProof/>
        </w:rPr>
        <w:fldChar w:fldCharType="end"/>
      </w:r>
      <w:r w:rsidR="00573BE3">
        <w:t xml:space="preserve">.  Съдът, позовавайки се на своята констатация по-горе, че жалбоподателите са могли да поискат финансово обезщетение или друг апартамент директно от местните власти – възможност, която все още е достъпна, не вижда основание да им присъди стойността на апартамента, който им се полага (вж. </w:t>
      </w:r>
      <w:r w:rsidR="00573BE3">
        <w:rPr>
          <w:i/>
        </w:rPr>
        <w:t>Петрови</w:t>
      </w:r>
      <w:r w:rsidR="00573BE3">
        <w:t xml:space="preserve">, цитирано по-горе, § 39). Той отново подчертава, че констатира нарушение на чл. 1 от Протокол № 1 единствено във връзка с прекомерното забавяне на производството за обезщетение и поради това не открива причинно-следствена връзка между това нарушение и сумата, претендирана от жалбоподателите за ремонтните работи по жилището им. Поради това той отхвърля тези части от претенцията на жалбоподателите. От друга страна Съдът е на мнение, че е оправдано да присъди на жалбоподателите обезщетение за загуба на възможност поради тяхната невъзможност да използват полагащото им се обезщетение в продължение на значителен период от време (вж. </w:t>
      </w:r>
      <w:r w:rsidR="00573BE3">
        <w:rPr>
          <w:i/>
        </w:rPr>
        <w:t>Кирилова и други</w:t>
      </w:r>
      <w:r w:rsidR="00573BE3">
        <w:t xml:space="preserve"> (справедливо обезщетение), № 42908/98 и 3 други, §§ 28-33, 14 юни 2007 г.). Съответно намира за уместно да присъди общо на двамата жалбоподатели 12 500 евро за невъзможността им да се възползват от дължимото им обезщетение.</w:t>
      </w:r>
    </w:p>
    <w:p w:rsidR="00573BE3" w:rsidRPr="006C1B3A" w:rsidRDefault="00326EEC" w:rsidP="006C1B3A">
      <w:pPr>
        <w:pStyle w:val="JuPara"/>
      </w:pPr>
      <w:r>
        <w:fldChar w:fldCharType="begin"/>
      </w:r>
      <w:r>
        <w:instrText xml:space="preserve"> SEQ level0 \*arabic \* MERGEFORMAT </w:instrText>
      </w:r>
      <w:r>
        <w:fldChar w:fldCharType="separate"/>
      </w:r>
      <w:r w:rsidR="00A44193">
        <w:rPr>
          <w:noProof/>
        </w:rPr>
        <w:t>20</w:t>
      </w:r>
      <w:r>
        <w:rPr>
          <w:noProof/>
        </w:rPr>
        <w:fldChar w:fldCharType="end"/>
      </w:r>
      <w:r w:rsidR="004178F9">
        <w:t>.  По отношение на неимуществени вреди, отсъждайки по справедливост, Съдът присъжда общо на двамата жалбоподатели 3000 евро.</w:t>
      </w:r>
    </w:p>
    <w:p w:rsidR="00573BE3" w:rsidRPr="006C1B3A" w:rsidRDefault="00326EEC" w:rsidP="006C1B3A">
      <w:pPr>
        <w:pStyle w:val="JuPara"/>
      </w:pPr>
      <w:r>
        <w:fldChar w:fldCharType="begin"/>
      </w:r>
      <w:r>
        <w:instrText xml:space="preserve"> SEQ level0 \*arabic</w:instrText>
      </w:r>
      <w:r>
        <w:instrText xml:space="preserve"> </w:instrText>
      </w:r>
      <w:r>
        <w:fldChar w:fldCharType="separate"/>
      </w:r>
      <w:r w:rsidR="00A44193">
        <w:rPr>
          <w:noProof/>
        </w:rPr>
        <w:t>21</w:t>
      </w:r>
      <w:r>
        <w:rPr>
          <w:noProof/>
        </w:rPr>
        <w:fldChar w:fldCharType="end"/>
      </w:r>
      <w:r w:rsidR="00573BE3">
        <w:t>.  Предвид факта, че настоящото дело се отнася до повтарящо се оплакване, и с оглед на документите, с които разполага, Съдът смята за разумно да присъди на жалбоподателите 1000 евро за процесуално представителство и 205 евро за разходи за превод, плюс всеки данък, който може да им бъде начислен.</w:t>
      </w:r>
      <w:r w:rsidR="00573BE3">
        <w:rPr>
          <w:rFonts w:ascii="Times New Roman" w:hAnsi="Times New Roman"/>
          <w:color w:val="000000"/>
        </w:rPr>
        <w:t xml:space="preserve"> </w:t>
      </w:r>
      <w:r w:rsidR="00573BE3">
        <w:t xml:space="preserve">Съдът не вижда причина да възстанови направените от жалбоподателите разноски за експертиза, представена от жалбоподателите във вътрешното производство относно пазарната </w:t>
      </w:r>
      <w:r w:rsidR="00573BE3">
        <w:lastRenderedPageBreak/>
        <w:t xml:space="preserve">стойност на апартамента, който им се полага, тъй като тези разноски не са свързани с естеството на констатираното по делото нарушение по отношение на прекомерните забавяния на обезщетението (вж. </w:t>
      </w:r>
      <w:r w:rsidR="00573BE3">
        <w:rPr>
          <w:i/>
        </w:rPr>
        <w:t xml:space="preserve">Попов и </w:t>
      </w:r>
      <w:proofErr w:type="spellStart"/>
      <w:r w:rsidR="00573BE3">
        <w:rPr>
          <w:i/>
        </w:rPr>
        <w:t>Чонин</w:t>
      </w:r>
      <w:proofErr w:type="spellEnd"/>
      <w:r w:rsidR="00573BE3">
        <w:rPr>
          <w:i/>
        </w:rPr>
        <w:t xml:space="preserve"> срещу България</w:t>
      </w:r>
      <w:r w:rsidR="00573BE3">
        <w:t>, № 36094/08, § 76, 17 февруари 2015 г.).</w:t>
      </w:r>
    </w:p>
    <w:p w:rsidR="00573BE3" w:rsidRPr="006C1B3A" w:rsidRDefault="00326EEC" w:rsidP="006C1B3A">
      <w:pPr>
        <w:pStyle w:val="JuPara"/>
      </w:pPr>
      <w:r>
        <w:fldChar w:fldCharType="begin"/>
      </w:r>
      <w:r>
        <w:instrText xml:space="preserve"> SEQ level0 \*arabic </w:instrText>
      </w:r>
      <w:r>
        <w:fldChar w:fldCharType="separate"/>
      </w:r>
      <w:r w:rsidR="00A44193">
        <w:rPr>
          <w:noProof/>
        </w:rPr>
        <w:t>22</w:t>
      </w:r>
      <w:r>
        <w:rPr>
          <w:noProof/>
        </w:rPr>
        <w:fldChar w:fldCharType="end"/>
      </w:r>
      <w:r w:rsidR="00573BE3">
        <w:t>.  Съдът смята за уместно освен това лихвата за забава да бъде обвързана с пределната ставка по заеми на Европейската централна банка, към която се добавят три процентни пункта.</w:t>
      </w:r>
    </w:p>
    <w:p w:rsidR="00573BE3" w:rsidRPr="006C1B3A" w:rsidRDefault="00573BE3" w:rsidP="006C1B3A">
      <w:pPr>
        <w:pStyle w:val="JuHHead"/>
        <w:numPr>
          <w:ilvl w:val="0"/>
          <w:numId w:val="3"/>
        </w:numPr>
      </w:pPr>
      <w:r>
        <w:t>ПО ТЕЗИ СЪОБРАЖЕНИЯ СЪДЪТ ЕДИНОДУШНО</w:t>
      </w:r>
    </w:p>
    <w:p w:rsidR="00573BE3" w:rsidRPr="006C1B3A" w:rsidRDefault="00573BE3" w:rsidP="006C1B3A">
      <w:pPr>
        <w:pStyle w:val="JuList"/>
        <w:numPr>
          <w:ilvl w:val="0"/>
          <w:numId w:val="2"/>
        </w:numPr>
      </w:pPr>
      <w:r>
        <w:rPr>
          <w:i/>
        </w:rPr>
        <w:t>Обявява</w:t>
      </w:r>
      <w:r>
        <w:t xml:space="preserve"> жалбата за допустима;</w:t>
      </w:r>
    </w:p>
    <w:p w:rsidR="00573BE3" w:rsidRPr="006C1B3A" w:rsidRDefault="00573BE3" w:rsidP="006C1B3A">
      <w:pPr>
        <w:pStyle w:val="JuList"/>
        <w:numPr>
          <w:ilvl w:val="0"/>
          <w:numId w:val="2"/>
        </w:numPr>
      </w:pPr>
      <w:r>
        <w:rPr>
          <w:i/>
        </w:rPr>
        <w:t>Приема</w:t>
      </w:r>
      <w:r>
        <w:t>, че е налице нарушение на чл. 1 от Протокол № 1 от Конвенцията;</w:t>
      </w:r>
    </w:p>
    <w:p w:rsidR="00573BE3" w:rsidRPr="006C1B3A" w:rsidRDefault="00573BE3" w:rsidP="006C1B3A">
      <w:pPr>
        <w:pStyle w:val="JuList"/>
        <w:numPr>
          <w:ilvl w:val="0"/>
          <w:numId w:val="2"/>
        </w:numPr>
      </w:pPr>
      <w:r>
        <w:rPr>
          <w:i/>
        </w:rPr>
        <w:t>Приема</w:t>
      </w:r>
      <w:r>
        <w:t>, че не е необходимо да се разглежда отделно оплакването по чл. 13 от Конвенцията;</w:t>
      </w:r>
    </w:p>
    <w:p w:rsidR="00573BE3" w:rsidRPr="006C1B3A" w:rsidRDefault="00573BE3" w:rsidP="006C1B3A">
      <w:pPr>
        <w:pStyle w:val="JuList"/>
        <w:numPr>
          <w:ilvl w:val="0"/>
          <w:numId w:val="2"/>
        </w:numPr>
      </w:pPr>
      <w:r>
        <w:rPr>
          <w:i/>
          <w:iCs/>
        </w:rPr>
        <w:t>Приема,</w:t>
      </w:r>
    </w:p>
    <w:p w:rsidR="00573BE3" w:rsidRPr="006C1B3A" w:rsidRDefault="00573BE3" w:rsidP="006C1B3A">
      <w:pPr>
        <w:pStyle w:val="JuLista"/>
        <w:numPr>
          <w:ilvl w:val="1"/>
          <w:numId w:val="1"/>
        </w:numPr>
      </w:pPr>
      <w:r>
        <w:t>че ответната държава трябва да заплати съвместно на жалбоподателите в срок от три месеца следните суми, които се изчисляват във валутата на ответната държава по курса към датата на плащането:</w:t>
      </w:r>
    </w:p>
    <w:p w:rsidR="00573BE3" w:rsidRPr="006C1B3A" w:rsidRDefault="00573BE3" w:rsidP="006C1B3A">
      <w:pPr>
        <w:pStyle w:val="JuListi"/>
        <w:numPr>
          <w:ilvl w:val="2"/>
          <w:numId w:val="1"/>
        </w:numPr>
      </w:pPr>
      <w:r>
        <w:t>12 500 евро (дванадесет хиляди и петстотин евро), плюс всякакви данъци, които биха могли да се начислят, по отношение на имуществени вреди;</w:t>
      </w:r>
    </w:p>
    <w:p w:rsidR="00573BE3" w:rsidRPr="006C1B3A" w:rsidRDefault="00573BE3" w:rsidP="006C1B3A">
      <w:pPr>
        <w:pStyle w:val="JuListi"/>
        <w:numPr>
          <w:ilvl w:val="2"/>
          <w:numId w:val="1"/>
        </w:numPr>
      </w:pPr>
      <w:r>
        <w:t>3000 евро (три хиляди евро), плюс всякакви данъци, които биха могли да се начислят, по отношение на неимуществени вреди;</w:t>
      </w:r>
    </w:p>
    <w:p w:rsidR="00573BE3" w:rsidRPr="006C1B3A" w:rsidRDefault="00573BE3" w:rsidP="006C1B3A">
      <w:pPr>
        <w:pStyle w:val="JuListi"/>
        <w:numPr>
          <w:ilvl w:val="2"/>
          <w:numId w:val="1"/>
        </w:numPr>
      </w:pPr>
      <w:r>
        <w:t>1205 евро (хиляда двеста и пет евро), плюс всякакви данъци, които биха могли да се начислят на жалбоподателите, по отношение на разходи и разноски;</w:t>
      </w:r>
    </w:p>
    <w:p w:rsidR="00573BE3" w:rsidRPr="006C1B3A" w:rsidRDefault="00573BE3" w:rsidP="006C1B3A">
      <w:pPr>
        <w:pStyle w:val="JuLista"/>
        <w:numPr>
          <w:ilvl w:val="1"/>
          <w:numId w:val="1"/>
        </w:numPr>
      </w:pPr>
      <w:r>
        <w:t>че от изтичането на упоменатия по-горе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по време на периода на забава, към която се добавят три процентни пункта;</w:t>
      </w:r>
    </w:p>
    <w:p w:rsidR="004D0EC7" w:rsidRPr="006C1B3A" w:rsidRDefault="00573BE3" w:rsidP="006C1B3A">
      <w:pPr>
        <w:pStyle w:val="JuList"/>
      </w:pPr>
      <w:r>
        <w:rPr>
          <w:i/>
        </w:rPr>
        <w:t>Отхвърля</w:t>
      </w:r>
      <w:r>
        <w:t xml:space="preserve"> останалата част от иска на жалбоподателите за справедливо обезщетение.</w:t>
      </w:r>
    </w:p>
    <w:p w:rsidR="008E3A08" w:rsidRPr="006C1B3A" w:rsidRDefault="007E2C8C" w:rsidP="006C1B3A">
      <w:pPr>
        <w:pStyle w:val="JuParaLast"/>
      </w:pPr>
      <w:r>
        <w:lastRenderedPageBreak/>
        <w:t>Изготвено на английски език и оповестено писмено на 15 март 2022 г. в съответствие с Правило 77 §§ 2 и 15 от Правилника на Съда.</w:t>
      </w:r>
    </w:p>
    <w:p w:rsidR="008B092C" w:rsidRPr="006C1B3A" w:rsidRDefault="00281B7C" w:rsidP="006C1B3A">
      <w:pPr>
        <w:pStyle w:val="ECHRPlaceholder"/>
        <w:rPr>
          <w:szCs w:val="22"/>
        </w:rPr>
      </w:pPr>
      <w:r>
        <w:tab/>
      </w:r>
    </w:p>
    <w:p w:rsidR="001C055B" w:rsidRPr="006C1B3A" w:rsidRDefault="002E7764" w:rsidP="006C1B3A">
      <w:pPr>
        <w:pStyle w:val="JuSigned"/>
      </w:pPr>
      <w:r>
        <w:tab/>
        <w:t xml:space="preserve">Илзе </w:t>
      </w:r>
      <w:proofErr w:type="spellStart"/>
      <w:r>
        <w:t>Фрайвирт</w:t>
      </w:r>
      <w:proofErr w:type="spellEnd"/>
      <w:r>
        <w:t xml:space="preserve"> (</w:t>
      </w:r>
      <w:proofErr w:type="spellStart"/>
      <w:r>
        <w:t>Ilse</w:t>
      </w:r>
      <w:proofErr w:type="spellEnd"/>
      <w:r>
        <w:t xml:space="preserve"> </w:t>
      </w:r>
      <w:proofErr w:type="spellStart"/>
      <w:r>
        <w:t>Freiwirth</w:t>
      </w:r>
      <w:proofErr w:type="spellEnd"/>
      <w:r>
        <w:t>)</w:t>
      </w:r>
      <w:r>
        <w:tab/>
        <w:t xml:space="preserve">Тим </w:t>
      </w:r>
      <w:proofErr w:type="spellStart"/>
      <w:r>
        <w:t>Айки</w:t>
      </w:r>
      <w:proofErr w:type="spellEnd"/>
      <w:r>
        <w:t xml:space="preserve"> (</w:t>
      </w:r>
      <w:proofErr w:type="spellStart"/>
      <w:r>
        <w:t>Tim</w:t>
      </w:r>
      <w:proofErr w:type="spellEnd"/>
      <w:r>
        <w:t xml:space="preserve"> </w:t>
      </w:r>
      <w:proofErr w:type="spellStart"/>
      <w:r>
        <w:t>Eicke</w:t>
      </w:r>
      <w:proofErr w:type="spellEnd"/>
      <w:r>
        <w:t>)</w:t>
      </w:r>
      <w:r>
        <w:br/>
      </w:r>
      <w:r>
        <w:tab/>
        <w:t>Заместник-секретар</w:t>
      </w:r>
      <w:r>
        <w:tab/>
        <w:t>Председател</w:t>
      </w:r>
    </w:p>
    <w:p w:rsidR="00675AF2" w:rsidRPr="006C1B3A" w:rsidRDefault="00675AF2" w:rsidP="006C1B3A">
      <w:pPr>
        <w:pStyle w:val="JuPara"/>
      </w:pPr>
    </w:p>
    <w:p w:rsidR="00182EBA" w:rsidRPr="006C1B3A" w:rsidRDefault="00182EBA" w:rsidP="006C1B3A">
      <w:bookmarkStart w:id="3" w:name="_GoBack"/>
      <w:bookmarkEnd w:id="3"/>
    </w:p>
    <w:sectPr w:rsidR="00182EBA" w:rsidRPr="006C1B3A"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3AB" w:rsidRPr="00573BE3" w:rsidRDefault="000313AB" w:rsidP="0098410D">
      <w:r w:rsidRPr="00573BE3">
        <w:separator/>
      </w:r>
    </w:p>
  </w:endnote>
  <w:endnote w:type="continuationSeparator" w:id="0">
    <w:p w:rsidR="000313AB" w:rsidRPr="00573BE3" w:rsidRDefault="000313AB" w:rsidP="0098410D">
      <w:r w:rsidRPr="00573B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EC" w:rsidRDefault="00326EEC">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BE3" w:rsidRPr="00150BFA" w:rsidRDefault="00573BE3" w:rsidP="0020718E">
    <w:pPr>
      <w:jc w:val="center"/>
    </w:pPr>
    <w:r>
      <w:rPr>
        <w:noProof/>
        <w:lang w:eastAsia="bg-BG"/>
      </w:rPr>
      <w:drawing>
        <wp:inline distT="0" distB="0" distL="0" distR="0" wp14:anchorId="5A5E4295" wp14:editId="6D2D38AD">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573BE3" w:rsidRDefault="0098410D" w:rsidP="00AF12C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BE3" w:rsidRPr="00150BFA" w:rsidRDefault="00573BE3" w:rsidP="0020718E">
    <w:pPr>
      <w:jc w:val="center"/>
    </w:pPr>
    <w:r>
      <w:rPr>
        <w:noProof/>
        <w:lang w:eastAsia="bg-BG"/>
      </w:rPr>
      <w:drawing>
        <wp:inline distT="0" distB="0" distL="0" distR="0" wp14:anchorId="3253E80D" wp14:editId="57FA0E44">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E7A6F" w:rsidRPr="00573BE3" w:rsidRDefault="009E7A6F"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573BE3" w:rsidP="009A115C">
    <w:pPr>
      <w:pStyle w:val="JuHeader"/>
    </w:pPr>
    <w:r>
      <w:rPr>
        <w:rStyle w:val="PageNumber"/>
      </w:rPr>
      <w:fldChar w:fldCharType="begin"/>
    </w:r>
    <w:r>
      <w:rPr>
        <w:rStyle w:val="PageNumber"/>
      </w:rPr>
      <w:instrText xml:space="preserve"> PAGE </w:instrText>
    </w:r>
    <w:r>
      <w:rPr>
        <w:rStyle w:val="PageNumber"/>
      </w:rPr>
      <w:fldChar w:fldCharType="separate"/>
    </w:r>
    <w:r w:rsidR="00326EEC">
      <w:rPr>
        <w:rStyle w:val="PageNumber"/>
        <w:noProof/>
      </w:rPr>
      <w:t>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573BE3" w:rsidP="007D3701">
    <w:pPr>
      <w:pStyle w:val="JuHeader"/>
    </w:pPr>
    <w:r>
      <w:fldChar w:fldCharType="begin"/>
    </w:r>
    <w:r>
      <w:instrText xml:space="preserve"> PAGE </w:instrText>
    </w:r>
    <w:r>
      <w:fldChar w:fldCharType="separate"/>
    </w:r>
    <w:r w:rsidR="00326EE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3AB" w:rsidRPr="00573BE3" w:rsidRDefault="000313AB" w:rsidP="0098410D">
      <w:r w:rsidRPr="00573BE3">
        <w:separator/>
      </w:r>
    </w:p>
  </w:footnote>
  <w:footnote w:type="continuationSeparator" w:id="0">
    <w:p w:rsidR="000313AB" w:rsidRPr="00573BE3" w:rsidRDefault="000313AB" w:rsidP="0098410D">
      <w:r w:rsidRPr="00573B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EC" w:rsidRDefault="00326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BE3" w:rsidRPr="00A45145" w:rsidRDefault="00573BE3" w:rsidP="00A45145">
    <w:pPr>
      <w:jc w:val="center"/>
    </w:pPr>
    <w:r>
      <w:rPr>
        <w:noProof/>
        <w:lang w:eastAsia="bg-BG"/>
      </w:rPr>
      <w:drawing>
        <wp:inline distT="0" distB="0" distL="0" distR="0" wp14:anchorId="39FAADE7" wp14:editId="60EE455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573BE3" w:rsidRDefault="0098410D" w:rsidP="00B1479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BE3" w:rsidRPr="00A45145" w:rsidRDefault="00573BE3" w:rsidP="00A45145">
    <w:pPr>
      <w:jc w:val="center"/>
    </w:pPr>
    <w:r>
      <w:rPr>
        <w:noProof/>
        <w:lang w:eastAsia="bg-BG"/>
      </w:rPr>
      <w:drawing>
        <wp:inline distT="0" distB="0" distL="0" distR="0" wp14:anchorId="32ECD0FD" wp14:editId="421A3B06">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573BE3" w:rsidRDefault="009841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573BE3" w:rsidP="004D0EC7">
    <w:pPr>
      <w:pStyle w:val="JuHeader"/>
    </w:pPr>
    <w:r>
      <w:t>РЕШЕНИЕ БОЖИЛОВИ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573BE3" w:rsidP="007D3701">
    <w:pPr>
      <w:pStyle w:val="JuHeader"/>
    </w:pPr>
    <w:r>
      <w:t>РЕШЕНИЕ БОЖИЛОВИ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3"/>
  </w:num>
  <w:num w:numId="2">
    <w:abstractNumId w:val="9"/>
  </w:num>
  <w:num w:numId="3">
    <w:abstractNumId w:val="18"/>
  </w:num>
  <w:num w:numId="4">
    <w:abstractNumId w:val="14"/>
  </w:num>
  <w:num w:numId="5">
    <w:abstractNumId w:val="12"/>
  </w:num>
  <w:num w:numId="6">
    <w:abstractNumId w:val="11"/>
  </w:num>
  <w:num w:numId="7">
    <w:abstractNumId w:val="15"/>
  </w:num>
  <w:num w:numId="8">
    <w:abstractNumId w:val="13"/>
  </w:num>
  <w:num w:numId="9">
    <w:abstractNumId w:val="16"/>
  </w:num>
  <w:num w:numId="10">
    <w:abstractNumId w:val="15"/>
  </w:num>
  <w:num w:numId="11">
    <w:abstractNumId w:val="16"/>
  </w:num>
  <w:num w:numId="12">
    <w:abstractNumId w:val="10"/>
  </w:num>
  <w:num w:numId="13">
    <w:abstractNumId w:val="9"/>
  </w:num>
  <w:num w:numId="14">
    <w:abstractNumId w:val="17"/>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1"/>
    <w:docVar w:name="SignForeName" w:val="0"/>
    <w:docVar w:name="SndCaseNumber" w:val="Error!Nodocumentvariablesupplied."/>
  </w:docVars>
  <w:rsids>
    <w:rsidRoot w:val="00573BE3"/>
    <w:rsid w:val="000041F8"/>
    <w:rsid w:val="000042A8"/>
    <w:rsid w:val="00004308"/>
    <w:rsid w:val="00005BF0"/>
    <w:rsid w:val="0000617D"/>
    <w:rsid w:val="00007154"/>
    <w:rsid w:val="000103AE"/>
    <w:rsid w:val="00011D69"/>
    <w:rsid w:val="00012AD3"/>
    <w:rsid w:val="00015C2D"/>
    <w:rsid w:val="00015F00"/>
    <w:rsid w:val="00022C1D"/>
    <w:rsid w:val="000313AB"/>
    <w:rsid w:val="00031428"/>
    <w:rsid w:val="00034987"/>
    <w:rsid w:val="00041560"/>
    <w:rsid w:val="000602DF"/>
    <w:rsid w:val="00061B05"/>
    <w:rsid w:val="000632D5"/>
    <w:rsid w:val="000644EE"/>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62A12"/>
    <w:rsid w:val="00166530"/>
    <w:rsid w:val="00170027"/>
    <w:rsid w:val="00182EBA"/>
    <w:rsid w:val="001832BD"/>
    <w:rsid w:val="001943B5"/>
    <w:rsid w:val="00195134"/>
    <w:rsid w:val="001A020C"/>
    <w:rsid w:val="001A145B"/>
    <w:rsid w:val="001A3E09"/>
    <w:rsid w:val="001A674C"/>
    <w:rsid w:val="001B0144"/>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4189"/>
    <w:rsid w:val="002A613A"/>
    <w:rsid w:val="002A61B1"/>
    <w:rsid w:val="002A663C"/>
    <w:rsid w:val="002B444B"/>
    <w:rsid w:val="002B5887"/>
    <w:rsid w:val="002C0E27"/>
    <w:rsid w:val="002C3040"/>
    <w:rsid w:val="002C4433"/>
    <w:rsid w:val="002C5ADD"/>
    <w:rsid w:val="002C7826"/>
    <w:rsid w:val="002D022D"/>
    <w:rsid w:val="002D15B7"/>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132A7"/>
    <w:rsid w:val="003201D8"/>
    <w:rsid w:val="00320F72"/>
    <w:rsid w:val="0032463E"/>
    <w:rsid w:val="00326224"/>
    <w:rsid w:val="00326EEC"/>
    <w:rsid w:val="00337EE4"/>
    <w:rsid w:val="00340FFD"/>
    <w:rsid w:val="00345C41"/>
    <w:rsid w:val="003506B1"/>
    <w:rsid w:val="00355877"/>
    <w:rsid w:val="00356AC7"/>
    <w:rsid w:val="003609FA"/>
    <w:rsid w:val="003710C8"/>
    <w:rsid w:val="003750BE"/>
    <w:rsid w:val="003753B8"/>
    <w:rsid w:val="00385A36"/>
    <w:rsid w:val="00385F3D"/>
    <w:rsid w:val="0038740C"/>
    <w:rsid w:val="00387B9D"/>
    <w:rsid w:val="00387C70"/>
    <w:rsid w:val="00390294"/>
    <w:rsid w:val="00390F72"/>
    <w:rsid w:val="0039364F"/>
    <w:rsid w:val="00396686"/>
    <w:rsid w:val="0039778E"/>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178F9"/>
    <w:rsid w:val="00420703"/>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73BE3"/>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151E"/>
    <w:rsid w:val="00643524"/>
    <w:rsid w:val="0064393B"/>
    <w:rsid w:val="00645CF2"/>
    <w:rsid w:val="0065199E"/>
    <w:rsid w:val="006545C4"/>
    <w:rsid w:val="006575BA"/>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5D3A"/>
    <w:rsid w:val="006B1942"/>
    <w:rsid w:val="006C1B3A"/>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566E"/>
    <w:rsid w:val="00763602"/>
    <w:rsid w:val="00764D4E"/>
    <w:rsid w:val="00765A1F"/>
    <w:rsid w:val="00775B6D"/>
    <w:rsid w:val="00776D68"/>
    <w:rsid w:val="0078323E"/>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0069"/>
    <w:rsid w:val="007E21B2"/>
    <w:rsid w:val="007E2C4E"/>
    <w:rsid w:val="007E2C8C"/>
    <w:rsid w:val="007E51BA"/>
    <w:rsid w:val="007E73D7"/>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39FD"/>
    <w:rsid w:val="0086497A"/>
    <w:rsid w:val="008654C8"/>
    <w:rsid w:val="00867066"/>
    <w:rsid w:val="008713A1"/>
    <w:rsid w:val="00872584"/>
    <w:rsid w:val="008754AB"/>
    <w:rsid w:val="0088060C"/>
    <w:rsid w:val="00882CD5"/>
    <w:rsid w:val="00883151"/>
    <w:rsid w:val="00893576"/>
    <w:rsid w:val="00893E73"/>
    <w:rsid w:val="008B02DC"/>
    <w:rsid w:val="008B092C"/>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6304"/>
    <w:rsid w:val="009A7FC1"/>
    <w:rsid w:val="009B1606"/>
    <w:rsid w:val="009B1B5F"/>
    <w:rsid w:val="009B6673"/>
    <w:rsid w:val="009C191B"/>
    <w:rsid w:val="009C2BD6"/>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4193"/>
    <w:rsid w:val="00A51D0F"/>
    <w:rsid w:val="00A54192"/>
    <w:rsid w:val="00A57147"/>
    <w:rsid w:val="00A6035E"/>
    <w:rsid w:val="00A6144C"/>
    <w:rsid w:val="00A66617"/>
    <w:rsid w:val="00A671F8"/>
    <w:rsid w:val="00A673A4"/>
    <w:rsid w:val="00A724AE"/>
    <w:rsid w:val="00A73329"/>
    <w:rsid w:val="00A82359"/>
    <w:rsid w:val="00A865D2"/>
    <w:rsid w:val="00A90BCD"/>
    <w:rsid w:val="00A94C20"/>
    <w:rsid w:val="00AA1B09"/>
    <w:rsid w:val="00AA227F"/>
    <w:rsid w:val="00AA3BC7"/>
    <w:rsid w:val="00AA754A"/>
    <w:rsid w:val="00AB099E"/>
    <w:rsid w:val="00AB4328"/>
    <w:rsid w:val="00AC4CD4"/>
    <w:rsid w:val="00AE0A2E"/>
    <w:rsid w:val="00AE354C"/>
    <w:rsid w:val="00AF4B07"/>
    <w:rsid w:val="00AF6186"/>
    <w:rsid w:val="00AF7A3A"/>
    <w:rsid w:val="00B02587"/>
    <w:rsid w:val="00B049D1"/>
    <w:rsid w:val="00B160DB"/>
    <w:rsid w:val="00B20836"/>
    <w:rsid w:val="00B235BB"/>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70641"/>
    <w:rsid w:val="00D74888"/>
    <w:rsid w:val="00D7488B"/>
    <w:rsid w:val="00D75E28"/>
    <w:rsid w:val="00D772C2"/>
    <w:rsid w:val="00D8008E"/>
    <w:rsid w:val="00D82C45"/>
    <w:rsid w:val="00D908A8"/>
    <w:rsid w:val="00D977B6"/>
    <w:rsid w:val="00DA1223"/>
    <w:rsid w:val="00DA4A31"/>
    <w:rsid w:val="00DA7B04"/>
    <w:rsid w:val="00DB36C2"/>
    <w:rsid w:val="00DC169B"/>
    <w:rsid w:val="00DC2AB9"/>
    <w:rsid w:val="00DC63F0"/>
    <w:rsid w:val="00DD37EA"/>
    <w:rsid w:val="00DD6EE5"/>
    <w:rsid w:val="00DE386C"/>
    <w:rsid w:val="00DE44D9"/>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60D99"/>
    <w:rsid w:val="00E63EC7"/>
    <w:rsid w:val="00E64915"/>
    <w:rsid w:val="00E64D3A"/>
    <w:rsid w:val="00E661D4"/>
    <w:rsid w:val="00E67565"/>
    <w:rsid w:val="00E70091"/>
    <w:rsid w:val="00E70D2E"/>
    <w:rsid w:val="00E720F5"/>
    <w:rsid w:val="00E76D47"/>
    <w:rsid w:val="00E827BC"/>
    <w:rsid w:val="00E849F7"/>
    <w:rsid w:val="00E90302"/>
    <w:rsid w:val="00E91D05"/>
    <w:rsid w:val="00E9262D"/>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C1B3A"/>
    <w:rPr>
      <w:sz w:val="24"/>
      <w:szCs w:val="24"/>
    </w:rPr>
  </w:style>
  <w:style w:type="paragraph" w:styleId="Heading1">
    <w:name w:val="heading 1"/>
    <w:basedOn w:val="Normal"/>
    <w:next w:val="Normal"/>
    <w:link w:val="Heading1Char"/>
    <w:uiPriority w:val="98"/>
    <w:semiHidden/>
    <w:rsid w:val="006C1B3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6C1B3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6C1B3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6C1B3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6C1B3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6C1B3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6C1B3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6C1B3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6C1B3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6C1B3A"/>
    <w:rPr>
      <w:rFonts w:ascii="Tahoma" w:hAnsi="Tahoma" w:cs="Tahoma"/>
      <w:sz w:val="16"/>
      <w:szCs w:val="16"/>
    </w:rPr>
  </w:style>
  <w:style w:type="character" w:customStyle="1" w:styleId="BalloonTextChar">
    <w:name w:val="Balloon Text Char"/>
    <w:basedOn w:val="DefaultParagraphFont"/>
    <w:link w:val="BalloonText"/>
    <w:uiPriority w:val="98"/>
    <w:semiHidden/>
    <w:rsid w:val="006C1B3A"/>
    <w:rPr>
      <w:rFonts w:ascii="Tahoma" w:hAnsi="Tahoma" w:cs="Tahoma"/>
      <w:sz w:val="16"/>
      <w:szCs w:val="16"/>
      <w:lang w:val="bg-BG"/>
    </w:rPr>
  </w:style>
  <w:style w:type="character" w:styleId="BookTitle">
    <w:name w:val="Book Title"/>
    <w:uiPriority w:val="98"/>
    <w:semiHidden/>
    <w:qFormat/>
    <w:rsid w:val="006C1B3A"/>
    <w:rPr>
      <w:i/>
      <w:iCs/>
      <w:smallCaps/>
      <w:spacing w:val="5"/>
    </w:rPr>
  </w:style>
  <w:style w:type="paragraph" w:customStyle="1" w:styleId="JuHeader">
    <w:name w:val="Ju_Header"/>
    <w:aliases w:val="_Header"/>
    <w:basedOn w:val="Header"/>
    <w:uiPriority w:val="29"/>
    <w:qFormat/>
    <w:rsid w:val="006C1B3A"/>
    <w:pPr>
      <w:tabs>
        <w:tab w:val="clear" w:pos="4536"/>
        <w:tab w:val="clear" w:pos="9072"/>
      </w:tabs>
      <w:jc w:val="center"/>
    </w:pPr>
    <w:rPr>
      <w:sz w:val="18"/>
    </w:rPr>
  </w:style>
  <w:style w:type="paragraph" w:customStyle="1" w:styleId="NormalJustified">
    <w:name w:val="Normal_Justified"/>
    <w:basedOn w:val="Normal"/>
    <w:semiHidden/>
    <w:rsid w:val="006C1B3A"/>
    <w:pPr>
      <w:jc w:val="both"/>
    </w:pPr>
  </w:style>
  <w:style w:type="character" w:styleId="Strong">
    <w:name w:val="Strong"/>
    <w:uiPriority w:val="98"/>
    <w:semiHidden/>
    <w:qFormat/>
    <w:rsid w:val="006C1B3A"/>
    <w:rPr>
      <w:b/>
      <w:bCs/>
    </w:rPr>
  </w:style>
  <w:style w:type="paragraph" w:styleId="NoSpacing">
    <w:name w:val="No Spacing"/>
    <w:basedOn w:val="Normal"/>
    <w:link w:val="NoSpacingChar"/>
    <w:uiPriority w:val="98"/>
    <w:semiHidden/>
    <w:qFormat/>
    <w:rsid w:val="006C1B3A"/>
  </w:style>
  <w:style w:type="character" w:customStyle="1" w:styleId="NoSpacingChar">
    <w:name w:val="No Spacing Char"/>
    <w:basedOn w:val="DefaultParagraphFont"/>
    <w:link w:val="NoSpacing"/>
    <w:uiPriority w:val="98"/>
    <w:semiHidden/>
    <w:rsid w:val="006C1B3A"/>
    <w:rPr>
      <w:sz w:val="24"/>
      <w:szCs w:val="24"/>
      <w:lang w:val="bg-BG"/>
    </w:rPr>
  </w:style>
  <w:style w:type="paragraph" w:customStyle="1" w:styleId="JuQuot">
    <w:name w:val="Ju_Quot"/>
    <w:aliases w:val="_Quote"/>
    <w:basedOn w:val="NormalJustified"/>
    <w:uiPriority w:val="20"/>
    <w:qFormat/>
    <w:rsid w:val="006C1B3A"/>
    <w:pPr>
      <w:spacing w:before="120" w:after="120"/>
      <w:ind w:left="425" w:firstLine="142"/>
    </w:pPr>
    <w:rPr>
      <w:sz w:val="20"/>
    </w:rPr>
  </w:style>
  <w:style w:type="paragraph" w:customStyle="1" w:styleId="DummyStyle">
    <w:name w:val="Dummy_Style"/>
    <w:aliases w:val="_Dummy"/>
    <w:basedOn w:val="Normal"/>
    <w:semiHidden/>
    <w:qFormat/>
    <w:rsid w:val="006C1B3A"/>
    <w:rPr>
      <w:color w:val="00B050"/>
      <w:sz w:val="22"/>
    </w:rPr>
  </w:style>
  <w:style w:type="paragraph" w:customStyle="1" w:styleId="JuList">
    <w:name w:val="Ju_List"/>
    <w:aliases w:val="_List_1"/>
    <w:basedOn w:val="NormalJustified"/>
    <w:uiPriority w:val="23"/>
    <w:qFormat/>
    <w:rsid w:val="006C1B3A"/>
    <w:pPr>
      <w:numPr>
        <w:numId w:val="13"/>
      </w:numPr>
      <w:spacing w:before="280" w:after="60"/>
    </w:pPr>
  </w:style>
  <w:style w:type="paragraph" w:customStyle="1" w:styleId="JuLista">
    <w:name w:val="Ju_List_a"/>
    <w:aliases w:val="_List_2"/>
    <w:basedOn w:val="NormalJustified"/>
    <w:uiPriority w:val="23"/>
    <w:rsid w:val="006C1B3A"/>
    <w:pPr>
      <w:numPr>
        <w:ilvl w:val="1"/>
        <w:numId w:val="13"/>
      </w:numPr>
    </w:pPr>
  </w:style>
  <w:style w:type="paragraph" w:customStyle="1" w:styleId="JuListi">
    <w:name w:val="Ju_List_i"/>
    <w:aliases w:val="_List_3"/>
    <w:basedOn w:val="NormalJustified"/>
    <w:uiPriority w:val="23"/>
    <w:rsid w:val="006C1B3A"/>
    <w:pPr>
      <w:numPr>
        <w:ilvl w:val="2"/>
        <w:numId w:val="13"/>
      </w:numPr>
    </w:pPr>
  </w:style>
  <w:style w:type="paragraph" w:customStyle="1" w:styleId="JuHArticle">
    <w:name w:val="Ju_H_Article"/>
    <w:aliases w:val="_Title_Quote"/>
    <w:basedOn w:val="Normal"/>
    <w:next w:val="JuQuot"/>
    <w:uiPriority w:val="19"/>
    <w:qFormat/>
    <w:rsid w:val="006C1B3A"/>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6C1B3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6C1B3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6C1B3A"/>
    <w:pPr>
      <w:keepNext/>
      <w:keepLines/>
      <w:numPr>
        <w:numId w:val="12"/>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6C1B3A"/>
    <w:pPr>
      <w:numPr>
        <w:numId w:val="7"/>
      </w:numPr>
    </w:pPr>
  </w:style>
  <w:style w:type="paragraph" w:customStyle="1" w:styleId="JuSigned">
    <w:name w:val="Ju_Signed"/>
    <w:aliases w:val="_Signature"/>
    <w:basedOn w:val="Normal"/>
    <w:next w:val="JuPara"/>
    <w:uiPriority w:val="31"/>
    <w:qFormat/>
    <w:rsid w:val="006C1B3A"/>
    <w:pPr>
      <w:tabs>
        <w:tab w:val="center" w:pos="1418"/>
        <w:tab w:val="center" w:pos="5954"/>
      </w:tabs>
      <w:spacing w:before="720"/>
    </w:pPr>
  </w:style>
  <w:style w:type="paragraph" w:styleId="Title">
    <w:name w:val="Title"/>
    <w:basedOn w:val="Normal"/>
    <w:next w:val="Normal"/>
    <w:link w:val="TitleChar"/>
    <w:uiPriority w:val="98"/>
    <w:semiHidden/>
    <w:qFormat/>
    <w:rsid w:val="006C1B3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6C1B3A"/>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6C1B3A"/>
    <w:pPr>
      <w:numPr>
        <w:numId w:val="1"/>
      </w:numPr>
    </w:pPr>
  </w:style>
  <w:style w:type="numbering" w:customStyle="1" w:styleId="ECHRA1StyleNumberedList">
    <w:name w:val="ECHR_A1_Style_Numbered_List"/>
    <w:basedOn w:val="NoList"/>
    <w:rsid w:val="006C1B3A"/>
    <w:pPr>
      <w:numPr>
        <w:numId w:val="9"/>
      </w:numPr>
    </w:pPr>
  </w:style>
  <w:style w:type="table" w:customStyle="1" w:styleId="ECHRTable2019">
    <w:name w:val="ECHR_Table_2019"/>
    <w:basedOn w:val="TableNormal"/>
    <w:uiPriority w:val="99"/>
    <w:rsid w:val="006C1B3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6C1B3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6C1B3A"/>
    <w:pPr>
      <w:keepNext/>
      <w:keepLines/>
      <w:numPr>
        <w:ilvl w:val="1"/>
        <w:numId w:val="1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6C1B3A"/>
    <w:pPr>
      <w:keepNext/>
      <w:keepLines/>
      <w:numPr>
        <w:ilvl w:val="2"/>
        <w:numId w:val="1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6C1B3A"/>
    <w:pPr>
      <w:keepNext/>
      <w:keepLines/>
      <w:numPr>
        <w:ilvl w:val="3"/>
        <w:numId w:val="12"/>
      </w:numPr>
      <w:spacing w:before="100" w:beforeAutospacing="1" w:after="120"/>
      <w:jc w:val="both"/>
    </w:pPr>
    <w:rPr>
      <w:b w:val="0"/>
      <w:color w:val="auto"/>
      <w:sz w:val="24"/>
    </w:rPr>
  </w:style>
  <w:style w:type="paragraph" w:styleId="Header">
    <w:name w:val="header"/>
    <w:basedOn w:val="Normal"/>
    <w:link w:val="HeaderChar"/>
    <w:uiPriority w:val="98"/>
    <w:semiHidden/>
    <w:rsid w:val="006C1B3A"/>
    <w:pPr>
      <w:tabs>
        <w:tab w:val="center" w:pos="4536"/>
        <w:tab w:val="right" w:pos="9072"/>
      </w:tabs>
    </w:pPr>
  </w:style>
  <w:style w:type="character" w:customStyle="1" w:styleId="HeaderChar">
    <w:name w:val="Header Char"/>
    <w:basedOn w:val="DefaultParagraphFont"/>
    <w:link w:val="Header"/>
    <w:uiPriority w:val="98"/>
    <w:semiHidden/>
    <w:rsid w:val="006C1B3A"/>
    <w:rPr>
      <w:sz w:val="24"/>
      <w:szCs w:val="24"/>
      <w:lang w:val="bg-BG"/>
    </w:rPr>
  </w:style>
  <w:style w:type="character" w:customStyle="1" w:styleId="Heading1Char">
    <w:name w:val="Heading 1 Char"/>
    <w:basedOn w:val="DefaultParagraphFont"/>
    <w:link w:val="Heading1"/>
    <w:uiPriority w:val="98"/>
    <w:semiHidden/>
    <w:rsid w:val="006C1B3A"/>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6C1B3A"/>
    <w:pPr>
      <w:keepNext/>
      <w:keepLines/>
      <w:numPr>
        <w:ilvl w:val="4"/>
        <w:numId w:val="12"/>
      </w:numPr>
      <w:spacing w:before="100" w:beforeAutospacing="1" w:after="120"/>
      <w:jc w:val="both"/>
    </w:pPr>
    <w:rPr>
      <w:color w:val="auto"/>
      <w:sz w:val="20"/>
    </w:rPr>
  </w:style>
  <w:style w:type="paragraph" w:customStyle="1" w:styleId="JuHi">
    <w:name w:val="Ju_H_i"/>
    <w:aliases w:val="_Head_6"/>
    <w:basedOn w:val="Heading6"/>
    <w:next w:val="JuPara"/>
    <w:uiPriority w:val="17"/>
    <w:rsid w:val="006C1B3A"/>
    <w:pPr>
      <w:keepNext/>
      <w:keepLines/>
      <w:numPr>
        <w:ilvl w:val="5"/>
        <w:numId w:val="1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6C1B3A"/>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6C1B3A"/>
    <w:pPr>
      <w:keepNext/>
      <w:keepLines/>
      <w:numPr>
        <w:ilvl w:val="6"/>
        <w:numId w:val="1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6C1B3A"/>
    <w:pPr>
      <w:keepNext/>
      <w:keepLines/>
      <w:numPr>
        <w:ilvl w:val="7"/>
        <w:numId w:val="12"/>
      </w:numPr>
      <w:spacing w:before="100" w:beforeAutospacing="1" w:after="120"/>
      <w:jc w:val="both"/>
    </w:pPr>
    <w:rPr>
      <w:i/>
    </w:rPr>
  </w:style>
  <w:style w:type="character" w:customStyle="1" w:styleId="Heading3Char">
    <w:name w:val="Heading 3 Char"/>
    <w:basedOn w:val="DefaultParagraphFont"/>
    <w:link w:val="Heading3"/>
    <w:uiPriority w:val="98"/>
    <w:semiHidden/>
    <w:rsid w:val="006C1B3A"/>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6C1B3A"/>
    <w:pPr>
      <w:keepNext/>
      <w:keepLines/>
      <w:spacing w:before="240" w:after="240"/>
      <w:ind w:firstLine="284"/>
    </w:pPr>
  </w:style>
  <w:style w:type="paragraph" w:customStyle="1" w:styleId="JuJudges">
    <w:name w:val="Ju_Judges"/>
    <w:aliases w:val="_Judges"/>
    <w:basedOn w:val="Normal"/>
    <w:uiPriority w:val="32"/>
    <w:qFormat/>
    <w:rsid w:val="006C1B3A"/>
    <w:pPr>
      <w:tabs>
        <w:tab w:val="left" w:pos="567"/>
        <w:tab w:val="left" w:pos="1134"/>
      </w:tabs>
    </w:pPr>
  </w:style>
  <w:style w:type="character" w:customStyle="1" w:styleId="Heading4Char">
    <w:name w:val="Heading 4 Char"/>
    <w:basedOn w:val="DefaultParagraphFont"/>
    <w:link w:val="Heading4"/>
    <w:uiPriority w:val="98"/>
    <w:semiHidden/>
    <w:rsid w:val="006C1B3A"/>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6C1B3A"/>
    <w:pPr>
      <w:tabs>
        <w:tab w:val="center" w:pos="6407"/>
      </w:tabs>
      <w:spacing w:before="720"/>
      <w:jc w:val="right"/>
    </w:pPr>
  </w:style>
  <w:style w:type="character" w:customStyle="1" w:styleId="Heading5Char">
    <w:name w:val="Heading 5 Char"/>
    <w:basedOn w:val="DefaultParagraphFont"/>
    <w:link w:val="Heading5"/>
    <w:uiPriority w:val="98"/>
    <w:semiHidden/>
    <w:rsid w:val="006C1B3A"/>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6C1B3A"/>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6C1B3A"/>
    <w:rPr>
      <w:caps w:val="0"/>
      <w:smallCaps/>
    </w:rPr>
  </w:style>
  <w:style w:type="character" w:styleId="SubtleEmphasis">
    <w:name w:val="Subtle Emphasis"/>
    <w:uiPriority w:val="98"/>
    <w:semiHidden/>
    <w:qFormat/>
    <w:rsid w:val="006C1B3A"/>
    <w:rPr>
      <w:i/>
      <w:iCs/>
    </w:rPr>
  </w:style>
  <w:style w:type="table" w:customStyle="1" w:styleId="ECHRTable">
    <w:name w:val="ECHR_Table"/>
    <w:basedOn w:val="TableNormal"/>
    <w:rsid w:val="006C1B3A"/>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6C1B3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6C1B3A"/>
    <w:rPr>
      <w:b/>
      <w:bCs/>
      <w:i/>
      <w:iCs/>
      <w:spacing w:val="10"/>
      <w:bdr w:val="none" w:sz="0" w:space="0" w:color="auto"/>
      <w:shd w:val="clear" w:color="auto" w:fill="auto"/>
    </w:rPr>
  </w:style>
  <w:style w:type="paragraph" w:styleId="Footer0">
    <w:name w:val="footer"/>
    <w:basedOn w:val="Normal"/>
    <w:link w:val="FooterChar"/>
    <w:uiPriority w:val="98"/>
    <w:semiHidden/>
    <w:rsid w:val="006C1B3A"/>
    <w:pPr>
      <w:tabs>
        <w:tab w:val="center" w:pos="3686"/>
        <w:tab w:val="right" w:pos="7371"/>
      </w:tabs>
    </w:pPr>
  </w:style>
  <w:style w:type="character" w:customStyle="1" w:styleId="FooterChar">
    <w:name w:val="Footer Char"/>
    <w:basedOn w:val="DefaultParagraphFont"/>
    <w:link w:val="Footer0"/>
    <w:uiPriority w:val="98"/>
    <w:semiHidden/>
    <w:rsid w:val="006C1B3A"/>
    <w:rPr>
      <w:sz w:val="24"/>
      <w:szCs w:val="24"/>
      <w:lang w:val="bg-BG"/>
    </w:rPr>
  </w:style>
  <w:style w:type="character" w:styleId="FootnoteReference">
    <w:name w:val="footnote reference"/>
    <w:basedOn w:val="DefaultParagraphFont"/>
    <w:uiPriority w:val="98"/>
    <w:semiHidden/>
    <w:rsid w:val="006C1B3A"/>
    <w:rPr>
      <w:vertAlign w:val="superscript"/>
    </w:rPr>
  </w:style>
  <w:style w:type="paragraph" w:styleId="FootnoteText">
    <w:name w:val="footnote text"/>
    <w:basedOn w:val="NormalJustified"/>
    <w:link w:val="FootnoteTextChar"/>
    <w:uiPriority w:val="98"/>
    <w:semiHidden/>
    <w:rsid w:val="006C1B3A"/>
    <w:rPr>
      <w:sz w:val="20"/>
      <w:szCs w:val="20"/>
    </w:rPr>
  </w:style>
  <w:style w:type="character" w:customStyle="1" w:styleId="FootnoteTextChar">
    <w:name w:val="Footnote Text Char"/>
    <w:basedOn w:val="DefaultParagraphFont"/>
    <w:link w:val="FootnoteText"/>
    <w:uiPriority w:val="98"/>
    <w:semiHidden/>
    <w:rsid w:val="006C1B3A"/>
    <w:rPr>
      <w:sz w:val="20"/>
      <w:szCs w:val="20"/>
      <w:lang w:val="bg-BG"/>
    </w:rPr>
  </w:style>
  <w:style w:type="character" w:customStyle="1" w:styleId="Heading6Char">
    <w:name w:val="Heading 6 Char"/>
    <w:basedOn w:val="DefaultParagraphFont"/>
    <w:link w:val="Heading6"/>
    <w:uiPriority w:val="98"/>
    <w:semiHidden/>
    <w:rsid w:val="006C1B3A"/>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6C1B3A"/>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6C1B3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6C1B3A"/>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6C1B3A"/>
    <w:rPr>
      <w:color w:val="0072BC" w:themeColor="hyperlink"/>
      <w:u w:val="single"/>
    </w:rPr>
  </w:style>
  <w:style w:type="character" w:styleId="IntenseEmphasis">
    <w:name w:val="Intense Emphasis"/>
    <w:uiPriority w:val="98"/>
    <w:semiHidden/>
    <w:qFormat/>
    <w:rsid w:val="006C1B3A"/>
    <w:rPr>
      <w:b/>
      <w:bCs/>
    </w:rPr>
  </w:style>
  <w:style w:type="paragraph" w:styleId="IntenseQuote">
    <w:name w:val="Intense Quote"/>
    <w:basedOn w:val="Normal"/>
    <w:next w:val="Normal"/>
    <w:link w:val="IntenseQuoteChar"/>
    <w:uiPriority w:val="98"/>
    <w:semiHidden/>
    <w:qFormat/>
    <w:rsid w:val="006C1B3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6C1B3A"/>
    <w:rPr>
      <w:b/>
      <w:bCs/>
      <w:i/>
      <w:iCs/>
      <w:sz w:val="24"/>
      <w:szCs w:val="24"/>
      <w:lang w:val="bg-BG" w:bidi="en-US"/>
    </w:rPr>
  </w:style>
  <w:style w:type="character" w:styleId="IntenseReference">
    <w:name w:val="Intense Reference"/>
    <w:uiPriority w:val="98"/>
    <w:semiHidden/>
    <w:qFormat/>
    <w:rsid w:val="006C1B3A"/>
    <w:rPr>
      <w:smallCaps/>
      <w:spacing w:val="5"/>
      <w:u w:val="single"/>
    </w:rPr>
  </w:style>
  <w:style w:type="paragraph" w:styleId="ListParagraph">
    <w:name w:val="List Paragraph"/>
    <w:basedOn w:val="Normal"/>
    <w:uiPriority w:val="98"/>
    <w:semiHidden/>
    <w:qFormat/>
    <w:rsid w:val="006C1B3A"/>
    <w:pPr>
      <w:ind w:left="720"/>
      <w:contextualSpacing/>
    </w:pPr>
  </w:style>
  <w:style w:type="table" w:customStyle="1" w:styleId="LtrTableAddress">
    <w:name w:val="Ltr_Table_Address"/>
    <w:aliases w:val="ECHR_Ltr_Table_Address"/>
    <w:basedOn w:val="TableNormal"/>
    <w:uiPriority w:val="99"/>
    <w:rsid w:val="006C1B3A"/>
    <w:rPr>
      <w:sz w:val="24"/>
      <w:szCs w:val="24"/>
    </w:rPr>
    <w:tblPr>
      <w:tblInd w:w="5103" w:type="dxa"/>
    </w:tblPr>
  </w:style>
  <w:style w:type="paragraph" w:styleId="Quote">
    <w:name w:val="Quote"/>
    <w:basedOn w:val="Normal"/>
    <w:next w:val="Normal"/>
    <w:link w:val="QuoteChar"/>
    <w:uiPriority w:val="98"/>
    <w:semiHidden/>
    <w:qFormat/>
    <w:rsid w:val="006C1B3A"/>
    <w:pPr>
      <w:spacing w:before="200"/>
      <w:ind w:left="360" w:right="360"/>
    </w:pPr>
    <w:rPr>
      <w:i/>
      <w:iCs/>
      <w:lang w:bidi="en-US"/>
    </w:rPr>
  </w:style>
  <w:style w:type="character" w:customStyle="1" w:styleId="QuoteChar">
    <w:name w:val="Quote Char"/>
    <w:basedOn w:val="DefaultParagraphFont"/>
    <w:link w:val="Quote"/>
    <w:uiPriority w:val="98"/>
    <w:semiHidden/>
    <w:rsid w:val="006C1B3A"/>
    <w:rPr>
      <w:i/>
      <w:iCs/>
      <w:sz w:val="24"/>
      <w:szCs w:val="24"/>
      <w:lang w:val="bg-BG" w:bidi="en-US"/>
    </w:rPr>
  </w:style>
  <w:style w:type="character" w:styleId="SubtleReference">
    <w:name w:val="Subtle Reference"/>
    <w:uiPriority w:val="98"/>
    <w:semiHidden/>
    <w:qFormat/>
    <w:rsid w:val="006C1B3A"/>
    <w:rPr>
      <w:smallCaps/>
    </w:rPr>
  </w:style>
  <w:style w:type="table" w:styleId="TableGrid">
    <w:name w:val="Table Grid"/>
    <w:basedOn w:val="TableNormal"/>
    <w:uiPriority w:val="59"/>
    <w:semiHidden/>
    <w:rsid w:val="006C1B3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6C1B3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6C1B3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6C1B3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6C1B3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6C1B3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6C1B3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6C1B3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6C1B3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6C1B3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6C1B3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6C1B3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6C1B3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6C1B3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6C1B3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6C1B3A"/>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6C1B3A"/>
    <w:pPr>
      <w:numPr>
        <w:numId w:val="4"/>
      </w:numPr>
    </w:pPr>
  </w:style>
  <w:style w:type="paragraph" w:customStyle="1" w:styleId="JuPara">
    <w:name w:val="Ju_Para"/>
    <w:aliases w:val="_Para"/>
    <w:basedOn w:val="NormalJustified"/>
    <w:link w:val="JuParaChar"/>
    <w:uiPriority w:val="4"/>
    <w:qFormat/>
    <w:rsid w:val="006C1B3A"/>
    <w:pPr>
      <w:ind w:firstLine="284"/>
    </w:pPr>
  </w:style>
  <w:style w:type="numbering" w:styleId="1ai">
    <w:name w:val="Outline List 1"/>
    <w:basedOn w:val="NoList"/>
    <w:uiPriority w:val="99"/>
    <w:semiHidden/>
    <w:unhideWhenUsed/>
    <w:rsid w:val="006C1B3A"/>
    <w:pPr>
      <w:numPr>
        <w:numId w:val="5"/>
      </w:numPr>
    </w:pPr>
  </w:style>
  <w:style w:type="table" w:customStyle="1" w:styleId="ECHRTableSimpleBox">
    <w:name w:val="ECHR_Table_Simple_Box"/>
    <w:basedOn w:val="TableNormal"/>
    <w:uiPriority w:val="99"/>
    <w:rsid w:val="006C1B3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6C1B3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6C1B3A"/>
    <w:pPr>
      <w:numPr>
        <w:numId w:val="6"/>
      </w:numPr>
    </w:pPr>
  </w:style>
  <w:style w:type="table" w:customStyle="1" w:styleId="ECHRTableForInternalUse">
    <w:name w:val="ECHR_Table_For_Internal_Use"/>
    <w:basedOn w:val="TableNormal"/>
    <w:uiPriority w:val="99"/>
    <w:rsid w:val="006C1B3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6C1B3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6C1B3A"/>
  </w:style>
  <w:style w:type="paragraph" w:styleId="BlockText">
    <w:name w:val="Block Text"/>
    <w:basedOn w:val="Normal"/>
    <w:uiPriority w:val="98"/>
    <w:semiHidden/>
    <w:rsid w:val="006C1B3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C1B3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6C1B3A"/>
    <w:pPr>
      <w:spacing w:after="120"/>
    </w:pPr>
  </w:style>
  <w:style w:type="character" w:customStyle="1" w:styleId="BodyTextChar">
    <w:name w:val="Body Text Char"/>
    <w:basedOn w:val="DefaultParagraphFont"/>
    <w:link w:val="BodyText"/>
    <w:uiPriority w:val="98"/>
    <w:semiHidden/>
    <w:rsid w:val="006C1B3A"/>
    <w:rPr>
      <w:sz w:val="24"/>
      <w:szCs w:val="24"/>
      <w:lang w:val="bg-BG"/>
    </w:rPr>
  </w:style>
  <w:style w:type="table" w:customStyle="1" w:styleId="ECHRTableOddBanded">
    <w:name w:val="ECHR_Table_Odd_Banded"/>
    <w:basedOn w:val="TableNormal"/>
    <w:uiPriority w:val="99"/>
    <w:rsid w:val="006C1B3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6C1B3A"/>
    <w:pPr>
      <w:spacing w:after="120" w:line="480" w:lineRule="auto"/>
    </w:pPr>
  </w:style>
  <w:style w:type="table" w:customStyle="1" w:styleId="ECHRHeaderTableReduced">
    <w:name w:val="ECHR_Header_Table_Reduced"/>
    <w:basedOn w:val="TableNormal"/>
    <w:uiPriority w:val="99"/>
    <w:rsid w:val="006C1B3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6C1B3A"/>
    <w:pPr>
      <w:ind w:firstLine="284"/>
    </w:pPr>
    <w:rPr>
      <w:b/>
    </w:rPr>
  </w:style>
  <w:style w:type="character" w:styleId="PageNumber">
    <w:name w:val="page number"/>
    <w:uiPriority w:val="98"/>
    <w:semiHidden/>
    <w:rsid w:val="006C1B3A"/>
    <w:rPr>
      <w:sz w:val="18"/>
    </w:rPr>
  </w:style>
  <w:style w:type="paragraph" w:styleId="ListBullet">
    <w:name w:val="List Bullet"/>
    <w:basedOn w:val="Normal"/>
    <w:uiPriority w:val="98"/>
    <w:semiHidden/>
    <w:rsid w:val="006C1B3A"/>
    <w:pPr>
      <w:numPr>
        <w:numId w:val="14"/>
      </w:numPr>
    </w:pPr>
  </w:style>
  <w:style w:type="paragraph" w:styleId="ListBullet3">
    <w:name w:val="List Bullet 3"/>
    <w:basedOn w:val="Normal"/>
    <w:uiPriority w:val="98"/>
    <w:semiHidden/>
    <w:rsid w:val="006C1B3A"/>
    <w:pPr>
      <w:numPr>
        <w:numId w:val="16"/>
      </w:numPr>
      <w:contextualSpacing/>
    </w:pPr>
  </w:style>
  <w:style w:type="character" w:customStyle="1" w:styleId="BodyText2Char">
    <w:name w:val="Body Text 2 Char"/>
    <w:basedOn w:val="DefaultParagraphFont"/>
    <w:link w:val="BodyText2"/>
    <w:uiPriority w:val="98"/>
    <w:semiHidden/>
    <w:rsid w:val="006C1B3A"/>
    <w:rPr>
      <w:sz w:val="24"/>
      <w:szCs w:val="24"/>
      <w:lang w:val="bg-BG"/>
    </w:rPr>
  </w:style>
  <w:style w:type="paragraph" w:styleId="BodyText3">
    <w:name w:val="Body Text 3"/>
    <w:basedOn w:val="Normal"/>
    <w:link w:val="BodyText3Char"/>
    <w:uiPriority w:val="98"/>
    <w:semiHidden/>
    <w:rsid w:val="006C1B3A"/>
    <w:pPr>
      <w:spacing w:after="120"/>
    </w:pPr>
    <w:rPr>
      <w:sz w:val="16"/>
      <w:szCs w:val="16"/>
    </w:rPr>
  </w:style>
  <w:style w:type="character" w:customStyle="1" w:styleId="BodyText3Char">
    <w:name w:val="Body Text 3 Char"/>
    <w:basedOn w:val="DefaultParagraphFont"/>
    <w:link w:val="BodyText3"/>
    <w:uiPriority w:val="98"/>
    <w:semiHidden/>
    <w:rsid w:val="006C1B3A"/>
    <w:rPr>
      <w:sz w:val="16"/>
      <w:szCs w:val="16"/>
      <w:lang w:val="bg-BG"/>
    </w:rPr>
  </w:style>
  <w:style w:type="paragraph" w:styleId="BodyTextFirstIndent">
    <w:name w:val="Body Text First Indent"/>
    <w:basedOn w:val="BodyText"/>
    <w:link w:val="BodyTextFirstIndentChar"/>
    <w:uiPriority w:val="98"/>
    <w:semiHidden/>
    <w:rsid w:val="006C1B3A"/>
    <w:pPr>
      <w:spacing w:after="0"/>
      <w:ind w:firstLine="360"/>
    </w:pPr>
  </w:style>
  <w:style w:type="character" w:customStyle="1" w:styleId="BodyTextFirstIndentChar">
    <w:name w:val="Body Text First Indent Char"/>
    <w:basedOn w:val="BodyTextChar"/>
    <w:link w:val="BodyTextFirstIndent"/>
    <w:uiPriority w:val="98"/>
    <w:semiHidden/>
    <w:rsid w:val="006C1B3A"/>
    <w:rPr>
      <w:sz w:val="24"/>
      <w:szCs w:val="24"/>
      <w:lang w:val="bg-BG"/>
    </w:rPr>
  </w:style>
  <w:style w:type="paragraph" w:styleId="BodyTextIndent">
    <w:name w:val="Body Text Indent"/>
    <w:basedOn w:val="Normal"/>
    <w:link w:val="BodyTextIndentChar"/>
    <w:uiPriority w:val="98"/>
    <w:semiHidden/>
    <w:rsid w:val="006C1B3A"/>
    <w:pPr>
      <w:spacing w:after="120"/>
      <w:ind w:left="283"/>
    </w:pPr>
  </w:style>
  <w:style w:type="character" w:customStyle="1" w:styleId="BodyTextIndentChar">
    <w:name w:val="Body Text Indent Char"/>
    <w:basedOn w:val="DefaultParagraphFont"/>
    <w:link w:val="BodyTextIndent"/>
    <w:uiPriority w:val="98"/>
    <w:semiHidden/>
    <w:rsid w:val="006C1B3A"/>
    <w:rPr>
      <w:sz w:val="24"/>
      <w:szCs w:val="24"/>
      <w:lang w:val="bg-BG"/>
    </w:rPr>
  </w:style>
  <w:style w:type="paragraph" w:styleId="BodyTextFirstIndent2">
    <w:name w:val="Body Text First Indent 2"/>
    <w:basedOn w:val="BodyTextIndent"/>
    <w:link w:val="BodyTextFirstIndent2Char"/>
    <w:uiPriority w:val="98"/>
    <w:semiHidden/>
    <w:rsid w:val="006C1B3A"/>
    <w:pPr>
      <w:spacing w:after="0"/>
      <w:ind w:left="360" w:firstLine="360"/>
    </w:pPr>
  </w:style>
  <w:style w:type="character" w:customStyle="1" w:styleId="BodyTextFirstIndent2Char">
    <w:name w:val="Body Text First Indent 2 Char"/>
    <w:basedOn w:val="BodyTextIndentChar"/>
    <w:link w:val="BodyTextFirstIndent2"/>
    <w:uiPriority w:val="98"/>
    <w:semiHidden/>
    <w:rsid w:val="006C1B3A"/>
    <w:rPr>
      <w:sz w:val="24"/>
      <w:szCs w:val="24"/>
      <w:lang w:val="bg-BG"/>
    </w:rPr>
  </w:style>
  <w:style w:type="paragraph" w:styleId="BodyTextIndent2">
    <w:name w:val="Body Text Indent 2"/>
    <w:basedOn w:val="Normal"/>
    <w:link w:val="BodyTextIndent2Char"/>
    <w:uiPriority w:val="98"/>
    <w:semiHidden/>
    <w:rsid w:val="006C1B3A"/>
    <w:pPr>
      <w:spacing w:after="120" w:line="480" w:lineRule="auto"/>
      <w:ind w:left="283"/>
    </w:pPr>
  </w:style>
  <w:style w:type="character" w:customStyle="1" w:styleId="BodyTextIndent2Char">
    <w:name w:val="Body Text Indent 2 Char"/>
    <w:basedOn w:val="DefaultParagraphFont"/>
    <w:link w:val="BodyTextIndent2"/>
    <w:uiPriority w:val="98"/>
    <w:semiHidden/>
    <w:rsid w:val="006C1B3A"/>
    <w:rPr>
      <w:sz w:val="24"/>
      <w:szCs w:val="24"/>
      <w:lang w:val="bg-BG"/>
    </w:rPr>
  </w:style>
  <w:style w:type="paragraph" w:styleId="BodyTextIndent3">
    <w:name w:val="Body Text Indent 3"/>
    <w:basedOn w:val="Normal"/>
    <w:link w:val="BodyTextIndent3Char"/>
    <w:uiPriority w:val="98"/>
    <w:semiHidden/>
    <w:rsid w:val="006C1B3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6C1B3A"/>
    <w:rPr>
      <w:sz w:val="16"/>
      <w:szCs w:val="16"/>
      <w:lang w:val="bg-BG"/>
    </w:rPr>
  </w:style>
  <w:style w:type="paragraph" w:styleId="Caption">
    <w:name w:val="caption"/>
    <w:basedOn w:val="Normal"/>
    <w:next w:val="Normal"/>
    <w:uiPriority w:val="98"/>
    <w:semiHidden/>
    <w:qFormat/>
    <w:rsid w:val="006C1B3A"/>
    <w:pPr>
      <w:spacing w:after="200"/>
    </w:pPr>
    <w:rPr>
      <w:b/>
      <w:bCs/>
      <w:color w:val="0072BC" w:themeColor="accent1"/>
      <w:sz w:val="18"/>
      <w:szCs w:val="18"/>
    </w:rPr>
  </w:style>
  <w:style w:type="paragraph" w:styleId="Closing">
    <w:name w:val="Closing"/>
    <w:basedOn w:val="Normal"/>
    <w:link w:val="ClosingChar"/>
    <w:uiPriority w:val="98"/>
    <w:semiHidden/>
    <w:rsid w:val="006C1B3A"/>
    <w:pPr>
      <w:ind w:left="4252"/>
    </w:pPr>
  </w:style>
  <w:style w:type="character" w:customStyle="1" w:styleId="ClosingChar">
    <w:name w:val="Closing Char"/>
    <w:basedOn w:val="DefaultParagraphFont"/>
    <w:link w:val="Closing"/>
    <w:uiPriority w:val="98"/>
    <w:semiHidden/>
    <w:rsid w:val="006C1B3A"/>
    <w:rPr>
      <w:sz w:val="24"/>
      <w:szCs w:val="24"/>
      <w:lang w:val="bg-BG"/>
    </w:rPr>
  </w:style>
  <w:style w:type="table" w:styleId="ColorfulGrid">
    <w:name w:val="Colorful Grid"/>
    <w:basedOn w:val="TableNormal"/>
    <w:uiPriority w:val="73"/>
    <w:semiHidden/>
    <w:rsid w:val="006C1B3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C1B3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6C1B3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6C1B3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6C1B3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6C1B3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6C1B3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6C1B3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C1B3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6C1B3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6C1B3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6C1B3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6C1B3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6C1B3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6C1B3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C1B3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C1B3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C1B3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6C1B3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C1B3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C1B3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6C1B3A"/>
    <w:rPr>
      <w:sz w:val="16"/>
      <w:szCs w:val="16"/>
    </w:rPr>
  </w:style>
  <w:style w:type="paragraph" w:styleId="CommentText">
    <w:name w:val="annotation text"/>
    <w:basedOn w:val="Normal"/>
    <w:link w:val="CommentTextChar"/>
    <w:uiPriority w:val="98"/>
    <w:semiHidden/>
    <w:rsid w:val="006C1B3A"/>
    <w:rPr>
      <w:sz w:val="20"/>
      <w:szCs w:val="20"/>
    </w:rPr>
  </w:style>
  <w:style w:type="character" w:customStyle="1" w:styleId="CommentTextChar">
    <w:name w:val="Comment Text Char"/>
    <w:basedOn w:val="DefaultParagraphFont"/>
    <w:link w:val="CommentText"/>
    <w:uiPriority w:val="98"/>
    <w:semiHidden/>
    <w:rsid w:val="006C1B3A"/>
    <w:rPr>
      <w:sz w:val="20"/>
      <w:szCs w:val="20"/>
      <w:lang w:val="bg-BG"/>
    </w:rPr>
  </w:style>
  <w:style w:type="paragraph" w:styleId="CommentSubject">
    <w:name w:val="annotation subject"/>
    <w:basedOn w:val="CommentText"/>
    <w:next w:val="CommentText"/>
    <w:link w:val="CommentSubjectChar"/>
    <w:uiPriority w:val="98"/>
    <w:semiHidden/>
    <w:rsid w:val="006C1B3A"/>
    <w:rPr>
      <w:b/>
      <w:bCs/>
    </w:rPr>
  </w:style>
  <w:style w:type="character" w:customStyle="1" w:styleId="CommentSubjectChar">
    <w:name w:val="Comment Subject Char"/>
    <w:basedOn w:val="CommentTextChar"/>
    <w:link w:val="CommentSubject"/>
    <w:uiPriority w:val="98"/>
    <w:semiHidden/>
    <w:rsid w:val="006C1B3A"/>
    <w:rPr>
      <w:b/>
      <w:bCs/>
      <w:sz w:val="20"/>
      <w:szCs w:val="20"/>
      <w:lang w:val="bg-BG"/>
    </w:rPr>
  </w:style>
  <w:style w:type="table" w:styleId="DarkList">
    <w:name w:val="Dark List"/>
    <w:basedOn w:val="TableNormal"/>
    <w:uiPriority w:val="70"/>
    <w:semiHidden/>
    <w:rsid w:val="006C1B3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C1B3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6C1B3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6C1B3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6C1B3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6C1B3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6C1B3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6C1B3A"/>
  </w:style>
  <w:style w:type="character" w:customStyle="1" w:styleId="DateChar">
    <w:name w:val="Date Char"/>
    <w:basedOn w:val="DefaultParagraphFont"/>
    <w:link w:val="Date"/>
    <w:uiPriority w:val="98"/>
    <w:semiHidden/>
    <w:rsid w:val="006C1B3A"/>
    <w:rPr>
      <w:sz w:val="24"/>
      <w:szCs w:val="24"/>
      <w:lang w:val="bg-BG"/>
    </w:rPr>
  </w:style>
  <w:style w:type="paragraph" w:styleId="DocumentMap">
    <w:name w:val="Document Map"/>
    <w:basedOn w:val="Normal"/>
    <w:link w:val="DocumentMapChar"/>
    <w:uiPriority w:val="98"/>
    <w:semiHidden/>
    <w:rsid w:val="006C1B3A"/>
    <w:rPr>
      <w:rFonts w:ascii="Tahoma" w:hAnsi="Tahoma" w:cs="Tahoma"/>
      <w:sz w:val="16"/>
      <w:szCs w:val="16"/>
    </w:rPr>
  </w:style>
  <w:style w:type="character" w:customStyle="1" w:styleId="DocumentMapChar">
    <w:name w:val="Document Map Char"/>
    <w:basedOn w:val="DefaultParagraphFont"/>
    <w:link w:val="DocumentMap"/>
    <w:uiPriority w:val="98"/>
    <w:semiHidden/>
    <w:rsid w:val="006C1B3A"/>
    <w:rPr>
      <w:rFonts w:ascii="Tahoma" w:hAnsi="Tahoma" w:cs="Tahoma"/>
      <w:sz w:val="16"/>
      <w:szCs w:val="16"/>
      <w:lang w:val="bg-BG"/>
    </w:rPr>
  </w:style>
  <w:style w:type="paragraph" w:styleId="E-mailSignature">
    <w:name w:val="E-mail Signature"/>
    <w:basedOn w:val="Normal"/>
    <w:link w:val="E-mailSignatureChar"/>
    <w:uiPriority w:val="98"/>
    <w:semiHidden/>
    <w:rsid w:val="006C1B3A"/>
  </w:style>
  <w:style w:type="character" w:customStyle="1" w:styleId="E-mailSignatureChar">
    <w:name w:val="E-mail Signature Char"/>
    <w:basedOn w:val="DefaultParagraphFont"/>
    <w:link w:val="E-mailSignature"/>
    <w:uiPriority w:val="98"/>
    <w:semiHidden/>
    <w:rsid w:val="006C1B3A"/>
    <w:rPr>
      <w:sz w:val="24"/>
      <w:szCs w:val="24"/>
      <w:lang w:val="bg-BG"/>
    </w:rPr>
  </w:style>
  <w:style w:type="character" w:styleId="EndnoteReference">
    <w:name w:val="endnote reference"/>
    <w:basedOn w:val="DefaultParagraphFont"/>
    <w:uiPriority w:val="98"/>
    <w:semiHidden/>
    <w:rsid w:val="006C1B3A"/>
    <w:rPr>
      <w:vertAlign w:val="superscript"/>
    </w:rPr>
  </w:style>
  <w:style w:type="paragraph" w:styleId="EndnoteText">
    <w:name w:val="endnote text"/>
    <w:basedOn w:val="Normal"/>
    <w:link w:val="EndnoteTextChar"/>
    <w:uiPriority w:val="98"/>
    <w:semiHidden/>
    <w:rsid w:val="006C1B3A"/>
    <w:rPr>
      <w:sz w:val="20"/>
      <w:szCs w:val="20"/>
    </w:rPr>
  </w:style>
  <w:style w:type="character" w:customStyle="1" w:styleId="EndnoteTextChar">
    <w:name w:val="Endnote Text Char"/>
    <w:basedOn w:val="DefaultParagraphFont"/>
    <w:link w:val="EndnoteText"/>
    <w:uiPriority w:val="98"/>
    <w:semiHidden/>
    <w:rsid w:val="006C1B3A"/>
    <w:rPr>
      <w:sz w:val="20"/>
      <w:szCs w:val="20"/>
      <w:lang w:val="bg-BG"/>
    </w:rPr>
  </w:style>
  <w:style w:type="paragraph" w:styleId="EnvelopeAddress">
    <w:name w:val="envelope address"/>
    <w:basedOn w:val="Normal"/>
    <w:uiPriority w:val="98"/>
    <w:semiHidden/>
    <w:rsid w:val="006C1B3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6C1B3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6C1B3A"/>
    <w:rPr>
      <w:color w:val="7030A0" w:themeColor="followedHyperlink"/>
      <w:u w:val="single"/>
    </w:rPr>
  </w:style>
  <w:style w:type="character" w:styleId="HTMLAcronym">
    <w:name w:val="HTML Acronym"/>
    <w:basedOn w:val="DefaultParagraphFont"/>
    <w:uiPriority w:val="98"/>
    <w:semiHidden/>
    <w:rsid w:val="006C1B3A"/>
  </w:style>
  <w:style w:type="paragraph" w:styleId="HTMLAddress">
    <w:name w:val="HTML Address"/>
    <w:basedOn w:val="Normal"/>
    <w:link w:val="HTMLAddressChar"/>
    <w:uiPriority w:val="98"/>
    <w:semiHidden/>
    <w:rsid w:val="006C1B3A"/>
    <w:rPr>
      <w:i/>
      <w:iCs/>
    </w:rPr>
  </w:style>
  <w:style w:type="character" w:customStyle="1" w:styleId="HTMLAddressChar">
    <w:name w:val="HTML Address Char"/>
    <w:basedOn w:val="DefaultParagraphFont"/>
    <w:link w:val="HTMLAddress"/>
    <w:uiPriority w:val="98"/>
    <w:semiHidden/>
    <w:rsid w:val="006C1B3A"/>
    <w:rPr>
      <w:i/>
      <w:iCs/>
      <w:sz w:val="24"/>
      <w:szCs w:val="24"/>
      <w:lang w:val="bg-BG"/>
    </w:rPr>
  </w:style>
  <w:style w:type="character" w:styleId="HTMLCite">
    <w:name w:val="HTML Cite"/>
    <w:basedOn w:val="DefaultParagraphFont"/>
    <w:uiPriority w:val="98"/>
    <w:semiHidden/>
    <w:rsid w:val="006C1B3A"/>
    <w:rPr>
      <w:i/>
      <w:iCs/>
    </w:rPr>
  </w:style>
  <w:style w:type="character" w:styleId="HTMLCode">
    <w:name w:val="HTML Code"/>
    <w:basedOn w:val="DefaultParagraphFont"/>
    <w:uiPriority w:val="98"/>
    <w:semiHidden/>
    <w:rsid w:val="006C1B3A"/>
    <w:rPr>
      <w:rFonts w:ascii="Consolas" w:hAnsi="Consolas" w:cs="Consolas"/>
      <w:sz w:val="20"/>
      <w:szCs w:val="20"/>
    </w:rPr>
  </w:style>
  <w:style w:type="character" w:styleId="HTMLDefinition">
    <w:name w:val="HTML Definition"/>
    <w:basedOn w:val="DefaultParagraphFont"/>
    <w:uiPriority w:val="98"/>
    <w:semiHidden/>
    <w:rsid w:val="006C1B3A"/>
    <w:rPr>
      <w:i/>
      <w:iCs/>
    </w:rPr>
  </w:style>
  <w:style w:type="character" w:styleId="HTMLKeyboard">
    <w:name w:val="HTML Keyboard"/>
    <w:basedOn w:val="DefaultParagraphFont"/>
    <w:uiPriority w:val="98"/>
    <w:semiHidden/>
    <w:rsid w:val="006C1B3A"/>
    <w:rPr>
      <w:rFonts w:ascii="Consolas" w:hAnsi="Consolas" w:cs="Consolas"/>
      <w:sz w:val="20"/>
      <w:szCs w:val="20"/>
    </w:rPr>
  </w:style>
  <w:style w:type="paragraph" w:styleId="HTMLPreformatted">
    <w:name w:val="HTML Preformatted"/>
    <w:basedOn w:val="Normal"/>
    <w:link w:val="HTMLPreformattedChar"/>
    <w:uiPriority w:val="98"/>
    <w:semiHidden/>
    <w:rsid w:val="006C1B3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6C1B3A"/>
    <w:rPr>
      <w:rFonts w:ascii="Consolas" w:hAnsi="Consolas" w:cs="Consolas"/>
      <w:sz w:val="20"/>
      <w:szCs w:val="20"/>
      <w:lang w:val="bg-BG"/>
    </w:rPr>
  </w:style>
  <w:style w:type="character" w:styleId="HTMLSample">
    <w:name w:val="HTML Sample"/>
    <w:basedOn w:val="DefaultParagraphFont"/>
    <w:uiPriority w:val="98"/>
    <w:semiHidden/>
    <w:rsid w:val="006C1B3A"/>
    <w:rPr>
      <w:rFonts w:ascii="Consolas" w:hAnsi="Consolas" w:cs="Consolas"/>
      <w:sz w:val="24"/>
      <w:szCs w:val="24"/>
    </w:rPr>
  </w:style>
  <w:style w:type="character" w:styleId="HTMLTypewriter">
    <w:name w:val="HTML Typewriter"/>
    <w:basedOn w:val="DefaultParagraphFont"/>
    <w:uiPriority w:val="98"/>
    <w:semiHidden/>
    <w:rsid w:val="006C1B3A"/>
    <w:rPr>
      <w:rFonts w:ascii="Consolas" w:hAnsi="Consolas" w:cs="Consolas"/>
      <w:sz w:val="20"/>
      <w:szCs w:val="20"/>
    </w:rPr>
  </w:style>
  <w:style w:type="character" w:styleId="HTMLVariable">
    <w:name w:val="HTML Variable"/>
    <w:basedOn w:val="DefaultParagraphFont"/>
    <w:uiPriority w:val="98"/>
    <w:semiHidden/>
    <w:rsid w:val="006C1B3A"/>
    <w:rPr>
      <w:i/>
      <w:iCs/>
    </w:rPr>
  </w:style>
  <w:style w:type="paragraph" w:styleId="Index1">
    <w:name w:val="index 1"/>
    <w:basedOn w:val="Normal"/>
    <w:next w:val="Normal"/>
    <w:autoRedefine/>
    <w:uiPriority w:val="98"/>
    <w:semiHidden/>
    <w:rsid w:val="006C1B3A"/>
    <w:pPr>
      <w:ind w:left="240" w:hanging="240"/>
    </w:pPr>
  </w:style>
  <w:style w:type="paragraph" w:styleId="Index2">
    <w:name w:val="index 2"/>
    <w:basedOn w:val="Normal"/>
    <w:next w:val="Normal"/>
    <w:autoRedefine/>
    <w:uiPriority w:val="98"/>
    <w:semiHidden/>
    <w:rsid w:val="006C1B3A"/>
    <w:pPr>
      <w:ind w:left="480" w:hanging="240"/>
    </w:pPr>
  </w:style>
  <w:style w:type="paragraph" w:styleId="Index3">
    <w:name w:val="index 3"/>
    <w:basedOn w:val="Normal"/>
    <w:next w:val="Normal"/>
    <w:autoRedefine/>
    <w:uiPriority w:val="98"/>
    <w:semiHidden/>
    <w:rsid w:val="006C1B3A"/>
    <w:pPr>
      <w:ind w:left="720" w:hanging="240"/>
    </w:pPr>
  </w:style>
  <w:style w:type="paragraph" w:styleId="Index4">
    <w:name w:val="index 4"/>
    <w:basedOn w:val="Normal"/>
    <w:next w:val="Normal"/>
    <w:autoRedefine/>
    <w:uiPriority w:val="98"/>
    <w:semiHidden/>
    <w:rsid w:val="006C1B3A"/>
    <w:pPr>
      <w:ind w:left="960" w:hanging="240"/>
    </w:pPr>
  </w:style>
  <w:style w:type="paragraph" w:styleId="Index5">
    <w:name w:val="index 5"/>
    <w:basedOn w:val="Normal"/>
    <w:next w:val="Normal"/>
    <w:autoRedefine/>
    <w:uiPriority w:val="98"/>
    <w:semiHidden/>
    <w:rsid w:val="006C1B3A"/>
    <w:pPr>
      <w:ind w:left="1200" w:hanging="240"/>
    </w:pPr>
  </w:style>
  <w:style w:type="paragraph" w:styleId="Index6">
    <w:name w:val="index 6"/>
    <w:basedOn w:val="Normal"/>
    <w:next w:val="Normal"/>
    <w:autoRedefine/>
    <w:uiPriority w:val="98"/>
    <w:semiHidden/>
    <w:rsid w:val="006C1B3A"/>
    <w:pPr>
      <w:ind w:left="1440" w:hanging="240"/>
    </w:pPr>
  </w:style>
  <w:style w:type="paragraph" w:styleId="Index7">
    <w:name w:val="index 7"/>
    <w:basedOn w:val="Normal"/>
    <w:next w:val="Normal"/>
    <w:autoRedefine/>
    <w:uiPriority w:val="98"/>
    <w:semiHidden/>
    <w:rsid w:val="006C1B3A"/>
    <w:pPr>
      <w:ind w:left="1680" w:hanging="240"/>
    </w:pPr>
  </w:style>
  <w:style w:type="paragraph" w:styleId="Index8">
    <w:name w:val="index 8"/>
    <w:basedOn w:val="Normal"/>
    <w:next w:val="Normal"/>
    <w:autoRedefine/>
    <w:uiPriority w:val="98"/>
    <w:semiHidden/>
    <w:rsid w:val="006C1B3A"/>
    <w:pPr>
      <w:ind w:left="1920" w:hanging="240"/>
    </w:pPr>
  </w:style>
  <w:style w:type="paragraph" w:styleId="Index9">
    <w:name w:val="index 9"/>
    <w:basedOn w:val="Normal"/>
    <w:next w:val="Normal"/>
    <w:autoRedefine/>
    <w:uiPriority w:val="98"/>
    <w:semiHidden/>
    <w:rsid w:val="006C1B3A"/>
    <w:pPr>
      <w:ind w:left="2160" w:hanging="240"/>
    </w:pPr>
  </w:style>
  <w:style w:type="paragraph" w:styleId="IndexHeading">
    <w:name w:val="index heading"/>
    <w:basedOn w:val="Normal"/>
    <w:next w:val="Index1"/>
    <w:uiPriority w:val="98"/>
    <w:semiHidden/>
    <w:rsid w:val="006C1B3A"/>
    <w:rPr>
      <w:rFonts w:asciiTheme="majorHAnsi" w:eastAsiaTheme="majorEastAsia" w:hAnsiTheme="majorHAnsi" w:cstheme="majorBidi"/>
      <w:b/>
      <w:bCs/>
    </w:rPr>
  </w:style>
  <w:style w:type="table" w:styleId="LightGrid">
    <w:name w:val="Light Grid"/>
    <w:basedOn w:val="TableNormal"/>
    <w:uiPriority w:val="62"/>
    <w:semiHidden/>
    <w:rsid w:val="006C1B3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C1B3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6C1B3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6C1B3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6C1B3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6C1B3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6C1B3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6C1B3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C1B3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6C1B3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6C1B3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6C1B3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6C1B3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6C1B3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6C1B3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C1B3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6C1B3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6C1B3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6C1B3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6C1B3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6C1B3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6C1B3A"/>
  </w:style>
  <w:style w:type="paragraph" w:styleId="List">
    <w:name w:val="List"/>
    <w:basedOn w:val="Normal"/>
    <w:uiPriority w:val="98"/>
    <w:semiHidden/>
    <w:rsid w:val="006C1B3A"/>
    <w:pPr>
      <w:ind w:left="283" w:hanging="283"/>
      <w:contextualSpacing/>
    </w:pPr>
  </w:style>
  <w:style w:type="paragraph" w:styleId="List2">
    <w:name w:val="List 2"/>
    <w:basedOn w:val="Normal"/>
    <w:uiPriority w:val="98"/>
    <w:semiHidden/>
    <w:rsid w:val="006C1B3A"/>
    <w:pPr>
      <w:ind w:left="566" w:hanging="283"/>
      <w:contextualSpacing/>
    </w:pPr>
  </w:style>
  <w:style w:type="paragraph" w:styleId="List3">
    <w:name w:val="List 3"/>
    <w:basedOn w:val="Normal"/>
    <w:uiPriority w:val="98"/>
    <w:semiHidden/>
    <w:rsid w:val="006C1B3A"/>
    <w:pPr>
      <w:ind w:left="849" w:hanging="283"/>
      <w:contextualSpacing/>
    </w:pPr>
  </w:style>
  <w:style w:type="paragraph" w:styleId="List4">
    <w:name w:val="List 4"/>
    <w:basedOn w:val="Normal"/>
    <w:uiPriority w:val="98"/>
    <w:semiHidden/>
    <w:rsid w:val="006C1B3A"/>
    <w:pPr>
      <w:ind w:left="1132" w:hanging="283"/>
      <w:contextualSpacing/>
    </w:pPr>
  </w:style>
  <w:style w:type="paragraph" w:styleId="List5">
    <w:name w:val="List 5"/>
    <w:basedOn w:val="Normal"/>
    <w:uiPriority w:val="98"/>
    <w:semiHidden/>
    <w:rsid w:val="006C1B3A"/>
    <w:pPr>
      <w:ind w:left="1415" w:hanging="283"/>
      <w:contextualSpacing/>
    </w:pPr>
  </w:style>
  <w:style w:type="paragraph" w:styleId="ListBullet2">
    <w:name w:val="List Bullet 2"/>
    <w:basedOn w:val="Normal"/>
    <w:uiPriority w:val="98"/>
    <w:semiHidden/>
    <w:rsid w:val="006C1B3A"/>
    <w:pPr>
      <w:numPr>
        <w:numId w:val="15"/>
      </w:numPr>
      <w:contextualSpacing/>
    </w:pPr>
  </w:style>
  <w:style w:type="paragraph" w:styleId="ListBullet4">
    <w:name w:val="List Bullet 4"/>
    <w:basedOn w:val="Normal"/>
    <w:uiPriority w:val="98"/>
    <w:semiHidden/>
    <w:rsid w:val="006C1B3A"/>
    <w:pPr>
      <w:numPr>
        <w:numId w:val="17"/>
      </w:numPr>
      <w:contextualSpacing/>
    </w:pPr>
  </w:style>
  <w:style w:type="paragraph" w:styleId="ListBullet5">
    <w:name w:val="List Bullet 5"/>
    <w:basedOn w:val="Normal"/>
    <w:uiPriority w:val="98"/>
    <w:semiHidden/>
    <w:rsid w:val="006C1B3A"/>
    <w:pPr>
      <w:numPr>
        <w:numId w:val="18"/>
      </w:numPr>
      <w:contextualSpacing/>
    </w:pPr>
  </w:style>
  <w:style w:type="paragraph" w:styleId="ListContinue">
    <w:name w:val="List Continue"/>
    <w:basedOn w:val="Normal"/>
    <w:uiPriority w:val="98"/>
    <w:semiHidden/>
    <w:rsid w:val="006C1B3A"/>
    <w:pPr>
      <w:spacing w:after="120"/>
      <w:ind w:left="283"/>
      <w:contextualSpacing/>
    </w:pPr>
  </w:style>
  <w:style w:type="paragraph" w:styleId="ListContinue2">
    <w:name w:val="List Continue 2"/>
    <w:basedOn w:val="Normal"/>
    <w:uiPriority w:val="98"/>
    <w:semiHidden/>
    <w:rsid w:val="006C1B3A"/>
    <w:pPr>
      <w:spacing w:after="120"/>
      <w:ind w:left="566"/>
      <w:contextualSpacing/>
    </w:pPr>
  </w:style>
  <w:style w:type="paragraph" w:styleId="ListContinue3">
    <w:name w:val="List Continue 3"/>
    <w:basedOn w:val="Normal"/>
    <w:uiPriority w:val="98"/>
    <w:semiHidden/>
    <w:rsid w:val="006C1B3A"/>
    <w:pPr>
      <w:spacing w:after="120"/>
      <w:ind w:left="849"/>
      <w:contextualSpacing/>
    </w:pPr>
  </w:style>
  <w:style w:type="paragraph" w:styleId="ListContinue4">
    <w:name w:val="List Continue 4"/>
    <w:basedOn w:val="Normal"/>
    <w:uiPriority w:val="98"/>
    <w:semiHidden/>
    <w:rsid w:val="006C1B3A"/>
    <w:pPr>
      <w:spacing w:after="120"/>
      <w:ind w:left="1132"/>
      <w:contextualSpacing/>
    </w:pPr>
  </w:style>
  <w:style w:type="paragraph" w:styleId="ListContinue5">
    <w:name w:val="List Continue 5"/>
    <w:basedOn w:val="Normal"/>
    <w:uiPriority w:val="98"/>
    <w:semiHidden/>
    <w:rsid w:val="006C1B3A"/>
    <w:pPr>
      <w:spacing w:after="120"/>
      <w:ind w:left="1415"/>
      <w:contextualSpacing/>
    </w:pPr>
  </w:style>
  <w:style w:type="paragraph" w:styleId="ListNumber">
    <w:name w:val="List Number"/>
    <w:basedOn w:val="Normal"/>
    <w:uiPriority w:val="98"/>
    <w:semiHidden/>
    <w:rsid w:val="006C1B3A"/>
    <w:pPr>
      <w:numPr>
        <w:numId w:val="19"/>
      </w:numPr>
      <w:contextualSpacing/>
    </w:pPr>
  </w:style>
  <w:style w:type="paragraph" w:styleId="ListNumber2">
    <w:name w:val="List Number 2"/>
    <w:basedOn w:val="Normal"/>
    <w:uiPriority w:val="98"/>
    <w:semiHidden/>
    <w:rsid w:val="006C1B3A"/>
    <w:pPr>
      <w:numPr>
        <w:numId w:val="20"/>
      </w:numPr>
      <w:contextualSpacing/>
    </w:pPr>
  </w:style>
  <w:style w:type="paragraph" w:styleId="ListNumber3">
    <w:name w:val="List Number 3"/>
    <w:basedOn w:val="Normal"/>
    <w:uiPriority w:val="98"/>
    <w:semiHidden/>
    <w:rsid w:val="006C1B3A"/>
    <w:pPr>
      <w:numPr>
        <w:numId w:val="21"/>
      </w:numPr>
      <w:contextualSpacing/>
    </w:pPr>
  </w:style>
  <w:style w:type="paragraph" w:styleId="ListNumber4">
    <w:name w:val="List Number 4"/>
    <w:basedOn w:val="Normal"/>
    <w:uiPriority w:val="98"/>
    <w:semiHidden/>
    <w:rsid w:val="006C1B3A"/>
    <w:pPr>
      <w:numPr>
        <w:numId w:val="22"/>
      </w:numPr>
      <w:contextualSpacing/>
    </w:pPr>
  </w:style>
  <w:style w:type="paragraph" w:styleId="ListNumber5">
    <w:name w:val="List Number 5"/>
    <w:basedOn w:val="Normal"/>
    <w:uiPriority w:val="98"/>
    <w:semiHidden/>
    <w:rsid w:val="006C1B3A"/>
    <w:pPr>
      <w:numPr>
        <w:numId w:val="23"/>
      </w:numPr>
      <w:contextualSpacing/>
    </w:pPr>
  </w:style>
  <w:style w:type="paragraph" w:styleId="MacroText">
    <w:name w:val="macro"/>
    <w:link w:val="MacroTextChar"/>
    <w:uiPriority w:val="98"/>
    <w:semiHidden/>
    <w:rsid w:val="006C1B3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6C1B3A"/>
    <w:rPr>
      <w:rFonts w:ascii="Consolas" w:eastAsiaTheme="minorEastAsia" w:hAnsi="Consolas" w:cs="Consolas"/>
      <w:sz w:val="20"/>
      <w:szCs w:val="20"/>
    </w:rPr>
  </w:style>
  <w:style w:type="table" w:styleId="MediumGrid1">
    <w:name w:val="Medium Grid 1"/>
    <w:basedOn w:val="TableNormal"/>
    <w:uiPriority w:val="67"/>
    <w:semiHidden/>
    <w:rsid w:val="006C1B3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C1B3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6C1B3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6C1B3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6C1B3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6C1B3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6C1B3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6C1B3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6C1B3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6C1B3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6C1B3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6C1B3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6C1B3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6C1B3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6C1B3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C1B3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6C1B3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6C1B3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6C1B3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6C1B3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6C1B3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C1B3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6C1B3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C1B3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C1B3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C1B3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C1B3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C1B3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C1B3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C1B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C1B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C1B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C1B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C1B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C1B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C1B3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6C1B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6C1B3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6C1B3A"/>
    <w:rPr>
      <w:rFonts w:ascii="Times New Roman" w:hAnsi="Times New Roman" w:cs="Times New Roman"/>
    </w:rPr>
  </w:style>
  <w:style w:type="paragraph" w:styleId="NormalIndent">
    <w:name w:val="Normal Indent"/>
    <w:basedOn w:val="Normal"/>
    <w:uiPriority w:val="98"/>
    <w:semiHidden/>
    <w:rsid w:val="006C1B3A"/>
    <w:pPr>
      <w:ind w:left="720"/>
    </w:pPr>
  </w:style>
  <w:style w:type="paragraph" w:styleId="NoteHeading">
    <w:name w:val="Note Heading"/>
    <w:basedOn w:val="Normal"/>
    <w:next w:val="Normal"/>
    <w:link w:val="NoteHeadingChar"/>
    <w:uiPriority w:val="98"/>
    <w:semiHidden/>
    <w:rsid w:val="006C1B3A"/>
  </w:style>
  <w:style w:type="character" w:customStyle="1" w:styleId="NoteHeadingChar">
    <w:name w:val="Note Heading Char"/>
    <w:basedOn w:val="DefaultParagraphFont"/>
    <w:link w:val="NoteHeading"/>
    <w:uiPriority w:val="98"/>
    <w:semiHidden/>
    <w:rsid w:val="006C1B3A"/>
    <w:rPr>
      <w:sz w:val="24"/>
      <w:szCs w:val="24"/>
      <w:lang w:val="bg-BG"/>
    </w:rPr>
  </w:style>
  <w:style w:type="character" w:styleId="PlaceholderText">
    <w:name w:val="Placeholder Text"/>
    <w:basedOn w:val="DefaultParagraphFont"/>
    <w:uiPriority w:val="98"/>
    <w:semiHidden/>
    <w:rsid w:val="006C1B3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6C1B3A"/>
    <w:rPr>
      <w:rFonts w:ascii="Consolas" w:hAnsi="Consolas" w:cs="Consolas"/>
      <w:sz w:val="21"/>
      <w:szCs w:val="21"/>
    </w:rPr>
  </w:style>
  <w:style w:type="character" w:customStyle="1" w:styleId="PlainTextChar">
    <w:name w:val="Plain Text Char"/>
    <w:basedOn w:val="DefaultParagraphFont"/>
    <w:link w:val="PlainText"/>
    <w:uiPriority w:val="98"/>
    <w:semiHidden/>
    <w:rsid w:val="006C1B3A"/>
    <w:rPr>
      <w:rFonts w:ascii="Consolas" w:hAnsi="Consolas" w:cs="Consolas"/>
      <w:sz w:val="21"/>
      <w:szCs w:val="21"/>
      <w:lang w:val="bg-BG"/>
    </w:rPr>
  </w:style>
  <w:style w:type="paragraph" w:styleId="Salutation">
    <w:name w:val="Salutation"/>
    <w:basedOn w:val="Normal"/>
    <w:next w:val="Normal"/>
    <w:link w:val="SalutationChar"/>
    <w:uiPriority w:val="98"/>
    <w:semiHidden/>
    <w:rsid w:val="006C1B3A"/>
  </w:style>
  <w:style w:type="character" w:customStyle="1" w:styleId="SalutationChar">
    <w:name w:val="Salutation Char"/>
    <w:basedOn w:val="DefaultParagraphFont"/>
    <w:link w:val="Salutation"/>
    <w:uiPriority w:val="98"/>
    <w:semiHidden/>
    <w:rsid w:val="006C1B3A"/>
    <w:rPr>
      <w:sz w:val="24"/>
      <w:szCs w:val="24"/>
      <w:lang w:val="bg-BG"/>
    </w:rPr>
  </w:style>
  <w:style w:type="paragraph" w:styleId="Signature">
    <w:name w:val="Signature"/>
    <w:basedOn w:val="Normal"/>
    <w:link w:val="SignatureChar"/>
    <w:uiPriority w:val="98"/>
    <w:semiHidden/>
    <w:rsid w:val="006C1B3A"/>
    <w:pPr>
      <w:ind w:left="4252"/>
    </w:pPr>
  </w:style>
  <w:style w:type="character" w:customStyle="1" w:styleId="SignatureChar">
    <w:name w:val="Signature Char"/>
    <w:basedOn w:val="DefaultParagraphFont"/>
    <w:link w:val="Signature"/>
    <w:uiPriority w:val="98"/>
    <w:semiHidden/>
    <w:rsid w:val="006C1B3A"/>
    <w:rPr>
      <w:sz w:val="24"/>
      <w:szCs w:val="24"/>
      <w:lang w:val="bg-BG"/>
    </w:rPr>
  </w:style>
  <w:style w:type="table" w:styleId="Table3Deffects1">
    <w:name w:val="Table 3D effects 1"/>
    <w:basedOn w:val="TableNormal"/>
    <w:uiPriority w:val="99"/>
    <w:semiHidden/>
    <w:unhideWhenUsed/>
    <w:rsid w:val="006C1B3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1B3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1B3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1B3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1B3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1B3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1B3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1B3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1B3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1B3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1B3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1B3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1B3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1B3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1B3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1B3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1B3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1B3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1B3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1B3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1B3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1B3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1B3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1B3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1B3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C1B3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1B3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1B3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1B3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1B3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1B3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1B3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1B3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6C1B3A"/>
    <w:pPr>
      <w:ind w:left="240" w:hanging="240"/>
    </w:pPr>
  </w:style>
  <w:style w:type="paragraph" w:styleId="TableofFigures">
    <w:name w:val="table of figures"/>
    <w:basedOn w:val="Normal"/>
    <w:next w:val="Normal"/>
    <w:uiPriority w:val="98"/>
    <w:semiHidden/>
    <w:rsid w:val="006C1B3A"/>
  </w:style>
  <w:style w:type="table" w:styleId="TableProfessional">
    <w:name w:val="Table Professional"/>
    <w:basedOn w:val="TableNormal"/>
    <w:uiPriority w:val="99"/>
    <w:semiHidden/>
    <w:unhideWhenUsed/>
    <w:rsid w:val="006C1B3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1B3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1B3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1B3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1B3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1B3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1B3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1B3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1B3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1B3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6C1B3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6C1B3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6C1B3A"/>
    <w:pPr>
      <w:spacing w:after="100"/>
      <w:ind w:left="1680"/>
    </w:pPr>
  </w:style>
  <w:style w:type="paragraph" w:styleId="TOC9">
    <w:name w:val="toc 9"/>
    <w:basedOn w:val="Normal"/>
    <w:next w:val="Normal"/>
    <w:autoRedefine/>
    <w:uiPriority w:val="98"/>
    <w:semiHidden/>
    <w:rsid w:val="006C1B3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6C1B3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6C1B3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C1B3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6C1B3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C1B3A"/>
    <w:pPr>
      <w:numPr>
        <w:numId w:val="10"/>
      </w:numPr>
      <w:spacing w:before="60" w:after="60"/>
    </w:pPr>
  </w:style>
  <w:style w:type="paragraph" w:customStyle="1" w:styleId="ECHRBullet2">
    <w:name w:val="ECHR_Bullet_2"/>
    <w:aliases w:val="_Bul_2"/>
    <w:basedOn w:val="ECHRBullet1"/>
    <w:uiPriority w:val="23"/>
    <w:semiHidden/>
    <w:rsid w:val="006C1B3A"/>
    <w:pPr>
      <w:numPr>
        <w:ilvl w:val="1"/>
      </w:numPr>
    </w:pPr>
  </w:style>
  <w:style w:type="paragraph" w:customStyle="1" w:styleId="ECHRBullet3">
    <w:name w:val="ECHR_Bullet_3"/>
    <w:aliases w:val="_Bul_3"/>
    <w:basedOn w:val="ECHRBullet2"/>
    <w:uiPriority w:val="23"/>
    <w:semiHidden/>
    <w:rsid w:val="006C1B3A"/>
    <w:pPr>
      <w:numPr>
        <w:ilvl w:val="2"/>
      </w:numPr>
    </w:pPr>
  </w:style>
  <w:style w:type="paragraph" w:customStyle="1" w:styleId="ECHRBullet4">
    <w:name w:val="ECHR_Bullet_4"/>
    <w:aliases w:val="_Bul_4"/>
    <w:basedOn w:val="ECHRBullet3"/>
    <w:uiPriority w:val="23"/>
    <w:semiHidden/>
    <w:rsid w:val="006C1B3A"/>
    <w:pPr>
      <w:numPr>
        <w:ilvl w:val="3"/>
      </w:numPr>
    </w:pPr>
  </w:style>
  <w:style w:type="paragraph" w:customStyle="1" w:styleId="ECHRConfidential">
    <w:name w:val="ECHR_Confidential"/>
    <w:aliases w:val="_Confidential"/>
    <w:basedOn w:val="Normal"/>
    <w:next w:val="Normal"/>
    <w:uiPriority w:val="42"/>
    <w:semiHidden/>
    <w:qFormat/>
    <w:rsid w:val="006C1B3A"/>
    <w:pPr>
      <w:jc w:val="right"/>
    </w:pPr>
    <w:rPr>
      <w:color w:val="C00000"/>
      <w:sz w:val="20"/>
    </w:rPr>
  </w:style>
  <w:style w:type="paragraph" w:customStyle="1" w:styleId="ECHRDecisionBody">
    <w:name w:val="ECHR_Decision_Body"/>
    <w:aliases w:val="_Decision_Body"/>
    <w:basedOn w:val="NormalJustified"/>
    <w:uiPriority w:val="54"/>
    <w:semiHidden/>
    <w:rsid w:val="006C1B3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C1B3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6C1B3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6C1B3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6C1B3A"/>
    <w:pPr>
      <w:jc w:val="right"/>
    </w:pPr>
    <w:rPr>
      <w:sz w:val="20"/>
    </w:rPr>
  </w:style>
  <w:style w:type="paragraph" w:customStyle="1" w:styleId="ECHRHeaderRefIt">
    <w:name w:val="ECHR_Header_Ref_It"/>
    <w:aliases w:val="_Ref_Ital"/>
    <w:basedOn w:val="Normal"/>
    <w:next w:val="ECHRHeaderDate"/>
    <w:uiPriority w:val="43"/>
    <w:semiHidden/>
    <w:qFormat/>
    <w:rsid w:val="006C1B3A"/>
    <w:pPr>
      <w:jc w:val="right"/>
    </w:pPr>
    <w:rPr>
      <w:i/>
      <w:sz w:val="20"/>
    </w:rPr>
  </w:style>
  <w:style w:type="paragraph" w:customStyle="1" w:styleId="ECHRHeading9">
    <w:name w:val="ECHR_Heading_9"/>
    <w:aliases w:val="_Head_9"/>
    <w:basedOn w:val="Heading9"/>
    <w:uiPriority w:val="17"/>
    <w:semiHidden/>
    <w:rsid w:val="006C1B3A"/>
    <w:pPr>
      <w:keepNext/>
      <w:keepLines/>
      <w:numPr>
        <w:ilvl w:val="8"/>
        <w:numId w:val="1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C1B3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6C1B3A"/>
    <w:pPr>
      <w:numPr>
        <w:numId w:val="11"/>
      </w:numPr>
      <w:spacing w:before="60" w:after="60"/>
    </w:pPr>
  </w:style>
  <w:style w:type="paragraph" w:customStyle="1" w:styleId="ECHRNumberedList2">
    <w:name w:val="ECHR_Numbered_List_2"/>
    <w:aliases w:val="_Num_2"/>
    <w:basedOn w:val="ECHRNumberedList1"/>
    <w:uiPriority w:val="23"/>
    <w:semiHidden/>
    <w:rsid w:val="006C1B3A"/>
    <w:pPr>
      <w:numPr>
        <w:ilvl w:val="1"/>
      </w:numPr>
    </w:pPr>
  </w:style>
  <w:style w:type="paragraph" w:customStyle="1" w:styleId="ECHRNumberedList3">
    <w:name w:val="ECHR_Numbered_List_3"/>
    <w:aliases w:val="_Num_3"/>
    <w:basedOn w:val="ECHRNumberedList2"/>
    <w:uiPriority w:val="23"/>
    <w:semiHidden/>
    <w:rsid w:val="006C1B3A"/>
    <w:pPr>
      <w:numPr>
        <w:ilvl w:val="2"/>
      </w:numPr>
    </w:pPr>
  </w:style>
  <w:style w:type="paragraph" w:customStyle="1" w:styleId="ECHRParaHanging">
    <w:name w:val="ECHR_Para_Hanging"/>
    <w:aliases w:val="_Hanging"/>
    <w:basedOn w:val="NormalJustified"/>
    <w:uiPriority w:val="8"/>
    <w:semiHidden/>
    <w:qFormat/>
    <w:rsid w:val="006C1B3A"/>
    <w:pPr>
      <w:ind w:left="567" w:hanging="567"/>
    </w:pPr>
  </w:style>
  <w:style w:type="paragraph" w:customStyle="1" w:styleId="ECHRParaIndent">
    <w:name w:val="ECHR_Para_Indent"/>
    <w:aliases w:val="_Indent"/>
    <w:basedOn w:val="NormalJustified"/>
    <w:uiPriority w:val="7"/>
    <w:semiHidden/>
    <w:qFormat/>
    <w:rsid w:val="006C1B3A"/>
    <w:pPr>
      <w:spacing w:before="120" w:after="120"/>
      <w:ind w:left="284"/>
    </w:pPr>
  </w:style>
  <w:style w:type="character" w:customStyle="1" w:styleId="ECHRRed">
    <w:name w:val="ECHR_Red"/>
    <w:aliases w:val="_Red"/>
    <w:basedOn w:val="DefaultParagraphFont"/>
    <w:uiPriority w:val="15"/>
    <w:semiHidden/>
    <w:qFormat/>
    <w:rsid w:val="006C1B3A"/>
    <w:rPr>
      <w:color w:val="C00000" w:themeColor="accent2"/>
    </w:rPr>
  </w:style>
  <w:style w:type="paragraph" w:customStyle="1" w:styleId="DecList">
    <w:name w:val="Dec_List"/>
    <w:aliases w:val="_List"/>
    <w:basedOn w:val="JuList"/>
    <w:uiPriority w:val="22"/>
    <w:rsid w:val="006C1B3A"/>
    <w:pPr>
      <w:numPr>
        <w:numId w:val="0"/>
      </w:numPr>
      <w:ind w:left="284"/>
    </w:pPr>
  </w:style>
  <w:style w:type="table" w:customStyle="1" w:styleId="ECHRTable2">
    <w:name w:val="ECHR_Table_2"/>
    <w:basedOn w:val="TableNormal"/>
    <w:uiPriority w:val="99"/>
    <w:rsid w:val="006C1B3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6C1B3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6C1B3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6C1B3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6C1B3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6C1B3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6C1B3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6C1B3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6C1B3A"/>
    <w:pPr>
      <w:outlineLvl w:val="0"/>
    </w:pPr>
  </w:style>
  <w:style w:type="paragraph" w:customStyle="1" w:styleId="ECHRTitleTOC1">
    <w:name w:val="ECHR_Title_TOC_1"/>
    <w:aliases w:val="_Title_L_TOC"/>
    <w:basedOn w:val="ECHRTitle1"/>
    <w:next w:val="Normal"/>
    <w:uiPriority w:val="27"/>
    <w:semiHidden/>
    <w:qFormat/>
    <w:rsid w:val="006C1B3A"/>
    <w:pPr>
      <w:outlineLvl w:val="0"/>
    </w:pPr>
  </w:style>
  <w:style w:type="paragraph" w:customStyle="1" w:styleId="ECHRPlaceholder">
    <w:name w:val="ECHR_Placeholder"/>
    <w:aliases w:val="_Placeholder"/>
    <w:basedOn w:val="JuSigned"/>
    <w:uiPriority w:val="31"/>
    <w:rsid w:val="006C1B3A"/>
    <w:rPr>
      <w:color w:val="FFFFFF"/>
    </w:rPr>
  </w:style>
  <w:style w:type="paragraph" w:customStyle="1" w:styleId="ECHRSpacer">
    <w:name w:val="ECHR_Spacer"/>
    <w:aliases w:val="_Spacer"/>
    <w:basedOn w:val="Normal"/>
    <w:uiPriority w:val="45"/>
    <w:semiHidden/>
    <w:rsid w:val="006C1B3A"/>
    <w:rPr>
      <w:sz w:val="4"/>
    </w:rPr>
  </w:style>
  <w:style w:type="table" w:customStyle="1" w:styleId="ECHRTableGrey">
    <w:name w:val="ECHR_Table_Grey"/>
    <w:basedOn w:val="TableNormal"/>
    <w:uiPriority w:val="99"/>
    <w:rsid w:val="006C1B3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6C1B3A"/>
    <w:rPr>
      <w:color w:val="605E5C"/>
      <w:shd w:val="clear" w:color="auto" w:fill="E1DFDD"/>
    </w:rPr>
  </w:style>
  <w:style w:type="character" w:customStyle="1" w:styleId="JuParaChar">
    <w:name w:val="Ju_Para Char"/>
    <w:aliases w:val="_Para Char"/>
    <w:link w:val="JuPara"/>
    <w:uiPriority w:val="4"/>
    <w:rsid w:val="00573BE3"/>
    <w:rPr>
      <w:sz w:val="24"/>
      <w:szCs w:val="24"/>
      <w:lang w:val="bg-BG"/>
    </w:rPr>
  </w:style>
  <w:style w:type="table" w:styleId="GridTable1Light">
    <w:name w:val="Grid Table 1 Light"/>
    <w:basedOn w:val="TableNormal"/>
    <w:uiPriority w:val="46"/>
    <w:semiHidden/>
    <w:rsid w:val="008639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639FD"/>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639FD"/>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639FD"/>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639FD"/>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639FD"/>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639FD"/>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639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639FD"/>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8639FD"/>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8639FD"/>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8639FD"/>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8639FD"/>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8639FD"/>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8639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639F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8639F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8639F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8639F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8639F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8639F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8639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639F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8639F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8639F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8639F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8639F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8639F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8639F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639F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8639F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8639F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8639F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8639F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8639F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8639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639F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8639F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8639FD"/>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8639F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8639F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8639F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8639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639F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8639F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8639FD"/>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8639F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8639F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8639F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8639FD"/>
    <w:rPr>
      <w:color w:val="2B579A"/>
      <w:shd w:val="clear" w:color="auto" w:fill="E1DFDD"/>
    </w:rPr>
  </w:style>
  <w:style w:type="table" w:styleId="ListTable1Light">
    <w:name w:val="List Table 1 Light"/>
    <w:basedOn w:val="TableNormal"/>
    <w:uiPriority w:val="46"/>
    <w:semiHidden/>
    <w:rsid w:val="008639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639FD"/>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8639FD"/>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8639FD"/>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8639FD"/>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8639FD"/>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8639FD"/>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8639F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639FD"/>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8639FD"/>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8639FD"/>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8639FD"/>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8639FD"/>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8639FD"/>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8639F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639FD"/>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8639FD"/>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8639FD"/>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8639FD"/>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8639FD"/>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8639FD"/>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8639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639F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8639F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8639F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8639F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8639F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8639F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8639FD"/>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639FD"/>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639FD"/>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639FD"/>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639FD"/>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639FD"/>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639FD"/>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639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639FD"/>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8639FD"/>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8639FD"/>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8639FD"/>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8639FD"/>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8639FD"/>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8639F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639FD"/>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639FD"/>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639FD"/>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639FD"/>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639FD"/>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639FD"/>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8639FD"/>
    <w:rPr>
      <w:color w:val="2B579A"/>
      <w:shd w:val="clear" w:color="auto" w:fill="E1DFDD"/>
    </w:rPr>
  </w:style>
  <w:style w:type="table" w:styleId="PlainTable1">
    <w:name w:val="Plain Table 1"/>
    <w:basedOn w:val="TableNormal"/>
    <w:uiPriority w:val="41"/>
    <w:semiHidden/>
    <w:rsid w:val="008639FD"/>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8639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639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639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8639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8639FD"/>
    <w:rPr>
      <w:u w:val="dotted"/>
    </w:rPr>
  </w:style>
  <w:style w:type="character" w:customStyle="1" w:styleId="SmartLink">
    <w:name w:val="Smart Link"/>
    <w:basedOn w:val="DefaultParagraphFont"/>
    <w:uiPriority w:val="99"/>
    <w:semiHidden/>
    <w:unhideWhenUsed/>
    <w:rsid w:val="008639FD"/>
    <w:rPr>
      <w:color w:val="0000FF"/>
      <w:u w:val="single"/>
      <w:shd w:val="clear" w:color="auto" w:fill="F3F2F1"/>
    </w:rPr>
  </w:style>
  <w:style w:type="table" w:styleId="TableGridLight">
    <w:name w:val="Grid Table Light"/>
    <w:basedOn w:val="TableNormal"/>
    <w:uiPriority w:val="40"/>
    <w:semiHidden/>
    <w:rsid w:val="008639FD"/>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2205</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2022-07-15T14:20:00Z</dcterms:created>
  <dcterms:modified xsi:type="dcterms:W3CDTF">2022-07-15T14:20:00Z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