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7FE" w:rsidRPr="00B328DE" w:rsidRDefault="00F027FE" w:rsidP="00F027FE">
      <w:pPr>
        <w:jc w:val="center"/>
      </w:pPr>
      <w:bookmarkStart w:id="0" w:name="_GoBack"/>
      <w:bookmarkEnd w:id="0"/>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pPr>
      <w:r>
        <w:rPr>
          <w:rStyle w:val="Normal"/>
        </w:rPr>
        <w:t>ПЕТО ОТДЕЛЕНИЕ</w:t>
      </w:r>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pPr>
    </w:p>
    <w:p w:rsidR="00F027FE" w:rsidRPr="00B328DE" w:rsidRDefault="00F027FE" w:rsidP="00F027FE">
      <w:pPr>
        <w:jc w:val="center"/>
        <w:rPr>
          <w:b/>
        </w:rPr>
      </w:pPr>
      <w:bookmarkStart w:id="1" w:name="To"/>
      <w:r>
        <w:rPr>
          <w:rStyle w:val="Normal"/>
          <w:b/>
        </w:rPr>
        <w:t xml:space="preserve">ДЕЛО </w:t>
      </w:r>
      <w:bookmarkEnd w:id="1"/>
      <w:r>
        <w:rPr>
          <w:rStyle w:val="Normal"/>
          <w:b/>
        </w:rPr>
        <w:t>ЧЕНГЕЛЯН И ДРУГИ СРЕЩУ БЪЛГАРИЯ</w:t>
      </w:r>
    </w:p>
    <w:p w:rsidR="00F027FE" w:rsidRPr="00B328DE" w:rsidRDefault="00F027FE" w:rsidP="00F027FE">
      <w:pPr>
        <w:jc w:val="center"/>
      </w:pPr>
    </w:p>
    <w:p w:rsidR="00F027FE" w:rsidRPr="00B328DE" w:rsidRDefault="00F027FE" w:rsidP="00F027FE">
      <w:pPr>
        <w:jc w:val="center"/>
        <w:rPr>
          <w:i/>
        </w:rPr>
      </w:pPr>
      <w:r>
        <w:rPr>
          <w:rStyle w:val="Normal"/>
          <w:i/>
        </w:rPr>
        <w:t xml:space="preserve">(Жалба </w:t>
      </w:r>
      <w:r>
        <w:rPr>
          <w:rStyle w:val="Normal"/>
          <w:i/>
          <w:cs/>
        </w:rPr>
        <w:t xml:space="preserve">№ </w:t>
      </w:r>
      <w:r>
        <w:rPr>
          <w:rStyle w:val="Normal"/>
          <w:i/>
        </w:rPr>
        <w:t>47405/07)</w:t>
      </w: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r>
        <w:rPr>
          <w:rStyle w:val="Normal"/>
        </w:rPr>
        <w:t>РЕШЕНИЕ</w:t>
      </w:r>
    </w:p>
    <w:p w:rsidR="00F027FE" w:rsidRPr="00B328DE" w:rsidRDefault="00F027FE" w:rsidP="00F027FE">
      <w:pPr>
        <w:jc w:val="center"/>
        <w:rPr>
          <w:i/>
          <w:szCs w:val="24"/>
        </w:rPr>
      </w:pPr>
      <w:r>
        <w:rPr>
          <w:rStyle w:val="Normal"/>
          <w:i/>
        </w:rPr>
        <w:t>(Справедливо обезщетение)</w:t>
      </w: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r>
        <w:rPr>
          <w:rStyle w:val="Normal"/>
        </w:rPr>
        <w:t>СТРАСБУРГ</w:t>
      </w: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r>
        <w:rPr>
          <w:rStyle w:val="Normal"/>
        </w:rPr>
        <w:t>23 ноември 2017 г.</w:t>
      </w: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jc w:val="center"/>
        <w:rPr>
          <w:szCs w:val="24"/>
        </w:rPr>
      </w:pPr>
    </w:p>
    <w:p w:rsidR="00F027FE" w:rsidRPr="00B328DE" w:rsidRDefault="00F027FE" w:rsidP="00F027FE">
      <w:pPr>
        <w:rPr>
          <w:szCs w:val="24"/>
        </w:rPr>
      </w:pPr>
      <w:r>
        <w:rPr>
          <w:rStyle w:val="Normal"/>
          <w:i/>
          <w:sz w:val="22"/>
        </w:rPr>
        <w:t xml:space="preserve">Това решение ще стане окончателно при условията на чл. 44 </w:t>
      </w:r>
      <w:r w:rsidR="00B365B7">
        <w:rPr>
          <w:rStyle w:val="Normal"/>
          <w:i/>
          <w:sz w:val="22"/>
        </w:rPr>
        <w:t>ал.</w:t>
      </w:r>
      <w:r>
        <w:rPr>
          <w:rStyle w:val="Normal"/>
          <w:i/>
          <w:sz w:val="22"/>
        </w:rPr>
        <w:t>2 от Конвенцията. Може да бъде предмет на редакционни промени.</w:t>
      </w:r>
    </w:p>
    <w:p w:rsidR="00F027FE" w:rsidRDefault="00F027FE" w:rsidP="00F027FE">
      <w:pPr>
        <w:pStyle w:val="JuCase"/>
        <w:sectPr w:rsidR="00F027FE" w:rsidSect="00F027FE">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F027FE" w:rsidRPr="00B328DE" w:rsidRDefault="00F027FE" w:rsidP="00F027FE">
      <w:pPr>
        <w:pStyle w:val="JuCase"/>
        <w:rPr>
          <w:b w:val="0"/>
          <w:bCs/>
        </w:rPr>
      </w:pPr>
      <w:r>
        <w:rPr>
          <w:rStyle w:val="JuCase"/>
        </w:rPr>
        <w:lastRenderedPageBreak/>
        <w:t>По делото Ченгелян и други срещу България,</w:t>
      </w:r>
    </w:p>
    <w:p w:rsidR="00F027FE" w:rsidRPr="00B328DE" w:rsidRDefault="00F027FE" w:rsidP="00F027FE">
      <w:pPr>
        <w:pStyle w:val="ECHRPara"/>
        <w:rPr>
          <w:b/>
        </w:rPr>
      </w:pPr>
      <w:r>
        <w:rPr>
          <w:rStyle w:val="ECHRPara"/>
          <w:szCs w:val="22"/>
        </w:rPr>
        <w:t>Европейският съд по правата на човека (Пето отделение), заседаващ в състав:</w:t>
      </w:r>
    </w:p>
    <w:p w:rsidR="00F027FE" w:rsidRPr="00B328DE" w:rsidRDefault="00F027FE" w:rsidP="00F027FE">
      <w:pPr>
        <w:pStyle w:val="ECHRDecisionBody"/>
      </w:pPr>
      <w:r>
        <w:rPr>
          <w:rStyle w:val="ECHRDecisionBody"/>
        </w:rPr>
        <w:tab/>
        <w:t>Ангелика Нусбергер (Angelika Nußberger),</w:t>
      </w:r>
      <w:r>
        <w:rPr>
          <w:rStyle w:val="ECHRDecisionBody"/>
          <w:i/>
        </w:rPr>
        <w:t xml:space="preserve"> председател,</w:t>
      </w:r>
      <w:r>
        <w:br/>
      </w:r>
      <w:r>
        <w:rPr>
          <w:rStyle w:val="ECHRDecisionBody"/>
        </w:rPr>
        <w:tab/>
        <w:t>Ерик Мьозе (Erik Møse),</w:t>
      </w:r>
      <w:r>
        <w:br/>
      </w:r>
      <w:r>
        <w:rPr>
          <w:rStyle w:val="ECHRDecisionBody"/>
        </w:rPr>
        <w:tab/>
        <w:t>Андре Пото</w:t>
      </w:r>
      <w:r w:rsidR="00336DDD">
        <w:rPr>
          <w:rStyle w:val="ECHRDecisionBody"/>
        </w:rPr>
        <w:t>ц</w:t>
      </w:r>
      <w:r>
        <w:rPr>
          <w:rStyle w:val="ECHRDecisionBody"/>
        </w:rPr>
        <w:t>ки (André Potocki),</w:t>
      </w:r>
      <w:r>
        <w:br/>
      </w:r>
      <w:r>
        <w:rPr>
          <w:rStyle w:val="ECHRDecisionBody"/>
        </w:rPr>
        <w:tab/>
        <w:t>Йонко Грозев (Yonko Grozev),</w:t>
      </w:r>
      <w:r>
        <w:br/>
      </w:r>
      <w:r>
        <w:rPr>
          <w:rStyle w:val="ECHRDecisionBody"/>
        </w:rPr>
        <w:tab/>
        <w:t>Шифра О</w:t>
      </w:r>
      <w:r>
        <w:rPr>
          <w:rStyle w:val="ECHRDecisionBody"/>
          <w:cs/>
        </w:rPr>
        <w:t>’</w:t>
      </w:r>
      <w:r>
        <w:rPr>
          <w:rStyle w:val="ECHRDecisionBody"/>
        </w:rPr>
        <w:t>Лиъри (Síofra O</w:t>
      </w:r>
      <w:r>
        <w:rPr>
          <w:rStyle w:val="ECHRDecisionBody"/>
          <w:cs/>
        </w:rPr>
        <w:t>’</w:t>
      </w:r>
      <w:r>
        <w:rPr>
          <w:rStyle w:val="ECHRDecisionBody"/>
        </w:rPr>
        <w:t>Leary),</w:t>
      </w:r>
      <w:r>
        <w:br/>
      </w:r>
      <w:r>
        <w:rPr>
          <w:rStyle w:val="ECHRDecisionBody"/>
        </w:rPr>
        <w:tab/>
        <w:t>Мартинш Митс (Mārtiņš Mits),</w:t>
      </w:r>
      <w:r>
        <w:br/>
      </w:r>
      <w:r>
        <w:rPr>
          <w:rStyle w:val="ECHRDecisionBody"/>
        </w:rPr>
        <w:tab/>
        <w:t>Летиф Хюсеинов (Lәtif Hüseynov),</w:t>
      </w:r>
      <w:r>
        <w:rPr>
          <w:rStyle w:val="ECHRDecisionBody"/>
          <w:i/>
        </w:rPr>
        <w:t xml:space="preserve"> съдии,</w:t>
      </w:r>
      <w:r>
        <w:br/>
      </w:r>
      <w:r>
        <w:rPr>
          <w:rStyle w:val="ECHRDecisionBody"/>
        </w:rPr>
        <w:t xml:space="preserve">и Kлаудия Вестердик (Claudia Westerdiek), </w:t>
      </w:r>
      <w:r>
        <w:rPr>
          <w:rStyle w:val="ECHRDecisionBody"/>
          <w:i/>
        </w:rPr>
        <w:t>секретар на отделението,</w:t>
      </w:r>
    </w:p>
    <w:p w:rsidR="00F027FE" w:rsidRPr="00B328DE" w:rsidRDefault="00F027FE" w:rsidP="00F027FE">
      <w:pPr>
        <w:pStyle w:val="ECHRPara"/>
      </w:pPr>
      <w:r>
        <w:rPr>
          <w:rStyle w:val="ECHRPara"/>
          <w:szCs w:val="22"/>
        </w:rPr>
        <w:t>След закрито заседание, проведено на 31 октомври 2017 г.,</w:t>
      </w:r>
    </w:p>
    <w:p w:rsidR="00F027FE" w:rsidRPr="00B328DE" w:rsidRDefault="00584709" w:rsidP="00F027FE">
      <w:pPr>
        <w:pStyle w:val="ECHRPara"/>
      </w:pPr>
      <w:r>
        <w:rPr>
          <w:rStyle w:val="ECHRPara"/>
          <w:szCs w:val="22"/>
        </w:rPr>
        <w:t>п</w:t>
      </w:r>
      <w:r w:rsidR="00F027FE">
        <w:rPr>
          <w:rStyle w:val="ECHRPara"/>
          <w:szCs w:val="22"/>
        </w:rPr>
        <w:t xml:space="preserve">остановява следното решение, прието на </w:t>
      </w:r>
      <w:r w:rsidR="00B365B7">
        <w:rPr>
          <w:rStyle w:val="ECHRPara"/>
          <w:szCs w:val="22"/>
        </w:rPr>
        <w:t xml:space="preserve">същата </w:t>
      </w:r>
      <w:r w:rsidR="00F027FE">
        <w:rPr>
          <w:rStyle w:val="ECHRPara"/>
          <w:szCs w:val="22"/>
        </w:rPr>
        <w:t>дата:</w:t>
      </w:r>
    </w:p>
    <w:p w:rsidR="00F027FE" w:rsidRPr="00B328DE" w:rsidRDefault="00F027FE" w:rsidP="00F027FE">
      <w:pPr>
        <w:pStyle w:val="ECHRTitle1"/>
      </w:pPr>
      <w:r>
        <w:rPr>
          <w:rStyle w:val="ECHRTitle1"/>
        </w:rPr>
        <w:t>ПРОЦЕДУРА</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w:t>
      </w:r>
      <w:r>
        <w:fldChar w:fldCharType="end"/>
      </w:r>
      <w:r>
        <w:rPr>
          <w:rStyle w:val="ECHRPara"/>
          <w:szCs w:val="22"/>
        </w:rPr>
        <w:t>.  Делото е образувано по жалба (</w:t>
      </w:r>
      <w:r>
        <w:rPr>
          <w:rStyle w:val="ECHRPara"/>
          <w:szCs w:val="22"/>
          <w:cs/>
        </w:rPr>
        <w:t xml:space="preserve">№ </w:t>
      </w:r>
      <w:r>
        <w:rPr>
          <w:rStyle w:val="ECHRPara"/>
          <w:szCs w:val="22"/>
        </w:rPr>
        <w:t>47405/07) срещу Република България, под</w:t>
      </w:r>
      <w:r w:rsidR="00E15A0E">
        <w:rPr>
          <w:rStyle w:val="ECHRPara"/>
          <w:szCs w:val="22"/>
        </w:rPr>
        <w:t>адена пред Съда на основание член</w:t>
      </w:r>
      <w:r>
        <w:rPr>
          <w:rStyle w:val="ECHRPara"/>
          <w:szCs w:val="22"/>
        </w:rPr>
        <w:t xml:space="preserve"> 34 от Конвенцията за защита на правата на човека и основните свободи (</w:t>
      </w:r>
      <w:r>
        <w:rPr>
          <w:rStyle w:val="ECHRPara"/>
          <w:szCs w:val="22"/>
          <w:cs/>
        </w:rPr>
        <w:t>„</w:t>
      </w:r>
      <w:r>
        <w:rPr>
          <w:rStyle w:val="ECHRPara"/>
          <w:szCs w:val="22"/>
        </w:rPr>
        <w:t>Конвенцията</w:t>
      </w:r>
      <w:r>
        <w:rPr>
          <w:rStyle w:val="ECHRPara"/>
          <w:szCs w:val="22"/>
          <w:cs/>
        </w:rPr>
        <w:t>“</w:t>
      </w:r>
      <w:r>
        <w:rPr>
          <w:rStyle w:val="ECHRPara"/>
          <w:szCs w:val="22"/>
        </w:rPr>
        <w:t>) от седем български граждани, г-жа Мадлен Магърдич Ченгелян, г-жа Виктория Таквор Ченгелян, г-н Едуард Таквор Ченгелян, г-н Манук Гаро Ченгелян, г-жа Анаис Хампарцум Ширин, г-н Ехисаперт Ардаваст Хинтян и г-жа Астхиг Хампарцум Бедросян (</w:t>
      </w:r>
      <w:r>
        <w:rPr>
          <w:rStyle w:val="ECHRPara"/>
          <w:szCs w:val="22"/>
          <w:cs/>
        </w:rPr>
        <w:t>„</w:t>
      </w:r>
      <w:r>
        <w:rPr>
          <w:rStyle w:val="ECHRPara"/>
          <w:szCs w:val="22"/>
        </w:rPr>
        <w:t>жалбоподателите</w:t>
      </w:r>
      <w:r>
        <w:rPr>
          <w:rStyle w:val="ECHRPara"/>
          <w:szCs w:val="22"/>
          <w:cs/>
        </w:rPr>
        <w:t>“</w:t>
      </w:r>
      <w:r>
        <w:rPr>
          <w:rStyle w:val="ECHRPara"/>
          <w:szCs w:val="22"/>
        </w:rPr>
        <w:t xml:space="preserve">) на 24 септември 2007 г. Г-жа Анаис Хампарцум Ширин умира на 19 януари 2014 г. Нейните наследници г-н Баркев Камер Ширин, г-н Камер Баркев Ширин и г-н Аракси Баркев Ширин-Джунглас изразяват желание да </w:t>
      </w:r>
      <w:r w:rsidR="00336DDD">
        <w:rPr>
          <w:rStyle w:val="ECHRPara"/>
          <w:szCs w:val="22"/>
        </w:rPr>
        <w:t xml:space="preserve">встъпят в производството по </w:t>
      </w:r>
      <w:r>
        <w:rPr>
          <w:rStyle w:val="ECHRPara"/>
          <w:szCs w:val="22"/>
        </w:rPr>
        <w:t>жалбата на нейно място.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w:t>
      </w:r>
      <w:r>
        <w:fldChar w:fldCharType="end"/>
      </w:r>
      <w:r>
        <w:rPr>
          <w:rStyle w:val="ECHRPara"/>
          <w:szCs w:val="22"/>
        </w:rPr>
        <w:t>.  В решение, постановено на 21 април 2016 г. (</w:t>
      </w:r>
      <w:r>
        <w:rPr>
          <w:rStyle w:val="ECHRPara"/>
          <w:szCs w:val="22"/>
          <w:cs/>
        </w:rPr>
        <w:t>”</w:t>
      </w:r>
      <w:r>
        <w:rPr>
          <w:rStyle w:val="ECHRPara"/>
          <w:szCs w:val="22"/>
        </w:rPr>
        <w:t>основното решение</w:t>
      </w:r>
      <w:r>
        <w:rPr>
          <w:rStyle w:val="ECHRPara"/>
          <w:szCs w:val="22"/>
          <w:cs/>
        </w:rPr>
        <w:t>”</w:t>
      </w:r>
      <w:r>
        <w:rPr>
          <w:rStyle w:val="ECHRPara"/>
          <w:szCs w:val="22"/>
        </w:rPr>
        <w:t xml:space="preserve">), Съдът постановява, че преразглеждането и отхвърлянето на исковете на жалбоподателите във връзка с реституцията на къща с парцел, </w:t>
      </w:r>
      <w:r w:rsidR="00ED3FB9">
        <w:rPr>
          <w:rStyle w:val="ECHRPara"/>
          <w:szCs w:val="22"/>
        </w:rPr>
        <w:t xml:space="preserve">преди това </w:t>
      </w:r>
      <w:r w:rsidRPr="005C1AD4">
        <w:rPr>
          <w:rStyle w:val="ECHRPara"/>
          <w:szCs w:val="22"/>
        </w:rPr>
        <w:t>собственост на техните</w:t>
      </w:r>
      <w:r w:rsidR="000D3D30">
        <w:rPr>
          <w:rStyle w:val="ECHRPara"/>
          <w:szCs w:val="22"/>
        </w:rPr>
        <w:t xml:space="preserve"> наследодатели</w:t>
      </w:r>
      <w:r w:rsidRPr="005C1AD4">
        <w:rPr>
          <w:rStyle w:val="ECHRPara"/>
          <w:szCs w:val="22"/>
        </w:rPr>
        <w:t xml:space="preserve">, които вече са били удовлетворени </w:t>
      </w:r>
      <w:r w:rsidR="00ED3FB9">
        <w:rPr>
          <w:rStyle w:val="ECHRPara"/>
          <w:szCs w:val="22"/>
        </w:rPr>
        <w:t>с</w:t>
      </w:r>
      <w:r w:rsidRPr="005C1AD4">
        <w:rPr>
          <w:rStyle w:val="ECHRPara"/>
          <w:szCs w:val="22"/>
        </w:rPr>
        <w:t xml:space="preserve"> окончателно съдебно решение, нарушава принципа на правна сигурност</w:t>
      </w:r>
      <w:r>
        <w:rPr>
          <w:rStyle w:val="ECHRPara"/>
          <w:szCs w:val="22"/>
        </w:rPr>
        <w:t xml:space="preserve"> съгласно чл</w:t>
      </w:r>
      <w:r w:rsidR="002258E7">
        <w:rPr>
          <w:rStyle w:val="ECHRPara"/>
          <w:szCs w:val="22"/>
        </w:rPr>
        <w:t>ен</w:t>
      </w:r>
      <w:r>
        <w:rPr>
          <w:rStyle w:val="ECHRPara"/>
          <w:szCs w:val="22"/>
        </w:rPr>
        <w:t xml:space="preserve"> 6 § 1 от Конвенцията. Съдът освен това констатира, че последващата намеса в имуществените права на жалбоподателите е незаконна и следователно е в противоречие с чл</w:t>
      </w:r>
      <w:r w:rsidR="002258E7">
        <w:rPr>
          <w:rStyle w:val="ECHRPara"/>
          <w:szCs w:val="22"/>
        </w:rPr>
        <w:t>ен</w:t>
      </w:r>
      <w:r>
        <w:rPr>
          <w:rStyle w:val="ECHRPara"/>
          <w:szCs w:val="22"/>
        </w:rPr>
        <w:t xml:space="preserve"> 1 от Протокол </w:t>
      </w:r>
      <w:r>
        <w:rPr>
          <w:rStyle w:val="ECHRPara"/>
          <w:szCs w:val="22"/>
          <w:cs/>
        </w:rPr>
        <w:t xml:space="preserve">№ </w:t>
      </w:r>
      <w:r>
        <w:rPr>
          <w:rStyle w:val="ECHRPara"/>
          <w:szCs w:val="22"/>
        </w:rPr>
        <w:t xml:space="preserve">1 (вж. </w:t>
      </w:r>
      <w:r>
        <w:rPr>
          <w:rStyle w:val="ECHRPara"/>
          <w:i/>
          <w:szCs w:val="22"/>
        </w:rPr>
        <w:t>Ченгелян и други срещу България</w:t>
      </w:r>
      <w:r>
        <w:rPr>
          <w:rStyle w:val="ECHRPara"/>
          <w:szCs w:val="22"/>
        </w:rPr>
        <w:t xml:space="preserve">, </w:t>
      </w:r>
      <w:r>
        <w:rPr>
          <w:rStyle w:val="ECHRPara"/>
          <w:szCs w:val="22"/>
          <w:cs/>
        </w:rPr>
        <w:t xml:space="preserve">№ </w:t>
      </w:r>
      <w:r>
        <w:rPr>
          <w:rStyle w:val="ECHRPara"/>
          <w:szCs w:val="22"/>
        </w:rPr>
        <w:t>47405/07, 21 април 2016 г.).</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w:t>
      </w:r>
      <w:r>
        <w:fldChar w:fldCharType="end"/>
      </w:r>
      <w:r>
        <w:rPr>
          <w:rStyle w:val="ECHRPara"/>
          <w:szCs w:val="22"/>
        </w:rPr>
        <w:t>.  Жалбоподателите търсят справедливо обезщетение по чл</w:t>
      </w:r>
      <w:r w:rsidR="002258E7">
        <w:rPr>
          <w:rStyle w:val="ECHRPara"/>
          <w:szCs w:val="22"/>
        </w:rPr>
        <w:t>ен</w:t>
      </w:r>
      <w:r>
        <w:rPr>
          <w:rStyle w:val="ECHRPara"/>
          <w:szCs w:val="22"/>
        </w:rPr>
        <w:t xml:space="preserve"> 41 от Конвенцията.</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w:t>
      </w:r>
      <w:r>
        <w:fldChar w:fldCharType="end"/>
      </w:r>
      <w:r>
        <w:rPr>
          <w:rStyle w:val="ECHRPara"/>
          <w:szCs w:val="22"/>
        </w:rPr>
        <w:t>.  Тъй като въпросът за прилагането на чл</w:t>
      </w:r>
      <w:r w:rsidR="002258E7">
        <w:rPr>
          <w:rStyle w:val="ECHRPara"/>
          <w:szCs w:val="22"/>
        </w:rPr>
        <w:t>ен</w:t>
      </w:r>
      <w:r>
        <w:rPr>
          <w:rStyle w:val="ECHRPara"/>
          <w:szCs w:val="22"/>
        </w:rPr>
        <w:t xml:space="preserve"> 41 не е готов за </w:t>
      </w:r>
      <w:r w:rsidR="00A10EA8">
        <w:rPr>
          <w:rStyle w:val="ECHRPara"/>
          <w:szCs w:val="22"/>
        </w:rPr>
        <w:t xml:space="preserve">решаване </w:t>
      </w:r>
      <w:r>
        <w:rPr>
          <w:rStyle w:val="ECHRPara"/>
          <w:szCs w:val="22"/>
        </w:rPr>
        <w:t xml:space="preserve">по отношение на имуществените вреди, Съдът го </w:t>
      </w:r>
      <w:r w:rsidR="00E03DCB">
        <w:rPr>
          <w:rStyle w:val="ECHRPara"/>
          <w:szCs w:val="22"/>
        </w:rPr>
        <w:t>отлага</w:t>
      </w:r>
      <w:r>
        <w:rPr>
          <w:rStyle w:val="ECHRPara"/>
          <w:szCs w:val="22"/>
        </w:rPr>
        <w:t xml:space="preserve"> и приканва Правителството и жалбоподателите да представят в срок </w:t>
      </w:r>
      <w:r w:rsidR="001512C5">
        <w:rPr>
          <w:rStyle w:val="ECHRPara"/>
          <w:szCs w:val="22"/>
        </w:rPr>
        <w:t xml:space="preserve">до </w:t>
      </w:r>
      <w:r>
        <w:rPr>
          <w:rStyle w:val="ECHRPara"/>
          <w:szCs w:val="22"/>
        </w:rPr>
        <w:lastRenderedPageBreak/>
        <w:t>четири месеца от влизането на основното решение в сила писмен</w:t>
      </w:r>
      <w:r w:rsidR="002258E7">
        <w:rPr>
          <w:rStyle w:val="ECHRPara"/>
          <w:szCs w:val="22"/>
        </w:rPr>
        <w:t>ите</w:t>
      </w:r>
      <w:r>
        <w:rPr>
          <w:rStyle w:val="ECHRPara"/>
          <w:szCs w:val="22"/>
        </w:rPr>
        <w:t xml:space="preserve"> си становищ</w:t>
      </w:r>
      <w:r w:rsidR="002258E7">
        <w:rPr>
          <w:rStyle w:val="ECHRPara"/>
          <w:szCs w:val="22"/>
        </w:rPr>
        <w:t>а</w:t>
      </w:r>
      <w:r>
        <w:rPr>
          <w:rStyle w:val="ECHRPara"/>
          <w:szCs w:val="22"/>
        </w:rPr>
        <w:t xml:space="preserve"> по въпроса и по-конкретно да уведомят Съда за всяко евентуално постигнато споразумение (</w:t>
      </w:r>
      <w:r w:rsidR="00A10EA8" w:rsidRPr="00B328DE">
        <w:rPr>
          <w:i/>
        </w:rPr>
        <w:t>ibid</w:t>
      </w:r>
      <w:r>
        <w:rPr>
          <w:rStyle w:val="ECHRPara"/>
          <w:szCs w:val="22"/>
        </w:rPr>
        <w:t>, § 56 и точка 4 от диспозитива).</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5</w:t>
      </w:r>
      <w:r>
        <w:fldChar w:fldCharType="end"/>
      </w:r>
      <w:r>
        <w:rPr>
          <w:rStyle w:val="ECHRPara"/>
          <w:szCs w:val="22"/>
        </w:rPr>
        <w:t>.  И жалбоподателите, и Правителството подават становища. Те информират Съда, че не са успели да постигнат споразумение.</w:t>
      </w:r>
    </w:p>
    <w:p w:rsidR="00F027FE" w:rsidRPr="00B328DE" w:rsidRDefault="00E861BC" w:rsidP="00F027FE">
      <w:pPr>
        <w:pStyle w:val="ECHRTitle1"/>
      </w:pPr>
      <w:r>
        <w:rPr>
          <w:rStyle w:val="ECHRTitle1"/>
        </w:rPr>
        <w:t>ПРАВОТО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6</w:t>
      </w:r>
      <w:r>
        <w:fldChar w:fldCharType="end"/>
      </w:r>
      <w:r>
        <w:rPr>
          <w:rStyle w:val="ECHRPara"/>
          <w:szCs w:val="22"/>
        </w:rPr>
        <w:t>.  Чл</w:t>
      </w:r>
      <w:r w:rsidR="00DE138C">
        <w:rPr>
          <w:rStyle w:val="ECHRPara"/>
          <w:szCs w:val="22"/>
        </w:rPr>
        <w:t>ен</w:t>
      </w:r>
      <w:r>
        <w:rPr>
          <w:rStyle w:val="ECHRPara"/>
          <w:szCs w:val="22"/>
        </w:rPr>
        <w:t xml:space="preserve"> 41 от Конвенцията гласи:</w:t>
      </w:r>
    </w:p>
    <w:p w:rsidR="00F027FE" w:rsidRPr="00B328DE" w:rsidRDefault="00F027FE" w:rsidP="00F027FE">
      <w:pPr>
        <w:pStyle w:val="ECHRParaQuote"/>
      </w:pPr>
      <w:r>
        <w:rPr>
          <w:rStyle w:val="ECHRParaQuote"/>
          <w:cs/>
        </w:rPr>
        <w:t>“</w:t>
      </w:r>
      <w:r>
        <w:rPr>
          <w:rStyle w:val="ECHRParaQuote"/>
        </w:rPr>
        <w:t>Ако Съдът установи нарушение на Конвенцията или на Протоколите към нея и ако вътрешното право на съответната 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Pr>
          <w:rStyle w:val="ECHRParaQuote"/>
          <w:cs/>
        </w:rPr>
        <w:t>”</w:t>
      </w:r>
    </w:p>
    <w:p w:rsidR="00F027FE" w:rsidRPr="00B328DE" w:rsidRDefault="00F027FE" w:rsidP="00F027FE">
      <w:pPr>
        <w:pStyle w:val="ECHRHeading2"/>
      </w:pPr>
      <w:r>
        <w:rPr>
          <w:rStyle w:val="ECHRHeading2"/>
        </w:rPr>
        <w:t>А. Обезщетение за вреди</w:t>
      </w:r>
    </w:p>
    <w:p w:rsidR="00F027FE" w:rsidRPr="00B328DE" w:rsidRDefault="00F027FE" w:rsidP="00F027FE">
      <w:pPr>
        <w:pStyle w:val="ECHRHeading3"/>
      </w:pPr>
      <w:r>
        <w:rPr>
          <w:rStyle w:val="ECHRHeading3"/>
          <w:szCs w:val="22"/>
        </w:rPr>
        <w:t>1.  </w:t>
      </w:r>
      <w:r w:rsidR="00E03DCB" w:rsidDel="00E03DCB">
        <w:rPr>
          <w:rStyle w:val="ECHRHeading3"/>
          <w:szCs w:val="22"/>
        </w:rPr>
        <w:t xml:space="preserve"> </w:t>
      </w:r>
      <w:r>
        <w:rPr>
          <w:rStyle w:val="ECHRHeading3"/>
          <w:szCs w:val="22"/>
        </w:rPr>
        <w:t xml:space="preserve"> </w:t>
      </w:r>
      <w:r w:rsidR="00E03DCB">
        <w:rPr>
          <w:rStyle w:val="ECHRHeading3"/>
          <w:szCs w:val="22"/>
        </w:rPr>
        <w:t xml:space="preserve">Претенциите </w:t>
      </w:r>
      <w:r>
        <w:rPr>
          <w:rStyle w:val="ECHRHeading3"/>
          <w:szCs w:val="22"/>
        </w:rPr>
        <w:t>на страните</w:t>
      </w:r>
    </w:p>
    <w:p w:rsidR="00F027FE" w:rsidRPr="00B328DE" w:rsidRDefault="00F027FE" w:rsidP="00F027FE">
      <w:pPr>
        <w:pStyle w:val="ECHRHeading4"/>
      </w:pPr>
      <w:r>
        <w:rPr>
          <w:rStyle w:val="ECHRHeading4"/>
          <w:szCs w:val="22"/>
        </w:rPr>
        <w:t>(а</w:t>
      </w:r>
      <w:r w:rsidRPr="005C1AD4">
        <w:rPr>
          <w:rStyle w:val="ECHRHeading4"/>
          <w:szCs w:val="22"/>
        </w:rPr>
        <w:t>) Претенциите на жалбоподателите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7</w:t>
      </w:r>
      <w:r>
        <w:fldChar w:fldCharType="end"/>
      </w:r>
      <w:r>
        <w:rPr>
          <w:rStyle w:val="ECHRPara"/>
          <w:szCs w:val="22"/>
        </w:rPr>
        <w:t>.  Жалбоподателите претендират сума, равна на пазарната стойност на имо</w:t>
      </w:r>
      <w:r w:rsidR="00DE138C">
        <w:rPr>
          <w:rStyle w:val="ECHRPara"/>
          <w:szCs w:val="22"/>
        </w:rPr>
        <w:t>та</w:t>
      </w:r>
      <w:r>
        <w:rPr>
          <w:rStyle w:val="ECHRPara"/>
          <w:szCs w:val="22"/>
        </w:rPr>
        <w:t>, ко</w:t>
      </w:r>
      <w:r w:rsidR="002674B9">
        <w:rPr>
          <w:rStyle w:val="ECHRPara"/>
          <w:szCs w:val="22"/>
        </w:rPr>
        <w:t>я</w:t>
      </w:r>
      <w:r>
        <w:rPr>
          <w:rStyle w:val="ECHRPara"/>
          <w:szCs w:val="22"/>
        </w:rPr>
        <w:t>то са претендирали в производств</w:t>
      </w:r>
      <w:r w:rsidR="00811344">
        <w:rPr>
          <w:rStyle w:val="ECHRPara"/>
          <w:szCs w:val="22"/>
        </w:rPr>
        <w:t>ото пред националните съдилища</w:t>
      </w:r>
      <w:r>
        <w:rPr>
          <w:rStyle w:val="ECHRPara"/>
          <w:szCs w:val="22"/>
        </w:rPr>
        <w:t>. Имуществото представлява двуетажна къща с мазе с площ от 160 кв.м. и парцел с площ от 246 кв.м. или 250 кв.м., разположени в историческия център на Пловдив.</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8</w:t>
      </w:r>
      <w:r>
        <w:fldChar w:fldCharType="end"/>
      </w:r>
      <w:r>
        <w:rPr>
          <w:rStyle w:val="ECHRPara"/>
          <w:szCs w:val="22"/>
        </w:rPr>
        <w:t>.  В подкрепа на тази претенция жалбоподателите представят експерт</w:t>
      </w:r>
      <w:r w:rsidR="002674B9">
        <w:rPr>
          <w:rStyle w:val="ECHRPara"/>
          <w:szCs w:val="22"/>
        </w:rPr>
        <w:t>на оценка</w:t>
      </w:r>
      <w:r>
        <w:rPr>
          <w:rStyle w:val="ECHRPara"/>
          <w:szCs w:val="22"/>
        </w:rPr>
        <w:t xml:space="preserve">, </w:t>
      </w:r>
      <w:r w:rsidR="002674B9">
        <w:rPr>
          <w:rStyle w:val="ECHRPara"/>
          <w:szCs w:val="22"/>
        </w:rPr>
        <w:t>изготвена</w:t>
      </w:r>
      <w:r w:rsidR="00E15A0E">
        <w:rPr>
          <w:rStyle w:val="ECHRPara"/>
          <w:szCs w:val="22"/>
        </w:rPr>
        <w:t xml:space="preserve"> през март 2014 г.</w:t>
      </w:r>
      <w:r w:rsidRPr="005C1AD4">
        <w:rPr>
          <w:rStyle w:val="ECHRPara"/>
          <w:szCs w:val="22"/>
        </w:rPr>
        <w:t>, ко</w:t>
      </w:r>
      <w:r w:rsidR="002674B9">
        <w:rPr>
          <w:rStyle w:val="ECHRPara"/>
          <w:szCs w:val="22"/>
        </w:rPr>
        <w:t>я</w:t>
      </w:r>
      <w:r w:rsidRPr="005C1AD4">
        <w:rPr>
          <w:rStyle w:val="ECHRPara"/>
          <w:szCs w:val="22"/>
        </w:rPr>
        <w:t>то са представили при първоначалното разглеждане</w:t>
      </w:r>
      <w:r>
        <w:rPr>
          <w:rStyle w:val="ECHRPara"/>
          <w:szCs w:val="22"/>
        </w:rPr>
        <w:t xml:space="preserve"> на делото от Съда (вж. § 54 от основното решение). Експертът потвърждава предишните си заключения относно пазарната стойност на имота, обяснявайки, че междувременно цените в района не са се променили съществено. </w:t>
      </w:r>
      <w:r w:rsidRPr="005C1AD4">
        <w:rPr>
          <w:rStyle w:val="ECHRPara"/>
          <w:szCs w:val="22"/>
        </w:rPr>
        <w:t>Докладът</w:t>
      </w:r>
      <w:r>
        <w:rPr>
          <w:rStyle w:val="ECHRPara"/>
          <w:szCs w:val="22"/>
        </w:rPr>
        <w:t xml:space="preserve"> от март 2014 г. се основава на информация за скорошни реални продажби на подобни имоти в района, възможните приходи от наем и в по-малка степен на разходите, които биха възникнали, ако същата къща бъде реконструирана.</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9</w:t>
      </w:r>
      <w:r>
        <w:fldChar w:fldCharType="end"/>
      </w:r>
      <w:r>
        <w:rPr>
          <w:rStyle w:val="ECHRPara"/>
          <w:szCs w:val="22"/>
        </w:rPr>
        <w:t>.  Въз основа на информация за продажби на подобни имоти</w:t>
      </w:r>
      <w:r w:rsidR="00DE138C">
        <w:rPr>
          <w:rStyle w:val="ECHRPara"/>
          <w:szCs w:val="22"/>
        </w:rPr>
        <w:t>, извършени наскоро,</w:t>
      </w:r>
      <w:r>
        <w:rPr>
          <w:rStyle w:val="ECHRPara"/>
          <w:szCs w:val="22"/>
        </w:rPr>
        <w:t xml:space="preserve"> експертът изчислява, че стойността на земята е 660.55 евро </w:t>
      </w:r>
      <w:r w:rsidR="002335DB">
        <w:rPr>
          <w:rStyle w:val="ECHRPara"/>
          <w:szCs w:val="22"/>
        </w:rPr>
        <w:t>з</w:t>
      </w:r>
      <w:r>
        <w:rPr>
          <w:rStyle w:val="ECHRPara"/>
          <w:szCs w:val="22"/>
        </w:rPr>
        <w:t xml:space="preserve">а кв.м. (общо 246 кв.м.), а стойността на къщата е 839.83 евро </w:t>
      </w:r>
      <w:r w:rsidR="002335DB">
        <w:rPr>
          <w:rStyle w:val="ECHRPara"/>
          <w:szCs w:val="22"/>
        </w:rPr>
        <w:t>з</w:t>
      </w:r>
      <w:r>
        <w:rPr>
          <w:rStyle w:val="ECHRPara"/>
          <w:szCs w:val="22"/>
        </w:rPr>
        <w:t xml:space="preserve">а кв.м. (общо 480 кв.м., като се има предвид, че тя има два етажа и мазе). След корекции въз основа на други методи на изчисление, </w:t>
      </w:r>
      <w:r>
        <w:rPr>
          <w:rStyle w:val="ECHRPara"/>
          <w:szCs w:val="22"/>
          <w:cs/>
        </w:rPr>
        <w:t>“</w:t>
      </w:r>
      <w:r>
        <w:rPr>
          <w:rStyle w:val="ECHRPara"/>
          <w:szCs w:val="22"/>
        </w:rPr>
        <w:t>справедливата пазарна стойност</w:t>
      </w:r>
      <w:r>
        <w:rPr>
          <w:rStyle w:val="ECHRPara"/>
          <w:szCs w:val="22"/>
          <w:cs/>
        </w:rPr>
        <w:t xml:space="preserve">” </w:t>
      </w:r>
      <w:r>
        <w:rPr>
          <w:rStyle w:val="ECHRPara"/>
          <w:szCs w:val="22"/>
        </w:rPr>
        <w:t>на целия имот възлиза на 587 000 евро.</w:t>
      </w:r>
    </w:p>
    <w:p w:rsidR="00F027FE" w:rsidRPr="00B328DE" w:rsidRDefault="00F027FE" w:rsidP="00F027FE">
      <w:pPr>
        <w:pStyle w:val="ECHRPara"/>
      </w:pPr>
      <w:r>
        <w:lastRenderedPageBreak/>
        <w:fldChar w:fldCharType="begin"/>
      </w:r>
      <w:r>
        <w:rPr>
          <w:rStyle w:val="ECHRPara"/>
          <w:szCs w:val="22"/>
        </w:rPr>
        <w:instrText xml:space="preserve"> SEQ level0 \*arabic </w:instrText>
      </w:r>
      <w:r>
        <w:fldChar w:fldCharType="separate"/>
      </w:r>
      <w:r w:rsidR="00CC3E99">
        <w:rPr>
          <w:rStyle w:val="ECHRPara"/>
          <w:noProof/>
          <w:szCs w:val="22"/>
        </w:rPr>
        <w:t>10</w:t>
      </w:r>
      <w:r>
        <w:fldChar w:fldCharType="end"/>
      </w:r>
      <w:r>
        <w:rPr>
          <w:rStyle w:val="ECHRPara"/>
          <w:szCs w:val="22"/>
        </w:rPr>
        <w:t xml:space="preserve">.   </w:t>
      </w:r>
      <w:r w:rsidR="002335DB">
        <w:rPr>
          <w:rStyle w:val="ECHRPara"/>
          <w:szCs w:val="22"/>
        </w:rPr>
        <w:t>Ж</w:t>
      </w:r>
      <w:r>
        <w:rPr>
          <w:rStyle w:val="ECHRPara"/>
          <w:szCs w:val="22"/>
        </w:rPr>
        <w:t>албоподателите претендират пропуснати ползи, тъй като не са могли да ползват въпросн</w:t>
      </w:r>
      <w:r w:rsidR="002335DB">
        <w:rPr>
          <w:rStyle w:val="ECHRPara"/>
          <w:szCs w:val="22"/>
        </w:rPr>
        <w:t>ия</w:t>
      </w:r>
      <w:r>
        <w:rPr>
          <w:rStyle w:val="ECHRPara"/>
          <w:szCs w:val="22"/>
        </w:rPr>
        <w:t xml:space="preserve"> имо</w:t>
      </w:r>
      <w:r w:rsidR="002335DB">
        <w:rPr>
          <w:rStyle w:val="ECHRPara"/>
          <w:szCs w:val="22"/>
        </w:rPr>
        <w:t>т</w:t>
      </w:r>
      <w:r>
        <w:rPr>
          <w:rStyle w:val="ECHRPara"/>
          <w:szCs w:val="22"/>
        </w:rPr>
        <w:t xml:space="preserve"> между 2 октомври 1998 г. - датата на окончателното </w:t>
      </w:r>
      <w:r w:rsidRPr="005C1AD4">
        <w:rPr>
          <w:rStyle w:val="ECHRPara"/>
          <w:szCs w:val="22"/>
        </w:rPr>
        <w:t>решение на национално</w:t>
      </w:r>
      <w:r w:rsidR="00DE138C">
        <w:rPr>
          <w:rStyle w:val="ECHRPara"/>
          <w:szCs w:val="22"/>
        </w:rPr>
        <w:t xml:space="preserve"> ниво</w:t>
      </w:r>
      <w:r w:rsidRPr="005C1AD4">
        <w:rPr>
          <w:rStyle w:val="ECHRPara"/>
          <w:szCs w:val="22"/>
        </w:rPr>
        <w:t xml:space="preserve">, </w:t>
      </w:r>
      <w:r w:rsidR="00DE138C">
        <w:rPr>
          <w:rStyle w:val="ECHRPara"/>
          <w:szCs w:val="22"/>
        </w:rPr>
        <w:t xml:space="preserve">с </w:t>
      </w:r>
      <w:r w:rsidR="00DC6B8E" w:rsidRPr="005C1AD4">
        <w:rPr>
          <w:rStyle w:val="ECHRPara"/>
          <w:szCs w:val="22"/>
        </w:rPr>
        <w:t xml:space="preserve">което </w:t>
      </w:r>
      <w:r w:rsidR="00DE138C">
        <w:rPr>
          <w:rStyle w:val="ECHRPara"/>
          <w:szCs w:val="22"/>
        </w:rPr>
        <w:t xml:space="preserve">се </w:t>
      </w:r>
      <w:r w:rsidR="00E818FF">
        <w:rPr>
          <w:rStyle w:val="ECHRPara"/>
          <w:szCs w:val="22"/>
        </w:rPr>
        <w:t>у</w:t>
      </w:r>
      <w:r w:rsidR="00E15A0E">
        <w:rPr>
          <w:rStyle w:val="ECHRPara"/>
          <w:szCs w:val="22"/>
        </w:rPr>
        <w:t>важа</w:t>
      </w:r>
      <w:r w:rsidR="00E818FF">
        <w:rPr>
          <w:rStyle w:val="ECHRPara"/>
          <w:szCs w:val="22"/>
        </w:rPr>
        <w:t xml:space="preserve">ва </w:t>
      </w:r>
      <w:r>
        <w:rPr>
          <w:rStyle w:val="ECHRPara"/>
          <w:szCs w:val="22"/>
        </w:rPr>
        <w:t>иск</w:t>
      </w:r>
      <w:r w:rsidR="00E818FF">
        <w:rPr>
          <w:rStyle w:val="ECHRPara"/>
          <w:szCs w:val="22"/>
        </w:rPr>
        <w:t>ът им</w:t>
      </w:r>
      <w:r>
        <w:rPr>
          <w:rStyle w:val="ECHRPara"/>
          <w:szCs w:val="22"/>
        </w:rPr>
        <w:t xml:space="preserve"> за реституция</w:t>
      </w:r>
      <w:r w:rsidR="00DC6B8E">
        <w:rPr>
          <w:rStyle w:val="ECHRPara"/>
          <w:szCs w:val="22"/>
        </w:rPr>
        <w:t xml:space="preserve"> </w:t>
      </w:r>
      <w:r>
        <w:rPr>
          <w:rStyle w:val="ECHRPara"/>
          <w:szCs w:val="22"/>
        </w:rPr>
        <w:t>(вж. § 9 от основното решение), и декември 2016 г. По тази позиция жалбоподателите претендират пазарн</w:t>
      </w:r>
      <w:r w:rsidR="002335DB">
        <w:rPr>
          <w:rStyle w:val="ECHRPara"/>
          <w:szCs w:val="22"/>
        </w:rPr>
        <w:t>а стойност на</w:t>
      </w:r>
      <w:r>
        <w:rPr>
          <w:rStyle w:val="ECHRPara"/>
          <w:szCs w:val="22"/>
        </w:rPr>
        <w:t xml:space="preserve"> наем на имота за въпросния период и представят друг експертен доклад, изчисляващ общата сума на наема, плюс лихвата за забава, на 1 483 452 български лева (BGN - приблизително 756 860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11</w:t>
      </w:r>
      <w:r>
        <w:fldChar w:fldCharType="end"/>
      </w:r>
      <w:r>
        <w:rPr>
          <w:rStyle w:val="ECHRPara"/>
          <w:szCs w:val="22"/>
        </w:rPr>
        <w:t xml:space="preserve">.  Жалбоподателите молят всяко </w:t>
      </w:r>
      <w:r w:rsidR="00E03DCB">
        <w:rPr>
          <w:rStyle w:val="ECHRPara"/>
          <w:szCs w:val="22"/>
        </w:rPr>
        <w:t>обезщетение</w:t>
      </w:r>
      <w:r>
        <w:rPr>
          <w:rStyle w:val="ECHRPara"/>
          <w:szCs w:val="22"/>
        </w:rPr>
        <w:t xml:space="preserve"> за имуществени вреди, </w:t>
      </w:r>
      <w:r w:rsidR="00D73B66">
        <w:rPr>
          <w:rStyle w:val="ECHRPara"/>
          <w:szCs w:val="22"/>
        </w:rPr>
        <w:t>определено</w:t>
      </w:r>
      <w:r>
        <w:rPr>
          <w:rStyle w:val="ECHRPara"/>
          <w:szCs w:val="22"/>
        </w:rPr>
        <w:t xml:space="preserve"> от Съда, да бъде разпределено между тях в съответствие с техните дялове от наследството.</w:t>
      </w:r>
    </w:p>
    <w:p w:rsidR="00F027FE" w:rsidRPr="00B328DE" w:rsidRDefault="00F027FE" w:rsidP="00F027FE">
      <w:pPr>
        <w:pStyle w:val="ECHRHeading4"/>
      </w:pPr>
      <w:r>
        <w:rPr>
          <w:rStyle w:val="ECHRHeading4"/>
          <w:szCs w:val="22"/>
        </w:rPr>
        <w:t xml:space="preserve">(б) </w:t>
      </w:r>
      <w:r w:rsidRPr="005C1AD4">
        <w:rPr>
          <w:rStyle w:val="ECHRHeading4"/>
          <w:szCs w:val="22"/>
        </w:rPr>
        <w:t>Позицията</w:t>
      </w:r>
      <w:r>
        <w:rPr>
          <w:rStyle w:val="ECHRHeading4"/>
          <w:szCs w:val="22"/>
        </w:rPr>
        <w:t xml:space="preserve"> на Правителството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12</w:t>
      </w:r>
      <w:r>
        <w:fldChar w:fldCharType="end"/>
      </w:r>
      <w:r>
        <w:rPr>
          <w:rStyle w:val="ECHRPara"/>
          <w:szCs w:val="22"/>
        </w:rPr>
        <w:t xml:space="preserve">.  Правителството посочва, че </w:t>
      </w:r>
      <w:r w:rsidR="003B3A6E">
        <w:rPr>
          <w:rStyle w:val="ECHRPara"/>
          <w:szCs w:val="22"/>
        </w:rPr>
        <w:t>данъчната оценка на</w:t>
      </w:r>
      <w:r>
        <w:rPr>
          <w:rStyle w:val="ECHRPara"/>
          <w:szCs w:val="22"/>
        </w:rPr>
        <w:t xml:space="preserve"> въпросния </w:t>
      </w:r>
      <w:r w:rsidR="003B3A6E">
        <w:rPr>
          <w:rStyle w:val="ECHRPara"/>
          <w:szCs w:val="22"/>
        </w:rPr>
        <w:t xml:space="preserve">недвижим </w:t>
      </w:r>
      <w:r>
        <w:rPr>
          <w:rStyle w:val="ECHRPara"/>
          <w:szCs w:val="22"/>
        </w:rPr>
        <w:t xml:space="preserve">имот е на </w:t>
      </w:r>
      <w:r w:rsidR="003B3A6E">
        <w:rPr>
          <w:rStyle w:val="ECHRPara"/>
          <w:szCs w:val="22"/>
        </w:rPr>
        <w:t xml:space="preserve">стойност </w:t>
      </w:r>
      <w:r>
        <w:rPr>
          <w:rStyle w:val="ECHRPara"/>
          <w:szCs w:val="22"/>
        </w:rPr>
        <w:t>375 318,70 лв. (равностойността на 191 489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13</w:t>
      </w:r>
      <w:r>
        <w:fldChar w:fldCharType="end"/>
      </w:r>
      <w:r>
        <w:rPr>
          <w:rStyle w:val="ECHRPara"/>
          <w:szCs w:val="22"/>
        </w:rPr>
        <w:t xml:space="preserve">.  Правителството също така представя експертен доклад за пазарната стойност на имота, възложен през септември 2016 г. от Община Пловдив. Този доклад се основава на оферти за продажба на подобни имоти в района, тъй като в доклада се отбелязва, че през предходната година не са регистрирани реални продажби. Експертът смята, че стойността на земята е 449 евро </w:t>
      </w:r>
      <w:r w:rsidR="003B3A6E">
        <w:rPr>
          <w:rStyle w:val="ECHRPara"/>
          <w:szCs w:val="22"/>
        </w:rPr>
        <w:t>з</w:t>
      </w:r>
      <w:r>
        <w:rPr>
          <w:rStyle w:val="ECHRPara"/>
          <w:szCs w:val="22"/>
        </w:rPr>
        <w:t>а кв.м., ко</w:t>
      </w:r>
      <w:r w:rsidR="00581B3B">
        <w:rPr>
          <w:rStyle w:val="ECHRPara"/>
          <w:szCs w:val="22"/>
        </w:rPr>
        <w:t>я</w:t>
      </w:r>
      <w:r>
        <w:rPr>
          <w:rStyle w:val="ECHRPara"/>
          <w:szCs w:val="22"/>
        </w:rPr>
        <w:t>то трябва да бъде намален</w:t>
      </w:r>
      <w:r w:rsidR="00581B3B">
        <w:rPr>
          <w:rStyle w:val="ECHRPara"/>
          <w:szCs w:val="22"/>
        </w:rPr>
        <w:t>а</w:t>
      </w:r>
      <w:r>
        <w:rPr>
          <w:rStyle w:val="ECHRPara"/>
          <w:szCs w:val="22"/>
        </w:rPr>
        <w:t xml:space="preserve"> на 270 евро </w:t>
      </w:r>
      <w:r w:rsidR="003B3A6E">
        <w:rPr>
          <w:rStyle w:val="ECHRPara"/>
          <w:szCs w:val="22"/>
        </w:rPr>
        <w:t>з</w:t>
      </w:r>
      <w:r>
        <w:rPr>
          <w:rStyle w:val="ECHRPara"/>
          <w:szCs w:val="22"/>
        </w:rPr>
        <w:t xml:space="preserve">а кв.м., за да се отчетат фактори като </w:t>
      </w:r>
      <w:r>
        <w:rPr>
          <w:rStyle w:val="ECHRPara"/>
          <w:szCs w:val="22"/>
          <w:cs/>
        </w:rPr>
        <w:t>“</w:t>
      </w:r>
      <w:r>
        <w:rPr>
          <w:rStyle w:val="ECHRPara"/>
          <w:szCs w:val="22"/>
        </w:rPr>
        <w:t>местоположение</w:t>
      </w:r>
      <w:r>
        <w:rPr>
          <w:rStyle w:val="ECHRPara"/>
          <w:szCs w:val="22"/>
          <w:cs/>
        </w:rPr>
        <w:t>”</w:t>
      </w:r>
      <w:r>
        <w:rPr>
          <w:rStyle w:val="ECHRPara"/>
          <w:szCs w:val="22"/>
        </w:rPr>
        <w:t xml:space="preserve">, </w:t>
      </w:r>
      <w:r>
        <w:rPr>
          <w:rStyle w:val="ECHRPara"/>
          <w:szCs w:val="22"/>
          <w:cs/>
        </w:rPr>
        <w:t>“</w:t>
      </w:r>
      <w:r>
        <w:rPr>
          <w:rStyle w:val="ECHRPara"/>
          <w:szCs w:val="22"/>
        </w:rPr>
        <w:t>възможности за строителство</w:t>
      </w:r>
      <w:r>
        <w:rPr>
          <w:rStyle w:val="ECHRPara"/>
          <w:szCs w:val="22"/>
          <w:cs/>
        </w:rPr>
        <w:t xml:space="preserve">” </w:t>
      </w:r>
      <w:r>
        <w:rPr>
          <w:rStyle w:val="ECHRPara"/>
          <w:szCs w:val="22"/>
        </w:rPr>
        <w:t xml:space="preserve">и </w:t>
      </w:r>
      <w:r>
        <w:rPr>
          <w:rStyle w:val="ECHRPara"/>
          <w:szCs w:val="22"/>
          <w:cs/>
        </w:rPr>
        <w:t>“</w:t>
      </w:r>
      <w:r>
        <w:rPr>
          <w:rStyle w:val="ECHRPara"/>
          <w:szCs w:val="22"/>
        </w:rPr>
        <w:t>съсобственост</w:t>
      </w:r>
      <w:r>
        <w:rPr>
          <w:rStyle w:val="ECHRPara"/>
          <w:szCs w:val="22"/>
          <w:cs/>
        </w:rPr>
        <w:t>”</w:t>
      </w:r>
      <w:r>
        <w:rPr>
          <w:rStyle w:val="ECHRPara"/>
          <w:szCs w:val="22"/>
        </w:rPr>
        <w:t xml:space="preserve">. Що се отнася до къщата, пазарната ѝ стойност е 907 евро </w:t>
      </w:r>
      <w:r w:rsidR="003B3A6E">
        <w:rPr>
          <w:rStyle w:val="ECHRPara"/>
          <w:szCs w:val="22"/>
        </w:rPr>
        <w:t>з</w:t>
      </w:r>
      <w:r>
        <w:rPr>
          <w:rStyle w:val="ECHRPara"/>
          <w:szCs w:val="22"/>
        </w:rPr>
        <w:t>а кв.м. Според експерта цялата пазарна с</w:t>
      </w:r>
      <w:r w:rsidR="00DB791E">
        <w:rPr>
          <w:rStyle w:val="ECHRPara"/>
          <w:szCs w:val="22"/>
        </w:rPr>
        <w:t>тойност на имота по този начин възлиза на</w:t>
      </w:r>
      <w:r>
        <w:rPr>
          <w:rStyle w:val="ECHRPara"/>
          <w:szCs w:val="22"/>
        </w:rPr>
        <w:t xml:space="preserve"> 943 000 лева (равностойността на 481 122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14</w:t>
      </w:r>
      <w:r>
        <w:fldChar w:fldCharType="end"/>
      </w:r>
      <w:r>
        <w:rPr>
          <w:rStyle w:val="ECHRPara"/>
          <w:szCs w:val="22"/>
        </w:rPr>
        <w:t xml:space="preserve">.  Правителството представя друг експертен доклад </w:t>
      </w:r>
      <w:r w:rsidR="00C71FAD">
        <w:rPr>
          <w:rStyle w:val="ECHRPara"/>
          <w:szCs w:val="22"/>
        </w:rPr>
        <w:t xml:space="preserve">за направените от властите </w:t>
      </w:r>
      <w:r>
        <w:rPr>
          <w:rStyle w:val="ECHRPara"/>
          <w:szCs w:val="22"/>
        </w:rPr>
        <w:t xml:space="preserve">подобрения в имота след отчуждаването му през 1966 г. </w:t>
      </w:r>
      <w:r w:rsidR="00C71FAD">
        <w:rPr>
          <w:rStyle w:val="ECHRPara"/>
          <w:szCs w:val="22"/>
        </w:rPr>
        <w:t>Т</w:t>
      </w:r>
      <w:r>
        <w:rPr>
          <w:rStyle w:val="ECHRPara"/>
          <w:szCs w:val="22"/>
        </w:rPr>
        <w:t xml:space="preserve">ози документ </w:t>
      </w:r>
      <w:r w:rsidR="00C71FAD">
        <w:rPr>
          <w:rStyle w:val="ECHRPara"/>
          <w:szCs w:val="22"/>
        </w:rPr>
        <w:t>посочва</w:t>
      </w:r>
      <w:r>
        <w:rPr>
          <w:rStyle w:val="ECHRPara"/>
          <w:szCs w:val="22"/>
        </w:rPr>
        <w:t xml:space="preserve">, че през 1966 г. къщата на жалбоподателите, паметник на културата от 1949 г. (вж. § 7 от основното решение), е била в </w:t>
      </w:r>
      <w:r>
        <w:rPr>
          <w:rStyle w:val="ECHRPara"/>
          <w:szCs w:val="22"/>
          <w:cs/>
        </w:rPr>
        <w:t>“</w:t>
      </w:r>
      <w:r>
        <w:rPr>
          <w:rStyle w:val="ECHRPara"/>
          <w:szCs w:val="22"/>
        </w:rPr>
        <w:t>незадоволително</w:t>
      </w:r>
      <w:r>
        <w:rPr>
          <w:rStyle w:val="ECHRPara"/>
          <w:szCs w:val="22"/>
          <w:cs/>
        </w:rPr>
        <w:t xml:space="preserve">” </w:t>
      </w:r>
      <w:r>
        <w:rPr>
          <w:rStyle w:val="ECHRPara"/>
          <w:szCs w:val="22"/>
        </w:rPr>
        <w:t xml:space="preserve">състояние и </w:t>
      </w:r>
      <w:r w:rsidR="00C71FAD">
        <w:rPr>
          <w:rStyle w:val="ECHRPara"/>
          <w:szCs w:val="22"/>
        </w:rPr>
        <w:t xml:space="preserve">лошо </w:t>
      </w:r>
      <w:r>
        <w:rPr>
          <w:rStyle w:val="ECHRPara"/>
          <w:szCs w:val="22"/>
        </w:rPr>
        <w:t>поддържана. През годините след отчуждаването това е наложило мащабни реставрационни работи, включително изграждането на нов покрив, укрепване на сградата, подмяна на прозорците и електрическите и водопроводните системи и възстановяване на вътрешната и външната декорация. Между 1971 и 1974 г. мазето на къщата е превърнато в ресторант. След пожар през 1978 г., който до голяма степен унищожава втория етаж и покрива на къщата, предишната ѝ дървена конструкция е заменена със стоманобетонна конструкция и са извършени допълнителни реставрационни работи. Къщата е построена през 1850-56 г. и реставрационните работи са имали за цел да запазят</w:t>
      </w:r>
      <w:r w:rsidR="003D756A">
        <w:rPr>
          <w:rStyle w:val="ECHRPara"/>
          <w:szCs w:val="22"/>
        </w:rPr>
        <w:t>,</w:t>
      </w:r>
      <w:r>
        <w:rPr>
          <w:rStyle w:val="ECHRPara"/>
          <w:szCs w:val="22"/>
        </w:rPr>
        <w:t xml:space="preserve"> доколкото е възможно</w:t>
      </w:r>
      <w:r w:rsidR="003D756A">
        <w:rPr>
          <w:rStyle w:val="ECHRPara"/>
          <w:szCs w:val="22"/>
        </w:rPr>
        <w:t>,</w:t>
      </w:r>
      <w:r>
        <w:rPr>
          <w:rStyle w:val="ECHRPara"/>
          <w:szCs w:val="22"/>
        </w:rPr>
        <w:t xml:space="preserve"> автентичния ѝ вид. Според въпросния доклад актуалната стойност на всички извършени от държавата ремонтни и </w:t>
      </w:r>
      <w:r>
        <w:rPr>
          <w:rStyle w:val="ECHRPara"/>
          <w:szCs w:val="22"/>
        </w:rPr>
        <w:lastRenderedPageBreak/>
        <w:t>възстановителни работи е 1 138 481 лв.</w:t>
      </w:r>
      <w:r w:rsidR="006763AB" w:rsidRPr="002258E7">
        <w:rPr>
          <w:rStyle w:val="ECHRPara"/>
          <w:szCs w:val="22"/>
        </w:rPr>
        <w:t xml:space="preserve"> </w:t>
      </w:r>
      <w:r>
        <w:rPr>
          <w:rStyle w:val="ECHRPara"/>
          <w:szCs w:val="22"/>
        </w:rPr>
        <w:t>(равностойността на 580 857 евро); тези работи са увеличили пазарната стойност на имота с 363 396 лева (равностойността на 185 406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15</w:t>
      </w:r>
      <w:r>
        <w:fldChar w:fldCharType="end"/>
      </w:r>
      <w:r>
        <w:rPr>
          <w:rStyle w:val="ECHRPara"/>
          <w:szCs w:val="22"/>
        </w:rPr>
        <w:t>.  Правителството представя многобройни документи, свързани с отчуждаването и възстановяването на имота от държавата. По-конкретно</w:t>
      </w:r>
      <w:r w:rsidR="00D73B66">
        <w:rPr>
          <w:rStyle w:val="ECHRPara"/>
          <w:szCs w:val="22"/>
        </w:rPr>
        <w:t>,</w:t>
      </w:r>
      <w:r>
        <w:rPr>
          <w:rStyle w:val="ECHRPara"/>
          <w:szCs w:val="22"/>
        </w:rPr>
        <w:t xml:space="preserve"> докладът от 1965 г. на </w:t>
      </w:r>
      <w:r w:rsidR="006763AB">
        <w:rPr>
          <w:rStyle w:val="ECHRPara"/>
          <w:szCs w:val="22"/>
        </w:rPr>
        <w:t>тогава</w:t>
      </w:r>
      <w:r w:rsidR="00D73B66">
        <w:rPr>
          <w:rStyle w:val="ECHRPara"/>
          <w:szCs w:val="22"/>
        </w:rPr>
        <w:t>шния</w:t>
      </w:r>
      <w:r w:rsidR="006763AB">
        <w:rPr>
          <w:rStyle w:val="ECHRPara"/>
          <w:szCs w:val="22"/>
        </w:rPr>
        <w:t xml:space="preserve"> Национален</w:t>
      </w:r>
      <w:r>
        <w:rPr>
          <w:rStyle w:val="ECHRPara"/>
          <w:szCs w:val="22"/>
        </w:rPr>
        <w:t xml:space="preserve"> </w:t>
      </w:r>
      <w:r w:rsidR="006763AB">
        <w:rPr>
          <w:rStyle w:val="ECHRPara"/>
          <w:szCs w:val="22"/>
        </w:rPr>
        <w:t>и</w:t>
      </w:r>
      <w:r>
        <w:rPr>
          <w:rStyle w:val="ECHRPara"/>
          <w:szCs w:val="22"/>
        </w:rPr>
        <w:t xml:space="preserve">нститут </w:t>
      </w:r>
      <w:r w:rsidR="006763AB">
        <w:rPr>
          <w:rStyle w:val="ECHRPara"/>
          <w:szCs w:val="22"/>
        </w:rPr>
        <w:t>з</w:t>
      </w:r>
      <w:r>
        <w:rPr>
          <w:rStyle w:val="ECHRPara"/>
          <w:szCs w:val="22"/>
        </w:rPr>
        <w:t>а паметниците на културата</w:t>
      </w:r>
      <w:r w:rsidR="006763AB">
        <w:rPr>
          <w:rStyle w:val="ECHRPara"/>
          <w:szCs w:val="22"/>
        </w:rPr>
        <w:t>, който</w:t>
      </w:r>
      <w:r>
        <w:rPr>
          <w:rStyle w:val="ECHRPara"/>
          <w:szCs w:val="22"/>
        </w:rPr>
        <w:t xml:space="preserve"> описва състояние</w:t>
      </w:r>
      <w:r w:rsidR="00D73B66">
        <w:rPr>
          <w:rStyle w:val="ECHRPara"/>
          <w:szCs w:val="22"/>
        </w:rPr>
        <w:t>то</w:t>
      </w:r>
      <w:r>
        <w:rPr>
          <w:rStyle w:val="ECHRPara"/>
          <w:szCs w:val="22"/>
        </w:rPr>
        <w:t xml:space="preserve"> на къщата </w:t>
      </w:r>
      <w:r w:rsidR="006763AB">
        <w:rPr>
          <w:rStyle w:val="ECHRPara"/>
          <w:szCs w:val="22"/>
        </w:rPr>
        <w:t xml:space="preserve">по това време </w:t>
      </w:r>
      <w:r>
        <w:rPr>
          <w:rStyle w:val="ECHRPara"/>
          <w:szCs w:val="22"/>
        </w:rPr>
        <w:t xml:space="preserve">като </w:t>
      </w:r>
      <w:r>
        <w:rPr>
          <w:rStyle w:val="ECHRPara"/>
          <w:szCs w:val="22"/>
          <w:cs/>
        </w:rPr>
        <w:t>“</w:t>
      </w:r>
      <w:r>
        <w:rPr>
          <w:rStyle w:val="ECHRPara"/>
          <w:szCs w:val="22"/>
        </w:rPr>
        <w:t>незадоволително</w:t>
      </w:r>
      <w:r>
        <w:rPr>
          <w:rStyle w:val="ECHRPara"/>
          <w:szCs w:val="22"/>
          <w:cs/>
        </w:rPr>
        <w:t xml:space="preserve">” </w:t>
      </w:r>
      <w:r>
        <w:rPr>
          <w:rStyle w:val="ECHRPara"/>
          <w:szCs w:val="22"/>
        </w:rPr>
        <w:t xml:space="preserve">и </w:t>
      </w:r>
      <w:r w:rsidR="00DB5D22">
        <w:rPr>
          <w:rStyle w:val="ECHRPara"/>
          <w:szCs w:val="22"/>
        </w:rPr>
        <w:t xml:space="preserve">като </w:t>
      </w:r>
      <w:r>
        <w:rPr>
          <w:rStyle w:val="ECHRPara"/>
          <w:szCs w:val="22"/>
        </w:rPr>
        <w:t xml:space="preserve">резултат на </w:t>
      </w:r>
      <w:r>
        <w:rPr>
          <w:rStyle w:val="ECHRPara"/>
          <w:szCs w:val="22"/>
          <w:cs/>
        </w:rPr>
        <w:t>“</w:t>
      </w:r>
      <w:r>
        <w:rPr>
          <w:rStyle w:val="ECHRPara"/>
          <w:szCs w:val="22"/>
        </w:rPr>
        <w:t>години интензивно неразумно използване</w:t>
      </w:r>
      <w:r>
        <w:rPr>
          <w:rStyle w:val="ECHRPara"/>
          <w:szCs w:val="22"/>
          <w:cs/>
        </w:rPr>
        <w:t xml:space="preserve">” </w:t>
      </w:r>
      <w:r>
        <w:rPr>
          <w:rStyle w:val="ECHRPara"/>
          <w:szCs w:val="22"/>
        </w:rPr>
        <w:t xml:space="preserve">от много хора, живеещи в нея, съчетано с </w:t>
      </w:r>
      <w:r>
        <w:rPr>
          <w:rStyle w:val="ECHRPara"/>
          <w:szCs w:val="22"/>
          <w:cs/>
        </w:rPr>
        <w:t>“</w:t>
      </w:r>
      <w:r>
        <w:rPr>
          <w:rStyle w:val="ECHRPara"/>
          <w:szCs w:val="22"/>
        </w:rPr>
        <w:t>почти никакви усилия за поддържането ѝ</w:t>
      </w:r>
      <w:r>
        <w:rPr>
          <w:rStyle w:val="ECHRPara"/>
          <w:szCs w:val="22"/>
          <w:cs/>
        </w:rPr>
        <w:t>”</w:t>
      </w:r>
      <w:r>
        <w:rPr>
          <w:rStyle w:val="ECHRPara"/>
          <w:szCs w:val="22"/>
        </w:rPr>
        <w:t>.</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16</w:t>
      </w:r>
      <w:r>
        <w:fldChar w:fldCharType="end"/>
      </w:r>
      <w:r>
        <w:rPr>
          <w:rStyle w:val="ECHRPara"/>
          <w:szCs w:val="22"/>
        </w:rPr>
        <w:t xml:space="preserve">.  Правителството уточнява, че къщата, регистрирана като публична общинска собственост, </w:t>
      </w:r>
      <w:r w:rsidR="00A05CDD">
        <w:rPr>
          <w:rStyle w:val="ECHRPara"/>
          <w:szCs w:val="22"/>
        </w:rPr>
        <w:t>към</w:t>
      </w:r>
      <w:r>
        <w:rPr>
          <w:rStyle w:val="ECHRPara"/>
          <w:szCs w:val="22"/>
        </w:rPr>
        <w:t xml:space="preserve"> момента се използва от общински орган. Тя е част от историческия и архитектурен комплекс </w:t>
      </w:r>
      <w:r>
        <w:rPr>
          <w:rStyle w:val="ECHRPara"/>
          <w:szCs w:val="22"/>
          <w:cs/>
        </w:rPr>
        <w:t>“</w:t>
      </w:r>
      <w:r w:rsidR="00A05CDD">
        <w:rPr>
          <w:rStyle w:val="ECHRPara"/>
          <w:szCs w:val="22"/>
        </w:rPr>
        <w:t>Антич</w:t>
      </w:r>
      <w:r>
        <w:rPr>
          <w:rStyle w:val="ECHRPara"/>
          <w:szCs w:val="22"/>
        </w:rPr>
        <w:t>ен Филипопол и Старинен Пловдив</w:t>
      </w:r>
      <w:r>
        <w:rPr>
          <w:rStyle w:val="ECHRPara"/>
          <w:szCs w:val="22"/>
          <w:cs/>
        </w:rPr>
        <w:t>”</w:t>
      </w:r>
      <w:r>
        <w:rPr>
          <w:rStyle w:val="ECHRPara"/>
          <w:szCs w:val="22"/>
        </w:rPr>
        <w:t>, обявен</w:t>
      </w:r>
      <w:r w:rsidR="00A05CDD">
        <w:rPr>
          <w:rStyle w:val="ECHRPara"/>
          <w:szCs w:val="22"/>
        </w:rPr>
        <w:t>а</w:t>
      </w:r>
      <w:r>
        <w:rPr>
          <w:rStyle w:val="ECHRPara"/>
          <w:szCs w:val="22"/>
        </w:rPr>
        <w:t xml:space="preserve"> </w:t>
      </w:r>
      <w:r w:rsidR="00A05CDD">
        <w:rPr>
          <w:rStyle w:val="ECHRPara"/>
          <w:szCs w:val="22"/>
        </w:rPr>
        <w:t xml:space="preserve">през 1998 г. </w:t>
      </w:r>
      <w:r>
        <w:rPr>
          <w:rStyle w:val="ECHRPara"/>
          <w:szCs w:val="22"/>
        </w:rPr>
        <w:t>за паметник на културата с национално значение</w:t>
      </w:r>
      <w:r w:rsidR="00A05CDD">
        <w:rPr>
          <w:rStyle w:val="ECHRPara"/>
          <w:szCs w:val="22"/>
        </w:rPr>
        <w:t>.</w:t>
      </w:r>
      <w:r>
        <w:rPr>
          <w:rStyle w:val="ECHRPara"/>
          <w:szCs w:val="22"/>
        </w:rPr>
        <w:t xml:space="preserve"> </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17</w:t>
      </w:r>
      <w:r>
        <w:fldChar w:fldCharType="end"/>
      </w:r>
      <w:r>
        <w:rPr>
          <w:rStyle w:val="ECHRPara"/>
          <w:szCs w:val="22"/>
        </w:rPr>
        <w:t xml:space="preserve">.  Правителството твърди, че имотът, претендиран от жалбоподателите, </w:t>
      </w:r>
      <w:r w:rsidR="00CA39D5">
        <w:rPr>
          <w:rStyle w:val="ECHRPara"/>
          <w:szCs w:val="22"/>
        </w:rPr>
        <w:t xml:space="preserve">следва </w:t>
      </w:r>
      <w:r>
        <w:rPr>
          <w:rStyle w:val="ECHRPara"/>
          <w:szCs w:val="22"/>
        </w:rPr>
        <w:t xml:space="preserve">да </w:t>
      </w:r>
      <w:r w:rsidR="00CA39D5">
        <w:rPr>
          <w:rStyle w:val="ECHRPara"/>
          <w:szCs w:val="22"/>
        </w:rPr>
        <w:t xml:space="preserve">се запази като </w:t>
      </w:r>
      <w:r>
        <w:rPr>
          <w:rStyle w:val="ECHRPara"/>
          <w:szCs w:val="22"/>
        </w:rPr>
        <w:t>пу</w:t>
      </w:r>
      <w:r w:rsidR="00287ABD">
        <w:rPr>
          <w:rStyle w:val="ECHRPara"/>
          <w:szCs w:val="22"/>
        </w:rPr>
        <w:t xml:space="preserve">блична собственост, и предлага </w:t>
      </w:r>
      <w:r>
        <w:rPr>
          <w:rStyle w:val="ECHRPara"/>
          <w:szCs w:val="22"/>
        </w:rPr>
        <w:t>Съд</w:t>
      </w:r>
      <w:r w:rsidR="00CA39D5">
        <w:rPr>
          <w:rStyle w:val="ECHRPara"/>
          <w:szCs w:val="22"/>
        </w:rPr>
        <w:t>ът</w:t>
      </w:r>
      <w:r>
        <w:rPr>
          <w:rStyle w:val="ECHRPara"/>
          <w:szCs w:val="22"/>
        </w:rPr>
        <w:t xml:space="preserve"> да присъди на жалбоподателите парично обезщетение. Що се отнася до размера на обезщетението, Правителството твърди, че то може да е равно на </w:t>
      </w:r>
      <w:r w:rsidR="00CA39D5">
        <w:rPr>
          <w:rStyle w:val="ECHRPara"/>
          <w:szCs w:val="22"/>
        </w:rPr>
        <w:t xml:space="preserve">данъчната </w:t>
      </w:r>
      <w:r>
        <w:rPr>
          <w:rStyle w:val="ECHRPara"/>
          <w:szCs w:val="22"/>
        </w:rPr>
        <w:t>оценка на имо</w:t>
      </w:r>
      <w:r w:rsidR="00CA39D5">
        <w:rPr>
          <w:rStyle w:val="ECHRPara"/>
          <w:szCs w:val="22"/>
        </w:rPr>
        <w:t>т</w:t>
      </w:r>
      <w:r w:rsidR="00D73B66">
        <w:rPr>
          <w:rStyle w:val="ECHRPara"/>
          <w:szCs w:val="22"/>
        </w:rPr>
        <w:t>о</w:t>
      </w:r>
      <w:r>
        <w:rPr>
          <w:rStyle w:val="ECHRPara"/>
          <w:szCs w:val="22"/>
        </w:rPr>
        <w:t xml:space="preserve"> (375 318,70 лв., равностойността на 191 489 евро, вж. параграф 12 по-горе) и че във всеки случай не трябва да надвишава 579 604 лв. (равностойността на 295 716 евро). Последната сума е пазарната стойност на имота съгласно представения от Правителството експертен доклад, </w:t>
      </w:r>
      <w:r w:rsidR="00D73B66">
        <w:rPr>
          <w:rStyle w:val="ECHRPara"/>
          <w:szCs w:val="22"/>
        </w:rPr>
        <w:t xml:space="preserve">възлизаща на </w:t>
      </w:r>
      <w:r>
        <w:rPr>
          <w:rStyle w:val="ECHRPara"/>
          <w:szCs w:val="22"/>
        </w:rPr>
        <w:t xml:space="preserve">943 000 лева (равностойността на 481 122 евро, вж. параграф 13 по-горе), намалена със стойността на подобренията, направени от държавата след 1966 г. - 363 396 лева (равностойността на 185 406 евро, вж. параграф 14 по-горе). </w:t>
      </w:r>
      <w:r w:rsidR="00CA39D5">
        <w:rPr>
          <w:rStyle w:val="ECHRPara"/>
          <w:szCs w:val="22"/>
        </w:rPr>
        <w:t xml:space="preserve">Освен това </w:t>
      </w:r>
      <w:r>
        <w:rPr>
          <w:rStyle w:val="ECHRPara"/>
          <w:szCs w:val="22"/>
        </w:rPr>
        <w:t>Правителството посочва, че към момента на отчуждаването имотът на жалбоподателите е бил в много лошо състояние и че е възстановен и реконструиран в резултат на усилията на властите.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18</w:t>
      </w:r>
      <w:r>
        <w:fldChar w:fldCharType="end"/>
      </w:r>
      <w:r>
        <w:rPr>
          <w:rStyle w:val="ECHRPara"/>
          <w:szCs w:val="22"/>
        </w:rPr>
        <w:t>.  </w:t>
      </w:r>
      <w:r w:rsidRPr="006F5B69">
        <w:rPr>
          <w:rStyle w:val="ECHRPara"/>
          <w:szCs w:val="22"/>
        </w:rPr>
        <w:t>В подкрепа на своя аргумент, че всяко обезщетение за стойността на имота трябва да бъде намалено със стойността на подобренията, направени след 1966 г., Правителството представя по-конкретно решение н</w:t>
      </w:r>
      <w:r>
        <w:rPr>
          <w:rStyle w:val="ECHRPara"/>
          <w:szCs w:val="22"/>
        </w:rPr>
        <w:t xml:space="preserve">а Върховния касационен съд (наричан по-нататък </w:t>
      </w:r>
      <w:r>
        <w:rPr>
          <w:rStyle w:val="ECHRPara"/>
          <w:szCs w:val="22"/>
          <w:cs/>
        </w:rPr>
        <w:t>“</w:t>
      </w:r>
      <w:r>
        <w:rPr>
          <w:rStyle w:val="ECHRPara"/>
          <w:szCs w:val="22"/>
        </w:rPr>
        <w:t>ВКС</w:t>
      </w:r>
      <w:r>
        <w:rPr>
          <w:rStyle w:val="ECHRPara"/>
          <w:szCs w:val="22"/>
          <w:cs/>
        </w:rPr>
        <w:t>”</w:t>
      </w:r>
      <w:r>
        <w:rPr>
          <w:rStyle w:val="ECHRPara"/>
          <w:szCs w:val="22"/>
        </w:rPr>
        <w:t>), постановено на 2 юли 2015 г. (</w:t>
      </w:r>
      <w:r>
        <w:rPr>
          <w:rStyle w:val="ECHRPara"/>
          <w:i/>
          <w:szCs w:val="22"/>
        </w:rPr>
        <w:t xml:space="preserve">Решение </w:t>
      </w:r>
      <w:r>
        <w:rPr>
          <w:rStyle w:val="ECHRPara"/>
          <w:i/>
          <w:szCs w:val="22"/>
          <w:cs/>
        </w:rPr>
        <w:t xml:space="preserve">№ </w:t>
      </w:r>
      <w:r>
        <w:rPr>
          <w:rStyle w:val="ECHRPara"/>
          <w:i/>
          <w:szCs w:val="22"/>
        </w:rPr>
        <w:t xml:space="preserve">122 от 2.07.2015 г. на ВКС по гр. д. </w:t>
      </w:r>
      <w:r>
        <w:rPr>
          <w:rStyle w:val="ECHRPara"/>
          <w:i/>
          <w:szCs w:val="22"/>
          <w:cs/>
        </w:rPr>
        <w:t>№</w:t>
      </w:r>
      <w:r>
        <w:rPr>
          <w:rStyle w:val="ECHRPara"/>
          <w:i/>
          <w:szCs w:val="22"/>
        </w:rPr>
        <w:t> 291/2015 г., I г. о., ГК</w:t>
      </w:r>
      <w:r>
        <w:rPr>
          <w:rStyle w:val="ECHRPara"/>
          <w:szCs w:val="22"/>
        </w:rPr>
        <w:t xml:space="preserve">). Случаят, разглеждан от ВКС, се отнася до искове от община за обезщетение за подобрения, направени в имот между отчуждаването му през 1972 г. и реституцията му през 2008 г., съгласно същата реституционна законодателна уредба, а именно </w:t>
      </w:r>
      <w:r w:rsidRPr="006F5B69">
        <w:rPr>
          <w:rStyle w:val="ECHRPara"/>
          <w:szCs w:val="22"/>
        </w:rPr>
        <w:t xml:space="preserve">Закона за възстановяване на собствеността върху някои отчуждени </w:t>
      </w:r>
      <w:r w:rsidR="00150BF6">
        <w:rPr>
          <w:rStyle w:val="ECHRPara"/>
          <w:szCs w:val="22"/>
        </w:rPr>
        <w:t xml:space="preserve">недвижими </w:t>
      </w:r>
      <w:r w:rsidRPr="006F5B69">
        <w:rPr>
          <w:rStyle w:val="ECHRPara"/>
          <w:szCs w:val="22"/>
        </w:rPr>
        <w:t xml:space="preserve">имоти по ЗТСУ, ЗПИНМ, ЗБНМ, ЗДИ и ЗС (наричан по-долу </w:t>
      </w:r>
      <w:r w:rsidRPr="006F5B69">
        <w:rPr>
          <w:rStyle w:val="ECHRPara"/>
          <w:szCs w:val="22"/>
          <w:cs/>
        </w:rPr>
        <w:t>“</w:t>
      </w:r>
      <w:r w:rsidRPr="006F5B69">
        <w:rPr>
          <w:rStyle w:val="ECHRPara"/>
          <w:szCs w:val="22"/>
        </w:rPr>
        <w:t>Закон за реституцията</w:t>
      </w:r>
      <w:r w:rsidRPr="006F5B69">
        <w:rPr>
          <w:rStyle w:val="ECHRPara"/>
          <w:szCs w:val="22"/>
          <w:cs/>
        </w:rPr>
        <w:t>”</w:t>
      </w:r>
      <w:r w:rsidR="00287ABD">
        <w:rPr>
          <w:rStyle w:val="ECHRPara"/>
          <w:szCs w:val="22"/>
        </w:rPr>
        <w:t xml:space="preserve">), на който </w:t>
      </w:r>
      <w:r w:rsidRPr="006F5B69">
        <w:rPr>
          <w:rStyle w:val="ECHRPara"/>
          <w:szCs w:val="22"/>
        </w:rPr>
        <w:t xml:space="preserve">се позовават жалбоподателите в </w:t>
      </w:r>
      <w:r w:rsidRPr="004B57D3">
        <w:rPr>
          <w:rStyle w:val="ECHRPara"/>
          <w:szCs w:val="22"/>
        </w:rPr>
        <w:t>молбата си за реституция</w:t>
      </w:r>
      <w:r w:rsidRPr="006F5B69">
        <w:rPr>
          <w:rStyle w:val="ECHRPara"/>
          <w:szCs w:val="22"/>
        </w:rPr>
        <w:t xml:space="preserve"> (вж. §§ 8 и 15</w:t>
      </w:r>
      <w:r w:rsidR="006F5B69" w:rsidRPr="002258E7">
        <w:rPr>
          <w:rStyle w:val="ECHRPara"/>
          <w:szCs w:val="22"/>
        </w:rPr>
        <w:t xml:space="preserve"> - </w:t>
      </w:r>
      <w:r w:rsidRPr="006F5B69">
        <w:rPr>
          <w:rStyle w:val="ECHRPara"/>
          <w:szCs w:val="22"/>
        </w:rPr>
        <w:t>17 от основното</w:t>
      </w:r>
      <w:r>
        <w:rPr>
          <w:rStyle w:val="ECHRPara"/>
          <w:szCs w:val="22"/>
        </w:rPr>
        <w:t xml:space="preserve"> решение).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19</w:t>
      </w:r>
      <w:r>
        <w:fldChar w:fldCharType="end"/>
      </w:r>
      <w:r>
        <w:rPr>
          <w:rStyle w:val="ECHRPara"/>
          <w:szCs w:val="22"/>
        </w:rPr>
        <w:t>.  ВКС</w:t>
      </w:r>
      <w:r w:rsidR="00D73B66">
        <w:rPr>
          <w:rStyle w:val="ECHRPara"/>
          <w:szCs w:val="22"/>
        </w:rPr>
        <w:t xml:space="preserve"> изразява становище</w:t>
      </w:r>
      <w:r>
        <w:rPr>
          <w:rStyle w:val="ECHRPara"/>
          <w:szCs w:val="22"/>
        </w:rPr>
        <w:t xml:space="preserve">, че общината по принцип има право на такова обезщетение. Това се дължи на факта, че имуществото на ответниците е било отчуждено за </w:t>
      </w:r>
      <w:r w:rsidR="00B235EA">
        <w:rPr>
          <w:rStyle w:val="ECHRPara"/>
          <w:szCs w:val="22"/>
        </w:rPr>
        <w:t xml:space="preserve">нуждите на </w:t>
      </w:r>
      <w:r>
        <w:rPr>
          <w:rStyle w:val="ECHRPara"/>
          <w:szCs w:val="22"/>
        </w:rPr>
        <w:t>градско</w:t>
      </w:r>
      <w:r w:rsidR="00B235EA">
        <w:rPr>
          <w:rStyle w:val="ECHRPara"/>
          <w:szCs w:val="22"/>
        </w:rPr>
        <w:t>то</w:t>
      </w:r>
      <w:r>
        <w:rPr>
          <w:rStyle w:val="ECHRPara"/>
          <w:szCs w:val="22"/>
        </w:rPr>
        <w:t xml:space="preserve"> развитие в замяна на справедливо обезщетение за разлика от национализациите, извършени след 1945 г., които са били предимно от наказателно естество и за които бившите собственици не са получавали обезщетение. По отношение на последната категория собственици в тълкувателно решение от 1995 г. ВКС постановява, че след реституцията на национализирани преди това имоти</w:t>
      </w:r>
      <w:r w:rsidR="004B57D3">
        <w:rPr>
          <w:rStyle w:val="ECHRPara"/>
          <w:szCs w:val="22"/>
        </w:rPr>
        <w:t>,</w:t>
      </w:r>
      <w:r>
        <w:rPr>
          <w:rStyle w:val="ECHRPara"/>
          <w:szCs w:val="22"/>
        </w:rPr>
        <w:t xml:space="preserve"> лицата, които са станали собственици по силата на реституция, не могат да бъдат държани </w:t>
      </w:r>
      <w:r w:rsidR="00B235EA">
        <w:rPr>
          <w:rStyle w:val="ECHRPara"/>
          <w:szCs w:val="22"/>
        </w:rPr>
        <w:t xml:space="preserve">за </w:t>
      </w:r>
      <w:r>
        <w:rPr>
          <w:rStyle w:val="ECHRPara"/>
          <w:szCs w:val="22"/>
        </w:rPr>
        <w:t>отговорн</w:t>
      </w:r>
      <w:r w:rsidR="00B235EA">
        <w:rPr>
          <w:rStyle w:val="ECHRPara"/>
          <w:szCs w:val="22"/>
        </w:rPr>
        <w:t>и</w:t>
      </w:r>
      <w:r>
        <w:rPr>
          <w:rStyle w:val="ECHRPara"/>
          <w:szCs w:val="22"/>
        </w:rPr>
        <w:t xml:space="preserve"> да обезщетява</w:t>
      </w:r>
      <w:r w:rsidR="00B235EA">
        <w:rPr>
          <w:rStyle w:val="ECHRPara"/>
          <w:szCs w:val="22"/>
        </w:rPr>
        <w:t>не на</w:t>
      </w:r>
      <w:r>
        <w:rPr>
          <w:rStyle w:val="ECHRPara"/>
          <w:szCs w:val="22"/>
        </w:rPr>
        <w:t xml:space="preserve"> държавата за подобренията, направени от нея; в замяна те не могат да искат обезщетение за това, че не са могли да използват собствеността си след национализацията. Положението обаче е различно по Закона за реституцията, който се отнася до отчуждаване в контекста на градско развитие и не се прилагат същите специални правила. Напротив, общите правила на гражданското право изискват изплащането на обезщетение за всяко неоснователно обогатяване. Това е така, въпреки че по правило Законът за реституцията се отнася само до имоти, които са останали непроменени след отчуждаването, тъй като все пак е възможно някои подобрения да са направени от държавата или общините преди каквото и да било решение за реституция.</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20</w:t>
      </w:r>
      <w:r>
        <w:fldChar w:fldCharType="end"/>
      </w:r>
      <w:r>
        <w:rPr>
          <w:rStyle w:val="ECHRPara"/>
          <w:szCs w:val="22"/>
        </w:rPr>
        <w:t>.  На последно място Правителството призовава Съд</w:t>
      </w:r>
      <w:r w:rsidR="00DE721A">
        <w:rPr>
          <w:rStyle w:val="ECHRPara"/>
          <w:szCs w:val="22"/>
        </w:rPr>
        <w:t>ът</w:t>
      </w:r>
      <w:r>
        <w:rPr>
          <w:rStyle w:val="ECHRPara"/>
          <w:szCs w:val="22"/>
        </w:rPr>
        <w:t xml:space="preserve"> да не </w:t>
      </w:r>
      <w:r w:rsidRPr="00161880">
        <w:rPr>
          <w:rStyle w:val="ECHRPara"/>
          <w:szCs w:val="22"/>
        </w:rPr>
        <w:t>присъжда</w:t>
      </w:r>
      <w:r w:rsidR="00B235EA">
        <w:rPr>
          <w:rStyle w:val="ECHRPara"/>
          <w:szCs w:val="22"/>
        </w:rPr>
        <w:t xml:space="preserve"> обезщетение</w:t>
      </w:r>
      <w:r w:rsidR="00161880">
        <w:rPr>
          <w:rStyle w:val="ECHRPara"/>
          <w:szCs w:val="22"/>
        </w:rPr>
        <w:t xml:space="preserve"> в полза</w:t>
      </w:r>
      <w:r>
        <w:rPr>
          <w:rStyle w:val="ECHRPara"/>
          <w:szCs w:val="22"/>
        </w:rPr>
        <w:t xml:space="preserve"> на жалбоподателите за пропуснати ползи, като посочва, че специалният статут на имота като паметник на културата </w:t>
      </w:r>
      <w:r w:rsidR="00B235EA">
        <w:rPr>
          <w:rStyle w:val="ECHRPara"/>
          <w:szCs w:val="22"/>
        </w:rPr>
        <w:t>изисква</w:t>
      </w:r>
      <w:r w:rsidR="00DE721A">
        <w:rPr>
          <w:rStyle w:val="ECHRPara"/>
          <w:szCs w:val="22"/>
        </w:rPr>
        <w:t xml:space="preserve"> </w:t>
      </w:r>
      <w:r w:rsidR="00B235EA">
        <w:rPr>
          <w:rStyle w:val="ECHRPara"/>
          <w:szCs w:val="22"/>
        </w:rPr>
        <w:t>разходи и разноски за поддържане</w:t>
      </w:r>
      <w:r w:rsidR="00DE721A">
        <w:rPr>
          <w:rStyle w:val="ECHRPara"/>
          <w:szCs w:val="22"/>
        </w:rPr>
        <w:t xml:space="preserve"> </w:t>
      </w:r>
      <w:r>
        <w:rPr>
          <w:rStyle w:val="ECHRPara"/>
          <w:szCs w:val="22"/>
        </w:rPr>
        <w:t xml:space="preserve">и </w:t>
      </w:r>
      <w:r w:rsidR="00747B11">
        <w:rPr>
          <w:rStyle w:val="ECHRPara"/>
          <w:szCs w:val="22"/>
        </w:rPr>
        <w:t xml:space="preserve">ограничения за неговото </w:t>
      </w:r>
      <w:r>
        <w:rPr>
          <w:rStyle w:val="ECHRPara"/>
          <w:szCs w:val="22"/>
        </w:rPr>
        <w:t>използване.</w:t>
      </w:r>
    </w:p>
    <w:p w:rsidR="00F027FE" w:rsidRPr="00B328DE" w:rsidRDefault="00F027FE" w:rsidP="00F027FE">
      <w:pPr>
        <w:pStyle w:val="ECHRHeading4"/>
      </w:pPr>
      <w:r>
        <w:rPr>
          <w:rStyle w:val="ECHRHeading4"/>
          <w:szCs w:val="22"/>
        </w:rPr>
        <w:t>(в) Отговорът на жалбоподателите на становището на Правителството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21</w:t>
      </w:r>
      <w:r>
        <w:fldChar w:fldCharType="end"/>
      </w:r>
      <w:r>
        <w:rPr>
          <w:rStyle w:val="ECHRPara"/>
          <w:szCs w:val="22"/>
        </w:rPr>
        <w:t>.  В отговора си жалбоподателите оспорват експертния доклад относно пазарната стойност на имота, представен от Правителството (вж. параграф 13 по-горе), първо</w:t>
      </w:r>
      <w:r w:rsidR="00063D42">
        <w:rPr>
          <w:rStyle w:val="ECHRPara"/>
          <w:szCs w:val="22"/>
        </w:rPr>
        <w:t>,</w:t>
      </w:r>
      <w:r>
        <w:rPr>
          <w:rStyle w:val="ECHRPara"/>
          <w:szCs w:val="22"/>
        </w:rPr>
        <w:t xml:space="preserve"> тъй като той не взема предвид каквито и да било евентуални приходи от наем, а също така защото експертът </w:t>
      </w:r>
      <w:r>
        <w:rPr>
          <w:rStyle w:val="ECHRPara"/>
          <w:szCs w:val="22"/>
          <w:cs/>
        </w:rPr>
        <w:t>“</w:t>
      </w:r>
      <w:r>
        <w:rPr>
          <w:rStyle w:val="ECHRPara"/>
          <w:szCs w:val="22"/>
        </w:rPr>
        <w:t>произволно</w:t>
      </w:r>
      <w:r>
        <w:rPr>
          <w:rStyle w:val="ECHRPara"/>
          <w:szCs w:val="22"/>
          <w:cs/>
        </w:rPr>
        <w:t xml:space="preserve">” </w:t>
      </w:r>
      <w:r>
        <w:rPr>
          <w:rStyle w:val="ECHRPara"/>
          <w:szCs w:val="22"/>
        </w:rPr>
        <w:t xml:space="preserve">е намалил стойността на </w:t>
      </w:r>
      <w:r w:rsidR="0016054C">
        <w:rPr>
          <w:rStyle w:val="ECHRPara"/>
          <w:szCs w:val="22"/>
        </w:rPr>
        <w:t>земята от 449 евро на 270 евро з</w:t>
      </w:r>
      <w:r>
        <w:rPr>
          <w:rStyle w:val="ECHRPara"/>
          <w:szCs w:val="22"/>
        </w:rPr>
        <w:t>а кв.м.</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22</w:t>
      </w:r>
      <w:r>
        <w:fldChar w:fldCharType="end"/>
      </w:r>
      <w:r>
        <w:rPr>
          <w:rStyle w:val="ECHRPara"/>
          <w:szCs w:val="22"/>
        </w:rPr>
        <w:t xml:space="preserve">.  Жалбоподателите оспорват и </w:t>
      </w:r>
      <w:r w:rsidR="00B237E1">
        <w:rPr>
          <w:rStyle w:val="ECHRPara"/>
          <w:szCs w:val="22"/>
        </w:rPr>
        <w:t>аргумента</w:t>
      </w:r>
      <w:r>
        <w:rPr>
          <w:rStyle w:val="ECHRPara"/>
          <w:szCs w:val="22"/>
        </w:rPr>
        <w:t xml:space="preserve"> на Правителството, че </w:t>
      </w:r>
      <w:r w:rsidR="00B237E1">
        <w:rPr>
          <w:rStyle w:val="ECHRPara"/>
          <w:szCs w:val="22"/>
        </w:rPr>
        <w:t xml:space="preserve">всяко </w:t>
      </w:r>
      <w:r>
        <w:rPr>
          <w:rStyle w:val="ECHRPara"/>
          <w:szCs w:val="22"/>
        </w:rPr>
        <w:t xml:space="preserve">обезщетение за стойността на имота трябва да бъде намалено, </w:t>
      </w:r>
      <w:r w:rsidR="00F306BF">
        <w:rPr>
          <w:rStyle w:val="ECHRPara"/>
          <w:szCs w:val="22"/>
        </w:rPr>
        <w:t>като</w:t>
      </w:r>
      <w:r>
        <w:rPr>
          <w:rStyle w:val="ECHRPara"/>
          <w:szCs w:val="22"/>
        </w:rPr>
        <w:t xml:space="preserve"> се отчетат подобренията, направени след </w:t>
      </w:r>
      <w:r w:rsidR="00EF1AAE">
        <w:rPr>
          <w:rStyle w:val="ECHRPara"/>
          <w:szCs w:val="22"/>
        </w:rPr>
        <w:t>отчуждаването</w:t>
      </w:r>
      <w:r>
        <w:rPr>
          <w:rStyle w:val="ECHRPara"/>
          <w:szCs w:val="22"/>
        </w:rPr>
        <w:t xml:space="preserve">. Те твърдят, че това противоречи на логиката на приетата в България реституционна законодателна уредба, която по принцип изключва всякаква отговорност на лица, които са станали собственици по силата на реституция, за обезщетение за подобрения. Освен това жалбоподателите твърдят, че някои от подобренията в имота им са били ненужни и че голяма част от разходите са били направени от държавата след пожара от 1978 г., който се дължи на </w:t>
      </w:r>
      <w:r>
        <w:rPr>
          <w:rStyle w:val="ECHRPara"/>
          <w:szCs w:val="22"/>
          <w:cs/>
        </w:rPr>
        <w:t>“</w:t>
      </w:r>
      <w:r>
        <w:rPr>
          <w:rStyle w:val="ECHRPara"/>
          <w:szCs w:val="22"/>
        </w:rPr>
        <w:t>небрежността</w:t>
      </w:r>
      <w:r>
        <w:rPr>
          <w:rStyle w:val="ECHRPara"/>
          <w:szCs w:val="22"/>
          <w:cs/>
        </w:rPr>
        <w:t xml:space="preserve">” </w:t>
      </w:r>
      <w:r>
        <w:rPr>
          <w:rStyle w:val="ECHRPara"/>
          <w:szCs w:val="22"/>
        </w:rPr>
        <w:t xml:space="preserve">на властите и на </w:t>
      </w:r>
      <w:r>
        <w:rPr>
          <w:rStyle w:val="ECHRPara"/>
          <w:szCs w:val="22"/>
          <w:cs/>
        </w:rPr>
        <w:t>“</w:t>
      </w:r>
      <w:r>
        <w:rPr>
          <w:rStyle w:val="ECHRPara"/>
          <w:szCs w:val="22"/>
        </w:rPr>
        <w:t>неконвенционалното</w:t>
      </w:r>
      <w:r>
        <w:rPr>
          <w:rStyle w:val="ECHRPara"/>
          <w:szCs w:val="22"/>
          <w:cs/>
        </w:rPr>
        <w:t xml:space="preserve">” </w:t>
      </w:r>
      <w:r>
        <w:rPr>
          <w:rStyle w:val="ECHRPara"/>
          <w:szCs w:val="22"/>
        </w:rPr>
        <w:t>ползване като ресторант.</w:t>
      </w:r>
    </w:p>
    <w:p w:rsidR="00F027FE" w:rsidRPr="00B328DE" w:rsidRDefault="00F027FE" w:rsidP="00F027FE">
      <w:pPr>
        <w:pStyle w:val="ECHRHeading4"/>
      </w:pPr>
      <w:r>
        <w:rPr>
          <w:rStyle w:val="ECHRHeading4"/>
          <w:szCs w:val="22"/>
        </w:rPr>
        <w:t>(г) Коментари на Правителството относно претенциите на жалбоподателите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23</w:t>
      </w:r>
      <w:r>
        <w:fldChar w:fldCharType="end"/>
      </w:r>
      <w:r>
        <w:rPr>
          <w:rStyle w:val="ECHRPara"/>
          <w:szCs w:val="22"/>
        </w:rPr>
        <w:t>.  Правителството отново посоч</w:t>
      </w:r>
      <w:r w:rsidR="00BC3F02">
        <w:rPr>
          <w:rStyle w:val="ECHRPara"/>
          <w:szCs w:val="22"/>
        </w:rPr>
        <w:t>ва</w:t>
      </w:r>
      <w:r>
        <w:rPr>
          <w:rStyle w:val="ECHRPara"/>
          <w:szCs w:val="22"/>
        </w:rPr>
        <w:t xml:space="preserve">, че високата </w:t>
      </w:r>
      <w:r w:rsidR="00F81818">
        <w:rPr>
          <w:rStyle w:val="ECHRPara"/>
          <w:szCs w:val="22"/>
        </w:rPr>
        <w:t xml:space="preserve">към </w:t>
      </w:r>
      <w:r>
        <w:rPr>
          <w:rStyle w:val="ECHRPara"/>
          <w:szCs w:val="22"/>
        </w:rPr>
        <w:t>настоящ</w:t>
      </w:r>
      <w:r w:rsidR="00F81818">
        <w:rPr>
          <w:rStyle w:val="ECHRPara"/>
          <w:szCs w:val="22"/>
        </w:rPr>
        <w:t>ия момент</w:t>
      </w:r>
      <w:r>
        <w:rPr>
          <w:rStyle w:val="ECHRPara"/>
          <w:szCs w:val="22"/>
        </w:rPr>
        <w:t xml:space="preserve"> стойност на имота се дължи на усилията на държавата да го реконструира и възстанови. Претенциите на жалбоподателите относно тази стойност не взимат това предвид.</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24</w:t>
      </w:r>
      <w:r>
        <w:fldChar w:fldCharType="end"/>
      </w:r>
      <w:r>
        <w:rPr>
          <w:rStyle w:val="ECHRPara"/>
          <w:szCs w:val="22"/>
        </w:rPr>
        <w:t xml:space="preserve">.  Правителството </w:t>
      </w:r>
      <w:r w:rsidR="004B57D3">
        <w:rPr>
          <w:rStyle w:val="ECHRPara"/>
          <w:szCs w:val="22"/>
        </w:rPr>
        <w:t xml:space="preserve">счита </w:t>
      </w:r>
      <w:r>
        <w:rPr>
          <w:rStyle w:val="ECHRPara"/>
          <w:szCs w:val="22"/>
        </w:rPr>
        <w:t xml:space="preserve">претенциите на жалбоподателите за обезщетение за пропуснати ползи (вж. параграф 10 по-горе) за неоснователни и необосновани. То оспорва начина, по който са били изчислени тези ползи въз основа на наема, платим през въпросния период. То посочва още веднъж, че поддържането на сграда, обявена за паметник на културата, </w:t>
      </w:r>
      <w:r w:rsidR="00011E56">
        <w:rPr>
          <w:rStyle w:val="ECHRPara"/>
          <w:szCs w:val="22"/>
        </w:rPr>
        <w:t>изисква големи разходи</w:t>
      </w:r>
      <w:r w:rsidR="0016054C">
        <w:rPr>
          <w:rStyle w:val="ECHRPara"/>
          <w:szCs w:val="22"/>
        </w:rPr>
        <w:t>,</w:t>
      </w:r>
      <w:r w:rsidR="00011E56">
        <w:rPr>
          <w:rStyle w:val="ECHRPara"/>
          <w:szCs w:val="22"/>
        </w:rPr>
        <w:t xml:space="preserve"> както</w:t>
      </w:r>
      <w:r>
        <w:rPr>
          <w:rStyle w:val="ECHRPara"/>
          <w:szCs w:val="22"/>
        </w:rPr>
        <w:t xml:space="preserve"> и че възможните начини за нейното ползване са ограничени. То се позовава на констатациите на Съда в подобна ситуация в </w:t>
      </w:r>
      <w:r>
        <w:rPr>
          <w:rStyle w:val="ECHRPara"/>
          <w:i/>
          <w:szCs w:val="22"/>
        </w:rPr>
        <w:t>Дебелянови срещу България</w:t>
      </w:r>
      <w:r>
        <w:rPr>
          <w:rStyle w:val="ECHRPara"/>
          <w:szCs w:val="22"/>
        </w:rPr>
        <w:t xml:space="preserve"> ((справедливо обезщетение), </w:t>
      </w:r>
      <w:r>
        <w:rPr>
          <w:rStyle w:val="ECHRPara"/>
          <w:szCs w:val="22"/>
          <w:cs/>
        </w:rPr>
        <w:t xml:space="preserve">№ </w:t>
      </w:r>
      <w:r>
        <w:rPr>
          <w:rStyle w:val="ECHRPara"/>
          <w:szCs w:val="22"/>
        </w:rPr>
        <w:t>61951/00, § 17, 27 ноември 2008 г.).</w:t>
      </w:r>
    </w:p>
    <w:p w:rsidR="00F027FE" w:rsidRPr="00B328DE" w:rsidRDefault="00F027FE" w:rsidP="00F027FE">
      <w:pPr>
        <w:pStyle w:val="ECHRHeading3"/>
      </w:pPr>
      <w:r>
        <w:rPr>
          <w:rStyle w:val="ECHRHeading3"/>
          <w:szCs w:val="22"/>
        </w:rPr>
        <w:t>2.  Преценка</w:t>
      </w:r>
      <w:r w:rsidR="00E861BC">
        <w:rPr>
          <w:rStyle w:val="ECHRHeading3"/>
          <w:szCs w:val="22"/>
        </w:rPr>
        <w:t>та</w:t>
      </w:r>
      <w:r>
        <w:rPr>
          <w:rStyle w:val="ECHRHeading3"/>
          <w:szCs w:val="22"/>
        </w:rPr>
        <w:t xml:space="preserve"> на Съда</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25</w:t>
      </w:r>
      <w:r>
        <w:fldChar w:fldCharType="end"/>
      </w:r>
      <w:r>
        <w:rPr>
          <w:rStyle w:val="ECHRPara"/>
          <w:szCs w:val="22"/>
        </w:rPr>
        <w:t>.  Съдът подчертава, че по принцип съдебно решение, в което той констатира нарушение на Конвенцията, налага на държавата</w:t>
      </w:r>
      <w:r w:rsidR="00011E56">
        <w:rPr>
          <w:rStyle w:val="ECHRPara"/>
          <w:szCs w:val="22"/>
        </w:rPr>
        <w:t xml:space="preserve"> </w:t>
      </w:r>
      <w:r>
        <w:rPr>
          <w:rStyle w:val="ECHRPara"/>
          <w:szCs w:val="22"/>
        </w:rPr>
        <w:t>ответник правно задължение да поправи последиците от него по такъв начин, че да възстанови</w:t>
      </w:r>
      <w:r w:rsidR="009943F7">
        <w:rPr>
          <w:rStyle w:val="ECHRPara"/>
          <w:szCs w:val="22"/>
        </w:rPr>
        <w:t>,</w:t>
      </w:r>
      <w:r>
        <w:rPr>
          <w:rStyle w:val="ECHRPara"/>
          <w:szCs w:val="22"/>
        </w:rPr>
        <w:t xml:space="preserve"> доколкото е възможно</w:t>
      </w:r>
      <w:r w:rsidR="009943F7">
        <w:rPr>
          <w:rStyle w:val="ECHRPara"/>
          <w:szCs w:val="22"/>
        </w:rPr>
        <w:t>,</w:t>
      </w:r>
      <w:r>
        <w:rPr>
          <w:rStyle w:val="ECHRPara"/>
          <w:szCs w:val="22"/>
        </w:rPr>
        <w:t xml:space="preserve"> съществуващото положение преди нарушението (вж. </w:t>
      </w:r>
      <w:r>
        <w:rPr>
          <w:rStyle w:val="ECHRPara"/>
          <w:i/>
          <w:szCs w:val="22"/>
        </w:rPr>
        <w:t>Iatridis v. Greece</w:t>
      </w:r>
      <w:r>
        <w:rPr>
          <w:rStyle w:val="ECHRPara"/>
          <w:szCs w:val="22"/>
        </w:rPr>
        <w:t xml:space="preserve"> (справедливо обезщетение) [GC], </w:t>
      </w:r>
      <w:r>
        <w:rPr>
          <w:rStyle w:val="ECHRPara"/>
          <w:szCs w:val="22"/>
          <w:cs/>
        </w:rPr>
        <w:t xml:space="preserve">№ </w:t>
      </w:r>
      <w:r>
        <w:rPr>
          <w:rStyle w:val="ECHRPara"/>
          <w:szCs w:val="22"/>
        </w:rPr>
        <w:t>31107/96, § 32, ЕСПЧ 2000XI).</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26</w:t>
      </w:r>
      <w:r>
        <w:fldChar w:fldCharType="end"/>
      </w:r>
      <w:r>
        <w:rPr>
          <w:rStyle w:val="ECHRPara"/>
          <w:szCs w:val="22"/>
        </w:rPr>
        <w:t>.  В конкретния случай в основното си решение Съдът констатира по-конкретно, че намесата в имуществените права на жалбоподателите е незаконна и</w:t>
      </w:r>
      <w:r w:rsidR="009943F7">
        <w:rPr>
          <w:rStyle w:val="ECHRPara"/>
          <w:szCs w:val="22"/>
        </w:rPr>
        <w:t xml:space="preserve"> следователно противоречи на член</w:t>
      </w:r>
      <w:r>
        <w:rPr>
          <w:rStyle w:val="ECHRPara"/>
          <w:szCs w:val="22"/>
        </w:rPr>
        <w:t xml:space="preserve"> 1 от Протокол </w:t>
      </w:r>
      <w:r>
        <w:rPr>
          <w:rStyle w:val="ECHRPara"/>
          <w:szCs w:val="22"/>
          <w:cs/>
        </w:rPr>
        <w:t xml:space="preserve">№ </w:t>
      </w:r>
      <w:r>
        <w:rPr>
          <w:rStyle w:val="ECHRPara"/>
          <w:szCs w:val="22"/>
        </w:rPr>
        <w:t>1 (вж. § 49 от основното решение).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27</w:t>
      </w:r>
      <w:r>
        <w:fldChar w:fldCharType="end"/>
      </w:r>
      <w:r>
        <w:rPr>
          <w:rStyle w:val="ECHRPara"/>
          <w:szCs w:val="22"/>
        </w:rPr>
        <w:t>.  По отношение на справедливото обезще</w:t>
      </w:r>
      <w:r w:rsidR="009943F7">
        <w:rPr>
          <w:rStyle w:val="ECHRPara"/>
          <w:szCs w:val="22"/>
        </w:rPr>
        <w:t>тение</w:t>
      </w:r>
      <w:r>
        <w:rPr>
          <w:rStyle w:val="ECHRPara"/>
          <w:szCs w:val="22"/>
        </w:rPr>
        <w:t xml:space="preserve"> в предходни дела, свързани със сходни обстоятелства, Съдът е разпореждал </w:t>
      </w:r>
      <w:r>
        <w:rPr>
          <w:rStyle w:val="ECHRPara"/>
          <w:i/>
          <w:szCs w:val="22"/>
        </w:rPr>
        <w:t>restitutio in integrum,</w:t>
      </w:r>
      <w:r>
        <w:rPr>
          <w:rStyle w:val="ECHRPara"/>
          <w:szCs w:val="22"/>
        </w:rPr>
        <w:t xml:space="preserve"> а в случай на не</w:t>
      </w:r>
      <w:r w:rsidR="00011E56">
        <w:rPr>
          <w:rStyle w:val="ECHRPara"/>
          <w:szCs w:val="22"/>
        </w:rPr>
        <w:t>възможност</w:t>
      </w:r>
      <w:r>
        <w:rPr>
          <w:rStyle w:val="ECHRPara"/>
          <w:szCs w:val="22"/>
        </w:rPr>
        <w:t xml:space="preserve"> на държавата</w:t>
      </w:r>
      <w:r w:rsidR="00011E56">
        <w:rPr>
          <w:rStyle w:val="ECHRPara"/>
          <w:szCs w:val="22"/>
        </w:rPr>
        <w:t xml:space="preserve"> </w:t>
      </w:r>
      <w:r>
        <w:rPr>
          <w:rStyle w:val="ECHRPara"/>
          <w:szCs w:val="22"/>
        </w:rPr>
        <w:t xml:space="preserve">ответник да направи това - </w:t>
      </w:r>
      <w:r w:rsidR="00F9534F">
        <w:rPr>
          <w:rStyle w:val="ECHRPara"/>
          <w:szCs w:val="22"/>
        </w:rPr>
        <w:t>за</w:t>
      </w:r>
      <w:r>
        <w:rPr>
          <w:rStyle w:val="ECHRPara"/>
          <w:szCs w:val="22"/>
        </w:rPr>
        <w:t xml:space="preserve">плащането на сума, отразяваща стойността на имота към този момент (вж. например </w:t>
      </w:r>
      <w:r>
        <w:rPr>
          <w:rStyle w:val="ECHRPara"/>
          <w:i/>
          <w:szCs w:val="22"/>
        </w:rPr>
        <w:t>Papamichalopoulos and Others v. Greece</w:t>
      </w:r>
      <w:r>
        <w:rPr>
          <w:rStyle w:val="ECHRPara"/>
          <w:szCs w:val="22"/>
        </w:rPr>
        <w:t xml:space="preserve"> (чл. 50), 31 октомври 1995 г., § 34, Серия А </w:t>
      </w:r>
      <w:r>
        <w:rPr>
          <w:rStyle w:val="ECHRPara"/>
          <w:szCs w:val="22"/>
          <w:cs/>
        </w:rPr>
        <w:t xml:space="preserve">№ </w:t>
      </w:r>
      <w:r>
        <w:rPr>
          <w:rStyle w:val="ECHRPara"/>
          <w:szCs w:val="22"/>
        </w:rPr>
        <w:t xml:space="preserve">330B). Такъв подход е възприет и </w:t>
      </w:r>
      <w:r w:rsidR="00F9534F">
        <w:rPr>
          <w:rStyle w:val="ECHRPara"/>
          <w:szCs w:val="22"/>
        </w:rPr>
        <w:t>по</w:t>
      </w:r>
      <w:r>
        <w:rPr>
          <w:rStyle w:val="ECHRPara"/>
          <w:szCs w:val="22"/>
        </w:rPr>
        <w:t xml:space="preserve"> българско дело, подобно на настоящото (вж. </w:t>
      </w:r>
      <w:r>
        <w:rPr>
          <w:rStyle w:val="ECHRPara"/>
          <w:i/>
          <w:szCs w:val="22"/>
        </w:rPr>
        <w:t>Кехая и други срещу България</w:t>
      </w:r>
      <w:r>
        <w:rPr>
          <w:rStyle w:val="ECHRPara"/>
          <w:szCs w:val="22"/>
        </w:rPr>
        <w:t xml:space="preserve"> (справедливо обезщетение), </w:t>
      </w:r>
      <w:r>
        <w:rPr>
          <w:rStyle w:val="ECHRPara"/>
          <w:szCs w:val="22"/>
          <w:cs/>
        </w:rPr>
        <w:t xml:space="preserve">№ </w:t>
      </w:r>
      <w:r>
        <w:rPr>
          <w:rStyle w:val="ECHRPara"/>
          <w:szCs w:val="22"/>
        </w:rPr>
        <w:t>47</w:t>
      </w:r>
      <w:r w:rsidR="009943F7">
        <w:rPr>
          <w:rStyle w:val="ECHRPara"/>
          <w:szCs w:val="22"/>
        </w:rPr>
        <w:t xml:space="preserve">797/99 и 68698/01, §§ 20-22, 14 </w:t>
      </w:r>
      <w:r>
        <w:rPr>
          <w:rStyle w:val="ECHRPara"/>
          <w:szCs w:val="22"/>
        </w:rPr>
        <w:t>юни 2007 г.).</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28</w:t>
      </w:r>
      <w:r>
        <w:fldChar w:fldCharType="end"/>
      </w:r>
      <w:r>
        <w:rPr>
          <w:rStyle w:val="ECHRPara"/>
          <w:szCs w:val="22"/>
        </w:rPr>
        <w:t xml:space="preserve">.  В конкретния случай Правителството твърди, че въпросният имот, исторически паметник, </w:t>
      </w:r>
      <w:r w:rsidR="00F9534F">
        <w:rPr>
          <w:rStyle w:val="ECHRPara"/>
          <w:szCs w:val="22"/>
        </w:rPr>
        <w:t>следва</w:t>
      </w:r>
      <w:r>
        <w:rPr>
          <w:rStyle w:val="ECHRPara"/>
          <w:szCs w:val="22"/>
        </w:rPr>
        <w:t xml:space="preserve"> да остане публична собственост (вж. параграф 17 по-горе). Тъй като жалбоподателите не претендират </w:t>
      </w:r>
      <w:r>
        <w:rPr>
          <w:rStyle w:val="ECHRPara"/>
          <w:i/>
          <w:szCs w:val="22"/>
        </w:rPr>
        <w:t>restitutio in integrum</w:t>
      </w:r>
      <w:r>
        <w:rPr>
          <w:rStyle w:val="ECHRPara"/>
          <w:szCs w:val="22"/>
        </w:rPr>
        <w:t xml:space="preserve"> (вж. параграфи 7-9 по-горе), Съдът приема, че държавата</w:t>
      </w:r>
      <w:r w:rsidR="00F9534F">
        <w:rPr>
          <w:rStyle w:val="ECHRPara"/>
          <w:szCs w:val="22"/>
        </w:rPr>
        <w:t xml:space="preserve"> </w:t>
      </w:r>
      <w:r>
        <w:rPr>
          <w:rStyle w:val="ECHRPara"/>
          <w:szCs w:val="22"/>
        </w:rPr>
        <w:t xml:space="preserve">ответник трябва да им плати парично обезщетение, свързано с пазарната стойност на имота им (вж. </w:t>
      </w:r>
      <w:r>
        <w:rPr>
          <w:rStyle w:val="ECHRPara"/>
          <w:i/>
          <w:szCs w:val="22"/>
        </w:rPr>
        <w:t>Димитрови срещу България</w:t>
      </w:r>
      <w:r>
        <w:rPr>
          <w:rStyle w:val="ECHRPara"/>
          <w:szCs w:val="22"/>
        </w:rPr>
        <w:t xml:space="preserve"> (справедливо обезщетение), </w:t>
      </w:r>
      <w:r>
        <w:rPr>
          <w:rStyle w:val="ECHRPara"/>
          <w:szCs w:val="22"/>
          <w:cs/>
        </w:rPr>
        <w:t xml:space="preserve">№ </w:t>
      </w:r>
      <w:r>
        <w:rPr>
          <w:rStyle w:val="ECHRPara"/>
          <w:szCs w:val="22"/>
        </w:rPr>
        <w:t>12655/09, § 21, 21 юли 2016 г.).</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29</w:t>
      </w:r>
      <w:r>
        <w:fldChar w:fldCharType="end"/>
      </w:r>
      <w:r>
        <w:rPr>
          <w:rStyle w:val="ECHRPara"/>
          <w:szCs w:val="22"/>
        </w:rPr>
        <w:t>.  Съдът повтаря, че въпросният имот е къща с парцел в историческата част на Пловдив (вж. § 7 от основното решение).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30</w:t>
      </w:r>
      <w:r>
        <w:fldChar w:fldCharType="end"/>
      </w:r>
      <w:r>
        <w:rPr>
          <w:rStyle w:val="ECHRPara"/>
          <w:szCs w:val="22"/>
        </w:rPr>
        <w:t xml:space="preserve">.  При определяне на размера на обезщетението, което трябва да бъде присъдено, с оглед </w:t>
      </w:r>
      <w:r w:rsidR="00F9534F">
        <w:rPr>
          <w:rStyle w:val="ECHRPara"/>
          <w:szCs w:val="22"/>
        </w:rPr>
        <w:t>аргументите</w:t>
      </w:r>
      <w:r>
        <w:rPr>
          <w:rStyle w:val="ECHRPara"/>
          <w:szCs w:val="22"/>
        </w:rPr>
        <w:t xml:space="preserve"> на страните, Съдът трябва да анализира два въпроса. На първо място</w:t>
      </w:r>
      <w:r w:rsidR="00EF4672">
        <w:rPr>
          <w:rStyle w:val="ECHRPara"/>
          <w:szCs w:val="22"/>
        </w:rPr>
        <w:t>,</w:t>
      </w:r>
      <w:r>
        <w:rPr>
          <w:rStyle w:val="ECHRPara"/>
          <w:szCs w:val="22"/>
        </w:rPr>
        <w:t xml:space="preserve"> той трябва да оцени пазарна</w:t>
      </w:r>
      <w:r w:rsidR="009943F7">
        <w:rPr>
          <w:rStyle w:val="ECHRPara"/>
          <w:szCs w:val="22"/>
        </w:rPr>
        <w:t>та</w:t>
      </w:r>
      <w:r>
        <w:rPr>
          <w:rStyle w:val="ECHRPara"/>
          <w:szCs w:val="22"/>
        </w:rPr>
        <w:t xml:space="preserve"> стойност на въпросния имот</w:t>
      </w:r>
      <w:r w:rsidR="009943F7">
        <w:rPr>
          <w:rStyle w:val="ECHRPara"/>
          <w:szCs w:val="22"/>
        </w:rPr>
        <w:t xml:space="preserve"> към настоящия момент</w:t>
      </w:r>
      <w:r>
        <w:rPr>
          <w:rStyle w:val="ECHRPara"/>
          <w:szCs w:val="22"/>
        </w:rPr>
        <w:t>. В това отношение той смята, че не е оправдано да бъде присъдена на жалбоподателите стойността, определена за целите на данъчното облагане, посочена накратко от Правителството (вж. параграфи 12 и 17 по-горе). На второ място</w:t>
      </w:r>
      <w:r w:rsidR="009943F7">
        <w:rPr>
          <w:rStyle w:val="ECHRPara"/>
          <w:szCs w:val="22"/>
        </w:rPr>
        <w:t>,</w:t>
      </w:r>
      <w:r>
        <w:rPr>
          <w:rStyle w:val="ECHRPara"/>
          <w:szCs w:val="22"/>
        </w:rPr>
        <w:t xml:space="preserve"> Съдът трябва да вземе решение за евентуално намаляване на пазарната стойност, като се отч</w:t>
      </w:r>
      <w:r w:rsidR="00EF4672">
        <w:rPr>
          <w:rStyle w:val="ECHRPara"/>
          <w:szCs w:val="22"/>
        </w:rPr>
        <w:t>е</w:t>
      </w:r>
      <w:r>
        <w:rPr>
          <w:rStyle w:val="ECHRPara"/>
          <w:szCs w:val="22"/>
        </w:rPr>
        <w:t>тат значителните подобрения, направени от властите след отчуждаването на имота през 1966 г.</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31</w:t>
      </w:r>
      <w:r>
        <w:fldChar w:fldCharType="end"/>
      </w:r>
      <w:r>
        <w:rPr>
          <w:rStyle w:val="ECHRPara"/>
          <w:szCs w:val="22"/>
        </w:rPr>
        <w:t>.  По отношение на пазарна</w:t>
      </w:r>
      <w:r w:rsidR="009943F7">
        <w:rPr>
          <w:rStyle w:val="ECHRPara"/>
          <w:szCs w:val="22"/>
        </w:rPr>
        <w:t>та</w:t>
      </w:r>
      <w:r>
        <w:rPr>
          <w:rStyle w:val="ECHRPara"/>
          <w:szCs w:val="22"/>
        </w:rPr>
        <w:t xml:space="preserve"> стойност на им</w:t>
      </w:r>
      <w:r w:rsidR="00820F04">
        <w:rPr>
          <w:rStyle w:val="ECHRPara"/>
          <w:szCs w:val="22"/>
        </w:rPr>
        <w:t>ота към настоящия момент</w:t>
      </w:r>
      <w:r>
        <w:rPr>
          <w:rStyle w:val="ECHRPara"/>
          <w:szCs w:val="22"/>
        </w:rPr>
        <w:t xml:space="preserve"> Съдът отбелязва, че и двете страни са представили доклади за оценка, изготвени от експерти (вж. параграфи 8-9 и 13 по-горе).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32</w:t>
      </w:r>
      <w:r>
        <w:fldChar w:fldCharType="end"/>
      </w:r>
      <w:r>
        <w:rPr>
          <w:rStyle w:val="ECHRPara"/>
          <w:szCs w:val="22"/>
        </w:rPr>
        <w:t xml:space="preserve">.  С доста малки различия експертите на страните изглеждат единодушни по отношение на стойността на самата къща. В доклада, представен от жалбоподателите, тази стойност е оценена на базата на информация за предишни продажби на подобни имоти в района за около 840 евро </w:t>
      </w:r>
      <w:r w:rsidR="00820F04">
        <w:rPr>
          <w:rStyle w:val="ECHRPara"/>
          <w:szCs w:val="22"/>
        </w:rPr>
        <w:t>з</w:t>
      </w:r>
      <w:r>
        <w:rPr>
          <w:rStyle w:val="ECHRPara"/>
          <w:szCs w:val="22"/>
        </w:rPr>
        <w:t xml:space="preserve">а кв.м, а в доклада, представен от Правителството, тя е 907 евро на кв.м. Въз основа на представените пред него документи Съдът приема като отправна точка за своя оценка цена от 850 евро </w:t>
      </w:r>
      <w:r w:rsidR="001F1555">
        <w:rPr>
          <w:rStyle w:val="ECHRPara"/>
          <w:szCs w:val="22"/>
        </w:rPr>
        <w:t>з</w:t>
      </w:r>
      <w:r>
        <w:rPr>
          <w:rStyle w:val="ECHRPara"/>
          <w:szCs w:val="22"/>
        </w:rPr>
        <w:t>а кв.м. Това прави текущата пазарна стойност на к</w:t>
      </w:r>
      <w:r w:rsidR="009943F7">
        <w:rPr>
          <w:rStyle w:val="ECHRPara"/>
          <w:szCs w:val="22"/>
        </w:rPr>
        <w:t>ъщата около 410 000 евро,</w:t>
      </w:r>
      <w:r>
        <w:rPr>
          <w:rStyle w:val="ECHRPara"/>
          <w:szCs w:val="22"/>
        </w:rPr>
        <w:t xml:space="preserve"> ка</w:t>
      </w:r>
      <w:r w:rsidR="009943F7">
        <w:rPr>
          <w:rStyle w:val="ECHRPara"/>
          <w:szCs w:val="22"/>
        </w:rPr>
        <w:t>то тя има два етажа и мазе,</w:t>
      </w:r>
      <w:r>
        <w:rPr>
          <w:rStyle w:val="ECHRPara"/>
          <w:szCs w:val="22"/>
        </w:rPr>
        <w:t xml:space="preserve"> всеки етаж е с размер от 160 кв.м., което прави общо 480 кв.м.</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33</w:t>
      </w:r>
      <w:r>
        <w:fldChar w:fldCharType="end"/>
      </w:r>
      <w:r>
        <w:rPr>
          <w:rStyle w:val="ECHRPara"/>
          <w:szCs w:val="22"/>
        </w:rPr>
        <w:t xml:space="preserve">.  Разликите между двата доклада обаче са значителни по отношение на стойността на парцела. В представения от жалбоподателите доклад тази стойност е определена на около 660 евро </w:t>
      </w:r>
      <w:r w:rsidR="001F1555">
        <w:rPr>
          <w:rStyle w:val="ECHRPara"/>
          <w:szCs w:val="22"/>
        </w:rPr>
        <w:t>з</w:t>
      </w:r>
      <w:r>
        <w:rPr>
          <w:rStyle w:val="ECHRPara"/>
          <w:szCs w:val="22"/>
        </w:rPr>
        <w:t xml:space="preserve">а кв.м., а в доклада, представен от Правителството, стойността първоначално е определена на 449 евро на кв.м., а след това намалена на 270 евро, за да се отчетат </w:t>
      </w:r>
      <w:r>
        <w:rPr>
          <w:rStyle w:val="ECHRPara"/>
          <w:szCs w:val="22"/>
          <w:cs/>
        </w:rPr>
        <w:t>“</w:t>
      </w:r>
      <w:r>
        <w:rPr>
          <w:rStyle w:val="ECHRPara"/>
          <w:szCs w:val="22"/>
        </w:rPr>
        <w:t>местоположение</w:t>
      </w:r>
      <w:r>
        <w:rPr>
          <w:rStyle w:val="ECHRPara"/>
          <w:szCs w:val="22"/>
          <w:cs/>
        </w:rPr>
        <w:t>”</w:t>
      </w:r>
      <w:r>
        <w:rPr>
          <w:rStyle w:val="ECHRPara"/>
          <w:szCs w:val="22"/>
        </w:rPr>
        <w:t>,</w:t>
      </w:r>
      <w:r>
        <w:rPr>
          <w:rStyle w:val="ECHRPara"/>
          <w:szCs w:val="22"/>
          <w:cs/>
        </w:rPr>
        <w:t xml:space="preserve">” </w:t>
      </w:r>
      <w:r>
        <w:rPr>
          <w:rStyle w:val="ECHRPara"/>
          <w:szCs w:val="22"/>
        </w:rPr>
        <w:t>възможности за строителство</w:t>
      </w:r>
      <w:r>
        <w:rPr>
          <w:rStyle w:val="ECHRPara"/>
          <w:szCs w:val="22"/>
          <w:cs/>
        </w:rPr>
        <w:t xml:space="preserve">” </w:t>
      </w:r>
      <w:r>
        <w:rPr>
          <w:rStyle w:val="ECHRPara"/>
          <w:szCs w:val="22"/>
        </w:rPr>
        <w:t xml:space="preserve">и </w:t>
      </w:r>
      <w:r>
        <w:rPr>
          <w:rStyle w:val="ECHRPara"/>
          <w:szCs w:val="22"/>
          <w:cs/>
        </w:rPr>
        <w:t>“</w:t>
      </w:r>
      <w:r>
        <w:rPr>
          <w:rStyle w:val="ECHRPara"/>
          <w:szCs w:val="22"/>
        </w:rPr>
        <w:t>съсобственост</w:t>
      </w:r>
      <w:r>
        <w:rPr>
          <w:rStyle w:val="ECHRPara"/>
          <w:szCs w:val="22"/>
          <w:cs/>
        </w:rPr>
        <w:t>”</w:t>
      </w:r>
      <w:r>
        <w:rPr>
          <w:rStyle w:val="ECHRPara"/>
          <w:szCs w:val="22"/>
        </w:rPr>
        <w:t>. Съдът смята, че прилагането на подобни критерии е оправдано и относимо в настоящия случай. Въз основа на предоставените му документи Съдът приема като отправна точка за своя</w:t>
      </w:r>
      <w:r w:rsidR="009943F7">
        <w:rPr>
          <w:rStyle w:val="ECHRPara"/>
          <w:szCs w:val="22"/>
        </w:rPr>
        <w:t>та</w:t>
      </w:r>
      <w:r>
        <w:rPr>
          <w:rStyle w:val="ECHRPara"/>
          <w:szCs w:val="22"/>
        </w:rPr>
        <w:t xml:space="preserve"> оценка цена от 350 евро </w:t>
      </w:r>
      <w:r w:rsidR="001F1555">
        <w:rPr>
          <w:rStyle w:val="ECHRPara"/>
          <w:szCs w:val="22"/>
        </w:rPr>
        <w:t>з</w:t>
      </w:r>
      <w:r>
        <w:rPr>
          <w:rStyle w:val="ECHRPara"/>
          <w:szCs w:val="22"/>
        </w:rPr>
        <w:t>а кв.м. за земята. Това прави около 87 000 евро за целия парцел от 246 или 250 кв.м.</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34</w:t>
      </w:r>
      <w:r>
        <w:fldChar w:fldCharType="end"/>
      </w:r>
      <w:r>
        <w:rPr>
          <w:rStyle w:val="ECHRPara"/>
          <w:szCs w:val="22"/>
        </w:rPr>
        <w:t xml:space="preserve">.  Въз основа на горните изчисления Съдът смята, че </w:t>
      </w:r>
      <w:r w:rsidR="001F1555">
        <w:rPr>
          <w:rStyle w:val="ECHRPara"/>
          <w:szCs w:val="22"/>
        </w:rPr>
        <w:t xml:space="preserve">към настоящия момент </w:t>
      </w:r>
      <w:r>
        <w:rPr>
          <w:rStyle w:val="ECHRPara"/>
          <w:szCs w:val="22"/>
        </w:rPr>
        <w:t>пазарна</w:t>
      </w:r>
      <w:r w:rsidR="001F1555">
        <w:rPr>
          <w:rStyle w:val="ECHRPara"/>
          <w:szCs w:val="22"/>
        </w:rPr>
        <w:t>та</w:t>
      </w:r>
      <w:r>
        <w:rPr>
          <w:rStyle w:val="ECHRPara"/>
          <w:szCs w:val="22"/>
        </w:rPr>
        <w:t xml:space="preserve"> стойност</w:t>
      </w:r>
      <w:r w:rsidR="001F1555">
        <w:rPr>
          <w:rStyle w:val="ECHRPara"/>
          <w:szCs w:val="22"/>
        </w:rPr>
        <w:t xml:space="preserve"> </w:t>
      </w:r>
      <w:r>
        <w:rPr>
          <w:rStyle w:val="ECHRPara"/>
          <w:szCs w:val="22"/>
        </w:rPr>
        <w:t>на целия имот е 497 000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35</w:t>
      </w:r>
      <w:r>
        <w:fldChar w:fldCharType="end"/>
      </w:r>
      <w:r>
        <w:rPr>
          <w:rStyle w:val="ECHRPara"/>
          <w:szCs w:val="22"/>
        </w:rPr>
        <w:t>.  Съдът трябва също така да реши дали тази сума трябва да бъде намалена, за да отчете подобренията, направени от държавата след 1966 г., както твърди Правителството (вж. параграф 17 по-горе). Жалбоподателите оспорват предложеното намаляване, като твърдят, че тяхната отговорност за неоснователно обогатяване е в противоречие с логиката на реституционното законодателство, прието в България (вж. парагра</w:t>
      </w:r>
      <w:r w:rsidR="009943F7">
        <w:rPr>
          <w:rStyle w:val="ECHRPara"/>
          <w:szCs w:val="22"/>
        </w:rPr>
        <w:t xml:space="preserve">ф 22 по-горе). Въпреки това, в скорошен </w:t>
      </w:r>
      <w:r>
        <w:rPr>
          <w:rStyle w:val="ECHRPara"/>
          <w:szCs w:val="22"/>
        </w:rPr>
        <w:t>подобен случай ВКС</w:t>
      </w:r>
      <w:r w:rsidR="001F1555">
        <w:rPr>
          <w:rStyle w:val="ECHRPara"/>
          <w:szCs w:val="22"/>
        </w:rPr>
        <w:t xml:space="preserve"> намира</w:t>
      </w:r>
      <w:r>
        <w:rPr>
          <w:rStyle w:val="ECHRPara"/>
          <w:szCs w:val="22"/>
        </w:rPr>
        <w:t>, че макар това да е вярно, когато става дума за реституция на имоти, национализирани след 1945 г., най-вече за наказателни цели, общите правила на гражданското право се прилагат, когато става дума за имоти, отчуждени за градско развитие, като този по делото, което разглежда. Това означава, че хората, които са станали собственици на такива имоти по силата на реституция, са длъжни да обезщетят властите за всички значителни подобрения, направени преди реституцията (вж. параграфи 18-19 по-горе). Съдът не вижда причина да смята това тълкуване на националното право за произволно. Освен това той отбелязва, че жалбоподателите не оспорват доказателствата, които показват, че подобренията в тяхната къща са били съществени. Съответно</w:t>
      </w:r>
      <w:r w:rsidR="00171349">
        <w:rPr>
          <w:rStyle w:val="ECHRPara"/>
          <w:szCs w:val="22"/>
        </w:rPr>
        <w:t>,</w:t>
      </w:r>
      <w:r>
        <w:rPr>
          <w:rStyle w:val="ECHRPara"/>
          <w:szCs w:val="22"/>
        </w:rPr>
        <w:t xml:space="preserve"> Съдът </w:t>
      </w:r>
      <w:r w:rsidR="00C25DDF">
        <w:rPr>
          <w:rStyle w:val="ECHRPara"/>
          <w:szCs w:val="22"/>
        </w:rPr>
        <w:t>намира</w:t>
      </w:r>
      <w:r w:rsidR="00171349">
        <w:rPr>
          <w:rStyle w:val="ECHRPara"/>
          <w:szCs w:val="22"/>
        </w:rPr>
        <w:t xml:space="preserve">, че трябва да намали </w:t>
      </w:r>
      <w:r>
        <w:rPr>
          <w:rStyle w:val="ECHRPara"/>
          <w:szCs w:val="22"/>
        </w:rPr>
        <w:t>пазарна</w:t>
      </w:r>
      <w:r w:rsidR="00FE22B7">
        <w:rPr>
          <w:rStyle w:val="ECHRPara"/>
          <w:szCs w:val="22"/>
        </w:rPr>
        <w:t>та</w:t>
      </w:r>
      <w:r>
        <w:rPr>
          <w:rStyle w:val="ECHRPara"/>
          <w:szCs w:val="22"/>
        </w:rPr>
        <w:t xml:space="preserve"> стойност на имота</w:t>
      </w:r>
      <w:r w:rsidR="001F1555">
        <w:rPr>
          <w:rStyle w:val="ECHRPara"/>
          <w:szCs w:val="22"/>
        </w:rPr>
        <w:t xml:space="preserve"> към </w:t>
      </w:r>
      <w:r w:rsidR="00C25DDF">
        <w:rPr>
          <w:rStyle w:val="ECHRPara"/>
          <w:szCs w:val="22"/>
        </w:rPr>
        <w:t>момента</w:t>
      </w:r>
      <w:r>
        <w:rPr>
          <w:rStyle w:val="ECHRPara"/>
          <w:szCs w:val="22"/>
        </w:rPr>
        <w:t xml:space="preserve">, </w:t>
      </w:r>
      <w:r w:rsidR="00C25DDF">
        <w:rPr>
          <w:rStyle w:val="ECHRPara"/>
          <w:szCs w:val="22"/>
        </w:rPr>
        <w:t>така както е определена</w:t>
      </w:r>
      <w:r>
        <w:rPr>
          <w:rStyle w:val="ECHRPara"/>
          <w:szCs w:val="22"/>
        </w:rPr>
        <w:t xml:space="preserve"> от него, за да отчете тези подобрения.</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36</w:t>
      </w:r>
      <w:r>
        <w:fldChar w:fldCharType="end"/>
      </w:r>
      <w:r>
        <w:rPr>
          <w:rStyle w:val="ECHRPara"/>
          <w:szCs w:val="22"/>
        </w:rPr>
        <w:t>.  Правителството представя експертен доклад, в който се посочва, че подобренията, направени от властите след 1966 г., са увеличили стойността на имота с равностойността на около 185 000 евро (вж. параграф 14 по-горе). Жалбоподателите явно не са съгласни с това заключение (вж. параграф 22 по-горе), но не представят алтернативно изчисление. Съдът не може да приеме довода на жалбоподателите, че някои от подобренията не са необходими (</w:t>
      </w:r>
      <w:r w:rsidR="00687B2E" w:rsidRPr="00687B2E">
        <w:rPr>
          <w:rStyle w:val="ECHRPara"/>
          <w:i/>
          <w:szCs w:val="22"/>
          <w:lang w:val="en-US"/>
        </w:rPr>
        <w:t>ibid</w:t>
      </w:r>
      <w:r>
        <w:rPr>
          <w:rStyle w:val="ECHRPara"/>
          <w:szCs w:val="22"/>
        </w:rPr>
        <w:t>), тъй като това твърдение не е доказано и във всеки случай не може да оправдае освобождаването на жалбоподателите от тяхната отговорност за неоснователно обогатяване. Не е доказано също така, че пожарът в сградата през 1978 г., който налага значителни работи по реставрация и реконструкци</w:t>
      </w:r>
      <w:r w:rsidR="00C25DDF">
        <w:rPr>
          <w:rStyle w:val="ECHRPara"/>
          <w:szCs w:val="22"/>
        </w:rPr>
        <w:t>я</w:t>
      </w:r>
      <w:r>
        <w:rPr>
          <w:rStyle w:val="ECHRPara"/>
          <w:szCs w:val="22"/>
        </w:rPr>
        <w:t xml:space="preserve"> (вж. параграф 14 по-горе), е причинен по вина на властите, както твърдят жалбоподателите (вж. параграф 22 по-горе ). Във всеки случай това</w:t>
      </w:r>
      <w:r w:rsidR="00C25DDF">
        <w:rPr>
          <w:rStyle w:val="ECHRPara"/>
          <w:szCs w:val="22"/>
        </w:rPr>
        <w:t xml:space="preserve"> е иррелевантно</w:t>
      </w:r>
      <w:r>
        <w:rPr>
          <w:rStyle w:val="ECHRPara"/>
          <w:szCs w:val="22"/>
        </w:rPr>
        <w:t xml:space="preserve">, тъй като Правителството </w:t>
      </w:r>
      <w:r w:rsidR="00E50080">
        <w:rPr>
          <w:rStyle w:val="ECHRPara"/>
          <w:szCs w:val="22"/>
        </w:rPr>
        <w:t xml:space="preserve">само </w:t>
      </w:r>
      <w:r>
        <w:rPr>
          <w:rStyle w:val="ECHRPara"/>
          <w:szCs w:val="22"/>
        </w:rPr>
        <w:t>предлага Съдът да намали пазарната стойност на им</w:t>
      </w:r>
      <w:r w:rsidR="00C25DDF">
        <w:rPr>
          <w:rStyle w:val="ECHRPara"/>
          <w:szCs w:val="22"/>
        </w:rPr>
        <w:t>ота</w:t>
      </w:r>
      <w:r>
        <w:rPr>
          <w:rStyle w:val="ECHRPara"/>
          <w:szCs w:val="22"/>
        </w:rPr>
        <w:t xml:space="preserve"> на жалбоподателите със сумата, представляваща действителното увеличение на стойността на имота (вж. параграф 17 по-горе).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37</w:t>
      </w:r>
      <w:r>
        <w:fldChar w:fldCharType="end"/>
      </w:r>
      <w:r>
        <w:rPr>
          <w:rStyle w:val="ECHRPara"/>
          <w:szCs w:val="22"/>
        </w:rPr>
        <w:t>.  Следователно</w:t>
      </w:r>
      <w:r w:rsidR="001F21FD">
        <w:rPr>
          <w:rStyle w:val="ECHRPara"/>
          <w:szCs w:val="22"/>
        </w:rPr>
        <w:t>,</w:t>
      </w:r>
      <w:r>
        <w:rPr>
          <w:rStyle w:val="ECHRPara"/>
          <w:szCs w:val="22"/>
        </w:rPr>
        <w:t xml:space="preserve"> Съдът не вижда причина да не приложи предложеното от Правителството намаляване, а именно 185 000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38</w:t>
      </w:r>
      <w:r>
        <w:fldChar w:fldCharType="end"/>
      </w:r>
      <w:r>
        <w:rPr>
          <w:rStyle w:val="ECHRPara"/>
          <w:szCs w:val="22"/>
        </w:rPr>
        <w:t>.  Окончателната сума, която да бъде присъдена на жалбоподателите по отношение на стойността на имота, е 312 000 евро.</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39</w:t>
      </w:r>
      <w:r>
        <w:fldChar w:fldCharType="end"/>
      </w:r>
      <w:r>
        <w:rPr>
          <w:rStyle w:val="ECHRPara"/>
          <w:szCs w:val="22"/>
        </w:rPr>
        <w:t>.  Що се отнася до претенциите на жалбоподателите за обезщетение за пропуснати ползи, Съдът отбелязва, че то се основава на наемите, които жалбоподателите твърдят, че биха могли да получат, ако са отдавали по</w:t>
      </w:r>
      <w:r w:rsidR="00687B2E">
        <w:rPr>
          <w:rStyle w:val="ECHRPara"/>
          <w:szCs w:val="22"/>
        </w:rPr>
        <w:t>д</w:t>
      </w:r>
      <w:r>
        <w:rPr>
          <w:rStyle w:val="ECHRPara"/>
          <w:szCs w:val="22"/>
        </w:rPr>
        <w:t xml:space="preserve"> наем имота след 1998 г., плюс лихвите за забава. Общата сума, претендирана по тази позиция, възлиза на 756 860 евро (вж. параграф 10 по-горе).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40</w:t>
      </w:r>
      <w:r>
        <w:fldChar w:fldCharType="end"/>
      </w:r>
      <w:r>
        <w:rPr>
          <w:rStyle w:val="ECHRPara"/>
          <w:szCs w:val="22"/>
        </w:rPr>
        <w:t xml:space="preserve">.  Съдът обаче смята тази сума за силно преувеличена. Ако приемем, че жалбоподателите са отдавали под наем имота си, вероятно са щели да изпитат известни забавяния при намирането на подходящи наематели. Освен това те биха понесли разходи във връзка с поддържането на имота (вж. </w:t>
      </w:r>
      <w:r>
        <w:rPr>
          <w:rStyle w:val="ECHRPara"/>
          <w:i/>
          <w:szCs w:val="22"/>
        </w:rPr>
        <w:t>Кирилова и други срещу България</w:t>
      </w:r>
      <w:r>
        <w:rPr>
          <w:rStyle w:val="ECHRPara"/>
          <w:szCs w:val="22"/>
        </w:rPr>
        <w:t xml:space="preserve"> (справедливо обезщетение), </w:t>
      </w:r>
      <w:r>
        <w:rPr>
          <w:rStyle w:val="ECHRPara"/>
          <w:szCs w:val="22"/>
          <w:cs/>
        </w:rPr>
        <w:t xml:space="preserve">№ </w:t>
      </w:r>
      <w:r>
        <w:rPr>
          <w:rStyle w:val="ECHRPara"/>
          <w:szCs w:val="22"/>
        </w:rPr>
        <w:t xml:space="preserve">42908/98 и 3 други, § 31, 14 юни 2007 г.). Това е дори по-вероятно в светлината на факта, че къщата е обявена за паметник на културата и е част от по-голям исторически и архитектурен комплекс (вж. параграф 16 по-горе), което неизбежно би засегнало възможностите за отдаване под наем или ползване, както и разходите, необходими за нейната поддръжка (вж. </w:t>
      </w:r>
      <w:r>
        <w:rPr>
          <w:rStyle w:val="ECHRPara"/>
          <w:i/>
          <w:szCs w:val="22"/>
        </w:rPr>
        <w:t>Дебелянови</w:t>
      </w:r>
      <w:r>
        <w:rPr>
          <w:rStyle w:val="ECHRPara"/>
          <w:szCs w:val="22"/>
        </w:rPr>
        <w:t>, цитирано по-горе, § 17). И накрая</w:t>
      </w:r>
      <w:r w:rsidR="000C216A" w:rsidRPr="000C216A">
        <w:rPr>
          <w:rStyle w:val="ECHRPara"/>
          <w:szCs w:val="22"/>
        </w:rPr>
        <w:t>,</w:t>
      </w:r>
      <w:r>
        <w:rPr>
          <w:rStyle w:val="ECHRPara"/>
          <w:szCs w:val="22"/>
        </w:rPr>
        <w:t xml:space="preserve"> жалбоподателите е трябвало да плащат данък върху каквито и да било приходи (вж. </w:t>
      </w:r>
      <w:r>
        <w:rPr>
          <w:rStyle w:val="ECHRPara"/>
          <w:i/>
          <w:szCs w:val="22"/>
        </w:rPr>
        <w:t>Дечева и други срещу България</w:t>
      </w:r>
      <w:r>
        <w:rPr>
          <w:rStyle w:val="ECHRPara"/>
          <w:szCs w:val="22"/>
        </w:rPr>
        <w:t xml:space="preserve">, </w:t>
      </w:r>
      <w:r>
        <w:rPr>
          <w:rStyle w:val="ECHRPara"/>
          <w:szCs w:val="22"/>
          <w:cs/>
        </w:rPr>
        <w:t xml:space="preserve">№ </w:t>
      </w:r>
      <w:r>
        <w:rPr>
          <w:rStyle w:val="ECHRPara"/>
          <w:szCs w:val="22"/>
        </w:rPr>
        <w:t>43071/06, § 70, 26 юни 2012 г.).</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41</w:t>
      </w:r>
      <w:r>
        <w:fldChar w:fldCharType="end"/>
      </w:r>
      <w:r>
        <w:rPr>
          <w:rStyle w:val="ECHRPara"/>
          <w:szCs w:val="22"/>
        </w:rPr>
        <w:t>.  Предвид големия брой не</w:t>
      </w:r>
      <w:r w:rsidR="001F21FD">
        <w:rPr>
          <w:rStyle w:val="ECHRPara"/>
          <w:szCs w:val="22"/>
        </w:rPr>
        <w:t>преодолими фактори</w:t>
      </w:r>
      <w:r w:rsidR="000C216A" w:rsidRPr="000C216A">
        <w:rPr>
          <w:rStyle w:val="ECHRPara"/>
          <w:szCs w:val="22"/>
        </w:rPr>
        <w:t>,</w:t>
      </w:r>
      <w:r>
        <w:rPr>
          <w:rStyle w:val="ECHRPara"/>
          <w:szCs w:val="22"/>
        </w:rPr>
        <w:t xml:space="preserve"> и невъзможността да се изчисли точно загубата, понесена от жалбоподателите, Съдът трябва да реши по справедливост. Той смята за целесъобразно да присъди на жалбоподателите 150 000 евро, за да обезщети всяка пропусната полза, понесена от тях, считано от датата на окончателното </w:t>
      </w:r>
      <w:r w:rsidRPr="00687B2E">
        <w:rPr>
          <w:rStyle w:val="ECHRPara"/>
          <w:szCs w:val="22"/>
        </w:rPr>
        <w:t>национално</w:t>
      </w:r>
      <w:r>
        <w:rPr>
          <w:rStyle w:val="ECHRPara"/>
          <w:szCs w:val="22"/>
        </w:rPr>
        <w:t xml:space="preserve"> решение, </w:t>
      </w:r>
      <w:r w:rsidR="00687B2E">
        <w:rPr>
          <w:rStyle w:val="ECHRPara"/>
          <w:szCs w:val="22"/>
        </w:rPr>
        <w:t xml:space="preserve">удовлетворявашо </w:t>
      </w:r>
      <w:r>
        <w:rPr>
          <w:rStyle w:val="ECHRPara"/>
          <w:szCs w:val="22"/>
        </w:rPr>
        <w:t>техния иск за реституция - 2 октомври 1998 г. (вж. параграф 10 по-горе).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42</w:t>
      </w:r>
      <w:r>
        <w:fldChar w:fldCharType="end"/>
      </w:r>
      <w:r>
        <w:rPr>
          <w:rStyle w:val="ECHRPara"/>
          <w:szCs w:val="22"/>
        </w:rPr>
        <w:t>.  Окончателното присъждане за имуществени вреди по този начин е 462 000 евро. По искане на жалбоподат</w:t>
      </w:r>
      <w:r w:rsidR="00497449">
        <w:rPr>
          <w:rStyle w:val="ECHRPara"/>
          <w:szCs w:val="22"/>
        </w:rPr>
        <w:t>елите (вж. параграф 11 по-горе)</w:t>
      </w:r>
      <w:r>
        <w:rPr>
          <w:rStyle w:val="ECHRPara"/>
          <w:szCs w:val="22"/>
        </w:rPr>
        <w:t xml:space="preserve"> то следва да се разпредели между тях в съответствие с техните дялове от наследството.</w:t>
      </w:r>
    </w:p>
    <w:p w:rsidR="00F027FE" w:rsidRPr="00B328DE" w:rsidRDefault="00F027FE" w:rsidP="00F027FE">
      <w:pPr>
        <w:pStyle w:val="ECHRHeading2"/>
      </w:pPr>
      <w:r>
        <w:rPr>
          <w:rStyle w:val="ECHRHeading2"/>
        </w:rPr>
        <w:t>Б. Разходи и разноски</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43</w:t>
      </w:r>
      <w:r>
        <w:fldChar w:fldCharType="end"/>
      </w:r>
      <w:r>
        <w:rPr>
          <w:rStyle w:val="ECHRPara"/>
          <w:szCs w:val="22"/>
        </w:rPr>
        <w:t xml:space="preserve">.  На последно място жалбоподателите претендират възстановяване на разходите за докладите за оценка, представени в подкрепа на техните претенции </w:t>
      </w:r>
      <w:r w:rsidR="00497449">
        <w:rPr>
          <w:rStyle w:val="ECHRPara"/>
          <w:szCs w:val="22"/>
        </w:rPr>
        <w:t>з</w:t>
      </w:r>
      <w:r>
        <w:rPr>
          <w:rStyle w:val="ECHRPara"/>
          <w:szCs w:val="22"/>
        </w:rPr>
        <w:t>а имуществени вреди. Те представят фактури, показващи, че са платили 120 лв. (равностойността на 62 евро) за второто становище на техния експерт за пазарната стойност на имот</w:t>
      </w:r>
      <w:r w:rsidR="006B1655">
        <w:rPr>
          <w:rStyle w:val="ECHRPara"/>
          <w:szCs w:val="22"/>
        </w:rPr>
        <w:t>а им</w:t>
      </w:r>
      <w:r>
        <w:rPr>
          <w:rStyle w:val="ECHRPara"/>
          <w:szCs w:val="22"/>
        </w:rPr>
        <w:t>, и 1200 лева (равностойността на 613 евро) за не</w:t>
      </w:r>
      <w:r w:rsidR="006B1655">
        <w:rPr>
          <w:rStyle w:val="ECHRPara"/>
          <w:szCs w:val="22"/>
        </w:rPr>
        <w:t>гов</w:t>
      </w:r>
      <w:r>
        <w:rPr>
          <w:rStyle w:val="ECHRPara"/>
          <w:szCs w:val="22"/>
        </w:rPr>
        <w:t xml:space="preserve">ия доклад </w:t>
      </w:r>
      <w:r w:rsidR="001F21FD">
        <w:rPr>
          <w:rStyle w:val="ECHRPara"/>
          <w:szCs w:val="22"/>
        </w:rPr>
        <w:t>относно</w:t>
      </w:r>
      <w:r>
        <w:rPr>
          <w:rStyle w:val="ECHRPara"/>
          <w:szCs w:val="22"/>
        </w:rPr>
        <w:t xml:space="preserve"> наем</w:t>
      </w:r>
      <w:r w:rsidR="001F21FD">
        <w:rPr>
          <w:rStyle w:val="ECHRPara"/>
          <w:szCs w:val="22"/>
        </w:rPr>
        <w:t>ите</w:t>
      </w:r>
      <w:r>
        <w:rPr>
          <w:rStyle w:val="ECHRPara"/>
          <w:szCs w:val="22"/>
        </w:rPr>
        <w:t>, платим</w:t>
      </w:r>
      <w:r w:rsidR="001F21FD">
        <w:rPr>
          <w:rStyle w:val="ECHRPara"/>
          <w:szCs w:val="22"/>
        </w:rPr>
        <w:t>и</w:t>
      </w:r>
      <w:r>
        <w:rPr>
          <w:rStyle w:val="ECHRPara"/>
          <w:szCs w:val="22"/>
        </w:rPr>
        <w:t xml:space="preserve"> за имота (вж. параграфи 8 и 10 по-горе). Жалбоподателите молят всяка сума, присъдена по тази позиция, да се плати директно на г-н Камер Баркев Ширин (един от наследниците на г-жа Анаис Хампарцум Ширин, вж. параграф 1 по-горе).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44</w:t>
      </w:r>
      <w:r>
        <w:fldChar w:fldCharType="end"/>
      </w:r>
      <w:r>
        <w:rPr>
          <w:rStyle w:val="ECHRPara"/>
          <w:szCs w:val="22"/>
        </w:rPr>
        <w:t>.  Правителството оспорва претенциите.</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45</w:t>
      </w:r>
      <w:r>
        <w:fldChar w:fldCharType="end"/>
      </w:r>
      <w:r>
        <w:rPr>
          <w:rStyle w:val="ECHRPara"/>
          <w:szCs w:val="22"/>
        </w:rPr>
        <w:t>.  Според практиката на Съда жалбоподател има право на възстановяване на разходи и разноски само доколкото е доказано, че те са били действително и необходимо направени и са в разумен размер. В настоящия случай, като се имат предвид обстоятелствата по делото и горепосочените критерии, Съдът присъжда претендираните суми на обща стойност от 675 евро в пълен размер. По искане на жалбоподателите, тази сума трябва да бъде платена само на г-н Камер Баркев Ширин.</w:t>
      </w:r>
    </w:p>
    <w:p w:rsidR="00F027FE" w:rsidRPr="00B328DE" w:rsidRDefault="00F027FE" w:rsidP="00F027FE">
      <w:pPr>
        <w:pStyle w:val="ECHRHeading2"/>
      </w:pPr>
      <w:r>
        <w:rPr>
          <w:rStyle w:val="ECHRHeading2"/>
        </w:rPr>
        <w:t>В. Лихва за забава</w:t>
      </w:r>
    </w:p>
    <w:p w:rsidR="00F027FE" w:rsidRPr="00B328DE" w:rsidRDefault="00F027FE" w:rsidP="00F027FE">
      <w:pPr>
        <w:pStyle w:val="ECHRPara"/>
      </w:pPr>
      <w:r>
        <w:fldChar w:fldCharType="begin"/>
      </w:r>
      <w:r>
        <w:rPr>
          <w:rStyle w:val="ECHRPara"/>
          <w:szCs w:val="22"/>
        </w:rPr>
        <w:instrText xml:space="preserve"> SEQ level0 \*arabic </w:instrText>
      </w:r>
      <w:r>
        <w:fldChar w:fldCharType="separate"/>
      </w:r>
      <w:r w:rsidR="00CC3E99">
        <w:rPr>
          <w:rStyle w:val="ECHRPara"/>
          <w:noProof/>
          <w:szCs w:val="22"/>
        </w:rPr>
        <w:t>46</w:t>
      </w:r>
      <w:r>
        <w:fldChar w:fldCharType="end"/>
      </w:r>
      <w:r>
        <w:rPr>
          <w:rStyle w:val="ECHRPara"/>
          <w:szCs w:val="22"/>
        </w:rPr>
        <w:t>.  Съдът смята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p>
    <w:p w:rsidR="00F027FE" w:rsidRPr="00B328DE" w:rsidRDefault="00F027FE" w:rsidP="00F027FE">
      <w:pPr>
        <w:pStyle w:val="ECHRTitle1"/>
      </w:pPr>
      <w:r>
        <w:rPr>
          <w:rStyle w:val="ECHRTitle1"/>
        </w:rPr>
        <w:t>ПО ТЕЗИ СЪОБРАЖЕНИЯ СЪДЪТ ЕДИНОДУШНО</w:t>
      </w:r>
    </w:p>
    <w:p w:rsidR="00F027FE" w:rsidRPr="00B328DE" w:rsidRDefault="00F027FE" w:rsidP="00F027FE">
      <w:pPr>
        <w:pStyle w:val="JuList"/>
      </w:pPr>
      <w:r>
        <w:rPr>
          <w:rStyle w:val="JuList"/>
        </w:rPr>
        <w:t>1.  </w:t>
      </w:r>
      <w:r>
        <w:rPr>
          <w:rStyle w:val="JuList"/>
          <w:i/>
        </w:rPr>
        <w:t>Приема,</w:t>
      </w:r>
    </w:p>
    <w:p w:rsidR="00F027FE" w:rsidRPr="00B328DE" w:rsidRDefault="00F027FE" w:rsidP="00F027FE">
      <w:pPr>
        <w:pStyle w:val="JuLista"/>
      </w:pPr>
      <w:r>
        <w:rPr>
          <w:rStyle w:val="JuLista"/>
        </w:rPr>
        <w:t>(а) че държавата</w:t>
      </w:r>
      <w:r w:rsidR="001F21FD">
        <w:rPr>
          <w:rStyle w:val="JuLista"/>
        </w:rPr>
        <w:t xml:space="preserve"> </w:t>
      </w:r>
      <w:r>
        <w:rPr>
          <w:rStyle w:val="JuLista"/>
        </w:rPr>
        <w:t>ответник трябва да заплати на жалбоподателите в срок от три месеца от датата, на която решението стане окончателно в съответствие с чл</w:t>
      </w:r>
      <w:r w:rsidR="006B1655">
        <w:rPr>
          <w:rStyle w:val="JuLista"/>
        </w:rPr>
        <w:t>ен</w:t>
      </w:r>
      <w:r>
        <w:rPr>
          <w:rStyle w:val="JuLista"/>
        </w:rPr>
        <w:t xml:space="preserve"> 44 § 2 от Конвенцията, следните суми, които се </w:t>
      </w:r>
      <w:r w:rsidR="00E861BC">
        <w:rPr>
          <w:rStyle w:val="JuLista"/>
        </w:rPr>
        <w:t xml:space="preserve">конвертират </w:t>
      </w:r>
      <w:r>
        <w:rPr>
          <w:rStyle w:val="JuLista"/>
        </w:rPr>
        <w:t>в български лева по курса</w:t>
      </w:r>
      <w:r w:rsidR="00E861BC">
        <w:rPr>
          <w:rStyle w:val="JuLista"/>
        </w:rPr>
        <w:t>, валиден</w:t>
      </w:r>
      <w:r>
        <w:rPr>
          <w:rStyle w:val="JuLista"/>
        </w:rPr>
        <w:t xml:space="preserve"> към датата на плащането:</w:t>
      </w:r>
    </w:p>
    <w:p w:rsidR="00F027FE" w:rsidRPr="00B328DE" w:rsidRDefault="00F027FE" w:rsidP="00F027FE">
      <w:pPr>
        <w:pStyle w:val="JuListi"/>
      </w:pPr>
      <w:r>
        <w:rPr>
          <w:rStyle w:val="JuListi"/>
        </w:rPr>
        <w:t xml:space="preserve">(i) 462 000 евро (четиристотин шестдесет и две хиляди евро), плюс всякакви данъци, които биха могли да се начислят, </w:t>
      </w:r>
      <w:r w:rsidR="00662EF0">
        <w:rPr>
          <w:rStyle w:val="JuListi"/>
        </w:rPr>
        <w:t xml:space="preserve">за </w:t>
      </w:r>
      <w:r>
        <w:rPr>
          <w:rStyle w:val="JuListi"/>
        </w:rPr>
        <w:t>имуществени вреди, които да бъдат разпределени между жалбоподателите в съответствие с техните дялове от наследството;</w:t>
      </w:r>
    </w:p>
    <w:p w:rsidR="00F027FE" w:rsidRPr="00B328DE" w:rsidRDefault="00F027FE" w:rsidP="00F027FE">
      <w:pPr>
        <w:pStyle w:val="JuListi"/>
      </w:pPr>
      <w:r>
        <w:rPr>
          <w:rStyle w:val="JuListi"/>
        </w:rPr>
        <w:t>(ii) 675 евро (шестстотин седемдесет и пет евро), плюс всякакви данъци, които биха могли да се начислят на жалбоподателите, по отношение на разходи и разноски, които трябва да бъдат изплатени на г-н Камер Баркев Ширин;</w:t>
      </w:r>
    </w:p>
    <w:p w:rsidR="00F027FE" w:rsidRPr="00B328DE" w:rsidRDefault="00F027FE" w:rsidP="00F027FE">
      <w:pPr>
        <w:pStyle w:val="JuLista"/>
      </w:pPr>
      <w:r>
        <w:rPr>
          <w:rStyle w:val="JuLista"/>
        </w:rPr>
        <w:t xml:space="preserve">(б) че от изтичането на </w:t>
      </w:r>
      <w:r w:rsidR="00E861BC">
        <w:rPr>
          <w:rStyle w:val="JuLista"/>
        </w:rPr>
        <w:t>горес</w:t>
      </w:r>
      <w:r>
        <w:rPr>
          <w:rStyle w:val="JuLista"/>
        </w:rPr>
        <w:t xml:space="preserve">поменатия тримесечен срок до плащането се дължи проста лихва върху горепосочените суми в размер, равен на пределната ставка по заеми на Европейската централна банка </w:t>
      </w:r>
      <w:r w:rsidR="00E861BC">
        <w:rPr>
          <w:rStyle w:val="JuLista"/>
        </w:rPr>
        <w:t xml:space="preserve">за срока </w:t>
      </w:r>
      <w:r>
        <w:rPr>
          <w:rStyle w:val="JuLista"/>
        </w:rPr>
        <w:t>на забава, към която се добавят три процентни пункта;</w:t>
      </w:r>
    </w:p>
    <w:p w:rsidR="00F027FE" w:rsidRPr="00B328DE" w:rsidRDefault="00F027FE" w:rsidP="00F027FE">
      <w:pPr>
        <w:pStyle w:val="JuList"/>
      </w:pPr>
    </w:p>
    <w:p w:rsidR="00F027FE" w:rsidRPr="00B328DE" w:rsidRDefault="00F027FE" w:rsidP="00F027FE">
      <w:pPr>
        <w:pStyle w:val="JuList"/>
      </w:pPr>
      <w:r>
        <w:rPr>
          <w:rStyle w:val="JuList"/>
        </w:rPr>
        <w:t>2.  </w:t>
      </w:r>
      <w:r>
        <w:rPr>
          <w:rStyle w:val="JuList"/>
          <w:i/>
        </w:rPr>
        <w:t>Отхвърля</w:t>
      </w:r>
      <w:r>
        <w:rPr>
          <w:rStyle w:val="JuList"/>
        </w:rPr>
        <w:t xml:space="preserve"> останалата част от </w:t>
      </w:r>
      <w:r w:rsidR="00662EF0">
        <w:rPr>
          <w:rStyle w:val="JuList"/>
        </w:rPr>
        <w:t>претенцията</w:t>
      </w:r>
      <w:r>
        <w:rPr>
          <w:rStyle w:val="JuList"/>
        </w:rPr>
        <w:t xml:space="preserve"> на жалбоподателите за справедливо обезщетение.</w:t>
      </w:r>
    </w:p>
    <w:p w:rsidR="00F027FE" w:rsidRPr="00B328DE" w:rsidRDefault="00F027FE" w:rsidP="00F027FE">
      <w:pPr>
        <w:pStyle w:val="JuParaLast"/>
        <w:suppressLineNumbers/>
      </w:pPr>
      <w:r>
        <w:rPr>
          <w:rStyle w:val="JuParaLast"/>
        </w:rPr>
        <w:t xml:space="preserve">Изготвено на английски език и оповестено писмено на 23 ноември 2017 г. в съответствие с </w:t>
      </w:r>
      <w:r w:rsidR="005845DB">
        <w:rPr>
          <w:rStyle w:val="JuParaLast"/>
        </w:rPr>
        <w:t>п</w:t>
      </w:r>
      <w:r>
        <w:rPr>
          <w:rStyle w:val="JuParaLast"/>
        </w:rPr>
        <w:t>равило 77 §§ 2 и 3 от Правилника на Съда.</w:t>
      </w:r>
    </w:p>
    <w:p w:rsidR="00F027FE" w:rsidRPr="00B328DE" w:rsidRDefault="00F027FE" w:rsidP="00F027FE">
      <w:pPr>
        <w:pStyle w:val="JuSigned"/>
        <w:suppressLineNumbers/>
      </w:pPr>
      <w:r>
        <w:rPr>
          <w:rStyle w:val="JuSigned"/>
        </w:rPr>
        <w:tab/>
        <w:t>Клаудия Вестердик</w:t>
      </w:r>
      <w:r>
        <w:rPr>
          <w:rStyle w:val="JuSigned"/>
        </w:rPr>
        <w:tab/>
        <w:t xml:space="preserve">Ангелика Нусбергер </w:t>
      </w:r>
      <w:r>
        <w:br/>
      </w:r>
      <w:r>
        <w:rPr>
          <w:rStyle w:val="JuSigned"/>
        </w:rPr>
        <w:tab/>
      </w:r>
      <w:r w:rsidR="005845DB">
        <w:rPr>
          <w:rStyle w:val="JuSigned"/>
        </w:rPr>
        <w:t>с</w:t>
      </w:r>
      <w:r>
        <w:rPr>
          <w:rStyle w:val="JuSigned"/>
        </w:rPr>
        <w:t>екретар</w:t>
      </w:r>
      <w:r>
        <w:rPr>
          <w:rStyle w:val="JuSigned"/>
        </w:rPr>
        <w:tab/>
      </w:r>
      <w:r w:rsidR="005845DB">
        <w:rPr>
          <w:rStyle w:val="JuSigned"/>
        </w:rPr>
        <w:t>п</w:t>
      </w:r>
      <w:r>
        <w:rPr>
          <w:rStyle w:val="JuSigned"/>
        </w:rPr>
        <w:t>редседател</w:t>
      </w:r>
    </w:p>
    <w:sectPr w:rsidR="00F027FE" w:rsidRPr="00B328DE" w:rsidSect="00F027FE">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742" w:rsidRPr="00CA345F" w:rsidRDefault="00F86742" w:rsidP="00F027FE">
      <w:r>
        <w:separator/>
      </w:r>
    </w:p>
  </w:endnote>
  <w:endnote w:type="continuationSeparator" w:id="0">
    <w:p w:rsidR="00F86742" w:rsidRPr="00CA345F" w:rsidRDefault="00F86742" w:rsidP="00F02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2FF" w:usb1="0000F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3CF" w:rsidRDefault="002C5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3CF" w:rsidRDefault="002C5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7FE" w:rsidRPr="00150BFA" w:rsidRDefault="00C54F91" w:rsidP="00F027FE">
    <w:pPr>
      <w:jc w:val="center"/>
    </w:pPr>
    <w:r>
      <w:rPr>
        <w:noProof/>
        <w:lang w:val="en-US" w:eastAsia="en-US"/>
      </w:rPr>
      <w:drawing>
        <wp:inline distT="0" distB="0" distL="0" distR="0">
          <wp:extent cx="771525" cy="619125"/>
          <wp:effectExtent l="0" t="0" r="0" b="0"/>
          <wp:docPr id="2"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27FE" w:rsidRDefault="00F027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742" w:rsidRPr="00CA345F" w:rsidRDefault="00F86742" w:rsidP="00F027FE">
      <w:r>
        <w:separator/>
      </w:r>
    </w:p>
  </w:footnote>
  <w:footnote w:type="continuationSeparator" w:id="0">
    <w:p w:rsidR="00F86742" w:rsidRPr="00CA345F" w:rsidRDefault="00F86742" w:rsidP="00F027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53CF" w:rsidRDefault="002C53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7FE" w:rsidRPr="00085C5B" w:rsidRDefault="00F027FE" w:rsidP="00F027FE">
    <w:pPr>
      <w:pStyle w:val="Header"/>
      <w:jc w:val="center"/>
      <w:rPr>
        <w:rStyle w:val="PageNumber"/>
        <w:sz w:val="2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7FE" w:rsidRPr="00A45145" w:rsidRDefault="00C54F91" w:rsidP="00F027FE">
    <w:pPr>
      <w:jc w:val="center"/>
    </w:pPr>
    <w:r>
      <w:rPr>
        <w:noProof/>
        <w:lang w:val="en-US" w:eastAsia="en-US"/>
      </w:rPr>
      <w:drawing>
        <wp:inline distT="0" distB="0" distL="0" distR="0">
          <wp:extent cx="2962275" cy="1219200"/>
          <wp:effectExtent l="0" t="0" r="0"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27FE" w:rsidRPr="00CA345F" w:rsidRDefault="00F027F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7FE" w:rsidRPr="00CA345F" w:rsidRDefault="00F027FE" w:rsidP="00F027FE">
    <w:pPr>
      <w:pStyle w:val="ECHRHeader"/>
    </w:pPr>
    <w:r>
      <w:rPr>
        <w:rStyle w:val="PageNumber"/>
      </w:rPr>
      <w:fldChar w:fldCharType="begin"/>
    </w:r>
    <w:r>
      <w:rPr>
        <w:rStyle w:val="PageNumber"/>
      </w:rPr>
      <w:instrText xml:space="preserve"> PAGE </w:instrText>
    </w:r>
    <w:r>
      <w:rPr>
        <w:rStyle w:val="PageNumber"/>
      </w:rPr>
      <w:fldChar w:fldCharType="separate"/>
    </w:r>
    <w:r w:rsidR="002C53CF">
      <w:rPr>
        <w:rStyle w:val="PageNumber"/>
        <w:noProof/>
      </w:rPr>
      <w:t>10</w:t>
    </w:r>
    <w:r>
      <w:rPr>
        <w:rStyle w:val="PageNumber"/>
      </w:rPr>
      <w:fldChar w:fldCharType="end"/>
    </w:r>
    <w:r>
      <w:rPr>
        <w:rStyle w:val="ECHRHeader"/>
        <w:szCs w:val="22"/>
      </w:rPr>
      <w:tab/>
    </w:r>
    <w:r>
      <w:rPr>
        <w:rStyle w:val="ECHRHeader"/>
        <w:szCs w:val="22"/>
      </w:rPr>
      <w:t>РЕШЕНИЕ ЧЕНГЕЛЯН И ДРУГИ СРЕЩУ БЪЛГАРИЯ (СПРАВЕДЛИВО ОБЕЗЩЕТЕНИЕ)</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7FE" w:rsidRPr="00CA345F" w:rsidRDefault="00F027FE" w:rsidP="00F027FE">
    <w:pPr>
      <w:pStyle w:val="ECHRHeader"/>
      <w:rPr>
        <w:rStyle w:val="PageNumber"/>
      </w:rPr>
    </w:pPr>
    <w:r>
      <w:rPr>
        <w:rStyle w:val="ECHRHeader"/>
        <w:szCs w:val="22"/>
      </w:rPr>
      <w:tab/>
    </w:r>
    <w:r>
      <w:rPr>
        <w:rStyle w:val="ECHRHeader"/>
        <w:szCs w:val="22"/>
      </w:rPr>
      <w:t xml:space="preserve">РЕШЕНИЕ ЧЕНГЕЛЯН И ДРУГИ СРЕЩУ БЪЛГАРИЯ (СПРАВЕДЛИВО </w:t>
    </w:r>
    <w:r>
      <w:rPr>
        <w:rStyle w:val="ECHRHeader"/>
        <w:szCs w:val="22"/>
      </w:rPr>
      <w:t>ОБЕЗЩЕТЕНИЕ)</w:t>
    </w:r>
    <w:r>
      <w:rPr>
        <w:rStyle w:val="ECHRHeader"/>
        <w:szCs w:val="22"/>
      </w:rPr>
      <w:tab/>
    </w:r>
    <w:r>
      <w:rPr>
        <w:rStyle w:val="PageNumber"/>
      </w:rPr>
      <w:fldChar w:fldCharType="begin"/>
    </w:r>
    <w:r>
      <w:rPr>
        <w:rStyle w:val="PageNumber"/>
      </w:rPr>
      <w:instrText xml:space="preserve"> PAGE </w:instrText>
    </w:r>
    <w:r>
      <w:rPr>
        <w:rStyle w:val="PageNumber"/>
      </w:rPr>
      <w:fldChar w:fldCharType="separate"/>
    </w:r>
    <w:r w:rsidR="002C53CF">
      <w:rPr>
        <w:rStyle w:val="PageNumber"/>
        <w:noProof/>
      </w:rPr>
      <w:t>11</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A2985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FA25C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11E2A3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A66C9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6B2442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7AB45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EE701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0D61EB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0E133365"/>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3A5D4721"/>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8580374"/>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4"/>
  </w:num>
  <w:num w:numId="4">
    <w:abstractNumId w:val="11"/>
  </w:num>
  <w:num w:numId="5">
    <w:abstractNumId w:val="10"/>
  </w:num>
  <w:num w:numId="6">
    <w:abstractNumId w:val="9"/>
  </w:num>
  <w:num w:numId="7">
    <w:abstractNumId w:val="8"/>
  </w:num>
  <w:num w:numId="8">
    <w:abstractNumId w:val="5"/>
  </w:num>
  <w:num w:numId="9">
    <w:abstractNumId w:val="3"/>
  </w:num>
  <w:num w:numId="10">
    <w:abstractNumId w:val="2"/>
  </w:num>
  <w:num w:numId="11">
    <w:abstractNumId w:val="1"/>
  </w:num>
  <w:num w:numId="12">
    <w:abstractNumId w:val="0"/>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E14725"/>
    <w:rsid w:val="00011E56"/>
    <w:rsid w:val="00051954"/>
    <w:rsid w:val="00063D42"/>
    <w:rsid w:val="00095A6E"/>
    <w:rsid w:val="000C216A"/>
    <w:rsid w:val="000D3D30"/>
    <w:rsid w:val="00123E96"/>
    <w:rsid w:val="00150BF6"/>
    <w:rsid w:val="001512C5"/>
    <w:rsid w:val="0016054C"/>
    <w:rsid w:val="00161880"/>
    <w:rsid w:val="00171349"/>
    <w:rsid w:val="001C798A"/>
    <w:rsid w:val="001F1555"/>
    <w:rsid w:val="001F21FD"/>
    <w:rsid w:val="001F6D1A"/>
    <w:rsid w:val="002258E7"/>
    <w:rsid w:val="002335DB"/>
    <w:rsid w:val="00260568"/>
    <w:rsid w:val="002674B9"/>
    <w:rsid w:val="00287ABD"/>
    <w:rsid w:val="002967BE"/>
    <w:rsid w:val="002C53CF"/>
    <w:rsid w:val="00336DDD"/>
    <w:rsid w:val="003558E7"/>
    <w:rsid w:val="003B3A6E"/>
    <w:rsid w:val="003D756A"/>
    <w:rsid w:val="004324C0"/>
    <w:rsid w:val="00497449"/>
    <w:rsid w:val="004B57D3"/>
    <w:rsid w:val="004E706B"/>
    <w:rsid w:val="00581B3B"/>
    <w:rsid w:val="005845DB"/>
    <w:rsid w:val="00584709"/>
    <w:rsid w:val="005C1AD4"/>
    <w:rsid w:val="00662EF0"/>
    <w:rsid w:val="006763AB"/>
    <w:rsid w:val="00687B2E"/>
    <w:rsid w:val="006B1655"/>
    <w:rsid w:val="006D0FBE"/>
    <w:rsid w:val="006F5B69"/>
    <w:rsid w:val="00727C97"/>
    <w:rsid w:val="00747B11"/>
    <w:rsid w:val="00811344"/>
    <w:rsid w:val="00820F04"/>
    <w:rsid w:val="008629B5"/>
    <w:rsid w:val="009943F7"/>
    <w:rsid w:val="00A05CDD"/>
    <w:rsid w:val="00A10EA8"/>
    <w:rsid w:val="00AF29CF"/>
    <w:rsid w:val="00B16ED3"/>
    <w:rsid w:val="00B235EA"/>
    <w:rsid w:val="00B237E1"/>
    <w:rsid w:val="00B365B7"/>
    <w:rsid w:val="00BC3F02"/>
    <w:rsid w:val="00BD55F6"/>
    <w:rsid w:val="00C25DDF"/>
    <w:rsid w:val="00C54F91"/>
    <w:rsid w:val="00C71FAD"/>
    <w:rsid w:val="00CA39D5"/>
    <w:rsid w:val="00CC3E99"/>
    <w:rsid w:val="00D40B98"/>
    <w:rsid w:val="00D73B66"/>
    <w:rsid w:val="00DB5D22"/>
    <w:rsid w:val="00DB791E"/>
    <w:rsid w:val="00DC6B8E"/>
    <w:rsid w:val="00DC7FA4"/>
    <w:rsid w:val="00DE138C"/>
    <w:rsid w:val="00DE721A"/>
    <w:rsid w:val="00E03DCB"/>
    <w:rsid w:val="00E15A0E"/>
    <w:rsid w:val="00E50080"/>
    <w:rsid w:val="00E818FF"/>
    <w:rsid w:val="00E861BC"/>
    <w:rsid w:val="00ED3FB9"/>
    <w:rsid w:val="00EE77E5"/>
    <w:rsid w:val="00EF1AAE"/>
    <w:rsid w:val="00EF4672"/>
    <w:rsid w:val="00F027FE"/>
    <w:rsid w:val="00F306BF"/>
    <w:rsid w:val="00F429AD"/>
    <w:rsid w:val="00F81818"/>
    <w:rsid w:val="00F86742"/>
    <w:rsid w:val="00F9534F"/>
    <w:rsid w:val="00FD4C8B"/>
    <w:rsid w:val="00FE2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5251B"/>
    <w:pPr>
      <w:jc w:val="both"/>
    </w:pPr>
    <w:rPr>
      <w:rFonts w:eastAsia="MS Mincho"/>
      <w:sz w:val="24"/>
      <w:szCs w:val="22"/>
      <w:lang w:val="bg-BG" w:eastAsia="bg-BG"/>
    </w:rPr>
  </w:style>
  <w:style w:type="paragraph" w:styleId="Heading1">
    <w:name w:val="heading 1"/>
    <w:basedOn w:val="Normal"/>
    <w:next w:val="Normal"/>
    <w:link w:val="Heading1Char"/>
    <w:uiPriority w:val="99"/>
    <w:semiHidden/>
    <w:rsid w:val="0005251B"/>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semiHidden/>
    <w:rsid w:val="0005251B"/>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semiHidden/>
    <w:rsid w:val="0005251B"/>
    <w:pPr>
      <w:spacing w:before="200" w:line="271" w:lineRule="auto"/>
      <w:outlineLvl w:val="2"/>
    </w:pPr>
    <w:rPr>
      <w:rFonts w:eastAsia="MS Gothic"/>
      <w:b/>
      <w:bCs/>
      <w:color w:val="5F5F5F"/>
      <w:szCs w:val="20"/>
    </w:rPr>
  </w:style>
  <w:style w:type="paragraph" w:styleId="Heading4">
    <w:name w:val="heading 4"/>
    <w:basedOn w:val="Normal"/>
    <w:next w:val="Normal"/>
    <w:link w:val="Heading4Char"/>
    <w:uiPriority w:val="99"/>
    <w:semiHidden/>
    <w:rsid w:val="0005251B"/>
    <w:pPr>
      <w:spacing w:before="200"/>
      <w:outlineLvl w:val="3"/>
    </w:pPr>
    <w:rPr>
      <w:rFonts w:eastAsia="MS Gothic"/>
      <w:b/>
      <w:bCs/>
      <w:i/>
      <w:iCs/>
      <w:color w:val="777777"/>
      <w:szCs w:val="20"/>
    </w:rPr>
  </w:style>
  <w:style w:type="paragraph" w:styleId="Heading5">
    <w:name w:val="heading 5"/>
    <w:basedOn w:val="Normal"/>
    <w:next w:val="Normal"/>
    <w:link w:val="Heading5Char"/>
    <w:uiPriority w:val="99"/>
    <w:semiHidden/>
    <w:qFormat/>
    <w:rsid w:val="00745063"/>
    <w:pPr>
      <w:spacing w:before="200"/>
      <w:outlineLvl w:val="4"/>
    </w:pPr>
    <w:rPr>
      <w:rFonts w:eastAsia="MS Gothic"/>
      <w:b/>
      <w:bCs/>
      <w:color w:val="808080"/>
      <w:sz w:val="20"/>
      <w:szCs w:val="20"/>
    </w:rPr>
  </w:style>
  <w:style w:type="paragraph" w:styleId="Heading6">
    <w:name w:val="heading 6"/>
    <w:basedOn w:val="Normal"/>
    <w:next w:val="Normal"/>
    <w:link w:val="Heading6Char"/>
    <w:uiPriority w:val="99"/>
    <w:semiHidden/>
    <w:rsid w:val="0005251B"/>
    <w:pPr>
      <w:spacing w:line="271" w:lineRule="auto"/>
      <w:outlineLvl w:val="5"/>
    </w:pPr>
    <w:rPr>
      <w:rFonts w:eastAsia="MS Gothic"/>
      <w:b/>
      <w:bCs/>
      <w:i/>
      <w:iCs/>
      <w:color w:val="7F7F7F"/>
      <w:szCs w:val="20"/>
      <w:lang w:bidi="en-US"/>
    </w:rPr>
  </w:style>
  <w:style w:type="paragraph" w:styleId="Heading7">
    <w:name w:val="heading 7"/>
    <w:basedOn w:val="Normal"/>
    <w:next w:val="Normal"/>
    <w:link w:val="Heading7Char"/>
    <w:uiPriority w:val="99"/>
    <w:semiHidden/>
    <w:qFormat/>
    <w:rsid w:val="00745063"/>
    <w:pPr>
      <w:outlineLvl w:val="6"/>
    </w:pPr>
    <w:rPr>
      <w:rFonts w:eastAsia="MS Gothic"/>
      <w:i/>
      <w:iCs/>
      <w:sz w:val="20"/>
      <w:szCs w:val="20"/>
      <w:lang w:bidi="en-US"/>
    </w:rPr>
  </w:style>
  <w:style w:type="paragraph" w:styleId="Heading8">
    <w:name w:val="heading 8"/>
    <w:basedOn w:val="Normal"/>
    <w:next w:val="Normal"/>
    <w:link w:val="Heading8Char"/>
    <w:uiPriority w:val="99"/>
    <w:semiHidden/>
    <w:qFormat/>
    <w:rsid w:val="00745063"/>
    <w:pPr>
      <w:outlineLvl w:val="7"/>
    </w:pPr>
    <w:rPr>
      <w:rFonts w:eastAsia="MS Gothic"/>
      <w:sz w:val="20"/>
      <w:szCs w:val="20"/>
      <w:lang w:bidi="en-US"/>
    </w:rPr>
  </w:style>
  <w:style w:type="paragraph" w:styleId="Heading9">
    <w:name w:val="heading 9"/>
    <w:basedOn w:val="Normal"/>
    <w:next w:val="Normal"/>
    <w:link w:val="Heading9Char"/>
    <w:uiPriority w:val="99"/>
    <w:semiHidden/>
    <w:qFormat/>
    <w:rsid w:val="00745063"/>
    <w:pPr>
      <w:outlineLvl w:val="8"/>
    </w:pPr>
    <w:rPr>
      <w:rFonts w:eastAsia="MS Gothic"/>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5251B"/>
    <w:rPr>
      <w:rFonts w:ascii="Tahoma" w:hAnsi="Tahoma"/>
      <w:sz w:val="16"/>
      <w:szCs w:val="16"/>
    </w:rPr>
  </w:style>
  <w:style w:type="character" w:customStyle="1" w:styleId="BalloonTextChar">
    <w:name w:val="Balloon Text Char"/>
    <w:link w:val="BalloonText"/>
    <w:uiPriority w:val="99"/>
    <w:semiHidden/>
    <w:rsid w:val="0005251B"/>
    <w:rPr>
      <w:rFonts w:ascii="Tahoma" w:eastAsia="MS Mincho" w:hAnsi="Tahoma" w:cs="Tahoma"/>
      <w:sz w:val="16"/>
      <w:szCs w:val="16"/>
      <w:lang w:val="bg-BG" w:eastAsia="bg-BG"/>
    </w:rPr>
  </w:style>
  <w:style w:type="character" w:styleId="BookTitle">
    <w:name w:val="Book Title"/>
    <w:uiPriority w:val="99"/>
    <w:semiHidden/>
    <w:qFormat/>
    <w:rsid w:val="00745063"/>
    <w:rPr>
      <w:i/>
      <w:iCs/>
      <w:smallCaps/>
      <w:spacing w:val="5"/>
      <w:lang w:val="bg-BG" w:eastAsia="bg-BG"/>
    </w:rPr>
  </w:style>
  <w:style w:type="paragraph" w:customStyle="1" w:styleId="ECHRHeader">
    <w:name w:val="ECHR_Header"/>
    <w:aliases w:val="Ju_Header"/>
    <w:basedOn w:val="Header"/>
    <w:uiPriority w:val="4"/>
    <w:qFormat/>
    <w:rsid w:val="0074506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05251B"/>
    <w:pPr>
      <w:jc w:val="left"/>
    </w:pPr>
    <w:rPr>
      <w:sz w:val="8"/>
    </w:rPr>
  </w:style>
  <w:style w:type="character" w:styleId="Strong">
    <w:name w:val="Strong"/>
    <w:uiPriority w:val="99"/>
    <w:semiHidden/>
    <w:qFormat/>
    <w:rsid w:val="00745063"/>
    <w:rPr>
      <w:b/>
      <w:bCs/>
      <w:lang w:val="bg-BG" w:eastAsia="bg-BG"/>
    </w:rPr>
  </w:style>
  <w:style w:type="paragraph" w:styleId="NoSpacing">
    <w:name w:val="No Spacing"/>
    <w:basedOn w:val="Normal"/>
    <w:link w:val="NoSpacingChar"/>
    <w:semiHidden/>
    <w:qFormat/>
    <w:rsid w:val="00745063"/>
    <w:rPr>
      <w:sz w:val="20"/>
      <w:szCs w:val="20"/>
    </w:rPr>
  </w:style>
  <w:style w:type="character" w:customStyle="1" w:styleId="NoSpacingChar">
    <w:name w:val="No Spacing Char"/>
    <w:link w:val="NoSpacing"/>
    <w:semiHidden/>
    <w:rsid w:val="00745063"/>
    <w:rPr>
      <w:rFonts w:eastAsia="MS Mincho"/>
      <w:lang w:val="bg-BG" w:eastAsia="bg-BG"/>
    </w:rPr>
  </w:style>
  <w:style w:type="paragraph" w:customStyle="1" w:styleId="ECHRFooterLine">
    <w:name w:val="ECHR_Footer_Line"/>
    <w:aliases w:val="Footer_Line"/>
    <w:basedOn w:val="Normal"/>
    <w:next w:val="ECHRFooter"/>
    <w:uiPriority w:val="57"/>
    <w:semiHidden/>
    <w:rsid w:val="0005251B"/>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semiHidden/>
    <w:qFormat/>
    <w:rsid w:val="00745063"/>
    <w:pPr>
      <w:numPr>
        <w:numId w:val="21"/>
      </w:numPr>
      <w:jc w:val="left"/>
    </w:pPr>
    <w:rPr>
      <w:b/>
    </w:rPr>
  </w:style>
  <w:style w:type="paragraph" w:customStyle="1" w:styleId="OpiPara">
    <w:name w:val="Opi_Para"/>
    <w:basedOn w:val="ECHRPara"/>
    <w:uiPriority w:val="46"/>
    <w:qFormat/>
    <w:rsid w:val="00745063"/>
  </w:style>
  <w:style w:type="paragraph" w:customStyle="1" w:styleId="JuParaSub">
    <w:name w:val="Ju_Para_Sub"/>
    <w:basedOn w:val="ECHRPara"/>
    <w:uiPriority w:val="13"/>
    <w:qFormat/>
    <w:rsid w:val="00745063"/>
    <w:pPr>
      <w:ind w:left="284"/>
    </w:pPr>
  </w:style>
  <w:style w:type="paragraph" w:customStyle="1" w:styleId="ECHRTitleCentre3">
    <w:name w:val="ECHR_Title_Centre_3"/>
    <w:aliases w:val="Ju_H_Article"/>
    <w:basedOn w:val="Normal"/>
    <w:next w:val="ECHRParaQuote"/>
    <w:uiPriority w:val="27"/>
    <w:qFormat/>
    <w:rsid w:val="00745063"/>
    <w:pPr>
      <w:keepNext/>
      <w:keepLines/>
      <w:spacing w:before="240" w:after="120"/>
      <w:jc w:val="center"/>
      <w:outlineLvl w:val="3"/>
    </w:pPr>
    <w:rPr>
      <w:b/>
      <w:sz w:val="20"/>
      <w:lang w:bidi="en-US"/>
    </w:rPr>
  </w:style>
  <w:style w:type="paragraph" w:customStyle="1" w:styleId="ECHRTitleCentre1">
    <w:name w:val="ECHR_Title_Centre_1"/>
    <w:aliases w:val="Opi_H_Head"/>
    <w:basedOn w:val="Normal"/>
    <w:next w:val="OpiPara"/>
    <w:uiPriority w:val="39"/>
    <w:qFormat/>
    <w:rsid w:val="00745063"/>
    <w:pPr>
      <w:keepNext/>
      <w:keepLines/>
      <w:spacing w:after="240"/>
      <w:jc w:val="center"/>
      <w:outlineLvl w:val="0"/>
    </w:pPr>
    <w:rPr>
      <w:sz w:val="28"/>
    </w:rPr>
  </w:style>
  <w:style w:type="paragraph" w:customStyle="1" w:styleId="OpiParaSub">
    <w:name w:val="Opi_Para_Sub"/>
    <w:basedOn w:val="JuParaSub"/>
    <w:uiPriority w:val="47"/>
    <w:qFormat/>
    <w:rsid w:val="00745063"/>
  </w:style>
  <w:style w:type="paragraph" w:customStyle="1" w:styleId="OpiQuot">
    <w:name w:val="Opi_Quot"/>
    <w:basedOn w:val="ECHRParaQuote"/>
    <w:uiPriority w:val="48"/>
    <w:qFormat/>
    <w:rsid w:val="00745063"/>
  </w:style>
  <w:style w:type="paragraph" w:customStyle="1" w:styleId="OpiQuotSub">
    <w:name w:val="Opi_Quot_Sub"/>
    <w:basedOn w:val="JuQuotSub"/>
    <w:uiPriority w:val="49"/>
    <w:qFormat/>
    <w:rsid w:val="00745063"/>
  </w:style>
  <w:style w:type="paragraph" w:customStyle="1" w:styleId="ECHRTitleCentre2">
    <w:name w:val="ECHR_Title_Centre_2"/>
    <w:aliases w:val="Dec_H_Case"/>
    <w:basedOn w:val="Normal"/>
    <w:next w:val="ECHRPara"/>
    <w:uiPriority w:val="8"/>
    <w:qFormat/>
    <w:rsid w:val="00745063"/>
    <w:pPr>
      <w:spacing w:after="240"/>
      <w:jc w:val="center"/>
      <w:outlineLvl w:val="0"/>
    </w:pPr>
  </w:style>
  <w:style w:type="paragraph" w:customStyle="1" w:styleId="JuTitle">
    <w:name w:val="Ju_Title"/>
    <w:basedOn w:val="Normal"/>
    <w:next w:val="ECHRPara"/>
    <w:uiPriority w:val="3"/>
    <w:semiHidden/>
    <w:qFormat/>
    <w:rsid w:val="00745063"/>
    <w:pPr>
      <w:spacing w:before="720" w:after="240"/>
      <w:jc w:val="center"/>
      <w:outlineLvl w:val="0"/>
    </w:pPr>
    <w:rPr>
      <w:b/>
      <w:caps/>
    </w:rPr>
  </w:style>
  <w:style w:type="paragraph" w:styleId="Title">
    <w:name w:val="Title"/>
    <w:basedOn w:val="Normal"/>
    <w:next w:val="Normal"/>
    <w:link w:val="TitleChar"/>
    <w:uiPriority w:val="99"/>
    <w:semiHidden/>
    <w:qFormat/>
    <w:rsid w:val="00745063"/>
    <w:pPr>
      <w:pBdr>
        <w:bottom w:val="single" w:sz="4" w:space="1" w:color="auto"/>
      </w:pBdr>
      <w:contextualSpacing/>
    </w:pPr>
    <w:rPr>
      <w:rFonts w:eastAsia="MS Gothic"/>
      <w:spacing w:val="5"/>
      <w:sz w:val="52"/>
      <w:szCs w:val="52"/>
      <w:lang w:bidi="en-US"/>
    </w:rPr>
  </w:style>
  <w:style w:type="character" w:customStyle="1" w:styleId="TitleChar">
    <w:name w:val="Title Char"/>
    <w:link w:val="Title"/>
    <w:uiPriority w:val="99"/>
    <w:semiHidden/>
    <w:rsid w:val="00745063"/>
    <w:rPr>
      <w:rFonts w:ascii="Times New Roman" w:eastAsia="MS Gothic" w:hAnsi="Times New Roman" w:cs="Times New Roman"/>
      <w:spacing w:val="5"/>
      <w:sz w:val="52"/>
      <w:szCs w:val="52"/>
      <w:lang w:val="bg-BG" w:eastAsia="bg-BG" w:bidi="en-US"/>
    </w:rPr>
  </w:style>
  <w:style w:type="paragraph" w:customStyle="1" w:styleId="JuQuotSub">
    <w:name w:val="Ju_Quot_Sub"/>
    <w:basedOn w:val="ECHRParaQuote"/>
    <w:uiPriority w:val="15"/>
    <w:qFormat/>
    <w:rsid w:val="00745063"/>
    <w:pPr>
      <w:ind w:left="567"/>
    </w:pPr>
  </w:style>
  <w:style w:type="paragraph" w:customStyle="1" w:styleId="JuInitialled">
    <w:name w:val="Ju_Initialled"/>
    <w:basedOn w:val="Normal"/>
    <w:uiPriority w:val="31"/>
    <w:qFormat/>
    <w:rsid w:val="00745063"/>
    <w:pPr>
      <w:tabs>
        <w:tab w:val="center" w:pos="6407"/>
      </w:tabs>
      <w:spacing w:before="720"/>
      <w:jc w:val="right"/>
    </w:pPr>
  </w:style>
  <w:style w:type="paragraph" w:customStyle="1" w:styleId="ECHRHeading1">
    <w:name w:val="ECHR_Heading_1"/>
    <w:aliases w:val="Ju_H_I_Roman"/>
    <w:basedOn w:val="Heading1"/>
    <w:next w:val="ECHRPara"/>
    <w:uiPriority w:val="19"/>
    <w:qFormat/>
    <w:rsid w:val="00745063"/>
    <w:pPr>
      <w:keepNext/>
      <w:keepLines/>
      <w:tabs>
        <w:tab w:val="left" w:pos="357"/>
      </w:tabs>
      <w:spacing w:before="360" w:after="240"/>
      <w:ind w:left="357" w:hanging="357"/>
      <w:contextualSpacing w:val="0"/>
    </w:pPr>
    <w:rPr>
      <w:b w:val="0"/>
      <w:color w:val="000000"/>
      <w:sz w:val="24"/>
    </w:rPr>
  </w:style>
  <w:style w:type="paragraph" w:customStyle="1" w:styleId="ECHRHeading3">
    <w:name w:val="ECHR_Heading_3"/>
    <w:aliases w:val="Ju_H_1."/>
    <w:basedOn w:val="Heading3"/>
    <w:next w:val="ECHRPara"/>
    <w:uiPriority w:val="21"/>
    <w:qFormat/>
    <w:rsid w:val="00745063"/>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Heading4"/>
    <w:next w:val="ECHRPara"/>
    <w:uiPriority w:val="22"/>
    <w:qFormat/>
    <w:rsid w:val="00745063"/>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Heading5"/>
    <w:next w:val="ECHRPara"/>
    <w:uiPriority w:val="23"/>
    <w:qFormat/>
    <w:rsid w:val="00745063"/>
    <w:pPr>
      <w:keepNext/>
      <w:keepLines/>
      <w:tabs>
        <w:tab w:val="left" w:pos="1191"/>
      </w:tabs>
      <w:spacing w:before="240" w:after="120"/>
      <w:ind w:left="1190" w:hanging="357"/>
    </w:pPr>
    <w:rPr>
      <w:b w:val="0"/>
      <w:i/>
      <w:color w:val="000000"/>
    </w:rPr>
  </w:style>
  <w:style w:type="paragraph" w:customStyle="1" w:styleId="ECHRHeading6">
    <w:name w:val="ECHR_Heading_6"/>
    <w:aliases w:val="Ju_H_alpha"/>
    <w:basedOn w:val="Heading6"/>
    <w:next w:val="ECHRPara"/>
    <w:uiPriority w:val="24"/>
    <w:qFormat/>
    <w:rsid w:val="00745063"/>
    <w:pPr>
      <w:keepNext/>
      <w:keepLines/>
      <w:tabs>
        <w:tab w:val="left" w:pos="1372"/>
      </w:tabs>
      <w:spacing w:before="240" w:after="120" w:line="240" w:lineRule="auto"/>
      <w:ind w:left="1373" w:hanging="335"/>
    </w:pPr>
    <w:rPr>
      <w:b w:val="0"/>
      <w:i w:val="0"/>
      <w:color w:val="000000"/>
      <w:sz w:val="20"/>
    </w:rPr>
  </w:style>
  <w:style w:type="paragraph" w:customStyle="1" w:styleId="ECHRHeading7">
    <w:name w:val="ECHR_Heading_7"/>
    <w:aliases w:val="Ju_H_–"/>
    <w:basedOn w:val="Heading7"/>
    <w:next w:val="ECHRPara"/>
    <w:uiPriority w:val="25"/>
    <w:qFormat/>
    <w:rsid w:val="00745063"/>
    <w:pPr>
      <w:keepNext/>
      <w:keepLines/>
      <w:spacing w:before="240" w:after="120"/>
      <w:ind w:left="1236"/>
    </w:pPr>
  </w:style>
  <w:style w:type="paragraph" w:styleId="Header">
    <w:name w:val="header"/>
    <w:basedOn w:val="Normal"/>
    <w:link w:val="HeaderChar"/>
    <w:uiPriority w:val="57"/>
    <w:semiHidden/>
    <w:rsid w:val="0005251B"/>
    <w:pPr>
      <w:tabs>
        <w:tab w:val="center" w:pos="4536"/>
        <w:tab w:val="right" w:pos="9072"/>
      </w:tabs>
    </w:pPr>
    <w:rPr>
      <w:rFonts w:eastAsia="Times New Roman"/>
      <w:szCs w:val="20"/>
    </w:rPr>
  </w:style>
  <w:style w:type="character" w:customStyle="1" w:styleId="HeaderChar">
    <w:name w:val="Header Char"/>
    <w:link w:val="Header"/>
    <w:uiPriority w:val="57"/>
    <w:semiHidden/>
    <w:rsid w:val="0005251B"/>
    <w:rPr>
      <w:sz w:val="24"/>
      <w:lang w:val="bg-BG" w:eastAsia="bg-BG"/>
    </w:rPr>
  </w:style>
  <w:style w:type="character" w:customStyle="1" w:styleId="Heading1Char">
    <w:name w:val="Heading 1 Char"/>
    <w:link w:val="Heading1"/>
    <w:uiPriority w:val="99"/>
    <w:semiHidden/>
    <w:rsid w:val="0005251B"/>
    <w:rPr>
      <w:rFonts w:ascii="Times New Roman" w:eastAsia="MS Gothic" w:hAnsi="Times New Roman" w:cs="Times New Roman"/>
      <w:b/>
      <w:bCs/>
      <w:color w:val="333333"/>
      <w:sz w:val="28"/>
      <w:szCs w:val="28"/>
      <w:lang w:val="bg-BG" w:eastAsia="bg-BG"/>
    </w:rPr>
  </w:style>
  <w:style w:type="paragraph" w:customStyle="1" w:styleId="OpiHA">
    <w:name w:val="Opi_H_A"/>
    <w:basedOn w:val="ECHRHeading1"/>
    <w:next w:val="OpiPara"/>
    <w:uiPriority w:val="41"/>
    <w:qFormat/>
    <w:rsid w:val="00745063"/>
    <w:pPr>
      <w:tabs>
        <w:tab w:val="clear" w:pos="357"/>
      </w:tabs>
      <w:outlineLvl w:val="1"/>
    </w:pPr>
    <w:rPr>
      <w:b/>
    </w:rPr>
  </w:style>
  <w:style w:type="paragraph" w:customStyle="1" w:styleId="ECHRHeading2">
    <w:name w:val="ECHR_Heading_2"/>
    <w:aliases w:val="Ju_H_A"/>
    <w:basedOn w:val="Heading2"/>
    <w:next w:val="ECHRPara"/>
    <w:uiPriority w:val="20"/>
    <w:qFormat/>
    <w:rsid w:val="00745063"/>
    <w:pPr>
      <w:keepNext/>
      <w:keepLines/>
      <w:tabs>
        <w:tab w:val="left" w:pos="584"/>
      </w:tabs>
      <w:spacing w:before="360" w:after="240"/>
      <w:ind w:left="584" w:hanging="352"/>
    </w:pPr>
    <w:rPr>
      <w:color w:val="000000"/>
      <w:sz w:val="24"/>
    </w:rPr>
  </w:style>
  <w:style w:type="character" w:customStyle="1" w:styleId="Heading2Char">
    <w:name w:val="Heading 2 Char"/>
    <w:link w:val="Heading2"/>
    <w:uiPriority w:val="99"/>
    <w:semiHidden/>
    <w:rsid w:val="0005251B"/>
    <w:rPr>
      <w:rFonts w:ascii="Times New Roman" w:eastAsia="MS Gothic" w:hAnsi="Times New Roman" w:cs="Times New Roman"/>
      <w:b/>
      <w:bCs/>
      <w:color w:val="4D4D4D"/>
      <w:sz w:val="26"/>
      <w:szCs w:val="26"/>
      <w:lang w:val="bg-BG" w:eastAsia="bg-BG"/>
    </w:rPr>
  </w:style>
  <w:style w:type="character" w:customStyle="1" w:styleId="JUNAMES">
    <w:name w:val="JU_NAMES"/>
    <w:uiPriority w:val="17"/>
    <w:qFormat/>
    <w:rsid w:val="00745063"/>
    <w:rPr>
      <w:smallCaps/>
      <w:lang w:val="bg-BG" w:eastAsia="bg-BG"/>
    </w:rPr>
  </w:style>
  <w:style w:type="character" w:customStyle="1" w:styleId="JuITMark">
    <w:name w:val="Ju_ITMark"/>
    <w:uiPriority w:val="38"/>
    <w:qFormat/>
    <w:rsid w:val="00745063"/>
    <w:rPr>
      <w:color w:val="000000"/>
      <w:sz w:val="14"/>
      <w:bdr w:val="none" w:sz="0" w:space="0" w:color="auto"/>
      <w:lang w:val="bg-BG" w:eastAsia="bg-BG"/>
    </w:rPr>
  </w:style>
  <w:style w:type="character" w:customStyle="1" w:styleId="Heading3Char">
    <w:name w:val="Heading 3 Char"/>
    <w:link w:val="Heading3"/>
    <w:uiPriority w:val="99"/>
    <w:semiHidden/>
    <w:rsid w:val="0005251B"/>
    <w:rPr>
      <w:rFonts w:ascii="Times New Roman" w:eastAsia="MS Gothic" w:hAnsi="Times New Roman" w:cs="Times New Roman"/>
      <w:b/>
      <w:bCs/>
      <w:color w:val="5F5F5F"/>
      <w:sz w:val="24"/>
      <w:lang w:val="bg-BG" w:eastAsia="bg-BG"/>
    </w:rPr>
  </w:style>
  <w:style w:type="paragraph" w:customStyle="1" w:styleId="OpiTranslation">
    <w:name w:val="Opi_Translation"/>
    <w:basedOn w:val="Normal"/>
    <w:next w:val="OpiPara"/>
    <w:uiPriority w:val="40"/>
    <w:qFormat/>
    <w:rsid w:val="00745063"/>
    <w:pPr>
      <w:jc w:val="center"/>
      <w:outlineLvl w:val="0"/>
    </w:pPr>
    <w:rPr>
      <w:i/>
    </w:rPr>
  </w:style>
  <w:style w:type="paragraph" w:customStyle="1" w:styleId="ECHRDecisionBody">
    <w:name w:val="ECHR_Decision_Body"/>
    <w:aliases w:val="Ju_Judges"/>
    <w:basedOn w:val="Normal"/>
    <w:uiPriority w:val="11"/>
    <w:qFormat/>
    <w:rsid w:val="00745063"/>
    <w:pPr>
      <w:tabs>
        <w:tab w:val="left" w:pos="567"/>
        <w:tab w:val="left" w:pos="1134"/>
      </w:tabs>
      <w:jc w:val="left"/>
    </w:pPr>
  </w:style>
  <w:style w:type="character" w:customStyle="1" w:styleId="Heading4Char">
    <w:name w:val="Heading 4 Char"/>
    <w:link w:val="Heading4"/>
    <w:uiPriority w:val="99"/>
    <w:semiHidden/>
    <w:rsid w:val="0005251B"/>
    <w:rPr>
      <w:rFonts w:ascii="Times New Roman" w:eastAsia="MS Gothic" w:hAnsi="Times New Roman" w:cs="Times New Roman"/>
      <w:b/>
      <w:bCs/>
      <w:i/>
      <w:iCs/>
      <w:color w:val="777777"/>
      <w:sz w:val="24"/>
      <w:lang w:val="bg-BG" w:eastAsia="bg-BG"/>
    </w:rPr>
  </w:style>
  <w:style w:type="paragraph" w:customStyle="1" w:styleId="ECHRPara">
    <w:name w:val="ECHR_Para"/>
    <w:aliases w:val="Ju_Para"/>
    <w:basedOn w:val="Normal"/>
    <w:link w:val="ECHRParaChar"/>
    <w:uiPriority w:val="12"/>
    <w:qFormat/>
    <w:rsid w:val="00745063"/>
    <w:pPr>
      <w:ind w:firstLine="284"/>
    </w:pPr>
    <w:rPr>
      <w:szCs w:val="20"/>
    </w:rPr>
  </w:style>
  <w:style w:type="character" w:customStyle="1" w:styleId="Heading5Char">
    <w:name w:val="Heading 5 Char"/>
    <w:link w:val="Heading5"/>
    <w:uiPriority w:val="99"/>
    <w:semiHidden/>
    <w:rsid w:val="00745063"/>
    <w:rPr>
      <w:rFonts w:ascii="Times New Roman" w:eastAsia="MS Gothic" w:hAnsi="Times New Roman" w:cs="Times New Roman"/>
      <w:b/>
      <w:bCs/>
      <w:color w:val="808080"/>
      <w:lang w:val="bg-BG" w:eastAsia="bg-BG"/>
    </w:rPr>
  </w:style>
  <w:style w:type="paragraph" w:customStyle="1" w:styleId="JuList">
    <w:name w:val="Ju_List"/>
    <w:basedOn w:val="Normal"/>
    <w:uiPriority w:val="28"/>
    <w:qFormat/>
    <w:rsid w:val="00745063"/>
    <w:pPr>
      <w:ind w:left="340" w:hanging="340"/>
    </w:pPr>
  </w:style>
  <w:style w:type="paragraph" w:customStyle="1" w:styleId="JuSigned">
    <w:name w:val="Ju_Signed"/>
    <w:basedOn w:val="Normal"/>
    <w:next w:val="JuParaLast"/>
    <w:uiPriority w:val="32"/>
    <w:qFormat/>
    <w:rsid w:val="00745063"/>
    <w:pPr>
      <w:tabs>
        <w:tab w:val="center" w:pos="851"/>
        <w:tab w:val="center" w:pos="6407"/>
      </w:tabs>
      <w:spacing w:before="720"/>
      <w:jc w:val="left"/>
    </w:pPr>
  </w:style>
  <w:style w:type="character" w:styleId="SubtleEmphasis">
    <w:name w:val="Subtle Emphasis"/>
    <w:uiPriority w:val="99"/>
    <w:semiHidden/>
    <w:qFormat/>
    <w:rsid w:val="00745063"/>
    <w:rPr>
      <w:i/>
      <w:iCs/>
      <w:lang w:val="bg-BG" w:eastAsia="bg-BG"/>
    </w:rPr>
  </w:style>
  <w:style w:type="table" w:customStyle="1" w:styleId="ECHRTable">
    <w:name w:val="ECHR_Table"/>
    <w:basedOn w:val="TableNormal"/>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TableNormal"/>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
    <w:next w:val="ECHRPara"/>
    <w:uiPriority w:val="18"/>
    <w:qFormat/>
    <w:rsid w:val="00745063"/>
    <w:pPr>
      <w:keepNext/>
      <w:keepLines/>
      <w:spacing w:before="720" w:after="240"/>
      <w:outlineLvl w:val="0"/>
    </w:pPr>
    <w:rPr>
      <w:sz w:val="28"/>
    </w:rPr>
  </w:style>
  <w:style w:type="character" w:styleId="Emphasis">
    <w:name w:val="Emphasis"/>
    <w:uiPriority w:val="99"/>
    <w:semiHidden/>
    <w:qFormat/>
    <w:rsid w:val="00745063"/>
    <w:rPr>
      <w:b/>
      <w:bCs/>
      <w:i/>
      <w:iCs/>
      <w:spacing w:val="10"/>
      <w:bdr w:val="none" w:sz="0" w:space="0" w:color="auto"/>
      <w:lang w:val="bg-BG" w:eastAsia="bg-BG"/>
    </w:rPr>
  </w:style>
  <w:style w:type="paragraph" w:styleId="Footer">
    <w:name w:val="footer"/>
    <w:basedOn w:val="Normal"/>
    <w:link w:val="FooterChar"/>
    <w:uiPriority w:val="57"/>
    <w:semiHidden/>
    <w:rsid w:val="0005251B"/>
    <w:pPr>
      <w:tabs>
        <w:tab w:val="center" w:pos="4536"/>
        <w:tab w:val="right" w:pos="9696"/>
      </w:tabs>
      <w:ind w:left="-680" w:right="-680"/>
    </w:pPr>
    <w:rPr>
      <w:rFonts w:eastAsia="Times New Roman"/>
      <w:szCs w:val="20"/>
    </w:rPr>
  </w:style>
  <w:style w:type="character" w:customStyle="1" w:styleId="FooterChar">
    <w:name w:val="Footer Char"/>
    <w:link w:val="Footer"/>
    <w:uiPriority w:val="57"/>
    <w:semiHidden/>
    <w:rsid w:val="0005251B"/>
    <w:rPr>
      <w:sz w:val="24"/>
      <w:lang w:val="bg-BG" w:eastAsia="bg-BG"/>
    </w:rPr>
  </w:style>
  <w:style w:type="character" w:styleId="FootnoteReference">
    <w:name w:val="footnote reference"/>
    <w:uiPriority w:val="99"/>
    <w:semiHidden/>
    <w:rsid w:val="0005251B"/>
    <w:rPr>
      <w:vertAlign w:val="superscript"/>
      <w:lang w:val="bg-BG" w:eastAsia="bg-BG"/>
    </w:rPr>
  </w:style>
  <w:style w:type="paragraph" w:styleId="FootnoteText">
    <w:name w:val="footnote text"/>
    <w:basedOn w:val="Normal"/>
    <w:link w:val="FootnoteTextChar"/>
    <w:uiPriority w:val="99"/>
    <w:semiHidden/>
    <w:rsid w:val="0005251B"/>
    <w:rPr>
      <w:sz w:val="20"/>
      <w:szCs w:val="20"/>
    </w:rPr>
  </w:style>
  <w:style w:type="character" w:customStyle="1" w:styleId="FootnoteTextChar">
    <w:name w:val="Footnote Text Char"/>
    <w:link w:val="FootnoteText"/>
    <w:uiPriority w:val="99"/>
    <w:semiHidden/>
    <w:rsid w:val="0005251B"/>
    <w:rPr>
      <w:rFonts w:eastAsia="MS Mincho"/>
      <w:sz w:val="20"/>
      <w:szCs w:val="20"/>
      <w:lang w:val="bg-BG" w:eastAsia="bg-BG"/>
    </w:rPr>
  </w:style>
  <w:style w:type="character" w:customStyle="1" w:styleId="Heading6Char">
    <w:name w:val="Heading 6 Char"/>
    <w:link w:val="Heading6"/>
    <w:uiPriority w:val="99"/>
    <w:semiHidden/>
    <w:rsid w:val="0005251B"/>
    <w:rPr>
      <w:rFonts w:ascii="Times New Roman" w:eastAsia="MS Gothic" w:hAnsi="Times New Roman" w:cs="Times New Roman"/>
      <w:b/>
      <w:bCs/>
      <w:i/>
      <w:iCs/>
      <w:color w:val="7F7F7F"/>
      <w:sz w:val="24"/>
      <w:lang w:val="bg-BG" w:eastAsia="bg-BG" w:bidi="en-US"/>
    </w:rPr>
  </w:style>
  <w:style w:type="character" w:customStyle="1" w:styleId="Heading7Char">
    <w:name w:val="Heading 7 Char"/>
    <w:link w:val="Heading7"/>
    <w:uiPriority w:val="99"/>
    <w:semiHidden/>
    <w:rsid w:val="00745063"/>
    <w:rPr>
      <w:rFonts w:ascii="Times New Roman" w:eastAsia="MS Gothic" w:hAnsi="Times New Roman" w:cs="Times New Roman"/>
      <w:i/>
      <w:iCs/>
      <w:lang w:val="bg-BG" w:eastAsia="bg-BG" w:bidi="en-US"/>
    </w:rPr>
  </w:style>
  <w:style w:type="character" w:customStyle="1" w:styleId="Heading8Char">
    <w:name w:val="Heading 8 Char"/>
    <w:link w:val="Heading8"/>
    <w:uiPriority w:val="99"/>
    <w:semiHidden/>
    <w:rsid w:val="00745063"/>
    <w:rPr>
      <w:rFonts w:ascii="Times New Roman" w:eastAsia="MS Gothic" w:hAnsi="Times New Roman" w:cs="Times New Roman"/>
      <w:sz w:val="20"/>
      <w:szCs w:val="20"/>
      <w:lang w:val="bg-BG" w:eastAsia="bg-BG" w:bidi="en-US"/>
    </w:rPr>
  </w:style>
  <w:style w:type="character" w:customStyle="1" w:styleId="Heading9Char">
    <w:name w:val="Heading 9 Char"/>
    <w:link w:val="Heading9"/>
    <w:uiPriority w:val="99"/>
    <w:semiHidden/>
    <w:rsid w:val="00745063"/>
    <w:rPr>
      <w:rFonts w:ascii="Times New Roman" w:eastAsia="MS Gothic" w:hAnsi="Times New Roman" w:cs="Times New Roman"/>
      <w:i/>
      <w:iCs/>
      <w:spacing w:val="5"/>
      <w:sz w:val="20"/>
      <w:szCs w:val="20"/>
      <w:lang w:val="bg-BG" w:eastAsia="bg-BG" w:bidi="en-US"/>
    </w:rPr>
  </w:style>
  <w:style w:type="character" w:styleId="Hyperlink">
    <w:name w:val="Hyperlink"/>
    <w:uiPriority w:val="99"/>
    <w:semiHidden/>
    <w:rsid w:val="0005251B"/>
    <w:rPr>
      <w:color w:val="0072BC"/>
      <w:u w:val="single"/>
      <w:lang w:val="bg-BG" w:eastAsia="bg-BG"/>
    </w:rPr>
  </w:style>
  <w:style w:type="character" w:styleId="IntenseEmphasis">
    <w:name w:val="Intense Emphasis"/>
    <w:uiPriority w:val="99"/>
    <w:semiHidden/>
    <w:qFormat/>
    <w:rsid w:val="00745063"/>
    <w:rPr>
      <w:b/>
      <w:bCs/>
      <w:lang w:val="bg-BG" w:eastAsia="bg-BG"/>
    </w:rPr>
  </w:style>
  <w:style w:type="paragraph" w:styleId="IntenseQuote">
    <w:name w:val="Intense Quote"/>
    <w:basedOn w:val="Normal"/>
    <w:next w:val="Normal"/>
    <w:link w:val="IntenseQuoteChar"/>
    <w:uiPriority w:val="99"/>
    <w:semiHidden/>
    <w:qFormat/>
    <w:rsid w:val="00745063"/>
    <w:pPr>
      <w:pBdr>
        <w:bottom w:val="single" w:sz="4" w:space="1" w:color="auto"/>
      </w:pBdr>
      <w:spacing w:before="200" w:after="280"/>
      <w:ind w:left="1008" w:right="1152"/>
    </w:pPr>
    <w:rPr>
      <w:b/>
      <w:bCs/>
      <w:i/>
      <w:iCs/>
      <w:sz w:val="20"/>
      <w:szCs w:val="20"/>
      <w:lang w:bidi="en-US"/>
    </w:rPr>
  </w:style>
  <w:style w:type="character" w:customStyle="1" w:styleId="IntenseQuoteChar">
    <w:name w:val="Intense Quote Char"/>
    <w:link w:val="IntenseQuote"/>
    <w:uiPriority w:val="99"/>
    <w:semiHidden/>
    <w:rsid w:val="00745063"/>
    <w:rPr>
      <w:rFonts w:eastAsia="MS Mincho"/>
      <w:b/>
      <w:bCs/>
      <w:i/>
      <w:iCs/>
      <w:lang w:val="bg-BG" w:eastAsia="bg-BG" w:bidi="en-US"/>
    </w:rPr>
  </w:style>
  <w:style w:type="character" w:styleId="IntenseReference">
    <w:name w:val="Intense Reference"/>
    <w:uiPriority w:val="99"/>
    <w:semiHidden/>
    <w:qFormat/>
    <w:rsid w:val="00745063"/>
    <w:rPr>
      <w:smallCaps/>
      <w:spacing w:val="5"/>
      <w:u w:val="single"/>
      <w:lang w:val="bg-BG" w:eastAsia="bg-BG"/>
    </w:rPr>
  </w:style>
  <w:style w:type="paragraph" w:styleId="ListParagraph">
    <w:name w:val="List Paragraph"/>
    <w:basedOn w:val="Normal"/>
    <w:uiPriority w:val="99"/>
    <w:semiHidden/>
    <w:qFormat/>
    <w:rsid w:val="0074506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745063"/>
    <w:pPr>
      <w:spacing w:before="200"/>
      <w:ind w:left="360" w:right="360"/>
    </w:pPr>
    <w:rPr>
      <w:i/>
      <w:iCs/>
      <w:sz w:val="20"/>
      <w:szCs w:val="20"/>
      <w:lang w:bidi="en-US"/>
    </w:rPr>
  </w:style>
  <w:style w:type="character" w:customStyle="1" w:styleId="QuoteChar">
    <w:name w:val="Quote Char"/>
    <w:link w:val="Quote"/>
    <w:uiPriority w:val="99"/>
    <w:semiHidden/>
    <w:rsid w:val="00745063"/>
    <w:rPr>
      <w:rFonts w:eastAsia="MS Mincho"/>
      <w:i/>
      <w:iCs/>
      <w:lang w:val="bg-BG" w:eastAsia="bg-BG" w:bidi="en-US"/>
    </w:rPr>
  </w:style>
  <w:style w:type="character" w:styleId="SubtleReference">
    <w:name w:val="Subtle Reference"/>
    <w:uiPriority w:val="99"/>
    <w:semiHidden/>
    <w:qFormat/>
    <w:rsid w:val="00745063"/>
    <w:rPr>
      <w:smallCaps/>
      <w:lang w:val="bg-BG" w:eastAsia="bg-BG"/>
    </w:rPr>
  </w:style>
  <w:style w:type="table" w:styleId="TableGrid">
    <w:name w:val="Table Grid"/>
    <w:basedOn w:val="TableNormal"/>
    <w:uiPriority w:val="59"/>
    <w:semiHidden/>
    <w:rsid w:val="0005251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5251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5251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5251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5251B"/>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5251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745063"/>
    <w:pPr>
      <w:keepNext/>
      <w:keepLines/>
      <w:spacing w:before="240"/>
      <w:contextualSpacing/>
      <w:jc w:val="center"/>
    </w:pPr>
    <w:rPr>
      <w:rFonts w:eastAsia="Times New Roman"/>
      <w:b/>
      <w:color w:val="474747"/>
      <w:sz w:val="28"/>
    </w:rPr>
  </w:style>
  <w:style w:type="table" w:customStyle="1" w:styleId="UGTable">
    <w:name w:val="UG_Table"/>
    <w:basedOn w:val="TableNormal"/>
    <w:uiPriority w:val="99"/>
    <w:rsid w:val="00572845"/>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TOAHeading">
    <w:name w:val="toa heading"/>
    <w:basedOn w:val="Normal"/>
    <w:next w:val="Normal"/>
    <w:uiPriority w:val="99"/>
    <w:semiHidden/>
    <w:rsid w:val="0005251B"/>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
    <w:uiPriority w:val="14"/>
    <w:qFormat/>
    <w:rsid w:val="00745063"/>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TableNormal"/>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TableNormal"/>
    <w:uiPriority w:val="99"/>
    <w:rsid w:val="0005251B"/>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TableNormal"/>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ParaLast">
    <w:name w:val="Ju_Para_Last"/>
    <w:basedOn w:val="Normal"/>
    <w:next w:val="ECHRPara"/>
    <w:uiPriority w:val="30"/>
    <w:qFormat/>
    <w:rsid w:val="00745063"/>
    <w:pPr>
      <w:keepNext/>
      <w:keepLines/>
      <w:spacing w:before="240"/>
      <w:ind w:firstLine="284"/>
    </w:pPr>
  </w:style>
  <w:style w:type="paragraph" w:customStyle="1" w:styleId="JuCase">
    <w:name w:val="Ju_Case"/>
    <w:basedOn w:val="Normal"/>
    <w:next w:val="ECHRPara"/>
    <w:uiPriority w:val="10"/>
    <w:rsid w:val="0005251B"/>
    <w:pPr>
      <w:ind w:firstLine="284"/>
    </w:pPr>
    <w:rPr>
      <w:b/>
    </w:rPr>
  </w:style>
  <w:style w:type="paragraph" w:styleId="CommentText">
    <w:name w:val="annotation text"/>
    <w:basedOn w:val="Normal"/>
    <w:link w:val="CommentTextChar"/>
    <w:uiPriority w:val="99"/>
    <w:semiHidden/>
    <w:rsid w:val="00470981"/>
    <w:rPr>
      <w:sz w:val="20"/>
      <w:szCs w:val="20"/>
    </w:rPr>
  </w:style>
  <w:style w:type="character" w:customStyle="1" w:styleId="CommentTextChar">
    <w:name w:val="Comment Text Char"/>
    <w:link w:val="CommentText"/>
    <w:uiPriority w:val="99"/>
    <w:semiHidden/>
    <w:rsid w:val="00470981"/>
    <w:rPr>
      <w:rFonts w:eastAsia="MS Mincho"/>
      <w:sz w:val="20"/>
      <w:szCs w:val="20"/>
      <w:lang w:val="bg-BG" w:eastAsia="bg-BG"/>
    </w:rPr>
  </w:style>
  <w:style w:type="paragraph" w:styleId="CommentSubject">
    <w:name w:val="annotation subject"/>
    <w:basedOn w:val="CommentText"/>
    <w:next w:val="CommentText"/>
    <w:link w:val="CommentSubjectChar"/>
    <w:uiPriority w:val="99"/>
    <w:semiHidden/>
    <w:rsid w:val="00470981"/>
    <w:rPr>
      <w:b/>
      <w:bCs/>
    </w:rPr>
  </w:style>
  <w:style w:type="character" w:customStyle="1" w:styleId="CommentSubjectChar">
    <w:name w:val="Comment Subject Char"/>
    <w:link w:val="CommentSubject"/>
    <w:uiPriority w:val="99"/>
    <w:semiHidden/>
    <w:rsid w:val="00470981"/>
    <w:rPr>
      <w:rFonts w:eastAsia="MS Mincho"/>
      <w:b/>
      <w:bCs/>
      <w:sz w:val="20"/>
      <w:szCs w:val="20"/>
      <w:lang w:val="bg-BG" w:eastAsia="bg-BG"/>
    </w:rPr>
  </w:style>
  <w:style w:type="character" w:styleId="PageNumber">
    <w:name w:val="page number"/>
    <w:uiPriority w:val="99"/>
    <w:semiHidden/>
    <w:rsid w:val="00470981"/>
    <w:rPr>
      <w:sz w:val="18"/>
      <w:lang w:val="bg-BG" w:eastAsia="bg-BG"/>
    </w:rPr>
  </w:style>
  <w:style w:type="paragraph" w:customStyle="1" w:styleId="JuLista">
    <w:name w:val="Ju_List_a"/>
    <w:basedOn w:val="JuList"/>
    <w:uiPriority w:val="28"/>
    <w:qFormat/>
    <w:rsid w:val="00745063"/>
    <w:pPr>
      <w:ind w:left="346" w:firstLine="0"/>
    </w:pPr>
  </w:style>
  <w:style w:type="paragraph" w:customStyle="1" w:styleId="JuListi">
    <w:name w:val="Ju_List_i"/>
    <w:basedOn w:val="Normal"/>
    <w:next w:val="JuLista"/>
    <w:uiPriority w:val="28"/>
    <w:qFormat/>
    <w:rsid w:val="00745063"/>
    <w:pPr>
      <w:ind w:left="794"/>
    </w:pPr>
  </w:style>
  <w:style w:type="character" w:styleId="CommentReference">
    <w:name w:val="annotation reference"/>
    <w:uiPriority w:val="99"/>
    <w:semiHidden/>
    <w:rsid w:val="00470981"/>
    <w:rPr>
      <w:sz w:val="16"/>
      <w:lang w:val="bg-BG" w:eastAsia="bg-BG"/>
    </w:rPr>
  </w:style>
  <w:style w:type="character" w:styleId="EndnoteReference">
    <w:name w:val="endnote reference"/>
    <w:uiPriority w:val="99"/>
    <w:semiHidden/>
    <w:rsid w:val="00470981"/>
    <w:rPr>
      <w:vertAlign w:val="superscript"/>
      <w:lang w:val="bg-BG" w:eastAsia="bg-BG"/>
    </w:rPr>
  </w:style>
  <w:style w:type="paragraph" w:styleId="EndnoteText">
    <w:name w:val="endnote text"/>
    <w:basedOn w:val="Normal"/>
    <w:link w:val="EndnoteTextChar"/>
    <w:uiPriority w:val="99"/>
    <w:semiHidden/>
    <w:rsid w:val="00470981"/>
    <w:rPr>
      <w:sz w:val="20"/>
      <w:szCs w:val="20"/>
    </w:rPr>
  </w:style>
  <w:style w:type="character" w:customStyle="1" w:styleId="EndnoteTextChar">
    <w:name w:val="Endnote Text Char"/>
    <w:link w:val="EndnoteText"/>
    <w:uiPriority w:val="99"/>
    <w:semiHidden/>
    <w:rsid w:val="00470981"/>
    <w:rPr>
      <w:rFonts w:eastAsia="MS Mincho"/>
      <w:sz w:val="20"/>
      <w:lang w:val="bg-BG" w:eastAsia="bg-BG"/>
    </w:rPr>
  </w:style>
  <w:style w:type="character" w:styleId="FollowedHyperlink">
    <w:name w:val="FollowedHyperlink"/>
    <w:uiPriority w:val="99"/>
    <w:semiHidden/>
    <w:rsid w:val="00470981"/>
    <w:rPr>
      <w:color w:val="800080"/>
      <w:u w:val="single"/>
      <w:lang w:val="bg-BG" w:eastAsia="bg-BG"/>
    </w:rPr>
  </w:style>
  <w:style w:type="paragraph" w:styleId="DocumentMap">
    <w:name w:val="Document Map"/>
    <w:basedOn w:val="Normal"/>
    <w:link w:val="DocumentMapChar"/>
    <w:uiPriority w:val="99"/>
    <w:semiHidden/>
    <w:rsid w:val="00470981"/>
    <w:pPr>
      <w:shd w:val="clear" w:color="auto" w:fill="000080"/>
    </w:pPr>
    <w:rPr>
      <w:rFonts w:ascii="Tahoma" w:hAnsi="Tahoma"/>
      <w:sz w:val="20"/>
      <w:szCs w:val="20"/>
    </w:rPr>
  </w:style>
  <w:style w:type="character" w:customStyle="1" w:styleId="DocumentMapChar">
    <w:name w:val="Document Map Char"/>
    <w:link w:val="DocumentMap"/>
    <w:uiPriority w:val="99"/>
    <w:semiHidden/>
    <w:rsid w:val="00470981"/>
    <w:rPr>
      <w:rFonts w:ascii="Tahoma" w:eastAsia="MS Mincho" w:hAnsi="Tahoma" w:cs="Tahoma"/>
      <w:sz w:val="20"/>
      <w:lang w:val="bg-BG" w:eastAsia="bg-BG"/>
    </w:rPr>
  </w:style>
  <w:style w:type="paragraph" w:styleId="ListBullet">
    <w:name w:val="List Bullet"/>
    <w:basedOn w:val="Normal"/>
    <w:uiPriority w:val="99"/>
    <w:semiHidden/>
    <w:rsid w:val="00470981"/>
    <w:pPr>
      <w:numPr>
        <w:numId w:val="4"/>
      </w:numPr>
    </w:pPr>
  </w:style>
  <w:style w:type="paragraph" w:styleId="Subtitle">
    <w:name w:val="Subtitle"/>
    <w:basedOn w:val="Normal"/>
    <w:next w:val="Normal"/>
    <w:link w:val="SubtitleChar"/>
    <w:uiPriority w:val="99"/>
    <w:semiHidden/>
    <w:qFormat/>
    <w:rsid w:val="00745063"/>
    <w:pPr>
      <w:spacing w:after="600"/>
    </w:pPr>
    <w:rPr>
      <w:rFonts w:eastAsia="MS Gothic"/>
      <w:i/>
      <w:iCs/>
      <w:spacing w:val="13"/>
      <w:szCs w:val="24"/>
      <w:lang w:bidi="en-US"/>
    </w:rPr>
  </w:style>
  <w:style w:type="character" w:customStyle="1" w:styleId="SubtitleChar">
    <w:name w:val="Subtitle Char"/>
    <w:link w:val="Subtitle"/>
    <w:uiPriority w:val="99"/>
    <w:semiHidden/>
    <w:rsid w:val="00745063"/>
    <w:rPr>
      <w:rFonts w:ascii="Times New Roman" w:eastAsia="MS Gothic" w:hAnsi="Times New Roman" w:cs="Times New Roman"/>
      <w:i/>
      <w:iCs/>
      <w:spacing w:val="13"/>
      <w:sz w:val="24"/>
      <w:szCs w:val="24"/>
      <w:lang w:val="bg-BG" w:eastAsia="bg-BG" w:bidi="en-US"/>
    </w:rPr>
  </w:style>
  <w:style w:type="numbering" w:styleId="111111">
    <w:name w:val="Outline List 2"/>
    <w:basedOn w:val="NoList"/>
    <w:uiPriority w:val="99"/>
    <w:semiHidden/>
    <w:rsid w:val="00470981"/>
    <w:pPr>
      <w:numPr>
        <w:numId w:val="5"/>
      </w:numPr>
    </w:pPr>
  </w:style>
  <w:style w:type="numbering" w:styleId="1ai">
    <w:name w:val="Outline List 1"/>
    <w:basedOn w:val="NoList"/>
    <w:uiPriority w:val="99"/>
    <w:semiHidden/>
    <w:rsid w:val="00470981"/>
    <w:pPr>
      <w:numPr>
        <w:numId w:val="6"/>
      </w:numPr>
    </w:pPr>
  </w:style>
  <w:style w:type="numbering" w:styleId="ArticleSection">
    <w:name w:val="Outline List 3"/>
    <w:basedOn w:val="NoList"/>
    <w:uiPriority w:val="99"/>
    <w:semiHidden/>
    <w:rsid w:val="00470981"/>
    <w:pPr>
      <w:numPr>
        <w:numId w:val="7"/>
      </w:numPr>
    </w:pPr>
  </w:style>
  <w:style w:type="paragraph" w:styleId="Bibliography">
    <w:name w:val="Bibliography"/>
    <w:basedOn w:val="Normal"/>
    <w:next w:val="Normal"/>
    <w:uiPriority w:val="99"/>
    <w:semiHidden/>
    <w:unhideWhenUsed/>
    <w:rsid w:val="00470981"/>
  </w:style>
  <w:style w:type="paragraph" w:styleId="BlockText">
    <w:name w:val="Block Text"/>
    <w:basedOn w:val="Normal"/>
    <w:uiPriority w:val="99"/>
    <w:semiHidden/>
    <w:rsid w:val="00470981"/>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470981"/>
    <w:pPr>
      <w:spacing w:after="120"/>
    </w:pPr>
    <w:rPr>
      <w:szCs w:val="20"/>
    </w:rPr>
  </w:style>
  <w:style w:type="character" w:customStyle="1" w:styleId="BodyTextChar">
    <w:name w:val="Body Text Char"/>
    <w:link w:val="BodyText"/>
    <w:uiPriority w:val="99"/>
    <w:semiHidden/>
    <w:rsid w:val="00470981"/>
    <w:rPr>
      <w:rFonts w:eastAsia="MS Mincho"/>
      <w:sz w:val="24"/>
      <w:lang w:val="bg-BG" w:eastAsia="bg-BG"/>
    </w:rPr>
  </w:style>
  <w:style w:type="paragraph" w:styleId="BodyText2">
    <w:name w:val="Body Text 2"/>
    <w:basedOn w:val="Normal"/>
    <w:link w:val="BodyText2Char"/>
    <w:uiPriority w:val="99"/>
    <w:semiHidden/>
    <w:rsid w:val="00470981"/>
    <w:pPr>
      <w:spacing w:after="120" w:line="480" w:lineRule="auto"/>
    </w:pPr>
    <w:rPr>
      <w:szCs w:val="20"/>
    </w:rPr>
  </w:style>
  <w:style w:type="character" w:customStyle="1" w:styleId="BodyText2Char">
    <w:name w:val="Body Text 2 Char"/>
    <w:link w:val="BodyText2"/>
    <w:uiPriority w:val="99"/>
    <w:semiHidden/>
    <w:rsid w:val="00470981"/>
    <w:rPr>
      <w:rFonts w:eastAsia="MS Mincho"/>
      <w:sz w:val="24"/>
      <w:lang w:val="bg-BG" w:eastAsia="bg-BG"/>
    </w:rPr>
  </w:style>
  <w:style w:type="paragraph" w:styleId="BodyText3">
    <w:name w:val="Body Text 3"/>
    <w:basedOn w:val="Normal"/>
    <w:link w:val="BodyText3Char"/>
    <w:uiPriority w:val="99"/>
    <w:semiHidden/>
    <w:rsid w:val="00470981"/>
    <w:pPr>
      <w:spacing w:after="120"/>
    </w:pPr>
    <w:rPr>
      <w:sz w:val="16"/>
      <w:szCs w:val="16"/>
    </w:rPr>
  </w:style>
  <w:style w:type="character" w:customStyle="1" w:styleId="BodyText3Char">
    <w:name w:val="Body Text 3 Char"/>
    <w:link w:val="BodyText3"/>
    <w:uiPriority w:val="99"/>
    <w:semiHidden/>
    <w:rsid w:val="00470981"/>
    <w:rPr>
      <w:rFonts w:eastAsia="MS Mincho"/>
      <w:sz w:val="16"/>
      <w:szCs w:val="16"/>
      <w:lang w:val="bg-BG" w:eastAsia="bg-BG"/>
    </w:rPr>
  </w:style>
  <w:style w:type="paragraph" w:styleId="BodyTextFirstIndent">
    <w:name w:val="Body Text First Indent"/>
    <w:basedOn w:val="BodyText"/>
    <w:link w:val="BodyTextFirstIndentChar"/>
    <w:uiPriority w:val="99"/>
    <w:semiHidden/>
    <w:rsid w:val="00470981"/>
    <w:pPr>
      <w:spacing w:after="0"/>
      <w:ind w:firstLine="360"/>
    </w:pPr>
  </w:style>
  <w:style w:type="character" w:customStyle="1" w:styleId="BodyTextFirstIndentChar">
    <w:name w:val="Body Text First Indent Char"/>
    <w:link w:val="BodyTextFirstIndent"/>
    <w:uiPriority w:val="99"/>
    <w:semiHidden/>
    <w:rsid w:val="00470981"/>
    <w:rPr>
      <w:rFonts w:eastAsia="MS Mincho"/>
      <w:sz w:val="24"/>
      <w:lang w:val="bg-BG" w:eastAsia="bg-BG"/>
    </w:rPr>
  </w:style>
  <w:style w:type="paragraph" w:styleId="BodyTextIndent">
    <w:name w:val="Body Text Indent"/>
    <w:basedOn w:val="Normal"/>
    <w:link w:val="BodyTextIndentChar"/>
    <w:uiPriority w:val="99"/>
    <w:semiHidden/>
    <w:rsid w:val="00470981"/>
    <w:pPr>
      <w:spacing w:after="120"/>
      <w:ind w:left="283"/>
    </w:pPr>
    <w:rPr>
      <w:szCs w:val="20"/>
    </w:rPr>
  </w:style>
  <w:style w:type="character" w:customStyle="1" w:styleId="BodyTextIndentChar">
    <w:name w:val="Body Text Indent Char"/>
    <w:link w:val="BodyTextIndent"/>
    <w:uiPriority w:val="99"/>
    <w:semiHidden/>
    <w:rsid w:val="00470981"/>
    <w:rPr>
      <w:rFonts w:eastAsia="MS Mincho"/>
      <w:sz w:val="24"/>
      <w:lang w:val="bg-BG" w:eastAsia="bg-BG"/>
    </w:rPr>
  </w:style>
  <w:style w:type="paragraph" w:styleId="BodyTextFirstIndent2">
    <w:name w:val="Body Text First Indent 2"/>
    <w:basedOn w:val="BodyTextIndent"/>
    <w:link w:val="BodyTextFirstIndent2Char"/>
    <w:uiPriority w:val="99"/>
    <w:semiHidden/>
    <w:rsid w:val="00470981"/>
    <w:pPr>
      <w:spacing w:after="0"/>
      <w:ind w:left="360" w:firstLine="360"/>
    </w:pPr>
  </w:style>
  <w:style w:type="character" w:customStyle="1" w:styleId="BodyTextFirstIndent2Char">
    <w:name w:val="Body Text First Indent 2 Char"/>
    <w:link w:val="BodyTextFirstIndent2"/>
    <w:uiPriority w:val="99"/>
    <w:semiHidden/>
    <w:rsid w:val="00470981"/>
    <w:rPr>
      <w:rFonts w:eastAsia="MS Mincho"/>
      <w:sz w:val="24"/>
      <w:lang w:val="bg-BG" w:eastAsia="bg-BG"/>
    </w:rPr>
  </w:style>
  <w:style w:type="paragraph" w:styleId="BodyTextIndent2">
    <w:name w:val="Body Text Indent 2"/>
    <w:basedOn w:val="Normal"/>
    <w:link w:val="BodyTextIndent2Char"/>
    <w:uiPriority w:val="99"/>
    <w:semiHidden/>
    <w:rsid w:val="00470981"/>
    <w:pPr>
      <w:spacing w:after="120" w:line="480" w:lineRule="auto"/>
      <w:ind w:left="283"/>
    </w:pPr>
    <w:rPr>
      <w:szCs w:val="20"/>
    </w:rPr>
  </w:style>
  <w:style w:type="character" w:customStyle="1" w:styleId="BodyTextIndent2Char">
    <w:name w:val="Body Text Indent 2 Char"/>
    <w:link w:val="BodyTextIndent2"/>
    <w:uiPriority w:val="99"/>
    <w:semiHidden/>
    <w:rsid w:val="00470981"/>
    <w:rPr>
      <w:rFonts w:eastAsia="MS Mincho"/>
      <w:sz w:val="24"/>
      <w:lang w:val="bg-BG" w:eastAsia="bg-BG"/>
    </w:rPr>
  </w:style>
  <w:style w:type="paragraph" w:styleId="BodyTextIndent3">
    <w:name w:val="Body Text Indent 3"/>
    <w:basedOn w:val="Normal"/>
    <w:link w:val="BodyTextIndent3Char"/>
    <w:uiPriority w:val="99"/>
    <w:semiHidden/>
    <w:rsid w:val="00470981"/>
    <w:pPr>
      <w:spacing w:after="120"/>
      <w:ind w:left="283"/>
    </w:pPr>
    <w:rPr>
      <w:sz w:val="16"/>
      <w:szCs w:val="16"/>
    </w:rPr>
  </w:style>
  <w:style w:type="character" w:customStyle="1" w:styleId="BodyTextIndent3Char">
    <w:name w:val="Body Text Indent 3 Char"/>
    <w:link w:val="BodyTextIndent3"/>
    <w:uiPriority w:val="99"/>
    <w:semiHidden/>
    <w:rsid w:val="00470981"/>
    <w:rPr>
      <w:rFonts w:eastAsia="MS Mincho"/>
      <w:sz w:val="16"/>
      <w:szCs w:val="16"/>
      <w:lang w:val="bg-BG" w:eastAsia="bg-BG"/>
    </w:rPr>
  </w:style>
  <w:style w:type="paragraph" w:styleId="Caption">
    <w:name w:val="caption"/>
    <w:basedOn w:val="Normal"/>
    <w:next w:val="Normal"/>
    <w:uiPriority w:val="99"/>
    <w:semiHidden/>
    <w:qFormat/>
    <w:rsid w:val="00470981"/>
    <w:pPr>
      <w:spacing w:after="200"/>
    </w:pPr>
    <w:rPr>
      <w:b/>
      <w:bCs/>
      <w:color w:val="0072BC"/>
      <w:sz w:val="18"/>
      <w:szCs w:val="18"/>
    </w:rPr>
  </w:style>
  <w:style w:type="paragraph" w:styleId="Closing">
    <w:name w:val="Closing"/>
    <w:basedOn w:val="Normal"/>
    <w:link w:val="ClosingChar"/>
    <w:uiPriority w:val="99"/>
    <w:semiHidden/>
    <w:rsid w:val="00470981"/>
    <w:pPr>
      <w:ind w:left="4252"/>
    </w:pPr>
    <w:rPr>
      <w:szCs w:val="20"/>
    </w:rPr>
  </w:style>
  <w:style w:type="character" w:customStyle="1" w:styleId="ClosingChar">
    <w:name w:val="Closing Char"/>
    <w:link w:val="Closing"/>
    <w:uiPriority w:val="99"/>
    <w:semiHidden/>
    <w:rsid w:val="00470981"/>
    <w:rPr>
      <w:rFonts w:eastAsia="MS Mincho"/>
      <w:sz w:val="24"/>
      <w:lang w:val="bg-BG" w:eastAsia="bg-BG"/>
    </w:rPr>
  </w:style>
  <w:style w:type="table" w:customStyle="1" w:styleId="ColorfulGrid1">
    <w:name w:val="Colorful Grid1"/>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ColorfulGrid-Accent2">
    <w:name w:val="Colorful Grid Accent 2"/>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ColorfulGrid-Accent3">
    <w:name w:val="Colorful Grid Accent 3"/>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4">
    <w:name w:val="Colorful Grid Accent 4"/>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5">
    <w:name w:val="Colorful Grid Accent 5"/>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99"/>
    <w:semiHidden/>
    <w:rsid w:val="00470981"/>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customStyle="1" w:styleId="ColorfulList1">
    <w:name w:val="Colorful List1"/>
    <w:basedOn w:val="TableNormal"/>
    <w:uiPriority w:val="99"/>
    <w:semiHidden/>
    <w:rsid w:val="00470981"/>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99"/>
    <w:semiHidden/>
    <w:rsid w:val="00470981"/>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ColorfulList-Accent2">
    <w:name w:val="Colorful List Accent 2"/>
    <w:basedOn w:val="TableNormal"/>
    <w:uiPriority w:val="99"/>
    <w:semiHidden/>
    <w:rsid w:val="00470981"/>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ColorfulList-Accent3">
    <w:name w:val="Colorful List Accent 3"/>
    <w:basedOn w:val="TableNormal"/>
    <w:uiPriority w:val="99"/>
    <w:semiHidden/>
    <w:rsid w:val="00470981"/>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4">
    <w:name w:val="Colorful List Accent 4"/>
    <w:basedOn w:val="TableNormal"/>
    <w:uiPriority w:val="99"/>
    <w:semiHidden/>
    <w:rsid w:val="00470981"/>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5">
    <w:name w:val="Colorful List Accent 5"/>
    <w:basedOn w:val="TableNormal"/>
    <w:uiPriority w:val="99"/>
    <w:semiHidden/>
    <w:rsid w:val="00470981"/>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99"/>
    <w:semiHidden/>
    <w:rsid w:val="00470981"/>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customStyle="1" w:styleId="ColorfulShading1">
    <w:name w:val="Colorful Shading1"/>
    <w:basedOn w:val="TableNormal"/>
    <w:uiPriority w:val="99"/>
    <w:semiHidden/>
    <w:rsid w:val="00470981"/>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99"/>
    <w:semiHidden/>
    <w:rsid w:val="00470981"/>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99"/>
    <w:semiHidden/>
    <w:rsid w:val="00470981"/>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99"/>
    <w:semiHidden/>
    <w:rsid w:val="00470981"/>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ColorfulShading-Accent4">
    <w:name w:val="Colorful Shading Accent 4"/>
    <w:basedOn w:val="TableNormal"/>
    <w:uiPriority w:val="99"/>
    <w:semiHidden/>
    <w:rsid w:val="00470981"/>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99"/>
    <w:semiHidden/>
    <w:rsid w:val="00470981"/>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99"/>
    <w:semiHidden/>
    <w:rsid w:val="00470981"/>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customStyle="1" w:styleId="DarkList1">
    <w:name w:val="Dark List1"/>
    <w:basedOn w:val="TableNormal"/>
    <w:uiPriority w:val="99"/>
    <w:semiHidden/>
    <w:rsid w:val="00470981"/>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470981"/>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470981"/>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470981"/>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470981"/>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470981"/>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470981"/>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470981"/>
    <w:rPr>
      <w:szCs w:val="20"/>
    </w:rPr>
  </w:style>
  <w:style w:type="character" w:customStyle="1" w:styleId="DateChar">
    <w:name w:val="Date Char"/>
    <w:link w:val="Date"/>
    <w:uiPriority w:val="99"/>
    <w:semiHidden/>
    <w:rsid w:val="00470981"/>
    <w:rPr>
      <w:rFonts w:eastAsia="MS Mincho"/>
      <w:sz w:val="24"/>
      <w:lang w:val="bg-BG" w:eastAsia="bg-BG"/>
    </w:rPr>
  </w:style>
  <w:style w:type="paragraph" w:styleId="E-mailSignature">
    <w:name w:val="E-mail Signature"/>
    <w:basedOn w:val="Normal"/>
    <w:link w:val="E-mailSignatureChar"/>
    <w:uiPriority w:val="99"/>
    <w:semiHidden/>
    <w:rsid w:val="00470981"/>
    <w:rPr>
      <w:szCs w:val="20"/>
    </w:rPr>
  </w:style>
  <w:style w:type="character" w:customStyle="1" w:styleId="E-mailSignatureChar">
    <w:name w:val="E-mail Signature Char"/>
    <w:link w:val="E-mailSignature"/>
    <w:uiPriority w:val="99"/>
    <w:semiHidden/>
    <w:rsid w:val="00470981"/>
    <w:rPr>
      <w:rFonts w:eastAsia="MS Mincho"/>
      <w:sz w:val="24"/>
      <w:lang w:val="bg-BG" w:eastAsia="bg-BG"/>
    </w:rPr>
  </w:style>
  <w:style w:type="paragraph" w:styleId="EnvelopeAddress">
    <w:name w:val="envelope address"/>
    <w:basedOn w:val="Normal"/>
    <w:uiPriority w:val="99"/>
    <w:semiHidden/>
    <w:rsid w:val="00470981"/>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470981"/>
    <w:rPr>
      <w:rFonts w:eastAsia="MS Gothic"/>
      <w:sz w:val="20"/>
      <w:szCs w:val="20"/>
    </w:rPr>
  </w:style>
  <w:style w:type="character" w:styleId="HTMLAcronym">
    <w:name w:val="HTML Acronym"/>
    <w:basedOn w:val="DefaultParagraphFont"/>
    <w:uiPriority w:val="99"/>
    <w:semiHidden/>
    <w:rsid w:val="00470981"/>
  </w:style>
  <w:style w:type="paragraph" w:styleId="HTMLAddress">
    <w:name w:val="HTML Address"/>
    <w:basedOn w:val="Normal"/>
    <w:link w:val="HTMLAddressChar"/>
    <w:uiPriority w:val="99"/>
    <w:semiHidden/>
    <w:rsid w:val="00470981"/>
    <w:rPr>
      <w:i/>
      <w:iCs/>
      <w:szCs w:val="20"/>
    </w:rPr>
  </w:style>
  <w:style w:type="character" w:customStyle="1" w:styleId="HTMLAddressChar">
    <w:name w:val="HTML Address Char"/>
    <w:link w:val="HTMLAddress"/>
    <w:uiPriority w:val="99"/>
    <w:semiHidden/>
    <w:rsid w:val="00470981"/>
    <w:rPr>
      <w:rFonts w:eastAsia="MS Mincho"/>
      <w:i/>
      <w:iCs/>
      <w:sz w:val="24"/>
      <w:lang w:val="bg-BG" w:eastAsia="bg-BG"/>
    </w:rPr>
  </w:style>
  <w:style w:type="character" w:styleId="HTMLCite">
    <w:name w:val="HTML Cite"/>
    <w:uiPriority w:val="99"/>
    <w:semiHidden/>
    <w:rsid w:val="00470981"/>
    <w:rPr>
      <w:i/>
      <w:iCs/>
      <w:lang w:val="bg-BG" w:eastAsia="bg-BG"/>
    </w:rPr>
  </w:style>
  <w:style w:type="character" w:styleId="HTMLCode">
    <w:name w:val="HTML Code"/>
    <w:uiPriority w:val="99"/>
    <w:semiHidden/>
    <w:rsid w:val="00470981"/>
    <w:rPr>
      <w:rFonts w:ascii="Consolas" w:hAnsi="Consolas" w:cs="Consolas"/>
      <w:sz w:val="20"/>
      <w:szCs w:val="20"/>
      <w:lang w:val="bg-BG" w:eastAsia="bg-BG"/>
    </w:rPr>
  </w:style>
  <w:style w:type="character" w:styleId="HTMLDefinition">
    <w:name w:val="HTML Definition"/>
    <w:uiPriority w:val="99"/>
    <w:semiHidden/>
    <w:rsid w:val="00470981"/>
    <w:rPr>
      <w:i/>
      <w:iCs/>
      <w:lang w:val="bg-BG" w:eastAsia="bg-BG"/>
    </w:rPr>
  </w:style>
  <w:style w:type="character" w:styleId="HTMLKeyboard">
    <w:name w:val="HTML Keyboard"/>
    <w:uiPriority w:val="99"/>
    <w:semiHidden/>
    <w:rsid w:val="00470981"/>
    <w:rPr>
      <w:rFonts w:ascii="Consolas" w:hAnsi="Consolas" w:cs="Consolas"/>
      <w:sz w:val="20"/>
      <w:szCs w:val="20"/>
      <w:lang w:val="bg-BG" w:eastAsia="bg-BG"/>
    </w:rPr>
  </w:style>
  <w:style w:type="paragraph" w:styleId="HTMLPreformatted">
    <w:name w:val="HTML Preformatted"/>
    <w:basedOn w:val="Normal"/>
    <w:link w:val="HTMLPreformattedChar"/>
    <w:uiPriority w:val="99"/>
    <w:semiHidden/>
    <w:rsid w:val="00470981"/>
    <w:rPr>
      <w:rFonts w:ascii="Consolas" w:hAnsi="Consolas"/>
      <w:sz w:val="20"/>
      <w:szCs w:val="20"/>
    </w:rPr>
  </w:style>
  <w:style w:type="character" w:customStyle="1" w:styleId="HTMLPreformattedChar">
    <w:name w:val="HTML Preformatted Char"/>
    <w:link w:val="HTMLPreformatted"/>
    <w:uiPriority w:val="99"/>
    <w:semiHidden/>
    <w:rsid w:val="00470981"/>
    <w:rPr>
      <w:rFonts w:ascii="Consolas" w:eastAsia="MS Mincho" w:hAnsi="Consolas" w:cs="Consolas"/>
      <w:sz w:val="20"/>
      <w:szCs w:val="20"/>
      <w:lang w:val="bg-BG" w:eastAsia="bg-BG"/>
    </w:rPr>
  </w:style>
  <w:style w:type="character" w:styleId="HTMLSample">
    <w:name w:val="HTML Sample"/>
    <w:uiPriority w:val="99"/>
    <w:semiHidden/>
    <w:rsid w:val="00470981"/>
    <w:rPr>
      <w:rFonts w:ascii="Consolas" w:hAnsi="Consolas" w:cs="Consolas"/>
      <w:sz w:val="24"/>
      <w:szCs w:val="24"/>
      <w:lang w:val="bg-BG" w:eastAsia="bg-BG"/>
    </w:rPr>
  </w:style>
  <w:style w:type="character" w:styleId="HTMLTypewriter">
    <w:name w:val="HTML Typewriter"/>
    <w:uiPriority w:val="99"/>
    <w:semiHidden/>
    <w:rsid w:val="00470981"/>
    <w:rPr>
      <w:rFonts w:ascii="Consolas" w:hAnsi="Consolas" w:cs="Consolas"/>
      <w:sz w:val="20"/>
      <w:szCs w:val="20"/>
      <w:lang w:val="bg-BG" w:eastAsia="bg-BG"/>
    </w:rPr>
  </w:style>
  <w:style w:type="character" w:styleId="HTMLVariable">
    <w:name w:val="HTML Variable"/>
    <w:uiPriority w:val="99"/>
    <w:semiHidden/>
    <w:rsid w:val="00470981"/>
    <w:rPr>
      <w:i/>
      <w:iCs/>
      <w:lang w:val="bg-BG" w:eastAsia="bg-BG"/>
    </w:rPr>
  </w:style>
  <w:style w:type="paragraph" w:styleId="Index1">
    <w:name w:val="index 1"/>
    <w:basedOn w:val="Normal"/>
    <w:next w:val="Normal"/>
    <w:autoRedefine/>
    <w:uiPriority w:val="99"/>
    <w:semiHidden/>
    <w:rsid w:val="00470981"/>
    <w:pPr>
      <w:ind w:left="240" w:hanging="240"/>
    </w:pPr>
  </w:style>
  <w:style w:type="paragraph" w:styleId="Index2">
    <w:name w:val="index 2"/>
    <w:basedOn w:val="Normal"/>
    <w:next w:val="Normal"/>
    <w:autoRedefine/>
    <w:uiPriority w:val="99"/>
    <w:semiHidden/>
    <w:rsid w:val="00470981"/>
    <w:pPr>
      <w:ind w:left="480" w:hanging="240"/>
    </w:pPr>
  </w:style>
  <w:style w:type="paragraph" w:styleId="Index3">
    <w:name w:val="index 3"/>
    <w:basedOn w:val="Normal"/>
    <w:next w:val="Normal"/>
    <w:autoRedefine/>
    <w:uiPriority w:val="99"/>
    <w:semiHidden/>
    <w:rsid w:val="00470981"/>
    <w:pPr>
      <w:ind w:left="720" w:hanging="240"/>
    </w:pPr>
  </w:style>
  <w:style w:type="paragraph" w:styleId="Index4">
    <w:name w:val="index 4"/>
    <w:basedOn w:val="Normal"/>
    <w:next w:val="Normal"/>
    <w:autoRedefine/>
    <w:uiPriority w:val="99"/>
    <w:semiHidden/>
    <w:rsid w:val="00470981"/>
    <w:pPr>
      <w:ind w:left="960" w:hanging="240"/>
    </w:pPr>
  </w:style>
  <w:style w:type="paragraph" w:styleId="Index5">
    <w:name w:val="index 5"/>
    <w:basedOn w:val="Normal"/>
    <w:next w:val="Normal"/>
    <w:autoRedefine/>
    <w:uiPriority w:val="99"/>
    <w:semiHidden/>
    <w:rsid w:val="00470981"/>
    <w:pPr>
      <w:ind w:left="1200" w:hanging="240"/>
    </w:pPr>
  </w:style>
  <w:style w:type="paragraph" w:styleId="Index6">
    <w:name w:val="index 6"/>
    <w:basedOn w:val="Normal"/>
    <w:next w:val="Normal"/>
    <w:autoRedefine/>
    <w:uiPriority w:val="99"/>
    <w:semiHidden/>
    <w:rsid w:val="00470981"/>
    <w:pPr>
      <w:ind w:left="1440" w:hanging="240"/>
    </w:pPr>
  </w:style>
  <w:style w:type="paragraph" w:styleId="Index7">
    <w:name w:val="index 7"/>
    <w:basedOn w:val="Normal"/>
    <w:next w:val="Normal"/>
    <w:autoRedefine/>
    <w:uiPriority w:val="99"/>
    <w:semiHidden/>
    <w:rsid w:val="00470981"/>
    <w:pPr>
      <w:ind w:left="1680" w:hanging="240"/>
    </w:pPr>
  </w:style>
  <w:style w:type="paragraph" w:styleId="Index8">
    <w:name w:val="index 8"/>
    <w:basedOn w:val="Normal"/>
    <w:next w:val="Normal"/>
    <w:autoRedefine/>
    <w:uiPriority w:val="99"/>
    <w:semiHidden/>
    <w:rsid w:val="00470981"/>
    <w:pPr>
      <w:ind w:left="1920" w:hanging="240"/>
    </w:pPr>
  </w:style>
  <w:style w:type="paragraph" w:styleId="Index9">
    <w:name w:val="index 9"/>
    <w:basedOn w:val="Normal"/>
    <w:next w:val="Normal"/>
    <w:autoRedefine/>
    <w:uiPriority w:val="99"/>
    <w:semiHidden/>
    <w:rsid w:val="00470981"/>
    <w:pPr>
      <w:ind w:left="2160" w:hanging="240"/>
    </w:pPr>
  </w:style>
  <w:style w:type="paragraph" w:styleId="IndexHeading">
    <w:name w:val="index heading"/>
    <w:basedOn w:val="Normal"/>
    <w:next w:val="Index1"/>
    <w:uiPriority w:val="99"/>
    <w:semiHidden/>
    <w:rsid w:val="00470981"/>
    <w:rPr>
      <w:rFonts w:eastAsia="MS Gothic"/>
      <w:b/>
      <w:bCs/>
    </w:rPr>
  </w:style>
  <w:style w:type="table" w:customStyle="1" w:styleId="LightGrid1">
    <w:name w:val="Light Grid1"/>
    <w:basedOn w:val="TableNormal"/>
    <w:uiPriority w:val="99"/>
    <w:semiHidden/>
    <w:rsid w:val="00470981"/>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470981"/>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470981"/>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470981"/>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470981"/>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470981"/>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customStyle="1" w:styleId="LightList1">
    <w:name w:val="Light List1"/>
    <w:basedOn w:val="TableNormal"/>
    <w:uiPriority w:val="99"/>
    <w:semiHidden/>
    <w:rsid w:val="00470981"/>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470981"/>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470981"/>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470981"/>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470981"/>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470981"/>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customStyle="1" w:styleId="LightShading1">
    <w:name w:val="Light Shading1"/>
    <w:basedOn w:val="TableNormal"/>
    <w:uiPriority w:val="99"/>
    <w:semiHidden/>
    <w:rsid w:val="00470981"/>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TableNormal"/>
    <w:uiPriority w:val="99"/>
    <w:semiHidden/>
    <w:rsid w:val="00470981"/>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470981"/>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470981"/>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470981"/>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470981"/>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470981"/>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470981"/>
  </w:style>
  <w:style w:type="paragraph" w:styleId="List">
    <w:name w:val="List"/>
    <w:basedOn w:val="Normal"/>
    <w:uiPriority w:val="99"/>
    <w:semiHidden/>
    <w:rsid w:val="00470981"/>
    <w:pPr>
      <w:ind w:left="283" w:hanging="283"/>
      <w:contextualSpacing/>
    </w:pPr>
  </w:style>
  <w:style w:type="paragraph" w:styleId="List2">
    <w:name w:val="List 2"/>
    <w:basedOn w:val="Normal"/>
    <w:uiPriority w:val="99"/>
    <w:semiHidden/>
    <w:rsid w:val="00470981"/>
    <w:pPr>
      <w:ind w:left="566" w:hanging="283"/>
      <w:contextualSpacing/>
    </w:pPr>
  </w:style>
  <w:style w:type="paragraph" w:styleId="List3">
    <w:name w:val="List 3"/>
    <w:basedOn w:val="Normal"/>
    <w:uiPriority w:val="99"/>
    <w:semiHidden/>
    <w:rsid w:val="00470981"/>
    <w:pPr>
      <w:ind w:left="849" w:hanging="283"/>
      <w:contextualSpacing/>
    </w:pPr>
  </w:style>
  <w:style w:type="paragraph" w:styleId="List4">
    <w:name w:val="List 4"/>
    <w:basedOn w:val="Normal"/>
    <w:uiPriority w:val="99"/>
    <w:semiHidden/>
    <w:rsid w:val="00470981"/>
    <w:pPr>
      <w:ind w:left="1132" w:hanging="283"/>
      <w:contextualSpacing/>
    </w:pPr>
  </w:style>
  <w:style w:type="paragraph" w:styleId="List5">
    <w:name w:val="List 5"/>
    <w:basedOn w:val="Normal"/>
    <w:uiPriority w:val="99"/>
    <w:semiHidden/>
    <w:rsid w:val="00470981"/>
    <w:pPr>
      <w:ind w:left="1415" w:hanging="283"/>
      <w:contextualSpacing/>
    </w:pPr>
  </w:style>
  <w:style w:type="paragraph" w:styleId="ListBullet2">
    <w:name w:val="List Bullet 2"/>
    <w:basedOn w:val="Normal"/>
    <w:uiPriority w:val="99"/>
    <w:semiHidden/>
    <w:rsid w:val="00470981"/>
    <w:pPr>
      <w:numPr>
        <w:numId w:val="1"/>
      </w:numPr>
      <w:contextualSpacing/>
    </w:pPr>
  </w:style>
  <w:style w:type="paragraph" w:styleId="ListBullet3">
    <w:name w:val="List Bullet 3"/>
    <w:basedOn w:val="Normal"/>
    <w:uiPriority w:val="99"/>
    <w:semiHidden/>
    <w:rsid w:val="00470981"/>
    <w:pPr>
      <w:numPr>
        <w:numId w:val="2"/>
      </w:numPr>
      <w:contextualSpacing/>
    </w:pPr>
  </w:style>
  <w:style w:type="paragraph" w:styleId="ListBullet4">
    <w:name w:val="List Bullet 4"/>
    <w:basedOn w:val="Normal"/>
    <w:uiPriority w:val="99"/>
    <w:semiHidden/>
    <w:rsid w:val="00470981"/>
    <w:pPr>
      <w:numPr>
        <w:numId w:val="8"/>
      </w:numPr>
      <w:contextualSpacing/>
    </w:pPr>
  </w:style>
  <w:style w:type="paragraph" w:styleId="ListBullet5">
    <w:name w:val="List Bullet 5"/>
    <w:basedOn w:val="Normal"/>
    <w:uiPriority w:val="99"/>
    <w:semiHidden/>
    <w:rsid w:val="00470981"/>
    <w:pPr>
      <w:numPr>
        <w:numId w:val="3"/>
      </w:numPr>
      <w:contextualSpacing/>
    </w:pPr>
  </w:style>
  <w:style w:type="paragraph" w:styleId="ListContinue">
    <w:name w:val="List Continue"/>
    <w:basedOn w:val="Normal"/>
    <w:uiPriority w:val="99"/>
    <w:semiHidden/>
    <w:rsid w:val="00470981"/>
    <w:pPr>
      <w:spacing w:after="120"/>
      <w:ind w:left="283"/>
      <w:contextualSpacing/>
    </w:pPr>
  </w:style>
  <w:style w:type="paragraph" w:styleId="ListContinue2">
    <w:name w:val="List Continue 2"/>
    <w:basedOn w:val="Normal"/>
    <w:uiPriority w:val="99"/>
    <w:semiHidden/>
    <w:rsid w:val="00470981"/>
    <w:pPr>
      <w:spacing w:after="120"/>
      <w:ind w:left="566"/>
      <w:contextualSpacing/>
    </w:pPr>
  </w:style>
  <w:style w:type="paragraph" w:styleId="ListContinue3">
    <w:name w:val="List Continue 3"/>
    <w:basedOn w:val="Normal"/>
    <w:uiPriority w:val="99"/>
    <w:semiHidden/>
    <w:rsid w:val="00470981"/>
    <w:pPr>
      <w:spacing w:after="120"/>
      <w:ind w:left="849"/>
      <w:contextualSpacing/>
    </w:pPr>
  </w:style>
  <w:style w:type="paragraph" w:styleId="ListContinue4">
    <w:name w:val="List Continue 4"/>
    <w:basedOn w:val="Normal"/>
    <w:uiPriority w:val="99"/>
    <w:semiHidden/>
    <w:rsid w:val="00470981"/>
    <w:pPr>
      <w:spacing w:after="120"/>
      <w:ind w:left="1132"/>
      <w:contextualSpacing/>
    </w:pPr>
  </w:style>
  <w:style w:type="paragraph" w:styleId="ListContinue5">
    <w:name w:val="List Continue 5"/>
    <w:basedOn w:val="Normal"/>
    <w:uiPriority w:val="99"/>
    <w:semiHidden/>
    <w:rsid w:val="00470981"/>
    <w:pPr>
      <w:spacing w:after="120"/>
      <w:ind w:left="1415"/>
      <w:contextualSpacing/>
    </w:pPr>
  </w:style>
  <w:style w:type="paragraph" w:styleId="ListNumber">
    <w:name w:val="List Number"/>
    <w:basedOn w:val="Normal"/>
    <w:uiPriority w:val="99"/>
    <w:semiHidden/>
    <w:rsid w:val="00470981"/>
    <w:pPr>
      <w:tabs>
        <w:tab w:val="num" w:pos="360"/>
      </w:tabs>
      <w:ind w:left="360" w:hanging="360"/>
      <w:contextualSpacing/>
    </w:pPr>
  </w:style>
  <w:style w:type="paragraph" w:styleId="ListNumber2">
    <w:name w:val="List Number 2"/>
    <w:basedOn w:val="Normal"/>
    <w:uiPriority w:val="99"/>
    <w:semiHidden/>
    <w:rsid w:val="00470981"/>
    <w:pPr>
      <w:numPr>
        <w:numId w:val="9"/>
      </w:numPr>
      <w:contextualSpacing/>
    </w:pPr>
  </w:style>
  <w:style w:type="paragraph" w:styleId="ListNumber3">
    <w:name w:val="List Number 3"/>
    <w:basedOn w:val="Normal"/>
    <w:uiPriority w:val="99"/>
    <w:semiHidden/>
    <w:rsid w:val="00470981"/>
    <w:pPr>
      <w:numPr>
        <w:numId w:val="10"/>
      </w:numPr>
      <w:contextualSpacing/>
    </w:pPr>
  </w:style>
  <w:style w:type="paragraph" w:styleId="ListNumber4">
    <w:name w:val="List Number 4"/>
    <w:basedOn w:val="Normal"/>
    <w:uiPriority w:val="99"/>
    <w:semiHidden/>
    <w:rsid w:val="00470981"/>
    <w:pPr>
      <w:numPr>
        <w:numId w:val="11"/>
      </w:numPr>
      <w:contextualSpacing/>
    </w:pPr>
  </w:style>
  <w:style w:type="paragraph" w:styleId="ListNumber5">
    <w:name w:val="List Number 5"/>
    <w:basedOn w:val="Normal"/>
    <w:uiPriority w:val="99"/>
    <w:semiHidden/>
    <w:rsid w:val="00470981"/>
    <w:pPr>
      <w:numPr>
        <w:numId w:val="12"/>
      </w:numPr>
      <w:contextualSpacing/>
    </w:pPr>
  </w:style>
  <w:style w:type="paragraph" w:styleId="MacroText">
    <w:name w:val="macro"/>
    <w:link w:val="MacroTextChar"/>
    <w:uiPriority w:val="99"/>
    <w:semiHidden/>
    <w:rsid w:val="00470981"/>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lang w:val="bg-BG" w:eastAsia="bg-BG"/>
    </w:rPr>
  </w:style>
  <w:style w:type="character" w:customStyle="1" w:styleId="MacroTextChar">
    <w:name w:val="Macro Text Char"/>
    <w:link w:val="MacroText"/>
    <w:uiPriority w:val="99"/>
    <w:semiHidden/>
    <w:rsid w:val="00470981"/>
    <w:rPr>
      <w:rFonts w:ascii="Consolas" w:hAnsi="Consolas" w:cs="Consolas"/>
      <w:lang w:val="bg-BG" w:eastAsia="bg-BG" w:bidi="ar-SA"/>
    </w:rPr>
  </w:style>
  <w:style w:type="table" w:customStyle="1" w:styleId="MediumGrid11">
    <w:name w:val="Medium Grid 11"/>
    <w:basedOn w:val="TableNormal"/>
    <w:uiPriority w:val="99"/>
    <w:semiHidden/>
    <w:rsid w:val="00470981"/>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99"/>
    <w:semiHidden/>
    <w:rsid w:val="00470981"/>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MediumGrid1-Accent2">
    <w:name w:val="Medium Grid 1 Accent 2"/>
    <w:basedOn w:val="TableNormal"/>
    <w:uiPriority w:val="99"/>
    <w:semiHidden/>
    <w:rsid w:val="00470981"/>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MediumGrid1-Accent3">
    <w:name w:val="Medium Grid 1 Accent 3"/>
    <w:basedOn w:val="TableNormal"/>
    <w:uiPriority w:val="99"/>
    <w:semiHidden/>
    <w:rsid w:val="00470981"/>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4">
    <w:name w:val="Medium Grid 1 Accent 4"/>
    <w:basedOn w:val="TableNormal"/>
    <w:uiPriority w:val="99"/>
    <w:semiHidden/>
    <w:rsid w:val="00470981"/>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5">
    <w:name w:val="Medium Grid 1 Accent 5"/>
    <w:basedOn w:val="TableNormal"/>
    <w:uiPriority w:val="99"/>
    <w:semiHidden/>
    <w:rsid w:val="00470981"/>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99"/>
    <w:semiHidden/>
    <w:rsid w:val="00470981"/>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customStyle="1" w:styleId="MediumGrid21">
    <w:name w:val="Medium Grid 21"/>
    <w:basedOn w:val="TableNormal"/>
    <w:uiPriority w:val="99"/>
    <w:semiHidden/>
    <w:rsid w:val="00470981"/>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MediumGrid2-Accent1">
    <w:name w:val="Medium Grid 2 Accent 1"/>
    <w:basedOn w:val="TableNormal"/>
    <w:uiPriority w:val="99"/>
    <w:semiHidden/>
    <w:rsid w:val="00470981"/>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MediumGrid2-Accent2">
    <w:name w:val="Medium Grid 2 Accent 2"/>
    <w:basedOn w:val="TableNormal"/>
    <w:uiPriority w:val="99"/>
    <w:semiHidden/>
    <w:rsid w:val="00470981"/>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MediumGrid2-Accent3">
    <w:name w:val="Medium Grid 2 Accent 3"/>
    <w:basedOn w:val="TableNormal"/>
    <w:uiPriority w:val="99"/>
    <w:semiHidden/>
    <w:rsid w:val="00470981"/>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4">
    <w:name w:val="Medium Grid 2 Accent 4"/>
    <w:basedOn w:val="TableNormal"/>
    <w:uiPriority w:val="99"/>
    <w:semiHidden/>
    <w:rsid w:val="00470981"/>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MediumGrid2-Accent5">
    <w:name w:val="Medium Grid 2 Accent 5"/>
    <w:basedOn w:val="TableNormal"/>
    <w:uiPriority w:val="99"/>
    <w:semiHidden/>
    <w:rsid w:val="00470981"/>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MediumGrid2-Accent6">
    <w:name w:val="Medium Grid 2 Accent 6"/>
    <w:basedOn w:val="TableNormal"/>
    <w:uiPriority w:val="99"/>
    <w:semiHidden/>
    <w:rsid w:val="00470981"/>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customStyle="1" w:styleId="MediumGrid31">
    <w:name w:val="Medium Grid 31"/>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470981"/>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customStyle="1" w:styleId="MediumList11">
    <w:name w:val="Medium List 11"/>
    <w:basedOn w:val="TableNormal"/>
    <w:uiPriority w:val="99"/>
    <w:semiHidden/>
    <w:rsid w:val="00470981"/>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TableNormal"/>
    <w:uiPriority w:val="99"/>
    <w:semiHidden/>
    <w:rsid w:val="00470981"/>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MediumList1-Accent2">
    <w:name w:val="Medium List 1 Accent 2"/>
    <w:basedOn w:val="TableNormal"/>
    <w:uiPriority w:val="99"/>
    <w:semiHidden/>
    <w:rsid w:val="00470981"/>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MediumList1-Accent3">
    <w:name w:val="Medium List 1 Accent 3"/>
    <w:basedOn w:val="TableNormal"/>
    <w:uiPriority w:val="99"/>
    <w:semiHidden/>
    <w:rsid w:val="00470981"/>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4">
    <w:name w:val="Medium List 1 Accent 4"/>
    <w:basedOn w:val="TableNormal"/>
    <w:uiPriority w:val="99"/>
    <w:semiHidden/>
    <w:rsid w:val="00470981"/>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5">
    <w:name w:val="Medium List 1 Accent 5"/>
    <w:basedOn w:val="TableNormal"/>
    <w:uiPriority w:val="99"/>
    <w:semiHidden/>
    <w:rsid w:val="00470981"/>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99"/>
    <w:semiHidden/>
    <w:rsid w:val="00470981"/>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customStyle="1" w:styleId="MediumList21">
    <w:name w:val="Medium List 21"/>
    <w:basedOn w:val="TableNormal"/>
    <w:uiPriority w:val="99"/>
    <w:semiHidden/>
    <w:rsid w:val="00470981"/>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MediumList2-Accent1">
    <w:name w:val="Medium List 2 Accent 1"/>
    <w:basedOn w:val="TableNormal"/>
    <w:uiPriority w:val="99"/>
    <w:semiHidden/>
    <w:rsid w:val="00470981"/>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MediumList2-Accent2">
    <w:name w:val="Medium List 2 Accent 2"/>
    <w:basedOn w:val="TableNormal"/>
    <w:uiPriority w:val="99"/>
    <w:semiHidden/>
    <w:rsid w:val="00470981"/>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MediumList2-Accent3">
    <w:name w:val="Medium List 2 Accent 3"/>
    <w:basedOn w:val="TableNormal"/>
    <w:uiPriority w:val="99"/>
    <w:semiHidden/>
    <w:rsid w:val="00470981"/>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4">
    <w:name w:val="Medium List 2 Accent 4"/>
    <w:basedOn w:val="TableNormal"/>
    <w:uiPriority w:val="99"/>
    <w:semiHidden/>
    <w:rsid w:val="00470981"/>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MediumList2-Accent5">
    <w:name w:val="Medium List 2 Accent 5"/>
    <w:basedOn w:val="TableNormal"/>
    <w:uiPriority w:val="99"/>
    <w:semiHidden/>
    <w:rsid w:val="00470981"/>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MediumList2-Accent6">
    <w:name w:val="Medium List 2 Accent 6"/>
    <w:basedOn w:val="TableNormal"/>
    <w:uiPriority w:val="99"/>
    <w:semiHidden/>
    <w:rsid w:val="00470981"/>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TableNormal"/>
    <w:uiPriority w:val="99"/>
    <w:semiHidden/>
    <w:rsid w:val="00470981"/>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99"/>
    <w:semiHidden/>
    <w:rsid w:val="00470981"/>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470981"/>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470981"/>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470981"/>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470981"/>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470981"/>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customStyle="1" w:styleId="MediumShading21">
    <w:name w:val="Medium Shading 21"/>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470981"/>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470981"/>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link w:val="MessageHeader"/>
    <w:uiPriority w:val="99"/>
    <w:semiHidden/>
    <w:rsid w:val="00470981"/>
    <w:rPr>
      <w:rFonts w:ascii="Times New Roman" w:eastAsia="MS Gothic" w:hAnsi="Times New Roman" w:cs="Times New Roman"/>
      <w:sz w:val="24"/>
      <w:szCs w:val="24"/>
      <w:lang w:val="bg-BG" w:eastAsia="bg-BG"/>
    </w:rPr>
  </w:style>
  <w:style w:type="paragraph" w:styleId="NormalWeb">
    <w:name w:val="Normal (Web)"/>
    <w:basedOn w:val="Normal"/>
    <w:uiPriority w:val="99"/>
    <w:semiHidden/>
    <w:rsid w:val="00470981"/>
    <w:rPr>
      <w:szCs w:val="24"/>
    </w:rPr>
  </w:style>
  <w:style w:type="paragraph" w:styleId="NormalIndent">
    <w:name w:val="Normal Indent"/>
    <w:basedOn w:val="Normal"/>
    <w:uiPriority w:val="99"/>
    <w:semiHidden/>
    <w:rsid w:val="00470981"/>
    <w:pPr>
      <w:ind w:left="720"/>
    </w:pPr>
  </w:style>
  <w:style w:type="paragraph" w:styleId="NoteHeading">
    <w:name w:val="Note Heading"/>
    <w:basedOn w:val="Normal"/>
    <w:next w:val="Normal"/>
    <w:link w:val="NoteHeadingChar"/>
    <w:uiPriority w:val="99"/>
    <w:semiHidden/>
    <w:rsid w:val="00470981"/>
    <w:rPr>
      <w:szCs w:val="20"/>
    </w:rPr>
  </w:style>
  <w:style w:type="character" w:customStyle="1" w:styleId="NoteHeadingChar">
    <w:name w:val="Note Heading Char"/>
    <w:link w:val="NoteHeading"/>
    <w:uiPriority w:val="99"/>
    <w:semiHidden/>
    <w:rsid w:val="00470981"/>
    <w:rPr>
      <w:rFonts w:eastAsia="MS Mincho"/>
      <w:sz w:val="24"/>
      <w:lang w:val="bg-BG" w:eastAsia="bg-BG"/>
    </w:rPr>
  </w:style>
  <w:style w:type="character" w:styleId="PlaceholderText">
    <w:name w:val="Placeholder Text"/>
    <w:uiPriority w:val="99"/>
    <w:semiHidden/>
    <w:rsid w:val="0005251B"/>
    <w:rPr>
      <w:color w:val="000000"/>
      <w:bdr w:val="none" w:sz="0" w:space="0" w:color="auto"/>
      <w:lang w:val="bg-BG" w:eastAsia="bg-BG"/>
    </w:rPr>
  </w:style>
  <w:style w:type="paragraph" w:styleId="PlainText">
    <w:name w:val="Plain Text"/>
    <w:basedOn w:val="Normal"/>
    <w:link w:val="PlainTextChar"/>
    <w:uiPriority w:val="99"/>
    <w:semiHidden/>
    <w:rsid w:val="00470981"/>
    <w:rPr>
      <w:rFonts w:ascii="Consolas" w:hAnsi="Consolas"/>
      <w:sz w:val="21"/>
      <w:szCs w:val="21"/>
    </w:rPr>
  </w:style>
  <w:style w:type="character" w:customStyle="1" w:styleId="PlainTextChar">
    <w:name w:val="Plain Text Char"/>
    <w:link w:val="PlainText"/>
    <w:uiPriority w:val="99"/>
    <w:semiHidden/>
    <w:rsid w:val="00470981"/>
    <w:rPr>
      <w:rFonts w:ascii="Consolas" w:eastAsia="MS Mincho" w:hAnsi="Consolas" w:cs="Consolas"/>
      <w:sz w:val="21"/>
      <w:szCs w:val="21"/>
      <w:lang w:val="bg-BG" w:eastAsia="bg-BG"/>
    </w:rPr>
  </w:style>
  <w:style w:type="paragraph" w:styleId="Salutation">
    <w:name w:val="Salutation"/>
    <w:basedOn w:val="Normal"/>
    <w:next w:val="Normal"/>
    <w:link w:val="SalutationChar"/>
    <w:uiPriority w:val="99"/>
    <w:semiHidden/>
    <w:rsid w:val="00470981"/>
    <w:rPr>
      <w:szCs w:val="20"/>
    </w:rPr>
  </w:style>
  <w:style w:type="character" w:customStyle="1" w:styleId="SalutationChar">
    <w:name w:val="Salutation Char"/>
    <w:link w:val="Salutation"/>
    <w:uiPriority w:val="99"/>
    <w:semiHidden/>
    <w:rsid w:val="00470981"/>
    <w:rPr>
      <w:rFonts w:eastAsia="MS Mincho"/>
      <w:sz w:val="24"/>
      <w:lang w:val="bg-BG" w:eastAsia="bg-BG"/>
    </w:rPr>
  </w:style>
  <w:style w:type="paragraph" w:styleId="Signature">
    <w:name w:val="Signature"/>
    <w:basedOn w:val="Normal"/>
    <w:link w:val="SignatureChar"/>
    <w:uiPriority w:val="99"/>
    <w:semiHidden/>
    <w:rsid w:val="00470981"/>
    <w:pPr>
      <w:ind w:left="4252"/>
    </w:pPr>
    <w:rPr>
      <w:szCs w:val="20"/>
    </w:rPr>
  </w:style>
  <w:style w:type="character" w:customStyle="1" w:styleId="SignatureChar">
    <w:name w:val="Signature Char"/>
    <w:link w:val="Signature"/>
    <w:uiPriority w:val="99"/>
    <w:semiHidden/>
    <w:rsid w:val="00470981"/>
    <w:rPr>
      <w:rFonts w:eastAsia="MS Mincho"/>
      <w:sz w:val="24"/>
      <w:lang w:val="bg-BG" w:eastAsia="bg-BG"/>
    </w:rPr>
  </w:style>
  <w:style w:type="table" w:styleId="Table3Deffects1">
    <w:name w:val="Table 3D effects 1"/>
    <w:basedOn w:val="TableNormal"/>
    <w:uiPriority w:val="99"/>
    <w:semiHidden/>
    <w:rsid w:val="00470981"/>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470981"/>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470981"/>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470981"/>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470981"/>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470981"/>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470981"/>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470981"/>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470981"/>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470981"/>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470981"/>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470981"/>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470981"/>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470981"/>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470981"/>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470981"/>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470981"/>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47098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470981"/>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470981"/>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470981"/>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470981"/>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470981"/>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470981"/>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470981"/>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470981"/>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47098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47098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470981"/>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470981"/>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470981"/>
    <w:pPr>
      <w:ind w:left="240" w:hanging="240"/>
    </w:pPr>
  </w:style>
  <w:style w:type="paragraph" w:styleId="TableofFigures">
    <w:name w:val="table of figures"/>
    <w:basedOn w:val="Normal"/>
    <w:next w:val="Normal"/>
    <w:uiPriority w:val="99"/>
    <w:semiHidden/>
    <w:rsid w:val="00470981"/>
  </w:style>
  <w:style w:type="table" w:styleId="TableProfessional">
    <w:name w:val="Table Professional"/>
    <w:basedOn w:val="TableNormal"/>
    <w:uiPriority w:val="99"/>
    <w:semiHidden/>
    <w:rsid w:val="00470981"/>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470981"/>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470981"/>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470981"/>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470981"/>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470981"/>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470981"/>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470981"/>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470981"/>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470981"/>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5251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5251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470981"/>
    <w:pPr>
      <w:spacing w:after="100"/>
      <w:ind w:left="1680"/>
    </w:pPr>
  </w:style>
  <w:style w:type="paragraph" w:styleId="TOC9">
    <w:name w:val="toc 9"/>
    <w:basedOn w:val="Normal"/>
    <w:next w:val="Normal"/>
    <w:autoRedefine/>
    <w:uiPriority w:val="99"/>
    <w:semiHidden/>
    <w:rsid w:val="00470981"/>
    <w:pPr>
      <w:spacing w:after="100"/>
      <w:ind w:left="1920"/>
    </w:pPr>
  </w:style>
  <w:style w:type="paragraph" w:customStyle="1" w:styleId="DecHTitle">
    <w:name w:val="Dec_H_Title"/>
    <w:basedOn w:val="ECHRTitleCentre1"/>
    <w:uiPriority w:val="7"/>
    <w:semiHidden/>
    <w:qFormat/>
    <w:rsid w:val="00745063"/>
  </w:style>
  <w:style w:type="paragraph" w:customStyle="1" w:styleId="JuCourt">
    <w:name w:val="Ju_Court"/>
    <w:basedOn w:val="Normal"/>
    <w:next w:val="Normal"/>
    <w:uiPriority w:val="16"/>
    <w:qFormat/>
    <w:rsid w:val="00745063"/>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semiHidden/>
    <w:qFormat/>
    <w:rsid w:val="00745063"/>
    <w:pPr>
      <w:spacing w:before="240"/>
      <w:ind w:left="284"/>
    </w:pPr>
  </w:style>
  <w:style w:type="paragraph" w:customStyle="1" w:styleId="OpiH1">
    <w:name w:val="Opi_H_1"/>
    <w:basedOn w:val="ECHRHeading2"/>
    <w:uiPriority w:val="42"/>
    <w:qFormat/>
    <w:rsid w:val="00745063"/>
    <w:pPr>
      <w:ind w:left="635" w:hanging="357"/>
      <w:outlineLvl w:val="2"/>
    </w:pPr>
  </w:style>
  <w:style w:type="paragraph" w:customStyle="1" w:styleId="OpiHa0">
    <w:name w:val="Opi_H_a"/>
    <w:basedOn w:val="ECHRHeading3"/>
    <w:uiPriority w:val="43"/>
    <w:qFormat/>
    <w:rsid w:val="00745063"/>
    <w:pPr>
      <w:ind w:left="833" w:hanging="357"/>
      <w:outlineLvl w:val="3"/>
    </w:pPr>
    <w:rPr>
      <w:b/>
      <w:i w:val="0"/>
      <w:sz w:val="20"/>
    </w:rPr>
  </w:style>
  <w:style w:type="paragraph" w:customStyle="1" w:styleId="OpiHi">
    <w:name w:val="Opi_H_i"/>
    <w:basedOn w:val="ECHRHeading4"/>
    <w:uiPriority w:val="44"/>
    <w:qFormat/>
    <w:rsid w:val="00745063"/>
    <w:pPr>
      <w:ind w:left="1037" w:hanging="357"/>
      <w:outlineLvl w:val="4"/>
    </w:pPr>
    <w:rPr>
      <w:b w:val="0"/>
      <w:i/>
    </w:rPr>
  </w:style>
  <w:style w:type="paragraph" w:customStyle="1" w:styleId="DummyStyle">
    <w:name w:val="Dummy_Style"/>
    <w:basedOn w:val="Normal"/>
    <w:semiHidden/>
    <w:qFormat/>
    <w:rsid w:val="00745063"/>
    <w:rPr>
      <w:color w:val="00B050"/>
    </w:rPr>
  </w:style>
  <w:style w:type="character" w:customStyle="1" w:styleId="ECHRParaChar">
    <w:name w:val="ECHR_Para Char"/>
    <w:aliases w:val="Ju_Para Char"/>
    <w:link w:val="ECHRPara"/>
    <w:uiPriority w:val="12"/>
    <w:rsid w:val="004E09EE"/>
    <w:rPr>
      <w:rFonts w:eastAsia="MS Mincho"/>
      <w:sz w:val="24"/>
      <w:lang w:val="bg-BG" w:eastAsia="bg-BG"/>
    </w:rPr>
  </w:style>
  <w:style w:type="paragraph" w:customStyle="1" w:styleId="JuHeaderLandscape">
    <w:name w:val="Ju_Header_Landscape"/>
    <w:basedOn w:val="ECHRHeader"/>
    <w:uiPriority w:val="4"/>
    <w:qFormat/>
    <w:rsid w:val="00745063"/>
    <w:pPr>
      <w:tabs>
        <w:tab w:val="clear" w:pos="3686"/>
        <w:tab w:val="clear" w:pos="7371"/>
        <w:tab w:val="center" w:pos="6146"/>
        <w:tab w:val="right" w:pos="12293"/>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A0021-3508-4653-85EA-F3A72E6E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3872</Words>
  <Characters>22077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2018-03-12T09:59:00Z</dcterms:created>
  <dcterms:modified xsi:type="dcterms:W3CDTF">2018-03-12T09:59:00Z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