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70" w:rsidRPr="004D7FC7" w:rsidRDefault="00CD7E28" w:rsidP="004D7FC7">
      <w:pPr>
        <w:pStyle w:val="DecHTitle"/>
      </w:pPr>
      <w:bookmarkStart w:id="0" w:name="_GoBack"/>
      <w:bookmarkEnd w:id="0"/>
      <w:r>
        <w:t>ПЕТО ОТДЕЛЕНИЕ</w:t>
      </w:r>
    </w:p>
    <w:p w:rsidR="007A4070" w:rsidRPr="004D7FC7" w:rsidRDefault="00CD7E28" w:rsidP="004D7FC7">
      <w:pPr>
        <w:pStyle w:val="JuTitle"/>
      </w:pPr>
      <w:r>
        <w:t>ДЕЛО Я.Т. СРЕЩУ БЪЛГАРИЯ</w:t>
      </w:r>
    </w:p>
    <w:p w:rsidR="007A4070" w:rsidRPr="004D7FC7" w:rsidRDefault="00CD7E28" w:rsidP="004D7FC7">
      <w:pPr>
        <w:pStyle w:val="ECHRCoverTitle4"/>
      </w:pPr>
      <w:r>
        <w:t>(Жалба № 41701/16)</w:t>
      </w:r>
    </w:p>
    <w:p w:rsidR="007A4070" w:rsidRPr="004D7FC7" w:rsidRDefault="007A4070" w:rsidP="004D7FC7">
      <w:pPr>
        <w:pStyle w:val="DecHCase"/>
      </w:pPr>
    </w:p>
    <w:p w:rsidR="007A4070" w:rsidRPr="004D7FC7" w:rsidRDefault="007A4070" w:rsidP="004D7FC7">
      <w:pPr>
        <w:pStyle w:val="DecHCase"/>
      </w:pPr>
    </w:p>
    <w:p w:rsidR="007A4070" w:rsidRPr="004D7FC7" w:rsidRDefault="00CD7E28" w:rsidP="004D7FC7">
      <w:pPr>
        <w:pStyle w:val="DecHCase"/>
        <w:rPr>
          <w:i/>
        </w:rPr>
      </w:pPr>
      <w:r>
        <w:t>РЕШЕНИЕ</w:t>
      </w:r>
      <w:r>
        <w:br/>
      </w:r>
      <w:bookmarkStart w:id="1" w:name="JUDTYPE"/>
      <w:r>
        <w:rPr>
          <w:i/>
        </w:rPr>
        <w:t>(Преразглеждане)</w:t>
      </w:r>
      <w:bookmarkEnd w:id="1"/>
    </w:p>
    <w:p w:rsidR="00C91581" w:rsidRPr="004D7FC7" w:rsidRDefault="00C91581" w:rsidP="004D7FC7">
      <w:pPr>
        <w:pStyle w:val="JuPara"/>
        <w:jc w:val="center"/>
      </w:pPr>
    </w:p>
    <w:p w:rsidR="00C91581" w:rsidRPr="004D7FC7" w:rsidRDefault="00CD7E28" w:rsidP="004D7FC7">
      <w:pPr>
        <w:pStyle w:val="JuPara"/>
        <w:pBdr>
          <w:top w:val="single" w:sz="4" w:space="1" w:color="auto"/>
          <w:left w:val="single" w:sz="4" w:space="4" w:color="auto"/>
          <w:bottom w:val="single" w:sz="4" w:space="1" w:color="auto"/>
          <w:right w:val="single" w:sz="4" w:space="4" w:color="auto"/>
        </w:pBdr>
        <w:ind w:firstLine="0"/>
        <w:rPr>
          <w:spacing w:val="-2"/>
        </w:rPr>
      </w:pPr>
      <w:r>
        <w:t xml:space="preserve">Чл. 35, ал. 3, буква а) • Злоупотреба с правото на жалба • </w:t>
      </w:r>
      <w:r w:rsidR="00A93B76">
        <w:t>Жалбоподателят</w:t>
      </w:r>
      <w:r>
        <w:t xml:space="preserve"> съзнателно не е уведомил Европейския съд за съществуването на нова ситуация, без да обясни липсата на съобщаване на съответната информация • Признаване на </w:t>
      </w:r>
      <w:r w:rsidR="00A93B76">
        <w:t>промяната</w:t>
      </w:r>
      <w:r>
        <w:t xml:space="preserve"> на</w:t>
      </w:r>
      <w:r w:rsidR="00A93B76">
        <w:t xml:space="preserve"> неговия пол</w:t>
      </w:r>
      <w:r>
        <w:t xml:space="preserve"> си със съдебно решение, </w:t>
      </w:r>
      <w:r w:rsidR="00A93B76">
        <w:t>постановено във втора национална процедура, което е довело</w:t>
      </w:r>
      <w:r>
        <w:t xml:space="preserve"> до промяна на личните данни на жалбоподателя в регистри</w:t>
      </w:r>
      <w:r w:rsidR="00A93B76">
        <w:t>те за гражданско състояние</w:t>
      </w:r>
      <w:r>
        <w:t xml:space="preserve"> • Недопустимост на </w:t>
      </w:r>
      <w:r w:rsidR="00A93B76">
        <w:t>жалбата</w:t>
      </w:r>
      <w:r>
        <w:t xml:space="preserve">, която не засяга задълженията </w:t>
      </w:r>
      <w:r w:rsidR="00A93B76">
        <w:t xml:space="preserve">възложени </w:t>
      </w:r>
      <w:r>
        <w:t>на държавата</w:t>
      </w:r>
      <w:r w:rsidR="00A93B76">
        <w:t xml:space="preserve"> -</w:t>
      </w:r>
      <w:r>
        <w:t xml:space="preserve"> ответник по чл. 8 по отношение на правното признаване на </w:t>
      </w:r>
      <w:r w:rsidR="00A93B76">
        <w:t>промяната</w:t>
      </w:r>
      <w:r>
        <w:t xml:space="preserve"> на пола</w:t>
      </w:r>
    </w:p>
    <w:p w:rsidR="00C91581" w:rsidRPr="004D7FC7" w:rsidRDefault="00C91581" w:rsidP="004D7FC7">
      <w:pPr>
        <w:pStyle w:val="JuPara"/>
        <w:pBdr>
          <w:top w:val="single" w:sz="4" w:space="1" w:color="auto"/>
          <w:left w:val="single" w:sz="4" w:space="4" w:color="auto"/>
          <w:bottom w:val="single" w:sz="4" w:space="1" w:color="auto"/>
          <w:right w:val="single" w:sz="4" w:space="4" w:color="auto"/>
        </w:pBdr>
        <w:ind w:firstLine="0"/>
      </w:pPr>
    </w:p>
    <w:p w:rsidR="00C91581" w:rsidRPr="004D7FC7" w:rsidRDefault="00CD7E28" w:rsidP="004D7FC7">
      <w:pPr>
        <w:pStyle w:val="JuPara"/>
        <w:pBdr>
          <w:top w:val="single" w:sz="4" w:space="1" w:color="auto"/>
          <w:left w:val="single" w:sz="4" w:space="4" w:color="auto"/>
          <w:bottom w:val="single" w:sz="4" w:space="1" w:color="auto"/>
          <w:right w:val="single" w:sz="4" w:space="4" w:color="auto"/>
        </w:pBdr>
        <w:ind w:firstLine="0"/>
        <w:jc w:val="center"/>
      </w:pPr>
      <w:r>
        <w:rPr>
          <w:rFonts w:ascii="Times New Roman" w:hAnsi="Times New Roman"/>
          <w:color w:val="000000"/>
          <w:sz w:val="20"/>
        </w:rPr>
        <w:t>Изготвено от Регистъра. Не обвързва съда.</w:t>
      </w:r>
    </w:p>
    <w:p w:rsidR="007A4070" w:rsidRPr="004D7FC7" w:rsidRDefault="00CD7E28" w:rsidP="004D7FC7">
      <w:pPr>
        <w:pStyle w:val="DecHCase"/>
      </w:pPr>
      <w:r>
        <w:t>СТРАСБУРГ</w:t>
      </w:r>
    </w:p>
    <w:p w:rsidR="007A4070" w:rsidRPr="004D7FC7" w:rsidRDefault="00CD7E28" w:rsidP="004D7FC7">
      <w:pPr>
        <w:pStyle w:val="DecHCase"/>
      </w:pPr>
      <w:r>
        <w:t>4 юли 2024 г.</w:t>
      </w:r>
    </w:p>
    <w:p w:rsidR="007A4070" w:rsidRPr="004D7FC7" w:rsidRDefault="007A4070" w:rsidP="004D7FC7">
      <w:pPr>
        <w:pStyle w:val="DecHCase"/>
      </w:pPr>
    </w:p>
    <w:p w:rsidR="00516B59" w:rsidRPr="004D7FC7" w:rsidRDefault="00CD7E28" w:rsidP="004D7FC7">
      <w:pPr>
        <w:rPr>
          <w:rFonts w:ascii="Times New Roman" w:hAnsi="Times New Roman" w:cs="Times New Roman"/>
          <w:i/>
          <w:sz w:val="22"/>
        </w:rPr>
      </w:pPr>
      <w:r>
        <w:rPr>
          <w:i/>
          <w:sz w:val="22"/>
        </w:rPr>
        <w:t>Това решение ще стане окончателно при условията на чл. 44 § 2 от Конвенцията. Може да бъде предмет на редакционни промени.</w:t>
      </w:r>
    </w:p>
    <w:p w:rsidR="00516B59" w:rsidRPr="004D7FC7" w:rsidRDefault="00516B59" w:rsidP="004D7FC7">
      <w:pPr>
        <w:ind w:left="720"/>
        <w:rPr>
          <w:rFonts w:ascii="Times New Roman" w:hAnsi="Times New Roman" w:cs="Times New Roman"/>
          <w:sz w:val="22"/>
        </w:rPr>
        <w:sectPr w:rsidR="00516B59" w:rsidRPr="004D7FC7" w:rsidSect="00902601">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4344E6" w:rsidRPr="004D7FC7" w:rsidRDefault="00CD7E28" w:rsidP="004D7FC7">
      <w:pPr>
        <w:pStyle w:val="JuCase"/>
      </w:pPr>
      <w:r>
        <w:lastRenderedPageBreak/>
        <w:t>По делото Я.Т. срещу България (молба за преразглеждане на решението от 9-ти юли 2020 г.),</w:t>
      </w:r>
    </w:p>
    <w:p w:rsidR="004344E6" w:rsidRPr="004D7FC7" w:rsidRDefault="00CD7E28" w:rsidP="004D7FC7">
      <w:pPr>
        <w:pStyle w:val="JuPara"/>
      </w:pPr>
      <w:r>
        <w:t>Европейският съд по правата на човека (пето отделение) заседаващ в състав, състоящ се от:</w:t>
      </w:r>
    </w:p>
    <w:p w:rsidR="004344E6" w:rsidRPr="004D7FC7" w:rsidRDefault="00CD7E28" w:rsidP="004D7FC7">
      <w:pPr>
        <w:pStyle w:val="JuJudges"/>
      </w:pPr>
      <w:r>
        <w:tab/>
      </w:r>
      <w:proofErr w:type="spellStart"/>
      <w:r>
        <w:t>Síofra</w:t>
      </w:r>
      <w:proofErr w:type="spellEnd"/>
      <w:r>
        <w:t xml:space="preserve"> </w:t>
      </w:r>
      <w:proofErr w:type="spellStart"/>
      <w:r>
        <w:t>O’Leary</w:t>
      </w:r>
      <w:proofErr w:type="spellEnd"/>
      <w:r>
        <w:rPr>
          <w:i/>
        </w:rPr>
        <w:t>, председател</w:t>
      </w:r>
      <w:r>
        <w:t>,</w:t>
      </w:r>
      <w:r>
        <w:br/>
      </w:r>
      <w:r>
        <w:tab/>
      </w:r>
      <w:proofErr w:type="spellStart"/>
      <w:r>
        <w:t>Mārtiņš</w:t>
      </w:r>
      <w:proofErr w:type="spellEnd"/>
      <w:r>
        <w:t xml:space="preserve"> </w:t>
      </w:r>
      <w:proofErr w:type="spellStart"/>
      <w:r>
        <w:t>Mits</w:t>
      </w:r>
      <w:proofErr w:type="spellEnd"/>
      <w:r>
        <w:t>,</w:t>
      </w:r>
      <w:r>
        <w:br/>
      </w:r>
      <w:r>
        <w:tab/>
      </w:r>
      <w:proofErr w:type="spellStart"/>
      <w:r>
        <w:t>Lətif</w:t>
      </w:r>
      <w:proofErr w:type="spellEnd"/>
      <w:r>
        <w:t xml:space="preserve"> </w:t>
      </w:r>
      <w:proofErr w:type="spellStart"/>
      <w:r>
        <w:t>Hüseynov</w:t>
      </w:r>
      <w:proofErr w:type="spellEnd"/>
      <w:r>
        <w:t>,</w:t>
      </w:r>
      <w:r>
        <w:br/>
      </w:r>
      <w:r>
        <w:tab/>
      </w:r>
      <w:proofErr w:type="spellStart"/>
      <w:r>
        <w:t>Lado</w:t>
      </w:r>
      <w:proofErr w:type="spellEnd"/>
      <w:r>
        <w:t xml:space="preserve"> </w:t>
      </w:r>
      <w:proofErr w:type="spellStart"/>
      <w:r>
        <w:t>Chanturia</w:t>
      </w:r>
      <w:proofErr w:type="spellEnd"/>
      <w:r>
        <w:t>,</w:t>
      </w:r>
      <w:r>
        <w:br/>
      </w:r>
      <w:r>
        <w:tab/>
      </w:r>
      <w:proofErr w:type="spellStart"/>
      <w:r>
        <w:t>María</w:t>
      </w:r>
      <w:proofErr w:type="spellEnd"/>
      <w:r>
        <w:t xml:space="preserve"> </w:t>
      </w:r>
      <w:proofErr w:type="spellStart"/>
      <w:r>
        <w:t>Elósegui</w:t>
      </w:r>
      <w:proofErr w:type="spellEnd"/>
      <w:r>
        <w:t>,</w:t>
      </w:r>
      <w:r>
        <w:br/>
      </w:r>
      <w:r>
        <w:tab/>
      </w:r>
      <w:proofErr w:type="spellStart"/>
      <w:r>
        <w:t>Kateřina</w:t>
      </w:r>
      <w:proofErr w:type="spellEnd"/>
      <w:r>
        <w:t xml:space="preserve"> </w:t>
      </w:r>
      <w:proofErr w:type="spellStart"/>
      <w:r>
        <w:t>Šimáčková</w:t>
      </w:r>
      <w:proofErr w:type="spellEnd"/>
      <w:r>
        <w:rPr>
          <w:i/>
        </w:rPr>
        <w:t>, съдии</w:t>
      </w:r>
      <w:r>
        <w:t>,</w:t>
      </w:r>
      <w:r>
        <w:br/>
      </w:r>
      <w:r>
        <w:tab/>
        <w:t>Мира Райчева</w:t>
      </w:r>
      <w:r>
        <w:rPr>
          <w:i/>
        </w:rPr>
        <w:t xml:space="preserve">, съдия </w:t>
      </w:r>
      <w:proofErr w:type="spellStart"/>
      <w:r>
        <w:t>ad</w:t>
      </w:r>
      <w:proofErr w:type="spellEnd"/>
      <w:r>
        <w:t xml:space="preserve"> </w:t>
      </w:r>
      <w:proofErr w:type="spellStart"/>
      <w:r>
        <w:t>hoc</w:t>
      </w:r>
      <w:proofErr w:type="spellEnd"/>
      <w:r>
        <w:t>,</w:t>
      </w:r>
      <w:r>
        <w:br/>
        <w:t xml:space="preserve">и Виктор </w:t>
      </w:r>
      <w:proofErr w:type="spellStart"/>
      <w:r>
        <w:t>Соловейчик</w:t>
      </w:r>
      <w:proofErr w:type="spellEnd"/>
      <w:r>
        <w:t xml:space="preserve">, </w:t>
      </w:r>
      <w:r>
        <w:rPr>
          <w:i/>
          <w:iCs/>
        </w:rPr>
        <w:t>секретар на отделението</w:t>
      </w:r>
      <w:r>
        <w:t>,</w:t>
      </w:r>
    </w:p>
    <w:p w:rsidR="004344E6" w:rsidRPr="004D7FC7" w:rsidRDefault="00CD7E28" w:rsidP="004D7FC7">
      <w:pPr>
        <w:pStyle w:val="JuPara"/>
      </w:pPr>
      <w:bookmarkStart w:id="2" w:name="ITMARKHavingStart"/>
      <w:bookmarkEnd w:id="2"/>
      <w:r>
        <w:t>След разисквания в закрито заседание на 04 юни 2024 г.</w:t>
      </w:r>
    </w:p>
    <w:p w:rsidR="00876F03" w:rsidRPr="004D7FC7" w:rsidRDefault="00CD7E28" w:rsidP="004D7FC7">
      <w:pPr>
        <w:pStyle w:val="JuPara"/>
      </w:pPr>
      <w:r>
        <w:t>Постановява следното решение, прието на същата дата:</w:t>
      </w:r>
    </w:p>
    <w:p w:rsidR="009669EA" w:rsidRPr="004D7FC7" w:rsidRDefault="00CD7E28" w:rsidP="004D7FC7">
      <w:pPr>
        <w:pStyle w:val="JuHHead"/>
      </w:pPr>
      <w:r>
        <w:t>ПРОИЗВОДСТВО</w:t>
      </w:r>
    </w:p>
    <w:p w:rsidR="009669EA" w:rsidRPr="004D7FC7" w:rsidRDefault="004D7FC7" w:rsidP="004D7FC7">
      <w:pPr>
        <w:pStyle w:val="JuPara"/>
      </w:pPr>
      <w:r>
        <w:t xml:space="preserve">1.  В основата на настоящото искане за преразглеждане е жалба (№ 41701/16) срещу Република България, </w:t>
      </w:r>
      <w:r w:rsidR="00A93B76">
        <w:t>в която</w:t>
      </w:r>
      <w:r>
        <w:t xml:space="preserve"> граждани</w:t>
      </w:r>
      <w:r w:rsidR="00A93B76">
        <w:t>н на тази държава</w:t>
      </w:r>
      <w:r>
        <w:t>, г-н Я.Т. („Жалбопода</w:t>
      </w:r>
      <w:r w:rsidR="00A93B76">
        <w:t>телят“), е сезирал Съда на 12</w:t>
      </w:r>
      <w:r>
        <w:t xml:space="preserve"> юли 2016 г. съгласно член 34 от Конвенцията за защита на правата на човека и основните свободи („Конвенцията“).</w:t>
      </w:r>
    </w:p>
    <w:p w:rsidR="009669EA" w:rsidRPr="004D7FC7" w:rsidRDefault="00CD7E28" w:rsidP="004D7FC7">
      <w:pPr>
        <w:pStyle w:val="JuPara"/>
      </w:pPr>
      <w:r>
        <w:t xml:space="preserve">2.  Председателят на отделението, на което е възложено делото, </w:t>
      </w:r>
      <w:r w:rsidR="00A93B76">
        <w:t xml:space="preserve">е </w:t>
      </w:r>
      <w:r>
        <w:t>уважи</w:t>
      </w:r>
      <w:r w:rsidR="00A93B76">
        <w:t>л</w:t>
      </w:r>
      <w:r>
        <w:t xml:space="preserve"> искането на жалбоподателя за </w:t>
      </w:r>
      <w:proofErr w:type="spellStart"/>
      <w:r>
        <w:t>неразкриване</w:t>
      </w:r>
      <w:proofErr w:type="spellEnd"/>
      <w:r>
        <w:t xml:space="preserve"> на самоличността му (член 47, § 4 от правилника).</w:t>
      </w:r>
    </w:p>
    <w:p w:rsidR="00F234E6" w:rsidRDefault="004D7FC7" w:rsidP="00F234E6">
      <w:pPr>
        <w:pStyle w:val="JuPara"/>
      </w:pPr>
      <w:bookmarkStart w:id="3" w:name="Para3"/>
      <w:r>
        <w:t>3</w:t>
      </w:r>
      <w:bookmarkEnd w:id="3"/>
      <w:r>
        <w:t>.  На 15-ти декември 2016 г. председателят на отделението</w:t>
      </w:r>
      <w:r w:rsidR="00A93B76">
        <w:t xml:space="preserve"> реши</w:t>
      </w:r>
      <w:r w:rsidR="004F617A">
        <w:t>, в съответствие с член 54</w:t>
      </w:r>
      <w:r>
        <w:t xml:space="preserve"> § 2, буква б) от Правилника на Съда, </w:t>
      </w:r>
      <w:r w:rsidR="00A93B76">
        <w:t>да</w:t>
      </w:r>
      <w:r>
        <w:t xml:space="preserve"> ув</w:t>
      </w:r>
      <w:r w:rsidR="00A93B76">
        <w:t>едоми</w:t>
      </w:r>
      <w:r>
        <w:t xml:space="preserve"> българското правителство за жалбата. П</w:t>
      </w:r>
      <w:r w:rsidR="00F234E6">
        <w:t>равителството</w:t>
      </w:r>
      <w:r>
        <w:t xml:space="preserve"> е представило </w:t>
      </w:r>
      <w:r w:rsidR="00F234E6">
        <w:t>становището</w:t>
      </w:r>
      <w:r>
        <w:t xml:space="preserve"> си по допустимостта и основателността на жалб</w:t>
      </w:r>
      <w:r w:rsidR="00F234E6">
        <w:t>ата на 11</w:t>
      </w:r>
      <w:r>
        <w:t xml:space="preserve"> април 2017 г. Жалбоподателят е</w:t>
      </w:r>
      <w:r w:rsidR="00A93B76">
        <w:t xml:space="preserve"> </w:t>
      </w:r>
      <w:r w:rsidR="00F234E6">
        <w:t>представил своя отговор на 24</w:t>
      </w:r>
      <w:r w:rsidR="00A93B76">
        <w:t xml:space="preserve"> юли 2017 г.,</w:t>
      </w:r>
      <w:r>
        <w:t xml:space="preserve"> датата, на която е подал </w:t>
      </w:r>
      <w:r w:rsidR="00F234E6">
        <w:t>и претенциите</w:t>
      </w:r>
      <w:r>
        <w:t xml:space="preserve"> си за справедливо обезщетение.</w:t>
      </w:r>
    </w:p>
    <w:p w:rsidR="009669EA" w:rsidRDefault="00CD7E28" w:rsidP="00F234E6">
      <w:pPr>
        <w:pStyle w:val="JuPara"/>
      </w:pPr>
      <w:r>
        <w:t xml:space="preserve">4.  Преди </w:t>
      </w:r>
      <w:r w:rsidR="00F234E6" w:rsidRPr="00F234E6">
        <w:t>жалбата да бъде съобщена</w:t>
      </w:r>
      <w:r w:rsidR="00F234E6">
        <w:t xml:space="preserve"> на Правителството</w:t>
      </w:r>
      <w:r>
        <w:t xml:space="preserve">, на 17 ноември 2016 г. съдия Йонко Грозев, избран за </w:t>
      </w:r>
      <w:r w:rsidR="00F234E6">
        <w:t>български съдия в ЕСПЧ</w:t>
      </w:r>
      <w:r>
        <w:t xml:space="preserve"> </w:t>
      </w:r>
      <w:r w:rsidR="00F234E6">
        <w:t>към съответният момент</w:t>
      </w:r>
      <w:r>
        <w:t xml:space="preserve">, се е оттеглил от разглеждането на делото (член 28, § 3 от Правилника за дейността на Съда). На 18 май 2020 г. председателят на състава </w:t>
      </w:r>
      <w:r w:rsidR="00F234E6">
        <w:t>определи</w:t>
      </w:r>
      <w:r>
        <w:t xml:space="preserve"> г-жа Мира Райчева </w:t>
      </w:r>
      <w:r w:rsidR="00F234E6">
        <w:t>да заседава</w:t>
      </w:r>
      <w:r>
        <w:t xml:space="preserve"> на негово място като </w:t>
      </w:r>
      <w:proofErr w:type="spellStart"/>
      <w:r>
        <w:rPr>
          <w:i/>
        </w:rPr>
        <w:t>ad</w:t>
      </w:r>
      <w:proofErr w:type="spellEnd"/>
      <w:r>
        <w:rPr>
          <w:i/>
        </w:rPr>
        <w:t xml:space="preserve"> </w:t>
      </w:r>
      <w:proofErr w:type="spellStart"/>
      <w:r>
        <w:rPr>
          <w:i/>
        </w:rPr>
        <w:t>hoc</w:t>
      </w:r>
      <w:proofErr w:type="spellEnd"/>
      <w:r w:rsidR="004F617A">
        <w:t xml:space="preserve"> съдия (член 26</w:t>
      </w:r>
      <w:r>
        <w:t xml:space="preserve"> § 4 от Конвенцията и член 29, § 1, буква а) от Правилника за дейността на Съда).</w:t>
      </w:r>
    </w:p>
    <w:p w:rsidR="009669EA" w:rsidRDefault="00CD7E28" w:rsidP="004D7FC7">
      <w:pPr>
        <w:pStyle w:val="JuPara"/>
      </w:pPr>
      <w:r>
        <w:t xml:space="preserve">5.  С решение от </w:t>
      </w:r>
      <w:r>
        <w:rPr>
          <w:rFonts w:ascii="Times New (W1)" w:hAnsi="Times New (W1)"/>
        </w:rPr>
        <w:t>9 юли 2020 г</w:t>
      </w:r>
      <w:r w:rsidR="00F234E6">
        <w:t>. Съдът (пета</w:t>
      </w:r>
      <w:r>
        <w:t xml:space="preserve"> </w:t>
      </w:r>
      <w:r w:rsidR="00F234E6">
        <w:t>секция</w:t>
      </w:r>
      <w:r>
        <w:t>) постанов</w:t>
      </w:r>
      <w:r w:rsidR="00F234E6">
        <w:t>и</w:t>
      </w:r>
      <w:r>
        <w:t xml:space="preserve">, че е налице нарушение на член 8 от Конвенцията, тъй като националните власти са отказали през 2016 г. </w:t>
      </w:r>
      <w:r w:rsidR="00F234E6" w:rsidRPr="00F234E6">
        <w:t xml:space="preserve">да признаят законно </w:t>
      </w:r>
      <w:r w:rsidR="00F234E6">
        <w:t>промяната</w:t>
      </w:r>
      <w:r>
        <w:t xml:space="preserve"> на пола на жалбоподателя, отхвърляйки </w:t>
      </w:r>
      <w:r w:rsidR="00F234E6">
        <w:t xml:space="preserve">неговата </w:t>
      </w:r>
      <w:r>
        <w:t xml:space="preserve">молба </w:t>
      </w:r>
      <w:r w:rsidR="00F234E6">
        <w:t>за това</w:t>
      </w:r>
      <w:r>
        <w:t xml:space="preserve">, подадена през 2015 г., без да </w:t>
      </w:r>
      <w:r w:rsidR="00F234E6">
        <w:t>мотивират достатъчно и подходящо</w:t>
      </w:r>
      <w:r>
        <w:t xml:space="preserve"> </w:t>
      </w:r>
      <w:r w:rsidR="00F234E6">
        <w:t>този</w:t>
      </w:r>
      <w:r>
        <w:t xml:space="preserve"> отказ. Съдът </w:t>
      </w:r>
      <w:r w:rsidR="00F234E6">
        <w:lastRenderedPageBreak/>
        <w:t>също така реши</w:t>
      </w:r>
      <w:r>
        <w:t xml:space="preserve"> да присъди на жалбоподателя 7500 евро (EUR) за неимуществени вреди и 4150 EUR за разходи и разноски</w:t>
      </w:r>
      <w:r w:rsidR="00F234E6">
        <w:t>, като</w:t>
      </w:r>
      <w:r>
        <w:t xml:space="preserve"> </w:t>
      </w:r>
      <w:r w:rsidR="00F234E6">
        <w:t>отхвърли</w:t>
      </w:r>
      <w:r>
        <w:t xml:space="preserve"> </w:t>
      </w:r>
      <w:r w:rsidR="00F234E6">
        <w:t>претенциите</w:t>
      </w:r>
      <w:r>
        <w:t xml:space="preserve"> за справедливо обезщетение за останалата част.</w:t>
      </w:r>
    </w:p>
    <w:p w:rsidR="009669EA" w:rsidRPr="004D7FC7" w:rsidRDefault="004D7FC7" w:rsidP="004D7FC7">
      <w:pPr>
        <w:pStyle w:val="JuPara"/>
        <w:rPr>
          <w:snapToGrid w:val="0"/>
        </w:rPr>
      </w:pPr>
      <w:r>
        <w:t>6.  </w:t>
      </w:r>
      <w:r w:rsidR="00F234E6">
        <w:rPr>
          <w:snapToGrid w:val="0"/>
        </w:rPr>
        <w:t>На 29</w:t>
      </w:r>
      <w:r w:rsidR="004F617A">
        <w:rPr>
          <w:snapToGrid w:val="0"/>
        </w:rPr>
        <w:t xml:space="preserve"> декември 2023 г. П</w:t>
      </w:r>
      <w:r>
        <w:rPr>
          <w:snapToGrid w:val="0"/>
        </w:rPr>
        <w:t>равителството, позовав</w:t>
      </w:r>
      <w:r w:rsidR="004F617A">
        <w:rPr>
          <w:snapToGrid w:val="0"/>
        </w:rPr>
        <w:t>айки се на член 80</w:t>
      </w:r>
      <w:r>
        <w:rPr>
          <w:snapToGrid w:val="0"/>
        </w:rPr>
        <w:t xml:space="preserve"> § </w:t>
      </w:r>
      <w:r w:rsidR="004F617A">
        <w:rPr>
          <w:snapToGrid w:val="0"/>
        </w:rPr>
        <w:t>1 от Правилника на Съда, отправи</w:t>
      </w:r>
      <w:r>
        <w:rPr>
          <w:snapToGrid w:val="0"/>
        </w:rPr>
        <w:t xml:space="preserve"> искане за преразглеждане на </w:t>
      </w:r>
      <w:r w:rsidR="004F617A">
        <w:rPr>
          <w:snapToGrid w:val="0"/>
        </w:rPr>
        <w:t>това</w:t>
      </w:r>
      <w:r>
        <w:rPr>
          <w:snapToGrid w:val="0"/>
        </w:rPr>
        <w:t xml:space="preserve"> решение по причини, </w:t>
      </w:r>
      <w:r w:rsidR="004F617A">
        <w:rPr>
          <w:snapToGrid w:val="0"/>
        </w:rPr>
        <w:t>изложени</w:t>
      </w:r>
      <w:r>
        <w:rPr>
          <w:snapToGrid w:val="0"/>
        </w:rPr>
        <w:t xml:space="preserve"> по-долу (</w:t>
      </w:r>
      <w:r w:rsidR="004F617A">
        <w:t>параграфи 10 – 14 по-долу</w:t>
      </w:r>
      <w:r>
        <w:rPr>
          <w:snapToGrid w:val="0"/>
        </w:rPr>
        <w:t>).</w:t>
      </w:r>
    </w:p>
    <w:p w:rsidR="009669EA" w:rsidRDefault="004F617A" w:rsidP="004D7FC7">
      <w:pPr>
        <w:pStyle w:val="JuPara"/>
      </w:pPr>
      <w:r>
        <w:t xml:space="preserve">7.  На 9 </w:t>
      </w:r>
      <w:r w:rsidR="004D7FC7">
        <w:t>януари 2024 г.</w:t>
      </w:r>
      <w:r>
        <w:t>, въз основа на член 80</w:t>
      </w:r>
      <w:r w:rsidR="004D7FC7">
        <w:t xml:space="preserve"> § 4 от Правилника</w:t>
      </w:r>
      <w:r>
        <w:t xml:space="preserve"> на Съда,</w:t>
      </w:r>
      <w:r w:rsidR="004D7FC7">
        <w:t xml:space="preserve"> искането за преразглеждане е изпратено на жалбоподателя, к</w:t>
      </w:r>
      <w:r>
        <w:t>ойто</w:t>
      </w:r>
      <w:r w:rsidR="004D7FC7">
        <w:t xml:space="preserve"> е поканен да представи </w:t>
      </w:r>
      <w:r>
        <w:t>своето становище</w:t>
      </w:r>
      <w:r w:rsidR="004D7FC7">
        <w:t xml:space="preserve"> в рамките на четири с</w:t>
      </w:r>
      <w:r>
        <w:t>едмици. Жалбоподателят представя</w:t>
      </w:r>
      <w:r w:rsidR="004D7FC7">
        <w:t xml:space="preserve"> сво</w:t>
      </w:r>
      <w:r>
        <w:t>ето становище пред Съда на 3</w:t>
      </w:r>
      <w:r w:rsidR="004D7FC7">
        <w:t> февруари 2024 г.</w:t>
      </w:r>
    </w:p>
    <w:p w:rsidR="009669EA" w:rsidRPr="004D7FC7" w:rsidRDefault="004F617A" w:rsidP="004D7FC7">
      <w:pPr>
        <w:pStyle w:val="JuPara"/>
      </w:pPr>
      <w:r>
        <w:t>8.  С писмо от 7 февруари 2024 г. Съдът покани П</w:t>
      </w:r>
      <w:r w:rsidR="00CD7E28">
        <w:t>равителството да представ</w:t>
      </w:r>
      <w:r>
        <w:t>и в отговор своето становище</w:t>
      </w:r>
      <w:r w:rsidR="00CD7E28">
        <w:t xml:space="preserve">. Правителството </w:t>
      </w:r>
      <w:r>
        <w:t>представя</w:t>
      </w:r>
      <w:r w:rsidR="00CD7E28">
        <w:t xml:space="preserve"> сво</w:t>
      </w:r>
      <w:r>
        <w:t>ето становище на 27</w:t>
      </w:r>
      <w:r w:rsidR="00CD7E28">
        <w:t xml:space="preserve"> февруари 2024 г.</w:t>
      </w:r>
    </w:p>
    <w:p w:rsidR="009669EA" w:rsidRDefault="00CD7E28" w:rsidP="004D7FC7">
      <w:pPr>
        <w:pStyle w:val="JuPara"/>
      </w:pPr>
      <w:r>
        <w:t>9.  </w:t>
      </w:r>
      <w:r w:rsidR="004F617A">
        <w:t xml:space="preserve">Състав на </w:t>
      </w:r>
      <w:r>
        <w:t xml:space="preserve">Пето отделение, в съответствие с изискванията на член 80 § 3 от Правилника на Съда и състоящ се от съдии </w:t>
      </w:r>
      <w:proofErr w:type="spellStart"/>
      <w:r>
        <w:t>О'Лиъри</w:t>
      </w:r>
      <w:proofErr w:type="spellEnd"/>
      <w:r>
        <w:t xml:space="preserve"> (</w:t>
      </w:r>
      <w:proofErr w:type="spellStart"/>
      <w:r>
        <w:t>O’Leary</w:t>
      </w:r>
      <w:proofErr w:type="spellEnd"/>
      <w:r>
        <w:t xml:space="preserve">), </w:t>
      </w:r>
      <w:proofErr w:type="spellStart"/>
      <w:r>
        <w:t>Митс</w:t>
      </w:r>
      <w:proofErr w:type="spellEnd"/>
      <w:r>
        <w:t xml:space="preserve"> (</w:t>
      </w:r>
      <w:proofErr w:type="spellStart"/>
      <w:r>
        <w:t>Mits</w:t>
      </w:r>
      <w:proofErr w:type="spellEnd"/>
      <w:r>
        <w:t>), Хюсеинов (</w:t>
      </w:r>
      <w:proofErr w:type="spellStart"/>
      <w:r>
        <w:t>Hüseynov</w:t>
      </w:r>
      <w:proofErr w:type="spellEnd"/>
      <w:r>
        <w:t xml:space="preserve">), </w:t>
      </w:r>
      <w:proofErr w:type="spellStart"/>
      <w:r>
        <w:t>Чантурия</w:t>
      </w:r>
      <w:proofErr w:type="spellEnd"/>
      <w:r>
        <w:t xml:space="preserve"> (</w:t>
      </w:r>
      <w:proofErr w:type="spellStart"/>
      <w:r>
        <w:t>Chanturia</w:t>
      </w:r>
      <w:proofErr w:type="spellEnd"/>
      <w:r>
        <w:t xml:space="preserve">), </w:t>
      </w:r>
      <w:proofErr w:type="spellStart"/>
      <w:r>
        <w:t>Елосеги</w:t>
      </w:r>
      <w:proofErr w:type="spellEnd"/>
      <w:r>
        <w:t xml:space="preserve"> (</w:t>
      </w:r>
      <w:proofErr w:type="spellStart"/>
      <w:r>
        <w:t>Elósegui</w:t>
      </w:r>
      <w:proofErr w:type="spellEnd"/>
      <w:r>
        <w:t xml:space="preserve">), </w:t>
      </w:r>
      <w:proofErr w:type="spellStart"/>
      <w:r>
        <w:t>Шимачкова</w:t>
      </w:r>
      <w:proofErr w:type="spellEnd"/>
      <w:r>
        <w:t xml:space="preserve"> (</w:t>
      </w:r>
      <w:proofErr w:type="spellStart"/>
      <w:r>
        <w:t>Šimáčková</w:t>
      </w:r>
      <w:proofErr w:type="spellEnd"/>
      <w:r>
        <w:t>)</w:t>
      </w:r>
      <w:r>
        <w:rPr>
          <w:i/>
        </w:rPr>
        <w:t xml:space="preserve">, </w:t>
      </w:r>
      <w:r>
        <w:t xml:space="preserve">както и съдия </w:t>
      </w:r>
      <w:proofErr w:type="spellStart"/>
      <w:r>
        <w:rPr>
          <w:i/>
        </w:rPr>
        <w:t>ad</w:t>
      </w:r>
      <w:proofErr w:type="spellEnd"/>
      <w:r>
        <w:rPr>
          <w:i/>
        </w:rPr>
        <w:t xml:space="preserve"> </w:t>
      </w:r>
      <w:proofErr w:type="spellStart"/>
      <w:r>
        <w:rPr>
          <w:i/>
        </w:rPr>
        <w:t>hoc</w:t>
      </w:r>
      <w:proofErr w:type="spellEnd"/>
      <w:r>
        <w:rPr>
          <w:i/>
        </w:rPr>
        <w:t xml:space="preserve"> </w:t>
      </w:r>
      <w:r>
        <w:t xml:space="preserve">Райчева, разгледа </w:t>
      </w:r>
      <w:r w:rsidR="004F617A">
        <w:t>искането</w:t>
      </w:r>
      <w:r>
        <w:t xml:space="preserve"> за преразглеждане.</w:t>
      </w:r>
    </w:p>
    <w:p w:rsidR="009669EA" w:rsidRPr="004D7FC7" w:rsidRDefault="00CD7E28" w:rsidP="004D7FC7">
      <w:pPr>
        <w:pStyle w:val="JuHHead"/>
      </w:pPr>
      <w:r>
        <w:t>ОТ ПРАВНА СТРАНА</w:t>
      </w:r>
    </w:p>
    <w:p w:rsidR="009669EA" w:rsidRPr="004D7FC7" w:rsidRDefault="000C40FA" w:rsidP="004D7FC7">
      <w:pPr>
        <w:pStyle w:val="JuHIRoman"/>
      </w:pPr>
      <w:r>
        <w:t>СТАНОВИЩА</w:t>
      </w:r>
      <w:r w:rsidR="00CD7E28">
        <w:t xml:space="preserve"> на страните</w:t>
      </w:r>
    </w:p>
    <w:p w:rsidR="009669EA" w:rsidRPr="004D7FC7" w:rsidRDefault="00CD7E28" w:rsidP="004D7FC7">
      <w:pPr>
        <w:pStyle w:val="JuHA"/>
      </w:pPr>
      <w:r>
        <w:t>Правителството</w:t>
      </w:r>
    </w:p>
    <w:p w:rsidR="009669EA" w:rsidRDefault="004D7FC7" w:rsidP="004D7FC7">
      <w:pPr>
        <w:pStyle w:val="JuPara"/>
      </w:pPr>
      <w:bookmarkStart w:id="4" w:name="Para7"/>
      <w:bookmarkStart w:id="5" w:name="Para8"/>
      <w:r>
        <w:t>10</w:t>
      </w:r>
      <w:bookmarkEnd w:id="4"/>
      <w:bookmarkEnd w:id="5"/>
      <w:r>
        <w:t>.  </w:t>
      </w:r>
      <w:r>
        <w:rPr>
          <w:snapToGrid w:val="0"/>
        </w:rPr>
        <w:t xml:space="preserve">Правителството </w:t>
      </w:r>
      <w:r w:rsidR="006062DD">
        <w:rPr>
          <w:snapToGrid w:val="0"/>
        </w:rPr>
        <w:t>отправя искане за</w:t>
      </w:r>
      <w:r>
        <w:t xml:space="preserve"> преразглеждане на решението от</w:t>
      </w:r>
      <w:r w:rsidR="006062DD">
        <w:t xml:space="preserve"> 9</w:t>
      </w:r>
      <w:r>
        <w:t xml:space="preserve"> юли 2020 г. </w:t>
      </w:r>
      <w:r w:rsidR="006062DD">
        <w:t>То п</w:t>
      </w:r>
      <w:r>
        <w:t xml:space="preserve">осочва, че е открило, че на неуточнена дата през 2016 г. жалбоподателят, представляван от същия </w:t>
      </w:r>
      <w:r w:rsidR="00E67DC1">
        <w:t>адвокат</w:t>
      </w:r>
      <w:r>
        <w:t xml:space="preserve"> ка</w:t>
      </w:r>
      <w:r w:rsidR="00E67DC1">
        <w:t>к</w:t>
      </w:r>
      <w:r>
        <w:t xml:space="preserve">то пред Съда, е </w:t>
      </w:r>
      <w:r w:rsidR="00E67DC1">
        <w:t>инициирал</w:t>
      </w:r>
      <w:r>
        <w:t xml:space="preserve"> производство, </w:t>
      </w:r>
      <w:r w:rsidR="00E67DC1">
        <w:t>различно</w:t>
      </w:r>
      <w:r>
        <w:t xml:space="preserve"> от това, което е било в основата на жалбата му пред Съда. С т</w:t>
      </w:r>
      <w:r w:rsidR="00E67DC1">
        <w:t>ова второ съдебно</w:t>
      </w:r>
      <w:r>
        <w:t xml:space="preserve"> про</w:t>
      </w:r>
      <w:r w:rsidR="00E67DC1">
        <w:t>изводство</w:t>
      </w:r>
      <w:r>
        <w:t xml:space="preserve">, </w:t>
      </w:r>
      <w:r w:rsidR="00E67DC1">
        <w:t>образувано</w:t>
      </w:r>
      <w:r>
        <w:t xml:space="preserve"> </w:t>
      </w:r>
      <w:r w:rsidR="00E67DC1">
        <w:t xml:space="preserve">с правно основание </w:t>
      </w:r>
      <w:r>
        <w:t xml:space="preserve">Закона за гражданската регистрация (делото </w:t>
      </w:r>
      <w:r>
        <w:rPr>
          <w:i/>
          <w:iCs/>
        </w:rPr>
        <w:t>Я.Т.</w:t>
      </w:r>
      <w:r>
        <w:t xml:space="preserve"> с/</w:t>
      </w:r>
      <w:r>
        <w:rPr>
          <w:i/>
        </w:rPr>
        <w:t>у България</w:t>
      </w:r>
      <w:r>
        <w:t>,</w:t>
      </w:r>
      <w:r>
        <w:rPr>
          <w:vertAlign w:val="superscript"/>
        </w:rPr>
        <w:t xml:space="preserve"> </w:t>
      </w:r>
      <w:r w:rsidR="00E67DC1">
        <w:t>№ 41701/16, §§ 15 – 18, 9</w:t>
      </w:r>
      <w:r>
        <w:t xml:space="preserve"> юли 2020 г.), жалбоподателят е </w:t>
      </w:r>
      <w:r w:rsidR="00936262">
        <w:t>подал иск за</w:t>
      </w:r>
      <w:r>
        <w:t xml:space="preserve"> </w:t>
      </w:r>
      <w:r w:rsidR="00E67DC1">
        <w:t>юридическо</w:t>
      </w:r>
      <w:r>
        <w:t xml:space="preserve"> признаване на </w:t>
      </w:r>
      <w:r w:rsidR="00E67DC1">
        <w:t xml:space="preserve">промяната на неговия </w:t>
      </w:r>
      <w:r>
        <w:t xml:space="preserve">пол, </w:t>
      </w:r>
      <w:r w:rsidR="00E67DC1">
        <w:t>юридическа</w:t>
      </w:r>
      <w:r>
        <w:t xml:space="preserve"> промяна на трите му имена, както и промяната на вписването, свързано с пола и неговия </w:t>
      </w:r>
      <w:r w:rsidR="00936262">
        <w:t xml:space="preserve">единен </w:t>
      </w:r>
      <w:r>
        <w:t>граждански номер в регистри</w:t>
      </w:r>
      <w:r w:rsidR="00936262">
        <w:t>те по гражданско състояние</w:t>
      </w:r>
      <w:r>
        <w:t>. С решение от 13 март 2017 г., влязло в сила на 30 май 2017 г., Софийски районен съд е уважил т</w:t>
      </w:r>
      <w:r w:rsidR="00936262">
        <w:t>ози втори иск</w:t>
      </w:r>
      <w:r>
        <w:t xml:space="preserve">. Правителството посочва, че в изпълнение на това съдебно решение въпросните данни са били променени в регистрите </w:t>
      </w:r>
      <w:r w:rsidR="00936262">
        <w:t>за гражданско състояние на 14</w:t>
      </w:r>
      <w:r>
        <w:t xml:space="preserve"> юни 2017 г.</w:t>
      </w:r>
    </w:p>
    <w:p w:rsidR="009669EA" w:rsidRDefault="004D7FC7" w:rsidP="004D7FC7">
      <w:pPr>
        <w:pStyle w:val="JuPara"/>
      </w:pPr>
      <w:bookmarkStart w:id="6" w:name="Para9"/>
      <w:r>
        <w:t>11</w:t>
      </w:r>
      <w:bookmarkEnd w:id="6"/>
      <w:r>
        <w:t>.  </w:t>
      </w:r>
      <w:r w:rsidR="00936262">
        <w:t>Правителството т</w:t>
      </w:r>
      <w:r>
        <w:t xml:space="preserve">върди, че се е запознало с тези документи </w:t>
      </w:r>
      <w:r w:rsidR="00936262">
        <w:t xml:space="preserve">от </w:t>
      </w:r>
      <w:r>
        <w:t xml:space="preserve">писмо </w:t>
      </w:r>
      <w:r w:rsidR="00936262">
        <w:t>с дата 20</w:t>
      </w:r>
      <w:r>
        <w:t> юли 2023 г.</w:t>
      </w:r>
      <w:r w:rsidR="00936262">
        <w:t>, получено</w:t>
      </w:r>
      <w:r>
        <w:t xml:space="preserve"> от Министерството на регионалното развитие и благоустро</w:t>
      </w:r>
      <w:r w:rsidR="00936262">
        <w:t>йството в отговор</w:t>
      </w:r>
      <w:r>
        <w:t xml:space="preserve"> на искане, </w:t>
      </w:r>
      <w:r>
        <w:lastRenderedPageBreak/>
        <w:t xml:space="preserve">отправено от Министерството на правосъдието като част от подготовката на плана за действие в </w:t>
      </w:r>
      <w:r w:rsidR="00FB16EF">
        <w:t>изпълнение на решението на Съда от 9</w:t>
      </w:r>
      <w:r>
        <w:t xml:space="preserve"> юли 2020 г.</w:t>
      </w:r>
    </w:p>
    <w:p w:rsidR="00FB16EF" w:rsidRDefault="00CD7E28" w:rsidP="004D7FC7">
      <w:pPr>
        <w:pStyle w:val="JuPara"/>
      </w:pPr>
      <w:r>
        <w:t xml:space="preserve">12.  Правителството счита, че тези обстоятелства представляват факт от такова естество, </w:t>
      </w:r>
      <w:r w:rsidR="00FB16EF" w:rsidRPr="00FB16EF">
        <w:t xml:space="preserve">който може да окаже решаващо </w:t>
      </w:r>
      <w:r>
        <w:t xml:space="preserve">влияние върху делото, и по-специално </w:t>
      </w:r>
      <w:r w:rsidR="00FB16EF" w:rsidRPr="00FB16EF">
        <w:t>върху определянето на статута на жертва на жалбоподателя.</w:t>
      </w:r>
      <w:r w:rsidR="00FB16EF">
        <w:t xml:space="preserve"> </w:t>
      </w:r>
      <w:bookmarkStart w:id="7" w:name="Para10"/>
    </w:p>
    <w:p w:rsidR="009669EA" w:rsidRDefault="004D7FC7" w:rsidP="004D7FC7">
      <w:pPr>
        <w:pStyle w:val="JuPara"/>
      </w:pPr>
      <w:r>
        <w:t>13</w:t>
      </w:r>
      <w:bookmarkEnd w:id="7"/>
      <w:r>
        <w:t>.  </w:t>
      </w:r>
      <w:r w:rsidR="00FB16EF">
        <w:t>Правителството у</w:t>
      </w:r>
      <w:r>
        <w:t xml:space="preserve">преква жалбоподателя и </w:t>
      </w:r>
      <w:r w:rsidR="00FB16EF">
        <w:t>неговия адвокат</w:t>
      </w:r>
      <w:r>
        <w:t>, че са действали недобросъвестно, като не са информирали Съда за действителн</w:t>
      </w:r>
      <w:r w:rsidR="00FB16EF">
        <w:t>ите</w:t>
      </w:r>
      <w:r>
        <w:t xml:space="preserve"> </w:t>
      </w:r>
      <w:r w:rsidR="00FB16EF">
        <w:t>факти</w:t>
      </w:r>
      <w:r>
        <w:t xml:space="preserve">. </w:t>
      </w:r>
      <w:r w:rsidR="00FB16EF">
        <w:t>То с</w:t>
      </w:r>
      <w:r>
        <w:t xml:space="preserve">чита, че при тези обстоятелства </w:t>
      </w:r>
      <w:r w:rsidR="00FB16EF">
        <w:t xml:space="preserve">е налице злоупотреба с правото на </w:t>
      </w:r>
      <w:r>
        <w:t>жалба.</w:t>
      </w:r>
    </w:p>
    <w:p w:rsidR="00166A30" w:rsidRDefault="004D7FC7" w:rsidP="00166A30">
      <w:pPr>
        <w:pStyle w:val="JuPara"/>
      </w:pPr>
      <w:bookmarkStart w:id="8" w:name="Para12new"/>
      <w:r>
        <w:t>14</w:t>
      </w:r>
      <w:bookmarkEnd w:id="8"/>
      <w:r>
        <w:t>.  И</w:t>
      </w:r>
      <w:r w:rsidR="00166A30">
        <w:t xml:space="preserve"> накрая, Правителството обясни</w:t>
      </w:r>
      <w:r>
        <w:t xml:space="preserve">, </w:t>
      </w:r>
      <w:r w:rsidR="00166A30">
        <w:t>че що се отнася до общата защита на транссексуалните лица, въпросите, свързани с отказа на националните съдилища да признаят промяната на пола на такива лица, се разглеждат под надзора на Комитета на министрите в контекста на изпълнението на решение, постановено впоследствие по подобно дело, а именно решението по делото П.Х. срещу България ([комитет], № 46509/20, 27 септември 2022 г.).</w:t>
      </w:r>
    </w:p>
    <w:p w:rsidR="00166A30" w:rsidRDefault="00166A30" w:rsidP="00166A30">
      <w:pPr>
        <w:pStyle w:val="JuPara"/>
      </w:pPr>
    </w:p>
    <w:p w:rsidR="009669EA" w:rsidRPr="004D7FC7" w:rsidRDefault="00CD7E28" w:rsidP="004D7FC7">
      <w:pPr>
        <w:pStyle w:val="JuHA"/>
      </w:pPr>
      <w:r>
        <w:t>Жалбоподателят</w:t>
      </w:r>
    </w:p>
    <w:p w:rsidR="00D96D05" w:rsidRDefault="004D7FC7" w:rsidP="00035EDF">
      <w:pPr>
        <w:pStyle w:val="JuPara"/>
      </w:pPr>
      <w:bookmarkStart w:id="9" w:name="Para11"/>
      <w:r>
        <w:t>15</w:t>
      </w:r>
      <w:bookmarkEnd w:id="9"/>
      <w:r>
        <w:t>.  </w:t>
      </w:r>
      <w:r w:rsidR="00035EDF">
        <w:t>Процесуалният представител</w:t>
      </w:r>
      <w:r>
        <w:t xml:space="preserve"> на жалбоподателя твърди, че както тя, така и нейният клиент са действали добросъвестно. </w:t>
      </w:r>
      <w:r w:rsidR="00035EDF">
        <w:t>Тя с</w:t>
      </w:r>
      <w:r>
        <w:t xml:space="preserve">чита, че </w:t>
      </w:r>
      <w:r w:rsidR="00035EDF" w:rsidRPr="00035EDF">
        <w:t xml:space="preserve">второто производство, </w:t>
      </w:r>
      <w:r w:rsidR="00D96D05">
        <w:t>инициирано</w:t>
      </w:r>
      <w:r w:rsidR="00035EDF" w:rsidRPr="00035EDF">
        <w:t xml:space="preserve"> от жалбоподателя, не представлява средство за защита, което трябва да бъде изчерпано, или по друг начин не е от значение за целите на разглеждането на оплакванията, свързани с първото производство, повдигнати от жалбоподателя в жалбата му, в резултат на което той не е бил длъжен, според нея, да доведе до знанието на Съда въпросното обстоятелство. Тя допълва, че това обстоятелство не е от естество да постави под съмнение статута на жалбоподателя като жертва. Всъщност признаването на </w:t>
      </w:r>
      <w:r w:rsidR="00D96D05">
        <w:t>юридическата промяна на</w:t>
      </w:r>
      <w:r w:rsidR="00035EDF" w:rsidRPr="00035EDF">
        <w:t xml:space="preserve"> пола и </w:t>
      </w:r>
      <w:r w:rsidR="00D96D05">
        <w:t xml:space="preserve">промяна на </w:t>
      </w:r>
      <w:r w:rsidR="00035EDF" w:rsidRPr="00035EDF">
        <w:t>името на ж</w:t>
      </w:r>
      <w:r w:rsidR="00D96D05">
        <w:t>албоподателя след решението на р</w:t>
      </w:r>
      <w:r w:rsidR="00035EDF" w:rsidRPr="00035EDF">
        <w:t>айонния съд от 13 март 2017 г. според нея не е довело до заличаване и поправяне на нарушението на правата му, защитени от член 8, което той е претърпял преди тази дата.</w:t>
      </w:r>
    </w:p>
    <w:p w:rsidR="00E11DD1" w:rsidRDefault="00CD7E28" w:rsidP="004D7FC7">
      <w:pPr>
        <w:pStyle w:val="JuPara"/>
      </w:pPr>
      <w:r>
        <w:t xml:space="preserve">16.  В тази връзка жалбоподателят се позовава на </w:t>
      </w:r>
      <w:r w:rsidR="00A81400">
        <w:t>мотивите</w:t>
      </w:r>
      <w:r>
        <w:t xml:space="preserve"> на Съда по дело </w:t>
      </w:r>
      <w:r>
        <w:rPr>
          <w:i/>
        </w:rPr>
        <w:t>X и Y с/у Румъния</w:t>
      </w:r>
      <w:r>
        <w:t xml:space="preserve"> </w:t>
      </w:r>
      <w:r w:rsidR="00E11DD1">
        <w:t>(№ 2145/16 и № 20607/16 от 19</w:t>
      </w:r>
      <w:r>
        <w:t xml:space="preserve"> януари 2021 г.). </w:t>
      </w:r>
      <w:bookmarkStart w:id="10" w:name="Para13"/>
      <w:r w:rsidR="00E11DD1" w:rsidRPr="00E11DD1">
        <w:t xml:space="preserve">По това дело Съдът, макар и да установява, че един от жалбоподателите е получил </w:t>
      </w:r>
      <w:r w:rsidR="00E11DD1">
        <w:t>исканото от него признаване на пола</w:t>
      </w:r>
      <w:r w:rsidR="00E11DD1" w:rsidRPr="00E11DD1">
        <w:t xml:space="preserve"> след трето съдебно производство, постановява, че жалбоподателят може да претендира, че е „жертва“ по смисъла на член 34 от Конвенцията, тъй като е търпял последиците от отказа да </w:t>
      </w:r>
      <w:r w:rsidR="00E11DD1">
        <w:t>му бъде призната промяната на пола</w:t>
      </w:r>
      <w:r w:rsidR="00E11DD1" w:rsidRPr="00E11DD1">
        <w:t xml:space="preserve"> в продължение на повече от пет години</w:t>
      </w:r>
      <w:r w:rsidR="00E11DD1">
        <w:t>,</w:t>
      </w:r>
      <w:r w:rsidR="00E11DD1" w:rsidRPr="00E11DD1">
        <w:t xml:space="preserve"> и че нито последващото </w:t>
      </w:r>
      <w:r w:rsidR="00E11DD1" w:rsidRPr="00E11DD1">
        <w:lastRenderedPageBreak/>
        <w:t>решение за признаване</w:t>
      </w:r>
      <w:r w:rsidR="00E11DD1">
        <w:t>,</w:t>
      </w:r>
      <w:r w:rsidR="00E11DD1" w:rsidRPr="00E11DD1">
        <w:t xml:space="preserve"> нито мерките, предприети по делото от националните власти, са съдържали изрично признаване на нарушението на правата му, защитени от Конвенцията. Жалбоподателят приканва Съда да достигне до същото заключение по настоящото дело и да отхвърли </w:t>
      </w:r>
      <w:r w:rsidR="00E11DD1">
        <w:t>искането</w:t>
      </w:r>
      <w:r w:rsidR="00E11DD1" w:rsidRPr="00E11DD1">
        <w:t xml:space="preserve"> за преразглеждане</w:t>
      </w:r>
      <w:r w:rsidR="00E11DD1">
        <w:t xml:space="preserve"> на делото</w:t>
      </w:r>
      <w:r w:rsidR="00E11DD1" w:rsidRPr="00E11DD1">
        <w:t>.</w:t>
      </w:r>
    </w:p>
    <w:p w:rsidR="004D3860" w:rsidRDefault="004D7FC7" w:rsidP="004D7FC7">
      <w:pPr>
        <w:pStyle w:val="JuPara"/>
      </w:pPr>
      <w:r>
        <w:t>17</w:t>
      </w:r>
      <w:bookmarkEnd w:id="10"/>
      <w:r>
        <w:t>.  И накрая, жалбоподателят твърди, че българският Върховен касационен съд наскоро допълнително е отслабил защитата на транссексуалните лица, като е приел задължително тълкувателно решение (</w:t>
      </w:r>
      <w:r>
        <w:rPr>
          <w:rFonts w:ascii="Times New Roman" w:hAnsi="Times New Roman"/>
          <w:i/>
          <w:iCs/>
          <w:color w:val="000000"/>
        </w:rPr>
        <w:t>Т</w:t>
      </w:r>
      <w:r>
        <w:rPr>
          <w:i/>
          <w:iCs/>
        </w:rPr>
        <w:t>ълкувателно решение №</w:t>
      </w:r>
      <w:r>
        <w:rPr>
          <w:rFonts w:ascii="Times New Roman" w:hAnsi="Times New Roman"/>
          <w:i/>
          <w:iCs/>
          <w:color w:val="000000"/>
        </w:rPr>
        <w:t xml:space="preserve"> 2 от </w:t>
      </w:r>
      <w:r w:rsidR="004D3860" w:rsidRPr="004D3860">
        <w:rPr>
          <w:rFonts w:ascii="Times New Roman" w:hAnsi="Times New Roman"/>
          <w:i/>
          <w:iCs/>
          <w:color w:val="000000"/>
        </w:rPr>
        <w:t xml:space="preserve">20 февруари 2023 г. </w:t>
      </w:r>
      <w:r>
        <w:rPr>
          <w:rFonts w:ascii="Times New Roman" w:hAnsi="Times New Roman"/>
          <w:i/>
          <w:iCs/>
          <w:color w:val="000000"/>
        </w:rPr>
        <w:t xml:space="preserve">по </w:t>
      </w:r>
      <w:proofErr w:type="spellStart"/>
      <w:r>
        <w:rPr>
          <w:rFonts w:ascii="Times New Roman" w:hAnsi="Times New Roman"/>
          <w:i/>
          <w:iCs/>
          <w:color w:val="000000"/>
        </w:rPr>
        <w:t>тълк</w:t>
      </w:r>
      <w:proofErr w:type="spellEnd"/>
      <w:r>
        <w:rPr>
          <w:rFonts w:ascii="Times New Roman" w:hAnsi="Times New Roman"/>
          <w:i/>
          <w:iCs/>
          <w:color w:val="000000"/>
        </w:rPr>
        <w:t>. д.</w:t>
      </w:r>
      <w:r>
        <w:rPr>
          <w:rFonts w:ascii="Times New Roman" w:hAnsi="Times New Roman"/>
          <w:i/>
          <w:color w:val="000000"/>
        </w:rPr>
        <w:t xml:space="preserve"> № 2/2020 г., ОСГК</w:t>
      </w:r>
      <w:r>
        <w:t xml:space="preserve">), </w:t>
      </w:r>
      <w:r w:rsidR="004D3860" w:rsidRPr="004D3860">
        <w:t xml:space="preserve">според което </w:t>
      </w:r>
      <w:r w:rsidR="004D3860">
        <w:t>юридическото</w:t>
      </w:r>
      <w:r w:rsidR="004D3860" w:rsidRPr="004D3860">
        <w:t xml:space="preserve"> признаване на смяната на пола не е възможно съгласно българското законодателство. По този начин, според жалбоподателя, ако Съдът реши да преразгледа решението си, първоначалната жалба на жалбоподателя, оспорваща националната правна система за защита, ще стане още по-актуална, което според него няма да </w:t>
      </w:r>
      <w:r w:rsidR="004D3860">
        <w:t>бъде</w:t>
      </w:r>
      <w:r w:rsidR="004D3860" w:rsidRPr="004D3860">
        <w:t xml:space="preserve"> в полза на Правителството.</w:t>
      </w:r>
    </w:p>
    <w:p w:rsidR="009669EA" w:rsidRPr="004D7FC7" w:rsidRDefault="00CD7E28" w:rsidP="004D7FC7">
      <w:pPr>
        <w:pStyle w:val="JuHIRoman"/>
      </w:pPr>
      <w:r>
        <w:t>Преценката на Съда</w:t>
      </w:r>
    </w:p>
    <w:p w:rsidR="00F609BC" w:rsidRDefault="00CD7E28" w:rsidP="00F609BC">
      <w:pPr>
        <w:pStyle w:val="JuPara"/>
      </w:pPr>
      <w:r>
        <w:t>18.  </w:t>
      </w:r>
      <w:r w:rsidR="00F609BC">
        <w:t>В ч</w:t>
      </w:r>
      <w:r>
        <w:t xml:space="preserve">лен 80 от Правилника на Съда </w:t>
      </w:r>
      <w:r w:rsidR="00F609BC">
        <w:t>са посочени</w:t>
      </w:r>
      <w:r>
        <w:t xml:space="preserve"> условията за подаване на </w:t>
      </w:r>
      <w:r w:rsidR="00F609BC">
        <w:t>искане</w:t>
      </w:r>
      <w:r>
        <w:t xml:space="preserve"> за преразглеждане на решение. </w:t>
      </w:r>
      <w:r w:rsidR="00F609BC" w:rsidRPr="00F609BC">
        <w:t xml:space="preserve">Съответните части от правилото в настоящия случай гласят следното: </w:t>
      </w:r>
    </w:p>
    <w:p w:rsidR="00F609BC" w:rsidRDefault="00F609BC" w:rsidP="00F609BC">
      <w:pPr>
        <w:pStyle w:val="JuPara"/>
      </w:pPr>
    </w:p>
    <w:p w:rsidR="009669EA" w:rsidRPr="00F609BC" w:rsidRDefault="00CD7E28" w:rsidP="00F609BC">
      <w:pPr>
        <w:pStyle w:val="JuPara"/>
        <w:rPr>
          <w:sz w:val="20"/>
          <w:szCs w:val="20"/>
        </w:rPr>
      </w:pPr>
      <w:r w:rsidRPr="00F609BC">
        <w:rPr>
          <w:sz w:val="20"/>
          <w:szCs w:val="20"/>
        </w:rPr>
        <w:t>„</w:t>
      </w:r>
      <w:r w:rsidR="00F609BC" w:rsidRPr="00F609BC">
        <w:rPr>
          <w:sz w:val="20"/>
          <w:szCs w:val="20"/>
        </w:rPr>
        <w:t>Когато се установи факт</w:t>
      </w:r>
      <w:r w:rsidRPr="00F609BC">
        <w:rPr>
          <w:sz w:val="20"/>
          <w:szCs w:val="20"/>
        </w:rPr>
        <w:t>, който по своето естество би могъл да окаже решаващо влияние върху изхода на вече решено дело</w:t>
      </w:r>
      <w:r w:rsidR="00F609BC">
        <w:rPr>
          <w:sz w:val="20"/>
          <w:szCs w:val="20"/>
        </w:rPr>
        <w:t>,</w:t>
      </w:r>
      <w:r w:rsidRPr="00F609BC">
        <w:rPr>
          <w:sz w:val="20"/>
          <w:szCs w:val="20"/>
        </w:rPr>
        <w:t xml:space="preserve"> и който към момента на постановяване на решение</w:t>
      </w:r>
      <w:r w:rsidR="00F609BC" w:rsidRPr="00F609BC">
        <w:rPr>
          <w:sz w:val="20"/>
          <w:szCs w:val="20"/>
        </w:rPr>
        <w:t xml:space="preserve">то не е бил </w:t>
      </w:r>
      <w:r w:rsidR="00F609BC">
        <w:rPr>
          <w:sz w:val="20"/>
          <w:szCs w:val="20"/>
        </w:rPr>
        <w:t xml:space="preserve">известен на Съда и не е могъл да </w:t>
      </w:r>
      <w:r w:rsidRPr="00F609BC">
        <w:rPr>
          <w:sz w:val="20"/>
          <w:szCs w:val="20"/>
        </w:rPr>
        <w:t>б</w:t>
      </w:r>
      <w:r w:rsidR="00F609BC">
        <w:rPr>
          <w:sz w:val="20"/>
          <w:szCs w:val="20"/>
        </w:rPr>
        <w:t>ъде известен</w:t>
      </w:r>
      <w:r w:rsidRPr="00F609BC">
        <w:rPr>
          <w:sz w:val="20"/>
          <w:szCs w:val="20"/>
        </w:rPr>
        <w:t xml:space="preserve"> на </w:t>
      </w:r>
      <w:r w:rsidR="00F609BC" w:rsidRPr="00F609BC">
        <w:rPr>
          <w:sz w:val="20"/>
          <w:szCs w:val="20"/>
        </w:rPr>
        <w:t>някоя от страните</w:t>
      </w:r>
      <w:r w:rsidRPr="00F609BC">
        <w:rPr>
          <w:sz w:val="20"/>
          <w:szCs w:val="20"/>
        </w:rPr>
        <w:t xml:space="preserve">, то </w:t>
      </w:r>
      <w:r w:rsidR="00F609BC">
        <w:rPr>
          <w:sz w:val="20"/>
          <w:szCs w:val="20"/>
        </w:rPr>
        <w:t xml:space="preserve">тази страна </w:t>
      </w:r>
      <w:r w:rsidRPr="00F609BC">
        <w:rPr>
          <w:sz w:val="20"/>
          <w:szCs w:val="20"/>
        </w:rPr>
        <w:t xml:space="preserve">може в срок от шест месеца от момента, в който е узнала за </w:t>
      </w:r>
      <w:r w:rsidR="00F609BC">
        <w:rPr>
          <w:sz w:val="20"/>
          <w:szCs w:val="20"/>
        </w:rPr>
        <w:t>този установен</w:t>
      </w:r>
      <w:r w:rsidR="00F609BC" w:rsidRPr="00F609BC">
        <w:rPr>
          <w:sz w:val="20"/>
          <w:szCs w:val="20"/>
        </w:rPr>
        <w:t xml:space="preserve"> </w:t>
      </w:r>
      <w:r w:rsidRPr="00F609BC">
        <w:rPr>
          <w:sz w:val="20"/>
          <w:szCs w:val="20"/>
        </w:rPr>
        <w:t xml:space="preserve">факт, да подаде </w:t>
      </w:r>
      <w:r w:rsidR="00F609BC">
        <w:rPr>
          <w:sz w:val="20"/>
          <w:szCs w:val="20"/>
        </w:rPr>
        <w:t>искане</w:t>
      </w:r>
      <w:r w:rsidRPr="00F609BC">
        <w:rPr>
          <w:sz w:val="20"/>
          <w:szCs w:val="20"/>
        </w:rPr>
        <w:t xml:space="preserve"> до Съда за преразглеждане на</w:t>
      </w:r>
      <w:r w:rsidR="00F609BC" w:rsidRPr="00F609BC">
        <w:t xml:space="preserve"> </w:t>
      </w:r>
      <w:r w:rsidR="00F609BC" w:rsidRPr="00F609BC">
        <w:rPr>
          <w:sz w:val="20"/>
          <w:szCs w:val="20"/>
        </w:rPr>
        <w:t xml:space="preserve">въпросното </w:t>
      </w:r>
      <w:r w:rsidRPr="00F609BC">
        <w:rPr>
          <w:sz w:val="20"/>
          <w:szCs w:val="20"/>
        </w:rPr>
        <w:t>решение (...) “</w:t>
      </w:r>
    </w:p>
    <w:p w:rsidR="00F609BC" w:rsidRDefault="00F609BC" w:rsidP="004D7FC7">
      <w:pPr>
        <w:pStyle w:val="JuPara"/>
      </w:pPr>
    </w:p>
    <w:p w:rsidR="009669EA" w:rsidRPr="004D7FC7" w:rsidRDefault="00CD7E28" w:rsidP="004D7FC7">
      <w:pPr>
        <w:pStyle w:val="JuPara"/>
      </w:pPr>
      <w:r>
        <w:t>19.  </w:t>
      </w:r>
      <w:r w:rsidR="00D81085">
        <w:t>На първо място</w:t>
      </w:r>
      <w:r>
        <w:t xml:space="preserve"> Съдът припомня, че съгласно член 44 от Конвенцията неговите решения са окончателни и че, доколкото поставя под въпрос този окончателен характер, процедурата за преразглеждане, която не е предвидена от Конвенцията, но е установена </w:t>
      </w:r>
      <w:r w:rsidR="00D81085" w:rsidRPr="00D81085">
        <w:t>в Правилника на Съда</w:t>
      </w:r>
      <w:r>
        <w:t xml:space="preserve">, е от изключително естество, </w:t>
      </w:r>
      <w:r w:rsidR="00D81085" w:rsidRPr="00D81085">
        <w:t>откъдето произтича изискването за стриктно разгл</w:t>
      </w:r>
      <w:r w:rsidR="00D81085">
        <w:t>еждане на допустимостта на всяко</w:t>
      </w:r>
      <w:r w:rsidR="00D81085" w:rsidRPr="00D81085">
        <w:t xml:space="preserve"> </w:t>
      </w:r>
      <w:r w:rsidR="00D81085">
        <w:t xml:space="preserve">искане </w:t>
      </w:r>
      <w:r w:rsidR="00D81085" w:rsidRPr="00D81085">
        <w:t xml:space="preserve">за преразглеждане на някое от неговите решения по такава процедура </w:t>
      </w:r>
      <w:r>
        <w:t xml:space="preserve">(делото </w:t>
      </w:r>
      <w:proofErr w:type="spellStart"/>
      <w:r>
        <w:rPr>
          <w:i/>
          <w:iCs/>
        </w:rPr>
        <w:t>Пардо</w:t>
      </w:r>
      <w:proofErr w:type="spellEnd"/>
      <w:r>
        <w:rPr>
          <w:i/>
          <w:iCs/>
        </w:rPr>
        <w:t xml:space="preserve"> (</w:t>
      </w:r>
      <w:proofErr w:type="spellStart"/>
      <w:r>
        <w:rPr>
          <w:i/>
          <w:iCs/>
        </w:rPr>
        <w:t>Pardo</w:t>
      </w:r>
      <w:proofErr w:type="spellEnd"/>
      <w:r>
        <w:rPr>
          <w:i/>
          <w:iCs/>
        </w:rPr>
        <w:t>) с/у Франция</w:t>
      </w:r>
      <w:r>
        <w:t xml:space="preserve"> (преразглеждане – допустимост), 10-ти юли 1996 г., § 21 , Доклади от присъди и решения 1996-III, делото </w:t>
      </w:r>
      <w:proofErr w:type="spellStart"/>
      <w:r>
        <w:rPr>
          <w:i/>
          <w:iCs/>
        </w:rPr>
        <w:t>Густавсон</w:t>
      </w:r>
      <w:proofErr w:type="spellEnd"/>
      <w:r>
        <w:rPr>
          <w:i/>
          <w:iCs/>
        </w:rPr>
        <w:t xml:space="preserve"> (</w:t>
      </w:r>
      <w:proofErr w:type="spellStart"/>
      <w:r>
        <w:rPr>
          <w:i/>
          <w:iCs/>
        </w:rPr>
        <w:t>Gustafsson</w:t>
      </w:r>
      <w:proofErr w:type="spellEnd"/>
      <w:r>
        <w:rPr>
          <w:i/>
          <w:iCs/>
        </w:rPr>
        <w:t>) с/у Швеция</w:t>
      </w:r>
      <w:r>
        <w:t xml:space="preserve"> (преразглеждане – основателно), 30-ти юли 1998 г., § 25, Доклади 1998-V, и делото </w:t>
      </w:r>
      <w:proofErr w:type="spellStart"/>
      <w:r>
        <w:rPr>
          <w:i/>
          <w:iCs/>
        </w:rPr>
        <w:t>Stoicescu</w:t>
      </w:r>
      <w:proofErr w:type="spellEnd"/>
      <w:r>
        <w:rPr>
          <w:i/>
          <w:iCs/>
        </w:rPr>
        <w:t xml:space="preserve"> с/у Румъния</w:t>
      </w:r>
      <w:r>
        <w:t xml:space="preserve"> (преразглеждане), № 31551/96, § 33 , 21-ти септември 2004 г.).</w:t>
      </w:r>
    </w:p>
    <w:p w:rsidR="009669EA" w:rsidRDefault="00CD7E28" w:rsidP="004D7FC7">
      <w:pPr>
        <w:pStyle w:val="JuPara"/>
      </w:pPr>
      <w:r>
        <w:t xml:space="preserve">20.  Следователно е необходимо да се определи дали въпросните факти биха могли да имат решаващо влияние върху изхода на </w:t>
      </w:r>
      <w:r w:rsidR="00D81085">
        <w:t xml:space="preserve">вече решено </w:t>
      </w:r>
      <w:r>
        <w:t xml:space="preserve">дело, </w:t>
      </w:r>
      <w:r w:rsidR="00D81085" w:rsidRPr="00D81085">
        <w:t xml:space="preserve">дали те не са могли да бъдат разумно известни на Правителството преди постановяването на въпросното решение и дали </w:t>
      </w:r>
      <w:r w:rsidR="00D81085">
        <w:lastRenderedPageBreak/>
        <w:t>искането за преразглеждане е подадено</w:t>
      </w:r>
      <w:r w:rsidR="00D81085" w:rsidRPr="00D81085">
        <w:t xml:space="preserve"> в законоустановения срок </w:t>
      </w:r>
      <w:r>
        <w:t xml:space="preserve">(делото </w:t>
      </w:r>
      <w:proofErr w:type="spellStart"/>
      <w:r>
        <w:rPr>
          <w:i/>
        </w:rPr>
        <w:t>Stoicescu</w:t>
      </w:r>
      <w:proofErr w:type="spellEnd"/>
      <w:r>
        <w:t>, цитирано по-горе,</w:t>
      </w:r>
      <w:r>
        <w:rPr>
          <w:i/>
        </w:rPr>
        <w:t xml:space="preserve"> пак там</w:t>
      </w:r>
      <w:r>
        <w:t>).</w:t>
      </w:r>
    </w:p>
    <w:p w:rsidR="009669EA" w:rsidRDefault="00CD7E28" w:rsidP="004D7FC7">
      <w:pPr>
        <w:pStyle w:val="JuPara"/>
      </w:pPr>
      <w:r>
        <w:t xml:space="preserve">21.  Съдът отбелязва в самото начало, че жалбоподателят не отрича, че формалните условия за допустимост, наложени от член 80 от Правилника </w:t>
      </w:r>
      <w:r w:rsidR="00D81085" w:rsidRPr="00D81085">
        <w:t xml:space="preserve">на Съда </w:t>
      </w:r>
      <w:r>
        <w:t>(</w:t>
      </w:r>
      <w:r w:rsidR="00D81085" w:rsidRPr="00D81085">
        <w:t>а именно незнание към момента на съответното производство на фактите, открити междувременно, и спазване на шестмесечния срок</w:t>
      </w:r>
      <w:r>
        <w:t xml:space="preserve">), са </w:t>
      </w:r>
      <w:r w:rsidR="00D81085">
        <w:t xml:space="preserve">били </w:t>
      </w:r>
      <w:r>
        <w:t>изпълнени.</w:t>
      </w:r>
    </w:p>
    <w:p w:rsidR="009669EA" w:rsidRDefault="00CD7E28" w:rsidP="004D7FC7">
      <w:pPr>
        <w:pStyle w:val="JuPara"/>
      </w:pPr>
      <w:r>
        <w:t>22.  </w:t>
      </w:r>
      <w:r w:rsidR="00D31ECB" w:rsidRPr="00D31ECB">
        <w:t xml:space="preserve">Що се отнася до първото формално условие (незнание по време на съответното производство на фактите, които са открити междувременно), Съдът отбелязва, че макар да е вярно, че решението в полза на жалбоподателя, постановено от Софийския районен съд през 2017 г., </w:t>
      </w:r>
      <w:r w:rsidR="00D31ECB">
        <w:t xml:space="preserve">въз основа </w:t>
      </w:r>
      <w:r w:rsidR="00D31ECB" w:rsidRPr="00D31ECB">
        <w:t xml:space="preserve">на което Правителството основава искането си за преразглеждане, не е постановено в състезателно производство, то все пак изхожда от съдебен орган и че впоследствие жалбоподателят е поискал признатите от съда промени да бъдат вписани в регистрите за гражданско състояние - институция, която е в обхвата на публичната власт </w:t>
      </w:r>
      <w:r>
        <w:t xml:space="preserve">(параграф 10 по-горе). </w:t>
      </w:r>
      <w:r w:rsidR="00D31ECB" w:rsidRPr="00D31ECB">
        <w:t xml:space="preserve">В тази връзка Съдът би искал да отбележи, че по принцип е задължение на правителството-ответник да поиска от публичните органи да му предоставят цялата </w:t>
      </w:r>
      <w:proofErr w:type="spellStart"/>
      <w:r w:rsidR="00D31ECB" w:rsidRPr="00D31ECB">
        <w:t>относима</w:t>
      </w:r>
      <w:proofErr w:type="spellEnd"/>
      <w:r w:rsidR="00D31ECB" w:rsidRPr="00D31ECB">
        <w:t xml:space="preserve"> информация и да го уведомят възможно най-скоро за всяко съществено развитие по делото </w:t>
      </w:r>
      <w:r>
        <w:t xml:space="preserve">(делото </w:t>
      </w:r>
      <w:proofErr w:type="spellStart"/>
      <w:r>
        <w:rPr>
          <w:i/>
          <w:iCs/>
        </w:rPr>
        <w:t>Пенино</w:t>
      </w:r>
      <w:proofErr w:type="spellEnd"/>
      <w:r>
        <w:t xml:space="preserve"> (</w:t>
      </w:r>
      <w:proofErr w:type="spellStart"/>
      <w:r>
        <w:rPr>
          <w:i/>
        </w:rPr>
        <w:t>Pennino</w:t>
      </w:r>
      <w:proofErr w:type="spellEnd"/>
      <w:r>
        <w:rPr>
          <w:i/>
        </w:rPr>
        <w:t xml:space="preserve">) с/у Италия </w:t>
      </w:r>
      <w:r>
        <w:t>(преразглеждане)</w:t>
      </w:r>
      <w:r>
        <w:rPr>
          <w:snapToGrid w:val="0"/>
        </w:rPr>
        <w:t>,</w:t>
      </w:r>
      <w:r>
        <w:rPr>
          <w:snapToGrid w:val="0"/>
          <w:vertAlign w:val="superscript"/>
        </w:rPr>
        <w:t xml:space="preserve"> </w:t>
      </w:r>
      <w:r>
        <w:rPr>
          <w:snapToGrid w:val="0"/>
        </w:rPr>
        <w:t xml:space="preserve"> </w:t>
      </w:r>
      <w:r>
        <w:t>№ 43892/04</w:t>
      </w:r>
      <w:r>
        <w:rPr>
          <w:snapToGrid w:val="0"/>
        </w:rPr>
        <w:t xml:space="preserve">, § 17, 8-ми </w:t>
      </w:r>
      <w:r>
        <w:t>юли</w:t>
      </w:r>
      <w:r>
        <w:rPr>
          <w:snapToGrid w:val="0"/>
        </w:rPr>
        <w:t xml:space="preserve"> 2014 г.</w:t>
      </w:r>
      <w:r>
        <w:t xml:space="preserve"> и делото </w:t>
      </w:r>
      <w:r>
        <w:rPr>
          <w:i/>
          <w:iCs/>
        </w:rPr>
        <w:t>Де Лука</w:t>
      </w:r>
      <w:r>
        <w:t xml:space="preserve"> (</w:t>
      </w:r>
      <w:r>
        <w:rPr>
          <w:i/>
        </w:rPr>
        <w:t xml:space="preserve">De </w:t>
      </w:r>
      <w:proofErr w:type="spellStart"/>
      <w:r>
        <w:rPr>
          <w:i/>
        </w:rPr>
        <w:t>Luca</w:t>
      </w:r>
      <w:proofErr w:type="spellEnd"/>
      <w:r>
        <w:rPr>
          <w:i/>
        </w:rPr>
        <w:t>)</w:t>
      </w:r>
      <w:r>
        <w:t xml:space="preserve"> </w:t>
      </w:r>
      <w:r>
        <w:rPr>
          <w:i/>
        </w:rPr>
        <w:t xml:space="preserve">с/у Италия </w:t>
      </w:r>
      <w:r>
        <w:t>(преразглеждане),</w:t>
      </w:r>
      <w:r>
        <w:rPr>
          <w:vertAlign w:val="superscript"/>
        </w:rPr>
        <w:t xml:space="preserve"> </w:t>
      </w:r>
      <w:r>
        <w:t>№ 43870/04, § 17, 8-ми юли 2014 г.).</w:t>
      </w:r>
    </w:p>
    <w:p w:rsidR="009669EA" w:rsidRDefault="00CD7E28" w:rsidP="004D7FC7">
      <w:pPr>
        <w:pStyle w:val="JuPara"/>
      </w:pPr>
      <w:r>
        <w:t xml:space="preserve">23.  В настоящия случай обаче Съдът отбелязва, че въпросното решение </w:t>
      </w:r>
      <w:r w:rsidR="00331961">
        <w:t xml:space="preserve">на районния съд </w:t>
      </w:r>
      <w:r>
        <w:t xml:space="preserve">е </w:t>
      </w:r>
      <w:r w:rsidR="00331961">
        <w:t>постановено</w:t>
      </w:r>
      <w:r>
        <w:t xml:space="preserve"> на 13 март 2017 г., </w:t>
      </w:r>
      <w:r w:rsidR="00331961">
        <w:t xml:space="preserve">т.е. </w:t>
      </w:r>
      <w:r>
        <w:t xml:space="preserve">по-малко от месец преди 11 април 2017 г., датата, на която </w:t>
      </w:r>
      <w:r w:rsidR="00331961" w:rsidRPr="00331961">
        <w:t>Правителството е представило сво</w:t>
      </w:r>
      <w:r w:rsidR="00331961">
        <w:t>ето становище</w:t>
      </w:r>
      <w:r w:rsidR="00331961" w:rsidRPr="00331961">
        <w:t xml:space="preserve"> по допустимостта и основателността на жалбата</w:t>
      </w:r>
      <w:r>
        <w:t xml:space="preserve">. </w:t>
      </w:r>
      <w:r w:rsidR="00331961">
        <w:t>Съдът</w:t>
      </w:r>
      <w:r>
        <w:t xml:space="preserve"> отбелязва по-специално, че този </w:t>
      </w:r>
      <w:r w:rsidR="00331961">
        <w:t>съдебен акт е влязъл в сила на 30</w:t>
      </w:r>
      <w:r>
        <w:t xml:space="preserve"> май 2017 г.</w:t>
      </w:r>
      <w:r w:rsidR="00331961">
        <w:t>, а</w:t>
      </w:r>
      <w:r>
        <w:t xml:space="preserve"> промените във вписването, свързани с пола и името на съответното лице в регистрите за гражданско състояние, са </w:t>
      </w:r>
      <w:r w:rsidR="00331961" w:rsidRPr="00382F9C">
        <w:t>били извършени</w:t>
      </w:r>
      <w:r w:rsidR="00331961">
        <w:t xml:space="preserve"> на 14</w:t>
      </w:r>
      <w:r>
        <w:t xml:space="preserve"> юни 2017 г. </w:t>
      </w:r>
      <w:r w:rsidR="00331961" w:rsidRPr="00382F9C">
        <w:t xml:space="preserve">Следователно и двете събития са настъпили след </w:t>
      </w:r>
      <w:r w:rsidR="00331961">
        <w:t>изпращане на становището</w:t>
      </w:r>
      <w:r>
        <w:t xml:space="preserve"> на Правителството (параграфи 3 и 10 по-горе; вж. също </w:t>
      </w:r>
      <w:proofErr w:type="spellStart"/>
      <w:r>
        <w:rPr>
          <w:i/>
        </w:rPr>
        <w:t>mutatis</w:t>
      </w:r>
      <w:proofErr w:type="spellEnd"/>
      <w:r>
        <w:rPr>
          <w:i/>
        </w:rPr>
        <w:t xml:space="preserve"> </w:t>
      </w:r>
      <w:proofErr w:type="spellStart"/>
      <w:r>
        <w:rPr>
          <w:i/>
        </w:rPr>
        <w:t>mutandis</w:t>
      </w:r>
      <w:proofErr w:type="spellEnd"/>
      <w:r>
        <w:t xml:space="preserve">, делата </w:t>
      </w:r>
      <w:proofErr w:type="spellStart"/>
      <w:r>
        <w:rPr>
          <w:i/>
        </w:rPr>
        <w:t>Gardean</w:t>
      </w:r>
      <w:proofErr w:type="spellEnd"/>
      <w:r>
        <w:rPr>
          <w:i/>
        </w:rPr>
        <w:t xml:space="preserve"> и S.C. </w:t>
      </w:r>
      <w:proofErr w:type="spellStart"/>
      <w:r>
        <w:rPr>
          <w:i/>
        </w:rPr>
        <w:t>Grup</w:t>
      </w:r>
      <w:proofErr w:type="spellEnd"/>
      <w:r>
        <w:rPr>
          <w:i/>
        </w:rPr>
        <w:t xml:space="preserve"> 95 SA с/у Румъния </w:t>
      </w:r>
      <w:r>
        <w:t>(преразглеждане),</w:t>
      </w:r>
      <w:r>
        <w:rPr>
          <w:vertAlign w:val="superscript"/>
        </w:rPr>
        <w:t xml:space="preserve"> </w:t>
      </w:r>
      <w:r>
        <w:t>№ 25787/04</w:t>
      </w:r>
      <w:r>
        <w:rPr>
          <w:snapToGrid w:val="0"/>
        </w:rPr>
        <w:t xml:space="preserve">, § 17, </w:t>
      </w:r>
      <w:r w:rsidR="00331961">
        <w:t>30</w:t>
      </w:r>
      <w:r>
        <w:rPr>
          <w:snapToGrid w:val="0"/>
        </w:rPr>
        <w:t xml:space="preserve"> </w:t>
      </w:r>
      <w:r>
        <w:t>април</w:t>
      </w:r>
      <w:r>
        <w:rPr>
          <w:snapToGrid w:val="0"/>
        </w:rPr>
        <w:t xml:space="preserve"> 2013 г</w:t>
      </w:r>
      <w:r>
        <w:t>.).</w:t>
      </w:r>
    </w:p>
    <w:p w:rsidR="009669EA" w:rsidRDefault="004D7FC7" w:rsidP="004D7FC7">
      <w:pPr>
        <w:pStyle w:val="JuPara"/>
      </w:pPr>
      <w:bookmarkStart w:id="11" w:name="Para20"/>
      <w:bookmarkStart w:id="12" w:name="Para21new"/>
      <w:r>
        <w:t>24</w:t>
      </w:r>
      <w:bookmarkEnd w:id="11"/>
      <w:bookmarkEnd w:id="12"/>
      <w:r>
        <w:t>.</w:t>
      </w:r>
      <w:r w:rsidR="00A12E48">
        <w:t>  В съответствие с членове 44 C</w:t>
      </w:r>
      <w:r>
        <w:t xml:space="preserve"> § 1 и 47 § 6 от Правилника на Съда, жалбоподателят има задължението да информира Съда за всеки факт, който е от значение за разглеждането на неговата жалба, а съгласно член 44 A от Правилника </w:t>
      </w:r>
      <w:r w:rsidR="00A12E48">
        <w:t>той е длъжен</w:t>
      </w:r>
      <w:r>
        <w:t xml:space="preserve"> да сътрудничи на Съда </w:t>
      </w:r>
      <w:r w:rsidR="00A12E48" w:rsidRPr="00BB16C2">
        <w:t xml:space="preserve">с оглед на правилното правораздаване </w:t>
      </w:r>
      <w:r>
        <w:t>(</w:t>
      </w:r>
      <w:proofErr w:type="spellStart"/>
      <w:r>
        <w:rPr>
          <w:i/>
        </w:rPr>
        <w:t>ibidem</w:t>
      </w:r>
      <w:proofErr w:type="spellEnd"/>
      <w:r>
        <w:t xml:space="preserve">, § 20 </w:t>
      </w:r>
      <w:proofErr w:type="spellStart"/>
      <w:r>
        <w:rPr>
          <w:i/>
        </w:rPr>
        <w:t>in</w:t>
      </w:r>
      <w:proofErr w:type="spellEnd"/>
      <w:r>
        <w:rPr>
          <w:i/>
        </w:rPr>
        <w:t xml:space="preserve"> </w:t>
      </w:r>
      <w:proofErr w:type="spellStart"/>
      <w:r>
        <w:rPr>
          <w:i/>
        </w:rPr>
        <w:t>fine</w:t>
      </w:r>
      <w:bookmarkStart w:id="13" w:name="_cl18860"/>
      <w:proofErr w:type="spellEnd"/>
      <w:r>
        <w:t xml:space="preserve"> и делото </w:t>
      </w:r>
      <w:proofErr w:type="spellStart"/>
      <w:r>
        <w:rPr>
          <w:i/>
          <w:iCs/>
        </w:rPr>
        <w:t>Виду</w:t>
      </w:r>
      <w:proofErr w:type="spellEnd"/>
      <w:r>
        <w:t xml:space="preserve"> (</w:t>
      </w:r>
      <w:proofErr w:type="spellStart"/>
      <w:r>
        <w:rPr>
          <w:i/>
          <w:iCs/>
        </w:rPr>
        <w:t>Vidu</w:t>
      </w:r>
      <w:proofErr w:type="spellEnd"/>
      <w:r>
        <w:rPr>
          <w:i/>
          <w:iCs/>
        </w:rPr>
        <w:t>)</w:t>
      </w:r>
      <w:r>
        <w:t xml:space="preserve"> </w:t>
      </w:r>
      <w:r>
        <w:rPr>
          <w:i/>
        </w:rPr>
        <w:t>и други с/у Румъния</w:t>
      </w:r>
      <w:bookmarkEnd w:id="13"/>
      <w:r>
        <w:t xml:space="preserve"> (преразглеждане),</w:t>
      </w:r>
      <w:r>
        <w:rPr>
          <w:vertAlign w:val="superscript"/>
        </w:rPr>
        <w:t xml:space="preserve"> </w:t>
      </w:r>
      <w:r w:rsidR="00A12E48">
        <w:t>№ 9835/02, §§ 25 и 27, 17</w:t>
      </w:r>
      <w:r>
        <w:t xml:space="preserve"> януари 2017 г.).</w:t>
      </w:r>
    </w:p>
    <w:p w:rsidR="009669EA" w:rsidRDefault="00CD7E28" w:rsidP="004D7FC7">
      <w:pPr>
        <w:pStyle w:val="JuPara"/>
      </w:pPr>
      <w:r>
        <w:t>25.  Съдът отдава голямо значение на поведението на страните. В настоящия случай жалбоподателят и негов</w:t>
      </w:r>
      <w:r w:rsidR="00C265A3">
        <w:t>ият процесуален</w:t>
      </w:r>
      <w:r>
        <w:t xml:space="preserve"> </w:t>
      </w:r>
      <w:r>
        <w:lastRenderedPageBreak/>
        <w:t xml:space="preserve">представител съзнателно не са го информирали за фактите, свързани </w:t>
      </w:r>
      <w:r w:rsidR="00C265A3" w:rsidRPr="00C265A3">
        <w:t xml:space="preserve">с това второ производство </w:t>
      </w:r>
      <w:r>
        <w:t>(</w:t>
      </w:r>
      <w:proofErr w:type="spellStart"/>
      <w:r>
        <w:rPr>
          <w:i/>
        </w:rPr>
        <w:t>Gardean</w:t>
      </w:r>
      <w:proofErr w:type="spellEnd"/>
      <w:r>
        <w:rPr>
          <w:i/>
        </w:rPr>
        <w:t xml:space="preserve"> и S.C. </w:t>
      </w:r>
      <w:proofErr w:type="spellStart"/>
      <w:r>
        <w:rPr>
          <w:i/>
        </w:rPr>
        <w:t>Grup</w:t>
      </w:r>
      <w:proofErr w:type="spellEnd"/>
      <w:r>
        <w:rPr>
          <w:i/>
        </w:rPr>
        <w:t> 95 SA</w:t>
      </w:r>
      <w:r w:rsidR="00C265A3">
        <w:t>, цитирано</w:t>
      </w:r>
      <w:r>
        <w:t xml:space="preserve"> по-горе, § 18), </w:t>
      </w:r>
      <w:r w:rsidR="00C265A3">
        <w:t>въпреки че самият той го</w:t>
      </w:r>
      <w:r>
        <w:t xml:space="preserve"> е инициирал чрез </w:t>
      </w:r>
      <w:r w:rsidR="00C265A3">
        <w:t>същата адвокатка</w:t>
      </w:r>
      <w:r>
        <w:t xml:space="preserve">, </w:t>
      </w:r>
      <w:r w:rsidR="00C265A3">
        <w:t>която</w:t>
      </w:r>
      <w:r>
        <w:t xml:space="preserve"> </w:t>
      </w:r>
      <w:r w:rsidR="00C265A3">
        <w:t>го представлява</w:t>
      </w:r>
      <w:r>
        <w:t xml:space="preserve"> и </w:t>
      </w:r>
      <w:r w:rsidR="00C265A3">
        <w:t xml:space="preserve">в производството </w:t>
      </w:r>
      <w:r>
        <w:t xml:space="preserve">пред Съда. Съдът отбелязва, че този пропуск е още </w:t>
      </w:r>
      <w:r w:rsidR="00C265A3" w:rsidRPr="00C265A3">
        <w:t>по-фрапиращ</w:t>
      </w:r>
      <w:r>
        <w:t xml:space="preserve">, </w:t>
      </w:r>
      <w:r w:rsidR="00C265A3" w:rsidRPr="00C265A3">
        <w:t>като се има предвид,</w:t>
      </w:r>
      <w:r w:rsidR="00C265A3">
        <w:t xml:space="preserve"> че </w:t>
      </w:r>
      <w:r>
        <w:t xml:space="preserve">жалбоподателят е представил </w:t>
      </w:r>
      <w:r w:rsidR="00C265A3">
        <w:t>своето становище</w:t>
      </w:r>
      <w:r>
        <w:t xml:space="preserve"> в отговор на т</w:t>
      </w:r>
      <w:r w:rsidR="00C265A3">
        <w:t>ова</w:t>
      </w:r>
      <w:r>
        <w:t xml:space="preserve"> на Правителството </w:t>
      </w:r>
      <w:r w:rsidR="00C265A3" w:rsidRPr="00C265A3">
        <w:t>и е предявил претенции за справедливо обезщетение на 24 юли 2017 г.</w:t>
      </w:r>
      <w:r>
        <w:t xml:space="preserve">, </w:t>
      </w:r>
      <w:r w:rsidR="00C265A3" w:rsidRPr="00C265A3">
        <w:t xml:space="preserve">т.е. след като по негово искане са били извършени промени в регистрите за гражданско състояние, като въпросните промени са били извършени на 14 юни 2017 г. </w:t>
      </w:r>
      <w:r>
        <w:t>(параграфи 3 и 10 по-горе).</w:t>
      </w:r>
    </w:p>
    <w:p w:rsidR="00D32BC6" w:rsidRPr="004D7FC7" w:rsidRDefault="00CD7E28" w:rsidP="00D32BC6">
      <w:pPr>
        <w:pStyle w:val="JuPara"/>
      </w:pPr>
      <w:r>
        <w:t xml:space="preserve">26.  При тези обстоятелства и с оглед на факта, че Правителството </w:t>
      </w:r>
      <w:r w:rsidR="00A538C9">
        <w:t xml:space="preserve">е било </w:t>
      </w:r>
      <w:r w:rsidR="00A538C9" w:rsidRPr="00A538C9">
        <w:t xml:space="preserve">легитимно </w:t>
      </w:r>
      <w:r>
        <w:t xml:space="preserve">да очаква </w:t>
      </w:r>
      <w:r w:rsidR="00D32BC6" w:rsidRPr="00CD1DBA">
        <w:t>от жалбоподателя да действа в съответствие със задължението си да информира Съда за всички съответни нови</w:t>
      </w:r>
      <w:r>
        <w:t xml:space="preserve"> </w:t>
      </w:r>
      <w:r w:rsidR="00D32BC6" w:rsidRPr="00CD1DBA">
        <w:t>събития, свързани със собственото му гражданско състояние, Съдът заключава, че Правителството не може разумно да бъде държано отговорно за незнанието си на въпросните факти.</w:t>
      </w:r>
    </w:p>
    <w:p w:rsidR="009E483C" w:rsidRDefault="00CD7E28" w:rsidP="00D32BC6">
      <w:pPr>
        <w:pStyle w:val="JuPara"/>
      </w:pPr>
      <w:r>
        <w:t>27.  Правителството заявява, че е узнал</w:t>
      </w:r>
      <w:r w:rsidR="009E483C">
        <w:t>о за въпросните промени на 20</w:t>
      </w:r>
      <w:r>
        <w:t xml:space="preserve"> юли 2023 г. чрез службите на Министерството на регионалното развитие и благоустройството, които са отговорили на </w:t>
      </w:r>
      <w:r w:rsidR="009E483C">
        <w:t>запиване</w:t>
      </w:r>
      <w:r>
        <w:t xml:space="preserve">, отправено от Министерството на правосъдието </w:t>
      </w:r>
      <w:r w:rsidR="009E483C" w:rsidRPr="009E483C">
        <w:t xml:space="preserve">във връзка с изготвянето на плана за действие за изпълнение на индивидуалните мерки </w:t>
      </w:r>
      <w:r>
        <w:t>по</w:t>
      </w:r>
      <w:r w:rsidR="009E483C">
        <w:t xml:space="preserve"> изпълнение на решението на Съда от 9</w:t>
      </w:r>
      <w:r>
        <w:t xml:space="preserve"> юли 2020 г., </w:t>
      </w:r>
      <w:r w:rsidR="009E483C">
        <w:t>като</w:t>
      </w:r>
      <w:r w:rsidR="009E483C" w:rsidRPr="009E483C">
        <w:t xml:space="preserve"> се позовава по-специално на промените, направени в регистрите за гражданско състояние </w:t>
      </w:r>
      <w:r>
        <w:t>(параграф 11 по-горе). Правителството е подало искане</w:t>
      </w:r>
      <w:r w:rsidR="009E483C">
        <w:t>то си за преразглеждане на 29</w:t>
      </w:r>
      <w:r>
        <w:t xml:space="preserve"> декември 2023 г. Поради това Съдът отбелязва, че то е отправило искането си в шестмесечния срок, предвиден в член 80 от Правилника на Съда, </w:t>
      </w:r>
      <w:r w:rsidR="009E483C" w:rsidRPr="009E483C">
        <w:t>и по този начин е спазило второто формално изискване, предвидено в тази разпоредба.</w:t>
      </w:r>
    </w:p>
    <w:p w:rsidR="009669EA" w:rsidRPr="00871BEA" w:rsidRDefault="00CD7E28" w:rsidP="004D7FC7">
      <w:pPr>
        <w:pStyle w:val="JuPara"/>
      </w:pPr>
      <w:r>
        <w:t>28.  </w:t>
      </w:r>
      <w:r w:rsidR="0078519C">
        <w:t>И н</w:t>
      </w:r>
      <w:r>
        <w:t xml:space="preserve">акрая, </w:t>
      </w:r>
      <w:r w:rsidR="0078519C" w:rsidRPr="0078519C">
        <w:t xml:space="preserve">що се отнася до </w:t>
      </w:r>
      <w:r>
        <w:t xml:space="preserve">третото </w:t>
      </w:r>
      <w:proofErr w:type="spellStart"/>
      <w:r>
        <w:t>относимо</w:t>
      </w:r>
      <w:proofErr w:type="spellEnd"/>
      <w:r>
        <w:t xml:space="preserve"> условие, на</w:t>
      </w:r>
      <w:r w:rsidR="0078519C">
        <w:t>ложено от член 80 от Правилника на Съда, Съдът</w:t>
      </w:r>
      <w:r>
        <w:t xml:space="preserve"> припомня, </w:t>
      </w:r>
      <w:r w:rsidR="0078519C" w:rsidRPr="0078519C">
        <w:t>че за да се определи дали фактите, на които се основава едн</w:t>
      </w:r>
      <w:r w:rsidR="0078519C">
        <w:t>о искане</w:t>
      </w:r>
      <w:r w:rsidR="0078519C" w:rsidRPr="0078519C">
        <w:t xml:space="preserve"> за преразглеждане, са от такова естество, че „биха могли да окажат решаващо влияние“</w:t>
      </w:r>
      <w:r w:rsidR="0078519C">
        <w:t>,</w:t>
      </w:r>
      <w:r w:rsidR="0078519C" w:rsidRPr="0078519C">
        <w:t xml:space="preserve"> по смисъла на параграф 1 от то</w:t>
      </w:r>
      <w:r w:rsidR="0078519C">
        <w:t>зи</w:t>
      </w:r>
      <w:r w:rsidR="0078519C" w:rsidRPr="0078519C">
        <w:t xml:space="preserve"> </w:t>
      </w:r>
      <w:r w:rsidR="0078519C">
        <w:t>Правилник,</w:t>
      </w:r>
      <w:r w:rsidR="0078519C" w:rsidRPr="0078519C">
        <w:t xml:space="preserve"> върху изхода на делот</w:t>
      </w:r>
      <w:r w:rsidR="009C3637">
        <w:t>о, във връзка с което е подадено</w:t>
      </w:r>
      <w:r w:rsidR="0078519C" w:rsidRPr="0078519C">
        <w:t xml:space="preserve"> </w:t>
      </w:r>
      <w:r w:rsidR="009C3637">
        <w:t>искането</w:t>
      </w:r>
      <w:r w:rsidR="0078519C" w:rsidRPr="0078519C">
        <w:t>, те трябва да бъдат разгледани във връзка с решението, чието преразглеждане се иска</w:t>
      </w:r>
      <w:r>
        <w:t xml:space="preserve"> (делото </w:t>
      </w:r>
      <w:proofErr w:type="spellStart"/>
      <w:r>
        <w:rPr>
          <w:i/>
          <w:iCs/>
        </w:rPr>
        <w:t>Пардо</w:t>
      </w:r>
      <w:proofErr w:type="spellEnd"/>
      <w:r>
        <w:t xml:space="preserve">, цитирано по-горе, § 22). </w:t>
      </w:r>
      <w:r w:rsidR="000D0A93" w:rsidRPr="000D0A93">
        <w:t xml:space="preserve">След като този момент е установен, за да се допусне искането за преразглеждане на първоначалното решение, е необходимо да се определи дали тези факти наистина са могли да окажат решаващо влияние върху основното решение </w:t>
      </w:r>
      <w:r>
        <w:t>(</w:t>
      </w:r>
      <w:bookmarkStart w:id="14" w:name="_cl8053"/>
      <w:r>
        <w:rPr>
          <w:i/>
        </w:rPr>
        <w:t>Ирландия срещу Обединеното кралство</w:t>
      </w:r>
      <w:bookmarkEnd w:id="14"/>
      <w:r>
        <w:t xml:space="preserve"> (преразглеждане),</w:t>
      </w:r>
      <w:r>
        <w:rPr>
          <w:vertAlign w:val="superscript"/>
        </w:rPr>
        <w:t xml:space="preserve"> </w:t>
      </w:r>
      <w:r w:rsidR="000D0A93">
        <w:t>№ 5310/71, § 120, 20</w:t>
      </w:r>
      <w:r>
        <w:t xml:space="preserve"> март 2018 г.). </w:t>
      </w:r>
      <w:r w:rsidR="000D0A93" w:rsidRPr="000D0A93">
        <w:t xml:space="preserve">За тази цел трябва да се докаже, че е налице фактическа грешка и причинно-следствена връзка между неправилно установения факт и заключението, което Съдът е направил въз основа на него С други думи, </w:t>
      </w:r>
      <w:r w:rsidR="000D0A93" w:rsidRPr="000D0A93">
        <w:lastRenderedPageBreak/>
        <w:t xml:space="preserve">от мотивите на първоначалното решение трябва ясно да се вижда, че Съдът не би стигнал до дадено заключение, ако е бил запознат с истинските факти. В зависимост от обстоятелствата по делото, такива факти, които не са били известни на Съда към момента на разглеждане на делото, могат да бъдат решаващи, например по отношение на статута </w:t>
      </w:r>
      <w:r w:rsidR="000D0A93" w:rsidRPr="00871BEA">
        <w:t xml:space="preserve">на жалбоподателя като жертва или присъждането на справедливо обезщетение </w:t>
      </w:r>
      <w:r w:rsidRPr="00871BEA">
        <w:t>(</w:t>
      </w:r>
      <w:r w:rsidR="000D0A93" w:rsidRPr="00871BEA">
        <w:rPr>
          <w:i/>
        </w:rPr>
        <w:t>пак там</w:t>
      </w:r>
      <w:r w:rsidRPr="00871BEA">
        <w:t>, § 121, с цитираните в него препратки).</w:t>
      </w:r>
    </w:p>
    <w:p w:rsidR="009669EA" w:rsidRDefault="00CD7E28" w:rsidP="004D7FC7">
      <w:pPr>
        <w:pStyle w:val="JuPara"/>
      </w:pPr>
      <w:r w:rsidRPr="00871BEA">
        <w:t xml:space="preserve">29.  По настоящото дело Съдът отбелязва, че в решението си от 9 юли 2020 г. </w:t>
      </w:r>
      <w:r w:rsidR="00840131" w:rsidRPr="00871BEA">
        <w:rPr>
          <w:color w:val="000000"/>
        </w:rPr>
        <w:t>той се основава</w:t>
      </w:r>
      <w:r w:rsidR="00840131" w:rsidRPr="00CD4109">
        <w:rPr>
          <w:color w:val="000000"/>
        </w:rPr>
        <w:t xml:space="preserve"> на констатацията, че българските съдебни органи по същество са преценили, че общ</w:t>
      </w:r>
      <w:r w:rsidR="00840131">
        <w:rPr>
          <w:color w:val="000000"/>
        </w:rPr>
        <w:t>ествения</w:t>
      </w:r>
      <w:r w:rsidR="00840131" w:rsidRPr="00CD4109">
        <w:rPr>
          <w:color w:val="000000"/>
        </w:rPr>
        <w:t xml:space="preserve"> интерес изисква държавата да не допуска </w:t>
      </w:r>
      <w:r w:rsidR="00840131">
        <w:rPr>
          <w:color w:val="000000"/>
        </w:rPr>
        <w:t xml:space="preserve">юридическа </w:t>
      </w:r>
      <w:r w:rsidR="00840131" w:rsidRPr="00CD4109">
        <w:rPr>
          <w:color w:val="000000"/>
        </w:rPr>
        <w:t xml:space="preserve">промяна на пола на жалбоподателя, </w:t>
      </w:r>
      <w:r w:rsidR="00840131">
        <w:rPr>
          <w:color w:val="000000"/>
        </w:rPr>
        <w:t>след което</w:t>
      </w:r>
      <w:r w:rsidR="00840131" w:rsidRPr="00CD4109">
        <w:rPr>
          <w:color w:val="000000"/>
        </w:rPr>
        <w:t xml:space="preserve"> са отхвърлили</w:t>
      </w:r>
      <w:r w:rsidR="00840131">
        <w:rPr>
          <w:color w:val="000000"/>
        </w:rPr>
        <w:t xml:space="preserve"> подаденият през 2015 г.</w:t>
      </w:r>
      <w:r w:rsidR="00840131" w:rsidRPr="00CD4109">
        <w:rPr>
          <w:color w:val="000000"/>
        </w:rPr>
        <w:t xml:space="preserve"> от </w:t>
      </w:r>
      <w:r w:rsidR="00840131">
        <w:rPr>
          <w:color w:val="000000"/>
        </w:rPr>
        <w:t>него</w:t>
      </w:r>
      <w:r w:rsidR="00840131" w:rsidRPr="00CD4109">
        <w:rPr>
          <w:color w:val="000000"/>
        </w:rPr>
        <w:t xml:space="preserve"> </w:t>
      </w:r>
      <w:r w:rsidR="00840131">
        <w:rPr>
          <w:color w:val="000000"/>
        </w:rPr>
        <w:t>иск.</w:t>
      </w:r>
      <w:r w:rsidR="00840131" w:rsidRPr="00CD4109">
        <w:rPr>
          <w:color w:val="000000"/>
        </w:rPr>
        <w:t xml:space="preserve"> </w:t>
      </w:r>
      <w:r w:rsidR="00840131">
        <w:rPr>
          <w:color w:val="000000"/>
        </w:rPr>
        <w:t xml:space="preserve">Съдът </w:t>
      </w:r>
      <w:r w:rsidR="00840131">
        <w:t>о</w:t>
      </w:r>
      <w:r>
        <w:t xml:space="preserve">тбелязва, че съдилищата не са </w:t>
      </w:r>
      <w:r w:rsidR="00840131" w:rsidRPr="00840131">
        <w:t xml:space="preserve">развили мотивите си относно точното естество на обществения интерес </w:t>
      </w:r>
      <w:r>
        <w:t>и не са успели</w:t>
      </w:r>
      <w:r w:rsidR="00840131">
        <w:t xml:space="preserve">, </w:t>
      </w:r>
      <w:r>
        <w:t>в рамките на предоставената</w:t>
      </w:r>
      <w:r w:rsidR="00840131">
        <w:t xml:space="preserve"> им</w:t>
      </w:r>
      <w:r>
        <w:t xml:space="preserve"> свобода на преценка, да балансират този интерес с правото на жалбоподателя за признаване на неговата сексуална идентичност. </w:t>
      </w:r>
      <w:r w:rsidR="001E60AA" w:rsidRPr="001E60AA">
        <w:t>При тези обстоятелства Съдът не е могъл да установи причините от общ</w:t>
      </w:r>
      <w:r w:rsidR="001E60AA">
        <w:t>ествен</w:t>
      </w:r>
      <w:r w:rsidR="001E60AA" w:rsidRPr="001E60AA">
        <w:t xml:space="preserve"> интерес, които са довели до отказа да се съобрази полът на жалбоподателя в регистрите за гражданско състояние </w:t>
      </w:r>
      <w:r>
        <w:t xml:space="preserve">с </w:t>
      </w:r>
      <w:r w:rsidR="001E60AA" w:rsidRPr="001E60AA">
        <w:t>неговата мъжественост</w:t>
      </w:r>
      <w:r>
        <w:t xml:space="preserve">. </w:t>
      </w:r>
      <w:r w:rsidR="001E60AA" w:rsidRPr="001E60AA">
        <w:t xml:space="preserve">Поради това Съдът заключава, че като са отказали да признаят по съдебен ред промяната на пола на жалбоподателя, без да изложат достатъчни и релевантни причини за този отказ и без да обяснят защо в други случаи такава промяна може да бъде призната, националните власти неоправдано са нарушили правото на жалбоподателя на зачитане на личния му живот </w:t>
      </w:r>
      <w:r>
        <w:t>(</w:t>
      </w:r>
      <w:bookmarkStart w:id="15" w:name="_cl19367"/>
      <w:r>
        <w:rPr>
          <w:i/>
        </w:rPr>
        <w:t>Я.Т. с/у България</w:t>
      </w:r>
      <w:bookmarkEnd w:id="15"/>
      <w:r>
        <w:t>, цитирано по-горе, §§ 71, 72 и 74).</w:t>
      </w:r>
    </w:p>
    <w:p w:rsidR="009669EA" w:rsidRDefault="004D7FC7" w:rsidP="004D7FC7">
      <w:pPr>
        <w:pStyle w:val="JuPara"/>
        <w:rPr>
          <w:snapToGrid w:val="0"/>
        </w:rPr>
      </w:pPr>
      <w:bookmarkStart w:id="16" w:name="Para17"/>
      <w:r>
        <w:rPr>
          <w:snapToGrid w:val="0"/>
        </w:rPr>
        <w:t>30</w:t>
      </w:r>
      <w:bookmarkEnd w:id="16"/>
      <w:r>
        <w:rPr>
          <w:snapToGrid w:val="0"/>
        </w:rPr>
        <w:t xml:space="preserve">.  Съдът отбелязва, че според информацията, </w:t>
      </w:r>
      <w:r w:rsidR="00BC0C1C">
        <w:rPr>
          <w:snapToGrid w:val="0"/>
        </w:rPr>
        <w:t>предоставена от Правителството,</w:t>
      </w:r>
      <w:r>
        <w:rPr>
          <w:snapToGrid w:val="0"/>
        </w:rPr>
        <w:t xml:space="preserve"> която жалбоподателят не оспорва, </w:t>
      </w:r>
      <w:r w:rsidR="00BC0C1C" w:rsidRPr="00BC0C1C">
        <w:rPr>
          <w:snapToGrid w:val="0"/>
        </w:rPr>
        <w:t xml:space="preserve">към момента на постановяване на решението (т.е. на 9 юли 2020 г.) и дори преди приключването на размяната на </w:t>
      </w:r>
      <w:r w:rsidR="00BC0C1C">
        <w:rPr>
          <w:snapToGrid w:val="0"/>
        </w:rPr>
        <w:t>становища</w:t>
      </w:r>
      <w:r w:rsidR="00BC0C1C" w:rsidRPr="00BC0C1C">
        <w:rPr>
          <w:snapToGrid w:val="0"/>
        </w:rPr>
        <w:t xml:space="preserve"> между страните (през юли 2017 г.) </w:t>
      </w:r>
      <w:r>
        <w:rPr>
          <w:snapToGrid w:val="0"/>
        </w:rPr>
        <w:t xml:space="preserve">Софийският районен съд вече е </w:t>
      </w:r>
      <w:r w:rsidR="00BC0C1C" w:rsidRPr="00BC0C1C">
        <w:rPr>
          <w:snapToGrid w:val="0"/>
        </w:rPr>
        <w:t xml:space="preserve">постановил благоприятно решение по </w:t>
      </w:r>
      <w:r w:rsidR="00BC0C1C">
        <w:rPr>
          <w:snapToGrid w:val="0"/>
        </w:rPr>
        <w:t>второто производство, отделно от това, разгледано</w:t>
      </w:r>
      <w:r w:rsidR="00BC0C1C" w:rsidRPr="00BC0C1C">
        <w:rPr>
          <w:snapToGrid w:val="0"/>
        </w:rPr>
        <w:t xml:space="preserve"> в решението от 2020 г. </w:t>
      </w:r>
      <w:r w:rsidR="00530366" w:rsidRPr="00530366">
        <w:rPr>
          <w:snapToGrid w:val="0"/>
        </w:rPr>
        <w:t xml:space="preserve">Това благоприятно решение </w:t>
      </w:r>
      <w:r w:rsidR="00530366">
        <w:rPr>
          <w:snapToGrid w:val="0"/>
        </w:rPr>
        <w:t xml:space="preserve">е </w:t>
      </w:r>
      <w:r w:rsidR="00530366" w:rsidRPr="00530366">
        <w:rPr>
          <w:snapToGrid w:val="0"/>
        </w:rPr>
        <w:t>позвол</w:t>
      </w:r>
      <w:r w:rsidR="00530366">
        <w:rPr>
          <w:snapToGrid w:val="0"/>
        </w:rPr>
        <w:t>ило</w:t>
      </w:r>
      <w:r w:rsidR="00530366" w:rsidRPr="00530366">
        <w:rPr>
          <w:snapToGrid w:val="0"/>
        </w:rPr>
        <w:t xml:space="preserve"> на жалбоподателя да промени пола и името си в регистрите за гражданско състояние (вж. точка 10 по-горе). Съдът обаче не е бил информиран за тези обстоятелства преди постановяването на решението (вж. точка 24 по-горе) и следователно се е произнесъл единствено въз основа на документите и информацията, с които е разполагал към онзи момент. Тъй като същността на първоначалното оплак</w:t>
      </w:r>
      <w:r w:rsidR="00530366">
        <w:rPr>
          <w:snapToGrid w:val="0"/>
        </w:rPr>
        <w:t>ване на жалбоподателя е свързано</w:t>
      </w:r>
      <w:r w:rsidR="00530366" w:rsidRPr="00530366">
        <w:rPr>
          <w:snapToGrid w:val="0"/>
        </w:rPr>
        <w:t xml:space="preserve"> с отказа на националните </w:t>
      </w:r>
      <w:r w:rsidR="00530366">
        <w:rPr>
          <w:snapToGrid w:val="0"/>
        </w:rPr>
        <w:t xml:space="preserve">власти </w:t>
      </w:r>
      <w:r w:rsidR="00530366" w:rsidRPr="00530366">
        <w:rPr>
          <w:snapToGrid w:val="0"/>
        </w:rPr>
        <w:t>да извършат въп</w:t>
      </w:r>
      <w:r w:rsidR="00530366">
        <w:rPr>
          <w:snapToGrid w:val="0"/>
        </w:rPr>
        <w:t>росните промени, Съдът счита,</w:t>
      </w:r>
      <w:r>
        <w:rPr>
          <w:snapToGrid w:val="0"/>
        </w:rPr>
        <w:t xml:space="preserve"> че </w:t>
      </w:r>
      <w:proofErr w:type="spellStart"/>
      <w:r>
        <w:rPr>
          <w:snapToGrid w:val="0"/>
        </w:rPr>
        <w:t>новоразкритите</w:t>
      </w:r>
      <w:proofErr w:type="spellEnd"/>
      <w:r>
        <w:rPr>
          <w:snapToGrid w:val="0"/>
        </w:rPr>
        <w:t xml:space="preserve"> факти биха могли наистина „да окажат решаващо влияние“ върху </w:t>
      </w:r>
      <w:r w:rsidR="00530366" w:rsidRPr="00530366">
        <w:rPr>
          <w:snapToGrid w:val="0"/>
        </w:rPr>
        <w:t xml:space="preserve">изхода </w:t>
      </w:r>
      <w:r w:rsidR="005F6914">
        <w:rPr>
          <w:snapToGrid w:val="0"/>
        </w:rPr>
        <w:t>от спора в решението</w:t>
      </w:r>
      <w:r>
        <w:rPr>
          <w:snapToGrid w:val="0"/>
        </w:rPr>
        <w:t xml:space="preserve">, тъй като на жалбоподателя е бил признат </w:t>
      </w:r>
      <w:r w:rsidR="00625354">
        <w:rPr>
          <w:snapToGrid w:val="0"/>
        </w:rPr>
        <w:t xml:space="preserve">заявеният от него пол. </w:t>
      </w:r>
      <w:r>
        <w:rPr>
          <w:snapToGrid w:val="0"/>
        </w:rPr>
        <w:t xml:space="preserve">Всъщност Съдът счита, че тези нови факти са пряко свързани с разглеждането </w:t>
      </w:r>
      <w:r w:rsidR="005F6914">
        <w:rPr>
          <w:snapToGrid w:val="0"/>
        </w:rPr>
        <w:t xml:space="preserve">по </w:t>
      </w:r>
      <w:r w:rsidR="005F6914">
        <w:rPr>
          <w:snapToGrid w:val="0"/>
        </w:rPr>
        <w:lastRenderedPageBreak/>
        <w:t xml:space="preserve">същество </w:t>
      </w:r>
      <w:r>
        <w:rPr>
          <w:snapToGrid w:val="0"/>
        </w:rPr>
        <w:t xml:space="preserve">на основателността на твърденията по член 8, доколкото те </w:t>
      </w:r>
      <w:r w:rsidR="005F6914">
        <w:rPr>
          <w:snapToGrid w:val="0"/>
        </w:rPr>
        <w:t>доказват</w:t>
      </w:r>
      <w:r>
        <w:rPr>
          <w:snapToGrid w:val="0"/>
        </w:rPr>
        <w:t xml:space="preserve">, че признаването на </w:t>
      </w:r>
      <w:r w:rsidR="005F6914">
        <w:rPr>
          <w:snapToGrid w:val="0"/>
        </w:rPr>
        <w:t>промяната</w:t>
      </w:r>
      <w:r>
        <w:rPr>
          <w:snapToGrid w:val="0"/>
        </w:rPr>
        <w:t xml:space="preserve"> на пола е бил</w:t>
      </w:r>
      <w:r w:rsidR="005F6914">
        <w:rPr>
          <w:snapToGrid w:val="0"/>
        </w:rPr>
        <w:t>а възможна</w:t>
      </w:r>
      <w:r>
        <w:rPr>
          <w:snapToGrid w:val="0"/>
        </w:rPr>
        <w:t xml:space="preserve"> в България</w:t>
      </w:r>
      <w:r w:rsidR="005F6914">
        <w:rPr>
          <w:snapToGrid w:val="0"/>
        </w:rPr>
        <w:t>,</w:t>
      </w:r>
      <w:r>
        <w:rPr>
          <w:snapToGrid w:val="0"/>
        </w:rPr>
        <w:t xml:space="preserve"> </w:t>
      </w:r>
      <w:r w:rsidR="005F6914" w:rsidRPr="005F6914">
        <w:rPr>
          <w:snapToGrid w:val="0"/>
        </w:rPr>
        <w:t>че това е станало в случая на жалбоподателя</w:t>
      </w:r>
      <w:r>
        <w:rPr>
          <w:snapToGrid w:val="0"/>
        </w:rPr>
        <w:t xml:space="preserve">. </w:t>
      </w:r>
      <w:r w:rsidR="005F6914" w:rsidRPr="005F6914">
        <w:rPr>
          <w:snapToGrid w:val="0"/>
        </w:rPr>
        <w:t xml:space="preserve">Най-малкото </w:t>
      </w:r>
      <w:r w:rsidR="005F6914">
        <w:rPr>
          <w:snapToGrid w:val="0"/>
        </w:rPr>
        <w:t>Съдът</w:t>
      </w:r>
      <w:r w:rsidR="005F6914" w:rsidRPr="005F6914">
        <w:rPr>
          <w:snapToGrid w:val="0"/>
        </w:rPr>
        <w:t xml:space="preserve"> отбелязва</w:t>
      </w:r>
      <w:r>
        <w:rPr>
          <w:snapToGrid w:val="0"/>
        </w:rPr>
        <w:t xml:space="preserve">, че това обстоятелство би могло да </w:t>
      </w:r>
      <w:r w:rsidR="005F6914">
        <w:rPr>
          <w:snapToGrid w:val="0"/>
        </w:rPr>
        <w:t xml:space="preserve">окаже </w:t>
      </w:r>
      <w:r>
        <w:rPr>
          <w:snapToGrid w:val="0"/>
        </w:rPr>
        <w:t xml:space="preserve">решаващо влияние както относно преценката по същество, така и по отношение на справедливото обезщетение, доколкото в решението си </w:t>
      </w:r>
      <w:r w:rsidR="005F6914">
        <w:rPr>
          <w:snapToGrid w:val="0"/>
        </w:rPr>
        <w:t>от 9</w:t>
      </w:r>
      <w:r>
        <w:rPr>
          <w:snapToGrid w:val="0"/>
        </w:rPr>
        <w:t> юли 2020 г. Съдът изхожда от принципа, че липсата на признаване на положението на жалбоподателя по отношение на сексуал</w:t>
      </w:r>
      <w:r w:rsidR="005F6914">
        <w:rPr>
          <w:snapToGrid w:val="0"/>
        </w:rPr>
        <w:t>ната му идентичност е продължило</w:t>
      </w:r>
      <w:r>
        <w:rPr>
          <w:snapToGrid w:val="0"/>
        </w:rPr>
        <w:t xml:space="preserve"> до 2020 г., а то всъщност е приключило през 2017 г.</w:t>
      </w:r>
    </w:p>
    <w:p w:rsidR="008F29D2" w:rsidRDefault="004D7FC7" w:rsidP="004D7FC7">
      <w:pPr>
        <w:pStyle w:val="JuPara"/>
      </w:pPr>
      <w:bookmarkStart w:id="17" w:name="Para25"/>
      <w:r>
        <w:t>31</w:t>
      </w:r>
      <w:bookmarkEnd w:id="17"/>
      <w:r>
        <w:t xml:space="preserve">.  С оглед на това заключение не е необходимо да се проучва допълнително дали </w:t>
      </w:r>
      <w:proofErr w:type="spellStart"/>
      <w:r w:rsidR="00DE0C49">
        <w:t>новопостъпилите</w:t>
      </w:r>
      <w:proofErr w:type="spellEnd"/>
      <w:r w:rsidR="00DE0C49">
        <w:t xml:space="preserve"> факти </w:t>
      </w:r>
      <w:r>
        <w:t xml:space="preserve">са от такова естество, че да окажат влияние върху отговора, който </w:t>
      </w:r>
      <w:r w:rsidR="00DE0C49">
        <w:t>Съдът</w:t>
      </w:r>
      <w:r>
        <w:t xml:space="preserve"> би дал на въпроса дали, </w:t>
      </w:r>
      <w:r w:rsidR="00DE0C49" w:rsidRPr="00DE0C49">
        <w:t>въпреки признаването на промяната на пола му на 14 юни 2017 г.</w:t>
      </w:r>
      <w:r>
        <w:t xml:space="preserve">, жалбоподателят е запазил </w:t>
      </w:r>
      <w:r w:rsidR="008F29D2" w:rsidRPr="008F29D2">
        <w:t>статута на „жертва“ по смисъла на член 34 от Конвенцията по отношение на периода преди тази дата.</w:t>
      </w:r>
    </w:p>
    <w:p w:rsidR="008F29D2" w:rsidRDefault="004D7FC7" w:rsidP="004D7FC7">
      <w:pPr>
        <w:pStyle w:val="JuPara"/>
      </w:pPr>
      <w:r>
        <w:t>32.  </w:t>
      </w:r>
      <w:r w:rsidR="008F29D2" w:rsidRPr="008F29D2">
        <w:t>С оглед на гореизложеното Съдът счита, че решението, постановено на 9 юли 2020 г., следва да бъде преразгледано изцяло в съответствие с правило 80 от Правилника на Съда.</w:t>
      </w:r>
    </w:p>
    <w:p w:rsidR="009669EA" w:rsidRDefault="00CD7E28" w:rsidP="004D7FC7">
      <w:pPr>
        <w:pStyle w:val="JuPara"/>
      </w:pPr>
      <w:r>
        <w:t xml:space="preserve">33.  Видно от параграф 13 по-горе, Правителството </w:t>
      </w:r>
      <w:r w:rsidR="00871BEA">
        <w:t xml:space="preserve">изтъква, че </w:t>
      </w:r>
      <w:r w:rsidR="00871BEA" w:rsidRPr="00871BEA">
        <w:t xml:space="preserve">е налице злоупотреба с правото на жалба, тъй като жалбоподателят не е информирал Съда за фактите, възникнали във връзка със съдебното производство, довело до </w:t>
      </w:r>
      <w:r w:rsidR="00871BEA">
        <w:t>юридическо</w:t>
      </w:r>
      <w:r w:rsidR="00871BEA" w:rsidRPr="00871BEA">
        <w:t xml:space="preserve"> признаване на промяна</w:t>
      </w:r>
      <w:r w:rsidR="00871BEA">
        <w:t>та</w:t>
      </w:r>
      <w:r w:rsidR="00871BEA" w:rsidRPr="00871BEA">
        <w:t xml:space="preserve"> на пола</w:t>
      </w:r>
      <w:r w:rsidR="00871BEA">
        <w:t xml:space="preserve"> му</w:t>
      </w:r>
      <w:r w:rsidR="00871BEA" w:rsidRPr="00871BEA">
        <w:t xml:space="preserve"> </w:t>
      </w:r>
      <w:r>
        <w:t xml:space="preserve">(параграф 13 по-горе). Жалбоподателят отговоря, че не е съобщил тази информация на Съда, защото </w:t>
      </w:r>
      <w:r w:rsidR="00871BEA">
        <w:t xml:space="preserve">е </w:t>
      </w:r>
      <w:r>
        <w:t>смята</w:t>
      </w:r>
      <w:r w:rsidR="00871BEA">
        <w:t>л</w:t>
      </w:r>
      <w:r>
        <w:t xml:space="preserve">, че тя е без значение и по никакъв начин </w:t>
      </w:r>
      <w:r w:rsidR="00871BEA">
        <w:t>не е можело</w:t>
      </w:r>
      <w:r>
        <w:t xml:space="preserve"> да промени заключението, което Съдът е трябвало да направи </w:t>
      </w:r>
      <w:r w:rsidR="00871BEA" w:rsidRPr="00871BEA">
        <w:t>по отношение на искането му</w:t>
      </w:r>
      <w:r>
        <w:t xml:space="preserve"> </w:t>
      </w:r>
      <w:r w:rsidR="00871BEA" w:rsidRPr="00871BEA">
        <w:t>за предоставяне на статут на жертва</w:t>
      </w:r>
      <w:r>
        <w:t xml:space="preserve"> (параграф 15 по-горе).</w:t>
      </w:r>
    </w:p>
    <w:p w:rsidR="009669EA" w:rsidRPr="004D7FC7" w:rsidRDefault="00CD7E28" w:rsidP="004D7FC7">
      <w:pPr>
        <w:pStyle w:val="JuPara"/>
      </w:pPr>
      <w:r>
        <w:t xml:space="preserve">34.  Съдът припомня, че по принцип всяко поведение на жалбоподател, което явно противоречи на целта на правото на </w:t>
      </w:r>
      <w:r w:rsidR="00AC5698">
        <w:t>жалба</w:t>
      </w:r>
      <w:r>
        <w:t xml:space="preserve">, установено от Конвенцията, </w:t>
      </w:r>
      <w:r w:rsidR="00AC5698" w:rsidRPr="00AC5698">
        <w:t>и което възпрепятства правилното функциониране на Съда или правилното провеждане на производството пред него, може да бъде окачествено като злоупотреба по смисъла на член 35 § 3 (а) от Конвенцията</w:t>
      </w:r>
      <w:r>
        <w:t xml:space="preserve"> (делото </w:t>
      </w:r>
      <w:r>
        <w:rPr>
          <w:i/>
        </w:rPr>
        <w:t>S.A.S. срещу Франция</w:t>
      </w:r>
      <w:r>
        <w:t xml:space="preserve"> [ГК],</w:t>
      </w:r>
      <w:r>
        <w:rPr>
          <w:snapToGrid w:val="0"/>
          <w:vertAlign w:val="superscript"/>
        </w:rPr>
        <w:t xml:space="preserve"> </w:t>
      </w:r>
      <w:r>
        <w:rPr>
          <w:snapToGrid w:val="0"/>
        </w:rPr>
        <w:t xml:space="preserve">№ </w:t>
      </w:r>
      <w:r>
        <w:t xml:space="preserve">43835/11, § 66, ЕСПЧ 2014 (извадки) и делото </w:t>
      </w:r>
      <w:proofErr w:type="spellStart"/>
      <w:r>
        <w:rPr>
          <w:i/>
        </w:rPr>
        <w:t>Биволару</w:t>
      </w:r>
      <w:proofErr w:type="spellEnd"/>
      <w:r>
        <w:rPr>
          <w:i/>
        </w:rPr>
        <w:t xml:space="preserve"> (</w:t>
      </w:r>
      <w:proofErr w:type="spellStart"/>
      <w:r>
        <w:rPr>
          <w:i/>
        </w:rPr>
        <w:t>Bivolaru</w:t>
      </w:r>
      <w:proofErr w:type="spellEnd"/>
      <w:r>
        <w:rPr>
          <w:i/>
        </w:rPr>
        <w:t>) срещу Румъния</w:t>
      </w:r>
      <w:r>
        <w:t>,</w:t>
      </w:r>
      <w:r>
        <w:rPr>
          <w:vertAlign w:val="superscript"/>
        </w:rPr>
        <w:t xml:space="preserve"> </w:t>
      </w:r>
      <w:r w:rsidR="00706B41">
        <w:t>№ 28796/04, § 82, 28</w:t>
      </w:r>
      <w:r>
        <w:t> февруари 2017 г.). Тази разпоредба, в съответните ѝ части в</w:t>
      </w:r>
      <w:r w:rsidR="00706B41">
        <w:t>ъв връзка с</w:t>
      </w:r>
      <w:r>
        <w:t xml:space="preserve"> този случай, е формулирана, както следва:</w:t>
      </w:r>
    </w:p>
    <w:p w:rsidR="009669EA" w:rsidRPr="004D7FC7" w:rsidRDefault="00CD7E28" w:rsidP="004D7FC7">
      <w:pPr>
        <w:pStyle w:val="JuQuot"/>
        <w:rPr>
          <w:rFonts w:eastAsia="Times New Roman"/>
        </w:rPr>
      </w:pPr>
      <w:r>
        <w:t>„3.  Съдът обявява за недопустима всяка индивидуална жалба, подадена на основание член 34, когато счете, че:</w:t>
      </w:r>
    </w:p>
    <w:p w:rsidR="009669EA" w:rsidRDefault="00706B41" w:rsidP="004D7FC7">
      <w:pPr>
        <w:pStyle w:val="JuQuot"/>
      </w:pPr>
      <w:r>
        <w:t>а) че жалбата представлява</w:t>
      </w:r>
      <w:r w:rsidR="00CD7E28">
        <w:t xml:space="preserve"> (...) злоупотреба с правото на жалба; (...). “</w:t>
      </w:r>
    </w:p>
    <w:p w:rsidR="009669EA" w:rsidRDefault="00CD7E28" w:rsidP="00706B41">
      <w:pPr>
        <w:pStyle w:val="JuPara"/>
        <w:ind w:firstLine="0"/>
      </w:pPr>
      <w:r>
        <w:t xml:space="preserve">35.  Една жалба може да бъде отхвърлена като злоупотреба по смисъла на член 35, § 3 от Конвенцията, </w:t>
      </w:r>
      <w:r w:rsidR="008C35EC" w:rsidRPr="008C35EC">
        <w:t>ак</w:t>
      </w:r>
      <w:r w:rsidR="008C35EC">
        <w:t xml:space="preserve">о съзнателно се е основавала </w:t>
      </w:r>
      <w:r>
        <w:t xml:space="preserve">на </w:t>
      </w:r>
      <w:r w:rsidR="008C35EC">
        <w:t>противоречиви</w:t>
      </w:r>
      <w:r>
        <w:t xml:space="preserve"> факти (делото </w:t>
      </w:r>
      <w:proofErr w:type="spellStart"/>
      <w:r>
        <w:rPr>
          <w:i/>
        </w:rPr>
        <w:t>Грос</w:t>
      </w:r>
      <w:proofErr w:type="spellEnd"/>
      <w:r>
        <w:rPr>
          <w:i/>
        </w:rPr>
        <w:t xml:space="preserve"> (</w:t>
      </w:r>
      <w:proofErr w:type="spellStart"/>
      <w:r>
        <w:rPr>
          <w:i/>
        </w:rPr>
        <w:t>Gross</w:t>
      </w:r>
      <w:proofErr w:type="spellEnd"/>
      <w:r>
        <w:rPr>
          <w:i/>
        </w:rPr>
        <w:t xml:space="preserve">) с/у Швейцария </w:t>
      </w:r>
      <w:r>
        <w:t>[ГК]</w:t>
      </w:r>
      <w:r>
        <w:rPr>
          <w:snapToGrid w:val="0"/>
          <w:vertAlign w:val="superscript"/>
        </w:rPr>
        <w:t xml:space="preserve"> </w:t>
      </w:r>
      <w:r>
        <w:rPr>
          <w:snapToGrid w:val="0"/>
        </w:rPr>
        <w:t>, №</w:t>
      </w:r>
      <w:r>
        <w:t xml:space="preserve"> </w:t>
      </w:r>
      <w:r>
        <w:lastRenderedPageBreak/>
        <w:t>67810/10, § 28, ЕСПЧ 2014 г.). Непълната и следователно подвеждаща инфо</w:t>
      </w:r>
      <w:r w:rsidR="008C35EC">
        <w:t xml:space="preserve">рмация може да се квалифицира </w:t>
      </w:r>
      <w:r>
        <w:t xml:space="preserve">като злоупотреба с правото на индивидуална </w:t>
      </w:r>
      <w:r w:rsidR="008C35EC">
        <w:t>жалба</w:t>
      </w:r>
      <w:r>
        <w:t xml:space="preserve">, особено когато се отнася до същността на делото и жалбоподателят не обяснява в достатъчна степен </w:t>
      </w:r>
      <w:proofErr w:type="spellStart"/>
      <w:r w:rsidR="008C35EC" w:rsidRPr="008C35EC">
        <w:t>неразкриването</w:t>
      </w:r>
      <w:proofErr w:type="spellEnd"/>
      <w:r w:rsidR="008C35EC" w:rsidRPr="008C35EC">
        <w:t xml:space="preserve"> на съответната информация</w:t>
      </w:r>
      <w:r>
        <w:t xml:space="preserve"> (делото </w:t>
      </w:r>
      <w:proofErr w:type="spellStart"/>
      <w:r>
        <w:rPr>
          <w:i/>
        </w:rPr>
        <w:t>Gardean</w:t>
      </w:r>
      <w:proofErr w:type="spellEnd"/>
      <w:r>
        <w:rPr>
          <w:i/>
        </w:rPr>
        <w:t xml:space="preserve"> </w:t>
      </w:r>
      <w:proofErr w:type="spellStart"/>
      <w:r>
        <w:rPr>
          <w:i/>
        </w:rPr>
        <w:t>иt</w:t>
      </w:r>
      <w:proofErr w:type="spellEnd"/>
      <w:r>
        <w:rPr>
          <w:i/>
        </w:rPr>
        <w:t xml:space="preserve"> S.C. </w:t>
      </w:r>
      <w:proofErr w:type="spellStart"/>
      <w:r>
        <w:rPr>
          <w:i/>
        </w:rPr>
        <w:t>Grup</w:t>
      </w:r>
      <w:proofErr w:type="spellEnd"/>
      <w:r>
        <w:rPr>
          <w:i/>
        </w:rPr>
        <w:t xml:space="preserve"> 95 SA</w:t>
      </w:r>
      <w:r>
        <w:rPr>
          <w:snapToGrid w:val="0"/>
        </w:rPr>
        <w:t>, цитирано по-горе, § 11</w:t>
      </w:r>
      <w:r>
        <w:t>).</w:t>
      </w:r>
    </w:p>
    <w:p w:rsidR="00471AA2" w:rsidRDefault="00CD7E28" w:rsidP="004D7FC7">
      <w:pPr>
        <w:pStyle w:val="JuPara"/>
      </w:pPr>
      <w:r>
        <w:t xml:space="preserve">36.  Видно от параграф </w:t>
      </w:r>
      <w:r w:rsidR="00471AA2">
        <w:t>24 по-горе, съгласно правило 47</w:t>
      </w:r>
      <w:r>
        <w:t xml:space="preserve"> § 7 от </w:t>
      </w:r>
      <w:r w:rsidR="00471AA2" w:rsidRPr="00471AA2">
        <w:t>Правилника на Съда всеки жалбоподател е длъжен да информира Съда за „всички факти, които са от значение за разглеждането на неговата или нейната жалба“.</w:t>
      </w:r>
    </w:p>
    <w:p w:rsidR="009669EA" w:rsidRDefault="00CD7E28" w:rsidP="004D7FC7">
      <w:pPr>
        <w:pStyle w:val="JuPara"/>
      </w:pPr>
      <w:r>
        <w:t xml:space="preserve">37.  Съдът вече е установил </w:t>
      </w:r>
      <w:r w:rsidR="005C37EE" w:rsidRPr="005C37EE">
        <w:t xml:space="preserve">значението на спорните факти </w:t>
      </w:r>
      <w:r>
        <w:t xml:space="preserve">за решаването на спора по настоящото дело (параграфи </w:t>
      </w:r>
      <w:r>
        <w:rPr>
          <w:snapToGrid w:val="0"/>
        </w:rPr>
        <w:t>30</w:t>
      </w:r>
      <w:r>
        <w:t xml:space="preserve"> и 31</w:t>
      </w:r>
      <w:r>
        <w:rPr>
          <w:rFonts w:ascii="Calibri" w:hAnsi="Calibri"/>
          <w:sz w:val="22"/>
        </w:rPr>
        <w:noBreakHyphen/>
      </w:r>
      <w:r w:rsidR="005C37EE">
        <w:t xml:space="preserve"> по-горе). </w:t>
      </w:r>
      <w:r w:rsidR="006859A1">
        <w:t>Съдът</w:t>
      </w:r>
      <w:r w:rsidR="005C37EE">
        <w:t xml:space="preserve"> с</w:t>
      </w:r>
      <w:r>
        <w:t xml:space="preserve">чита, че поведението на жалбоподателя е </w:t>
      </w:r>
      <w:r w:rsidR="005C37EE">
        <w:t xml:space="preserve">било </w:t>
      </w:r>
      <w:r>
        <w:t xml:space="preserve">неуместно, </w:t>
      </w:r>
      <w:r w:rsidR="005C37EE" w:rsidRPr="005C37EE">
        <w:t>тъй като той не го е информирал, че е получил благоприятно окончателно решение чрез ново съдебно производство и че промяната на пола му е била призната</w:t>
      </w:r>
      <w:r>
        <w:t xml:space="preserve"> (вж., </w:t>
      </w:r>
      <w:proofErr w:type="spellStart"/>
      <w:r>
        <w:rPr>
          <w:i/>
        </w:rPr>
        <w:t>mutatis</w:t>
      </w:r>
      <w:proofErr w:type="spellEnd"/>
      <w:r>
        <w:rPr>
          <w:i/>
        </w:rPr>
        <w:t xml:space="preserve"> </w:t>
      </w:r>
      <w:proofErr w:type="spellStart"/>
      <w:r>
        <w:rPr>
          <w:i/>
        </w:rPr>
        <w:t>mutandis</w:t>
      </w:r>
      <w:proofErr w:type="spellEnd"/>
      <w:r>
        <w:t xml:space="preserve">, делото </w:t>
      </w:r>
      <w:proofErr w:type="spellStart"/>
      <w:r>
        <w:rPr>
          <w:i/>
          <w:iCs/>
        </w:rPr>
        <w:t>Bugajny</w:t>
      </w:r>
      <w:proofErr w:type="spellEnd"/>
      <w:r>
        <w:t xml:space="preserve"> </w:t>
      </w:r>
      <w:r>
        <w:rPr>
          <w:i/>
        </w:rPr>
        <w:t xml:space="preserve">и други с/у Полша </w:t>
      </w:r>
      <w:r>
        <w:t>(преразглеждане),</w:t>
      </w:r>
      <w:r>
        <w:rPr>
          <w:vertAlign w:val="superscript"/>
        </w:rPr>
        <w:t xml:space="preserve"> </w:t>
      </w:r>
      <w:r w:rsidR="005C37EE">
        <w:t>№ 22531/05, § 24, 15</w:t>
      </w:r>
      <w:r>
        <w:t xml:space="preserve"> декември 2009 г., делото </w:t>
      </w:r>
      <w:bookmarkStart w:id="18" w:name="_cl14091"/>
      <w:proofErr w:type="spellStart"/>
      <w:r>
        <w:rPr>
          <w:i/>
          <w:iCs/>
        </w:rPr>
        <w:t>Petroiu</w:t>
      </w:r>
      <w:proofErr w:type="spellEnd"/>
      <w:r>
        <w:t xml:space="preserve"> </w:t>
      </w:r>
      <w:r>
        <w:rPr>
          <w:i/>
        </w:rPr>
        <w:t>с/у Румъния</w:t>
      </w:r>
      <w:bookmarkEnd w:id="18"/>
      <w:r>
        <w:t xml:space="preserve"> (преразглеждане),</w:t>
      </w:r>
      <w:r>
        <w:rPr>
          <w:vertAlign w:val="superscript"/>
        </w:rPr>
        <w:t xml:space="preserve"> </w:t>
      </w:r>
      <w:r w:rsidR="005C37EE">
        <w:t>№ 33055/09, § 23, 7</w:t>
      </w:r>
      <w:r>
        <w:t xml:space="preserve"> февруари 2017 г., както и, </w:t>
      </w:r>
      <w:proofErr w:type="spellStart"/>
      <w:r>
        <w:rPr>
          <w:i/>
        </w:rPr>
        <w:t>mutatis</w:t>
      </w:r>
      <w:proofErr w:type="spellEnd"/>
      <w:r>
        <w:t xml:space="preserve"> </w:t>
      </w:r>
      <w:proofErr w:type="spellStart"/>
      <w:r>
        <w:rPr>
          <w:i/>
          <w:iCs/>
        </w:rPr>
        <w:t>mtutandis</w:t>
      </w:r>
      <w:proofErr w:type="spellEnd"/>
      <w:r>
        <w:t xml:space="preserve">, </w:t>
      </w:r>
      <w:r>
        <w:rPr>
          <w:snapToGrid w:val="0"/>
        </w:rPr>
        <w:t xml:space="preserve">делото </w:t>
      </w:r>
      <w:proofErr w:type="spellStart"/>
      <w:r>
        <w:rPr>
          <w:i/>
          <w:snapToGrid w:val="0"/>
        </w:rPr>
        <w:t>Safaryan</w:t>
      </w:r>
      <w:proofErr w:type="spellEnd"/>
      <w:r>
        <w:rPr>
          <w:i/>
          <w:snapToGrid w:val="0"/>
        </w:rPr>
        <w:t xml:space="preserve"> с/у Армения</w:t>
      </w:r>
      <w:r>
        <w:rPr>
          <w:snapToGrid w:val="0"/>
        </w:rPr>
        <w:t xml:space="preserve"> (</w:t>
      </w:r>
      <w:proofErr w:type="spellStart"/>
      <w:r>
        <w:rPr>
          <w:snapToGrid w:val="0"/>
        </w:rPr>
        <w:t>реш</w:t>
      </w:r>
      <w:proofErr w:type="spellEnd"/>
      <w:r>
        <w:rPr>
          <w:snapToGrid w:val="0"/>
        </w:rPr>
        <w:t>.),</w:t>
      </w:r>
      <w:r>
        <w:rPr>
          <w:snapToGrid w:val="0"/>
          <w:vertAlign w:val="superscript"/>
        </w:rPr>
        <w:t xml:space="preserve"> </w:t>
      </w:r>
      <w:r w:rsidR="005C37EE">
        <w:rPr>
          <w:snapToGrid w:val="0"/>
        </w:rPr>
        <w:t>№ 16346/10, §§ 27 -28, 14</w:t>
      </w:r>
      <w:r>
        <w:rPr>
          <w:snapToGrid w:val="0"/>
        </w:rPr>
        <w:t xml:space="preserve"> януари 2020 г.</w:t>
      </w:r>
      <w:r>
        <w:t xml:space="preserve">). Това обаче несъмнено е </w:t>
      </w:r>
      <w:r w:rsidR="006859A1">
        <w:t xml:space="preserve">била </w:t>
      </w:r>
      <w:r>
        <w:t xml:space="preserve">информация, свързана със същността на делото и </w:t>
      </w:r>
      <w:r w:rsidR="006859A1">
        <w:t>чието значение</w:t>
      </w:r>
      <w:r>
        <w:t xml:space="preserve"> не </w:t>
      </w:r>
      <w:r w:rsidR="006859A1" w:rsidRPr="006859A1">
        <w:t xml:space="preserve">е </w:t>
      </w:r>
      <w:r w:rsidR="006859A1">
        <w:t>трябвало</w:t>
      </w:r>
      <w:r w:rsidR="006859A1" w:rsidRPr="006859A1">
        <w:t xml:space="preserve"> да бъде пренебрегнато от жалбоподателя, който освен това е бил представляван от същия адвокат</w:t>
      </w:r>
      <w:r w:rsidR="000B3373">
        <w:t>, който го е представлявал и в производството</w:t>
      </w:r>
      <w:r w:rsidR="006859A1" w:rsidRPr="006859A1">
        <w:t xml:space="preserve"> пред Съда</w:t>
      </w:r>
      <w:r w:rsidR="000B3373">
        <w:t>,</w:t>
      </w:r>
      <w:r w:rsidR="006859A1" w:rsidRPr="006859A1">
        <w:t xml:space="preserve"> и в </w:t>
      </w:r>
      <w:r w:rsidR="000B3373">
        <w:t>премълчаното</w:t>
      </w:r>
      <w:r w:rsidR="006859A1" w:rsidRPr="006859A1">
        <w:t xml:space="preserve"> </w:t>
      </w:r>
      <w:r w:rsidR="000B3373">
        <w:t>национално производство</w:t>
      </w:r>
      <w:r w:rsidR="006859A1" w:rsidRPr="006859A1">
        <w:t xml:space="preserve"> </w:t>
      </w:r>
      <w:r>
        <w:t>(параграф 10 по</w:t>
      </w:r>
      <w:r>
        <w:noBreakHyphen/>
        <w:t>горе).</w:t>
      </w:r>
    </w:p>
    <w:p w:rsidR="009669EA" w:rsidRDefault="00CD7E28" w:rsidP="004D7FC7">
      <w:pPr>
        <w:pStyle w:val="JuPara"/>
      </w:pPr>
      <w:r>
        <w:t xml:space="preserve">38.  Следователно, след като не е бил информиран за обстоятелствата, свързани с второто национално производство, довело до промяна на личните данни на жалбоподателя в регистрите за гражданско състояние, Съдът може само да заключи, че </w:t>
      </w:r>
      <w:r w:rsidR="00636269" w:rsidRPr="00636269">
        <w:t xml:space="preserve">жалбоподателят е действал в нарушение на задължението си по правило 44 C § 1 и 47 § 7 от Правилника на Съда да информира Съда за всички факти, които са от значение за разглеждането на жалбата, и на задължението си да сътрудничи на Съда с оглед на правилното правораздаване, както е предвидено в правило 44 A от Правилника на Съда </w:t>
      </w:r>
      <w:r>
        <w:t xml:space="preserve">(делото </w:t>
      </w:r>
      <w:proofErr w:type="spellStart"/>
      <w:r>
        <w:rPr>
          <w:i/>
          <w:iCs/>
        </w:rPr>
        <w:t>Gardean</w:t>
      </w:r>
      <w:proofErr w:type="spellEnd"/>
      <w:r>
        <w:rPr>
          <w:i/>
        </w:rPr>
        <w:t xml:space="preserve"> и S.C. </w:t>
      </w:r>
      <w:proofErr w:type="spellStart"/>
      <w:r>
        <w:rPr>
          <w:i/>
        </w:rPr>
        <w:t>Grup</w:t>
      </w:r>
      <w:proofErr w:type="spellEnd"/>
      <w:r>
        <w:rPr>
          <w:i/>
        </w:rPr>
        <w:t xml:space="preserve"> 95 SA</w:t>
      </w:r>
      <w:r>
        <w:t>, цитирано по-горе, § 20).</w:t>
      </w:r>
    </w:p>
    <w:p w:rsidR="00C8635E" w:rsidRDefault="00CD7E28" w:rsidP="00C8635E">
      <w:pPr>
        <w:pStyle w:val="JuPara"/>
      </w:pPr>
      <w:r>
        <w:t xml:space="preserve">39.  Поради това Съдът е на мнение, че жалбоподателят съзнателно не </w:t>
      </w:r>
      <w:r w:rsidR="00C8635E">
        <w:t xml:space="preserve">го </w:t>
      </w:r>
      <w:r>
        <w:t>е уведомил за съществуването на нов</w:t>
      </w:r>
      <w:r w:rsidR="00C8635E">
        <w:t xml:space="preserve">ите факти </w:t>
      </w:r>
      <w:r>
        <w:t xml:space="preserve">(вж. също </w:t>
      </w:r>
      <w:r>
        <w:rPr>
          <w:snapToGrid w:val="0"/>
        </w:rPr>
        <w:t>параграф </w:t>
      </w:r>
      <w:r>
        <w:t>24</w:t>
      </w:r>
      <w:r>
        <w:rPr>
          <w:snapToGrid w:val="0"/>
        </w:rPr>
        <w:t xml:space="preserve"> по-горе),</w:t>
      </w:r>
      <w:r>
        <w:t xml:space="preserve"> без да обясни </w:t>
      </w:r>
      <w:proofErr w:type="spellStart"/>
      <w:r>
        <w:t>непредоставянето</w:t>
      </w:r>
      <w:proofErr w:type="spellEnd"/>
      <w:r>
        <w:t xml:space="preserve"> на съответната информация, което</w:t>
      </w:r>
      <w:r w:rsidR="00C8635E" w:rsidRPr="00C8635E">
        <w:t xml:space="preserve"> </w:t>
      </w:r>
      <w:r w:rsidR="00C8635E">
        <w:t>от страна на жалбоподателя</w:t>
      </w:r>
      <w:r>
        <w:t xml:space="preserve"> представлява злоупотреба </w:t>
      </w:r>
      <w:r w:rsidR="00C8635E">
        <w:t>с производството пред Съда .</w:t>
      </w:r>
    </w:p>
    <w:p w:rsidR="009669EA" w:rsidRDefault="00CD7E28" w:rsidP="004D7FC7">
      <w:pPr>
        <w:pStyle w:val="JuPara"/>
      </w:pPr>
      <w:r>
        <w:t>40.  </w:t>
      </w:r>
      <w:r w:rsidR="00FC28C4" w:rsidRPr="00FC28C4">
        <w:t xml:space="preserve">Поради това следва да се приеме, че жалбата представлява злоупотреба </w:t>
      </w:r>
      <w:r>
        <w:t>с правото</w:t>
      </w:r>
      <w:r w:rsidR="00FC28C4">
        <w:t xml:space="preserve"> на жалба по смисъла на член 35</w:t>
      </w:r>
      <w:r>
        <w:t xml:space="preserve"> § 3 от Конвенцията </w:t>
      </w:r>
      <w:r w:rsidR="00FC28C4" w:rsidRPr="00FC28C4">
        <w:t xml:space="preserve">и </w:t>
      </w:r>
      <w:r w:rsidR="00FC28C4">
        <w:t xml:space="preserve">следва </w:t>
      </w:r>
      <w:r w:rsidR="00FC28C4" w:rsidRPr="00FC28C4">
        <w:t xml:space="preserve">да бъде обявена за недопустима на това основание </w:t>
      </w:r>
      <w:r>
        <w:t xml:space="preserve">(делото </w:t>
      </w:r>
      <w:proofErr w:type="spellStart"/>
      <w:r>
        <w:rPr>
          <w:i/>
        </w:rPr>
        <w:t>Gardean</w:t>
      </w:r>
      <w:proofErr w:type="spellEnd"/>
      <w:r>
        <w:rPr>
          <w:i/>
        </w:rPr>
        <w:t xml:space="preserve"> и S.C. </w:t>
      </w:r>
      <w:proofErr w:type="spellStart"/>
      <w:r>
        <w:rPr>
          <w:i/>
        </w:rPr>
        <w:t>Grup</w:t>
      </w:r>
      <w:proofErr w:type="spellEnd"/>
      <w:r>
        <w:rPr>
          <w:i/>
        </w:rPr>
        <w:t xml:space="preserve"> 95 SA</w:t>
      </w:r>
      <w:r>
        <w:t>, цитирано по-горе, § 22).</w:t>
      </w:r>
    </w:p>
    <w:p w:rsidR="009669EA" w:rsidRDefault="004D7FC7" w:rsidP="004D7FC7">
      <w:pPr>
        <w:pStyle w:val="JuPara"/>
      </w:pPr>
      <w:bookmarkStart w:id="19" w:name="Obiter"/>
      <w:r>
        <w:lastRenderedPageBreak/>
        <w:t>41</w:t>
      </w:r>
      <w:bookmarkEnd w:id="19"/>
      <w:r>
        <w:t>.  Съдът взема под внимание аргумента на жалбоподателя, че въпросът, повдигнат в първоначалната жалба (</w:t>
      </w:r>
      <w:r w:rsidR="00ED1C45" w:rsidRPr="00ED1C45">
        <w:t>а именно твърдяната липса във вътрешното право на разпоредби относно смяната на пола</w:t>
      </w:r>
      <w:r>
        <w:t xml:space="preserve">), ще остане неразрешен, </w:t>
      </w:r>
      <w:r w:rsidR="00F569CD" w:rsidRPr="00F569CD">
        <w:t>по-специално с оглед на задължителното тълкувателно решение на Върховния касаци</w:t>
      </w:r>
      <w:r w:rsidR="00F569CD">
        <w:t>онен съд от 20 февруари 2023 г.</w:t>
      </w:r>
      <w:r>
        <w:t xml:space="preserve"> (параг</w:t>
      </w:r>
      <w:r w:rsidR="00F569CD">
        <w:t>раф 17 по-горе). Съдът п</w:t>
      </w:r>
      <w:r>
        <w:t xml:space="preserve">рипомня, че </w:t>
      </w:r>
      <w:r w:rsidR="00F569CD">
        <w:t>властите</w:t>
      </w:r>
      <w:r>
        <w:t xml:space="preserve"> на държавите </w:t>
      </w:r>
      <w:r w:rsidR="00F569CD">
        <w:t xml:space="preserve">– </w:t>
      </w:r>
      <w:r>
        <w:t>страни</w:t>
      </w:r>
      <w:r w:rsidR="00F569CD">
        <w:t xml:space="preserve"> по Конвенцията</w:t>
      </w:r>
      <w:r>
        <w:t xml:space="preserve">, включително българските </w:t>
      </w:r>
      <w:r w:rsidR="00F569CD">
        <w:t>власти</w:t>
      </w:r>
      <w:r>
        <w:t xml:space="preserve">, </w:t>
      </w:r>
      <w:r w:rsidR="00F569CD" w:rsidRPr="00F569CD">
        <w:t xml:space="preserve">са задължени да спазват принципите, установени в съответната съдебна практика </w:t>
      </w:r>
      <w:r>
        <w:t xml:space="preserve">(делото </w:t>
      </w:r>
      <w:bookmarkStart w:id="20" w:name="_cl42267"/>
      <w:proofErr w:type="spellStart"/>
      <w:r>
        <w:rPr>
          <w:i/>
          <w:iCs/>
        </w:rPr>
        <w:t>Федотова</w:t>
      </w:r>
      <w:proofErr w:type="spellEnd"/>
      <w:r>
        <w:rPr>
          <w:i/>
        </w:rPr>
        <w:t xml:space="preserve"> и други с/у Русия</w:t>
      </w:r>
      <w:bookmarkEnd w:id="20"/>
      <w:r>
        <w:t xml:space="preserve"> [ГК],</w:t>
      </w:r>
      <w:r>
        <w:rPr>
          <w:vertAlign w:val="superscript"/>
        </w:rPr>
        <w:t xml:space="preserve"> </w:t>
      </w:r>
      <w:r>
        <w:t xml:space="preserve">№ 40792/10 и 2 </w:t>
      </w:r>
      <w:proofErr w:type="spellStart"/>
      <w:r>
        <w:t>other</w:t>
      </w:r>
      <w:proofErr w:type="spellEnd"/>
      <w:r>
        <w:t xml:space="preserve">, §§ 164 и 178, 17-ти януари 2023 г., и по-специално делото </w:t>
      </w:r>
      <w:bookmarkStart w:id="21" w:name="_cl15466"/>
      <w:r>
        <w:rPr>
          <w:i/>
          <w:iCs/>
        </w:rPr>
        <w:t>С.В. (S.V.)</w:t>
      </w:r>
      <w:r>
        <w:rPr>
          <w:i/>
        </w:rPr>
        <w:t xml:space="preserve"> с/у Италия</w:t>
      </w:r>
      <w:bookmarkEnd w:id="21"/>
      <w:r>
        <w:t>,</w:t>
      </w:r>
      <w:r>
        <w:rPr>
          <w:vertAlign w:val="superscript"/>
        </w:rPr>
        <w:t xml:space="preserve"> </w:t>
      </w:r>
      <w:r>
        <w:t>№ 55216/08, 11-ти октомври 2018 г</w:t>
      </w:r>
      <w:bookmarkStart w:id="22" w:name="_cl19329"/>
      <w:bookmarkStart w:id="23" w:name="_cl40307"/>
      <w:r>
        <w:t xml:space="preserve">., </w:t>
      </w:r>
      <w:r>
        <w:rPr>
          <w:i/>
        </w:rPr>
        <w:t>X с/у Бивша югославска република Македония</w:t>
      </w:r>
      <w:bookmarkEnd w:id="22"/>
      <w:r>
        <w:t>,</w:t>
      </w:r>
      <w:r>
        <w:rPr>
          <w:vertAlign w:val="superscript"/>
        </w:rPr>
        <w:t xml:space="preserve"> </w:t>
      </w:r>
      <w:r>
        <w:t xml:space="preserve">№ 29683/16, 17-ти януари 2019 г., </w:t>
      </w:r>
      <w:r>
        <w:rPr>
          <w:i/>
        </w:rPr>
        <w:t xml:space="preserve">X </w:t>
      </w:r>
      <w:proofErr w:type="spellStart"/>
      <w:r>
        <w:rPr>
          <w:i/>
        </w:rPr>
        <w:t>and</w:t>
      </w:r>
      <w:proofErr w:type="spellEnd"/>
      <w:r>
        <w:rPr>
          <w:i/>
        </w:rPr>
        <w:t xml:space="preserve"> Y с/у Румъния</w:t>
      </w:r>
      <w:bookmarkEnd w:id="23"/>
      <w:r>
        <w:t xml:space="preserve">, цитирано по-горе, </w:t>
      </w:r>
      <w:bookmarkStart w:id="24" w:name="_cl42190"/>
      <w:r>
        <w:rPr>
          <w:i/>
        </w:rPr>
        <w:t>A.D. и други срещу Грузия</w:t>
      </w:r>
      <w:bookmarkEnd w:id="24"/>
      <w:r>
        <w:rPr>
          <w:i/>
        </w:rPr>
        <w:t xml:space="preserve">, </w:t>
      </w:r>
      <w:r>
        <w:t>. № 57864/17 и 2 други,</w:t>
      </w:r>
      <w:r>
        <w:rPr>
          <w:vertAlign w:val="superscript"/>
        </w:rPr>
        <w:t xml:space="preserve"> 1</w:t>
      </w:r>
      <w:r>
        <w:t xml:space="preserve"> декември 2022 г. и </w:t>
      </w:r>
      <w:bookmarkStart w:id="25" w:name="_cl42626"/>
      <w:r>
        <w:rPr>
          <w:i/>
        </w:rPr>
        <w:t>R.K. С/у Унгария</w:t>
      </w:r>
      <w:bookmarkEnd w:id="25"/>
      <w:r>
        <w:t>,</w:t>
      </w:r>
      <w:r>
        <w:rPr>
          <w:vertAlign w:val="superscript"/>
        </w:rPr>
        <w:t xml:space="preserve"> </w:t>
      </w:r>
      <w:r>
        <w:t xml:space="preserve">№ 54006/20, 22-ри юни 2023 г., вж. също делото </w:t>
      </w:r>
      <w:proofErr w:type="spellStart"/>
      <w:r>
        <w:rPr>
          <w:i/>
        </w:rPr>
        <w:t>Hämäläinen</w:t>
      </w:r>
      <w:proofErr w:type="spellEnd"/>
      <w:r>
        <w:rPr>
          <w:i/>
        </w:rPr>
        <w:t xml:space="preserve"> </w:t>
      </w:r>
      <w:r>
        <w:t>с/у Финландия [ГК],</w:t>
      </w:r>
      <w:r>
        <w:rPr>
          <w:vertAlign w:val="superscript"/>
        </w:rPr>
        <w:t xml:space="preserve"> </w:t>
      </w:r>
      <w:r>
        <w:t>№ 37359/09, §§ 65 -67, ЕСПЧ 2014 г., с цитираните там препратки).</w:t>
      </w:r>
    </w:p>
    <w:p w:rsidR="00CF51FC" w:rsidRDefault="00CD7E28" w:rsidP="004D7FC7">
      <w:pPr>
        <w:pStyle w:val="JuPara"/>
      </w:pPr>
      <w:r>
        <w:t>42.  Освен това, по-специално по отношение на България, в решението по делото</w:t>
      </w:r>
      <w:r>
        <w:rPr>
          <w:i/>
        </w:rPr>
        <w:t xml:space="preserve"> П.Х. срещу България</w:t>
      </w:r>
      <w:r>
        <w:t xml:space="preserve">, цитирано по-горе, Съдът установи нарушение на член 8 от Конвенцията </w:t>
      </w:r>
      <w:r w:rsidR="00CF51FC" w:rsidRPr="00CF51FC">
        <w:t>поради факта, че съдебните органи са отказали да признаят</w:t>
      </w:r>
      <w:r>
        <w:t xml:space="preserve"> </w:t>
      </w:r>
      <w:r w:rsidR="00CF51FC" w:rsidRPr="00CF51FC">
        <w:t>за законен заявения от жалбоподателя пол по това дело, без да изложат достатъчни и релевантни причини за такъв отказ</w:t>
      </w:r>
      <w:r>
        <w:t xml:space="preserve"> (делото </w:t>
      </w:r>
      <w:r>
        <w:rPr>
          <w:i/>
        </w:rPr>
        <w:t>П.Х. срещу България</w:t>
      </w:r>
      <w:r>
        <w:t xml:space="preserve">, цитирано по-горе, §§ 12, 15 – 17 и 19). Следователно Съдът </w:t>
      </w:r>
      <w:r w:rsidR="00CF51FC" w:rsidRPr="00CF51FC">
        <w:t xml:space="preserve">ясно е установил по дело, отнасящо се до държавата-ответник, че отказът да се даде </w:t>
      </w:r>
      <w:r w:rsidR="00CF51FC">
        <w:t>юридическо</w:t>
      </w:r>
      <w:r w:rsidR="00CF51FC" w:rsidRPr="00CF51FC">
        <w:t xml:space="preserve"> признание на заявения от жалбоподателя пол, без да се посочат достатъчни и релевантни причини относно, наред с другото, естеството на обществения интерес, противопоставящ се на исканото признаване, неоправдано се намесва в правото на жалбоподателя на зачитане на личния му живот по смисъла на чл. 8.</w:t>
      </w:r>
    </w:p>
    <w:p w:rsidR="00CF51FC" w:rsidRDefault="004D7FC7" w:rsidP="00CF51FC">
      <w:pPr>
        <w:pStyle w:val="JuPara"/>
      </w:pPr>
      <w:r>
        <w:t xml:space="preserve">43.  При тези обстоятелства недопустимостта на </w:t>
      </w:r>
      <w:r w:rsidR="00CF51FC" w:rsidRPr="00CF51FC">
        <w:t xml:space="preserve">жалбата на жалбоподателя по изложените по-горе причини не засяга задълженията на държавата </w:t>
      </w:r>
      <w:r w:rsidR="00CF51FC">
        <w:t xml:space="preserve">- </w:t>
      </w:r>
      <w:r w:rsidR="00CF51FC" w:rsidRPr="00CF51FC">
        <w:t xml:space="preserve">ответник по член 8 от Конвенцията по отношение на </w:t>
      </w:r>
      <w:proofErr w:type="spellStart"/>
      <w:r w:rsidR="00CF51FC">
        <w:t>юридиеското</w:t>
      </w:r>
      <w:proofErr w:type="spellEnd"/>
      <w:r w:rsidR="00CF51FC" w:rsidRPr="00CF51FC">
        <w:t xml:space="preserve"> признаване на промяната на пола.</w:t>
      </w:r>
    </w:p>
    <w:p w:rsidR="00CF51FC" w:rsidRDefault="00CF51FC" w:rsidP="00976621">
      <w:pPr>
        <w:pStyle w:val="JuPara"/>
        <w:ind w:firstLine="0"/>
      </w:pPr>
    </w:p>
    <w:p w:rsidR="00976621" w:rsidRDefault="00976621" w:rsidP="00CF51FC">
      <w:pPr>
        <w:pStyle w:val="JuPara"/>
      </w:pPr>
    </w:p>
    <w:p w:rsidR="009669EA" w:rsidRDefault="00CD7E28" w:rsidP="00CF51FC">
      <w:pPr>
        <w:pStyle w:val="JuPara"/>
      </w:pPr>
      <w:r>
        <w:t>ПО ТЕЗИ ПРИЧИНИ СЪДЪТ</w:t>
      </w:r>
    </w:p>
    <w:p w:rsidR="00976621" w:rsidRPr="004D7FC7" w:rsidRDefault="00976621" w:rsidP="00976621">
      <w:pPr>
        <w:pStyle w:val="JuList"/>
        <w:keepNext/>
        <w:keepLines/>
      </w:pPr>
      <w:r>
        <w:rPr>
          <w:i/>
        </w:rPr>
        <w:lastRenderedPageBreak/>
        <w:t>Реши</w:t>
      </w:r>
      <w:r>
        <w:t xml:space="preserve"> единодушно да уважи искането за преразглеждане на решението от 9 юли 2020 г. и</w:t>
      </w:r>
    </w:p>
    <w:p w:rsidR="00976621" w:rsidRPr="004D7FC7" w:rsidRDefault="00976621" w:rsidP="00976621">
      <w:pPr>
        <w:pStyle w:val="JuList"/>
        <w:keepNext/>
        <w:keepLines/>
      </w:pPr>
      <w:r>
        <w:rPr>
          <w:i/>
        </w:rPr>
        <w:t>Обявява</w:t>
      </w:r>
      <w:r>
        <w:t xml:space="preserve"> жалбата за недопустима с шест на един гласа.</w:t>
      </w:r>
    </w:p>
    <w:p w:rsidR="00976621" w:rsidRPr="00976621" w:rsidRDefault="00976621" w:rsidP="00976621">
      <w:pPr>
        <w:pStyle w:val="JuParaLast"/>
      </w:pPr>
      <w:r>
        <w:t>Изготвено на френски език и оповестено в писмен вид на 04 юли 2024 г., съгласно член 77, параграфи 2 и 3 от Правилника на Съда.</w:t>
      </w:r>
    </w:p>
    <w:p w:rsidR="00976621" w:rsidRPr="004D7FC7" w:rsidRDefault="00976621" w:rsidP="00976621">
      <w:pPr>
        <w:pStyle w:val="JuSigned"/>
      </w:pPr>
      <w:r>
        <w:tab/>
        <w:t xml:space="preserve">Виктор </w:t>
      </w:r>
      <w:proofErr w:type="spellStart"/>
      <w:r>
        <w:t>Соловейчик</w:t>
      </w:r>
      <w:proofErr w:type="spellEnd"/>
      <w:r>
        <w:tab/>
      </w:r>
      <w:proofErr w:type="spellStart"/>
      <w:r>
        <w:t>Síofra</w:t>
      </w:r>
      <w:proofErr w:type="spellEnd"/>
      <w:r>
        <w:t xml:space="preserve"> </w:t>
      </w:r>
      <w:proofErr w:type="spellStart"/>
      <w:r>
        <w:t>O’Leary</w:t>
      </w:r>
      <w:proofErr w:type="spellEnd"/>
      <w:r>
        <w:br/>
      </w:r>
      <w:r>
        <w:tab/>
        <w:t>Секретар</w:t>
      </w:r>
      <w:r>
        <w:tab/>
        <w:t>Председател</w:t>
      </w:r>
    </w:p>
    <w:p w:rsidR="00E95E13" w:rsidRPr="004D7FC7" w:rsidRDefault="00976621" w:rsidP="00976621">
      <w:pPr>
        <w:pStyle w:val="JuParaLast"/>
        <w:sectPr w:rsidR="00E95E13" w:rsidRPr="004D7FC7">
          <w:headerReference w:type="even" r:id="rId13"/>
          <w:headerReference w:type="default" r:id="rId14"/>
          <w:footerReference w:type="default" r:id="rId15"/>
          <w:footnotePr>
            <w:numRestart w:val="eachSect"/>
          </w:footnotePr>
          <w:pgSz w:w="11906" w:h="16838" w:code="9"/>
          <w:pgMar w:top="2274" w:right="2274" w:bottom="2274" w:left="2274" w:header="1701" w:footer="720" w:gutter="0"/>
          <w:pgNumType w:start="1"/>
          <w:cols w:space="720"/>
          <w:noEndnote/>
        </w:sectPr>
      </w:pPr>
      <w:r>
        <w:t xml:space="preserve">Съгласно член 45, параграф 2 от Конвенцията и член 74, параграф 2 от Правилника към настоящото решение се прилага отделно становище на съдия K. </w:t>
      </w:r>
      <w:proofErr w:type="spellStart"/>
      <w:r>
        <w:t>Šimáčková</w:t>
      </w:r>
      <w:proofErr w:type="spellEnd"/>
      <w:r>
        <w:t>.</w:t>
      </w:r>
    </w:p>
    <w:p w:rsidR="00CE500E" w:rsidRPr="004D7FC7" w:rsidRDefault="00CD7E28" w:rsidP="00976621">
      <w:pPr>
        <w:keepNext/>
        <w:keepLines/>
        <w:spacing w:after="240"/>
        <w:outlineLvl w:val="0"/>
        <w:rPr>
          <w:rFonts w:ascii="Times New Roman" w:eastAsia="Times New Roman" w:hAnsi="Times New Roman" w:cs="Times New Roman"/>
          <w:sz w:val="28"/>
        </w:rPr>
      </w:pPr>
      <w:r>
        <w:rPr>
          <w:rFonts w:ascii="Times New Roman" w:hAnsi="Times New Roman"/>
          <w:caps/>
          <w:sz w:val="28"/>
        </w:rPr>
        <w:lastRenderedPageBreak/>
        <w:t>ОСОБЕНО МНЕНИЕ на съдия</w:t>
      </w:r>
      <w:r>
        <w:rPr>
          <w:rFonts w:ascii="Times New Roman" w:hAnsi="Times New Roman"/>
          <w:sz w:val="28"/>
        </w:rPr>
        <w:t xml:space="preserve"> ŠIMÁČKOVÁ</w:t>
      </w:r>
    </w:p>
    <w:p w:rsidR="00CE500E" w:rsidRPr="004D7FC7" w:rsidRDefault="00CD7E28" w:rsidP="004D7FC7">
      <w:pPr>
        <w:pStyle w:val="JuPara"/>
      </w:pPr>
      <w:r>
        <w:t xml:space="preserve">1.  Напълно разбирам причините, които накараха мнозинството да реши да преразгледа решението. Съгласна съм също, че взаимното доверие и сътрудничество са необходими за справедливото правораздаване. Известно ми е, че има основно задължение да си сътрудничим със Съда и да му предоставяме цялата необходима информация. Затова се съгласих с решението за уважаване на </w:t>
      </w:r>
      <w:r w:rsidR="00C77E2C">
        <w:t xml:space="preserve">искането </w:t>
      </w:r>
      <w:r>
        <w:t>за преразглеждане на делото.</w:t>
      </w:r>
    </w:p>
    <w:p w:rsidR="00CE500E" w:rsidRPr="004D7FC7" w:rsidRDefault="00CD7E28" w:rsidP="004D7FC7">
      <w:pPr>
        <w:pStyle w:val="JuPara"/>
      </w:pPr>
      <w:r>
        <w:t xml:space="preserve">2.  Приветствам и факта, че мнозинството подчерта важността на защитата на основните права на транссексуалните лица и изпълнителния характер на задълженията, произтичащи от тях, като се позова на последващото решение по делото </w:t>
      </w:r>
      <w:r>
        <w:rPr>
          <w:i/>
        </w:rPr>
        <w:t xml:space="preserve">П.Х. срещу България, </w:t>
      </w:r>
      <w:r>
        <w:t>както и косвената критика на тълкувателното решение, постановено през 2023 г. от българския Върховен касационен съд.</w:t>
      </w:r>
    </w:p>
    <w:p w:rsidR="00CE500E" w:rsidRPr="004D7FC7" w:rsidRDefault="00CD7E28" w:rsidP="004D7FC7">
      <w:pPr>
        <w:pStyle w:val="JuPara"/>
      </w:pPr>
      <w:r>
        <w:t>3.  Въпреки това не мога да се съглася със заключението, че жалбоподателят всъщност е злоупотребил с правото си в настоящия случай по причини, свързани, от една страна, със спецификата на делото и, от друга страна, с прекомерната строгост, показана от Съда по въпроса за злоупотребата с права в неговата съдебна практика като цяло.</w:t>
      </w:r>
    </w:p>
    <w:p w:rsidR="00CE500E" w:rsidRPr="004D7FC7" w:rsidRDefault="00CD7E28" w:rsidP="004D7FC7">
      <w:pPr>
        <w:pStyle w:val="JuPara"/>
      </w:pPr>
      <w:r>
        <w:t xml:space="preserve">4.  За да преценя ситуацията тук, ми се струва важно да се поставя на мястото на жалбоподателя, който е бил принуден от националното законодателство и съдилища да се </w:t>
      </w:r>
      <w:r w:rsidR="00C77E2C">
        <w:t>осакати</w:t>
      </w:r>
      <w:r>
        <w:t>, за да бъде това, което наистина е в душата си.</w:t>
      </w:r>
    </w:p>
    <w:p w:rsidR="00CE500E" w:rsidRPr="004D7FC7" w:rsidRDefault="00CD7E28" w:rsidP="004D7FC7">
      <w:pPr>
        <w:pStyle w:val="JuPara"/>
      </w:pPr>
      <w:r>
        <w:t xml:space="preserve">5.  Убедена съм, че принудителната стерилизация на транссексуалните хора е едно от най-жестоките </w:t>
      </w:r>
      <w:r w:rsidR="00C77E2C">
        <w:t>форми на третиране</w:t>
      </w:r>
      <w:r>
        <w:t>, пред които са изправени хората в Европа. В тази връзка се позовавам на изявлението на специалния докладчик на ООН за изтезанията и други форми на жестоко, нечовешко или унизително отнасяне или наказание: „</w:t>
      </w:r>
      <w:r w:rsidR="00C77E2C" w:rsidRPr="00C77E2C">
        <w:t xml:space="preserve">„[в] държавите, в които </w:t>
      </w:r>
      <w:r>
        <w:t>е разрешена промяна на половите белези в документите за самоличност, тя може да бъде предмет на злоупотреби, като например изискването за операция за смяна на пола, принудителна стерилизация или други наложени медицински мерки (A/HRC/29/23). Дори когато това не е предписано от закона, принудителната стерилизация често се практикува върху транссексуални лица. Тези практики са израз на дискриминация, основана на сексуална ориентация и полова идентичност, нарушават правото на всеки на физическа неприкосновеност и самоопределение и представляват форма на малтретиране или изтезание” (доклад от 5-ти януари 2016 г. до Съвета на ООН по правата на човека (A/HRC/31/57), параграф 49).</w:t>
      </w:r>
    </w:p>
    <w:p w:rsidR="00CE500E" w:rsidRPr="004D7FC7" w:rsidRDefault="00CD7E28" w:rsidP="004D7FC7">
      <w:pPr>
        <w:pStyle w:val="JuPara"/>
      </w:pPr>
      <w:r>
        <w:t xml:space="preserve">6.  Когато транссексуален човек е изправен пред своето положение и сексуален преход, това вече е изключително трудно пътуване, дори и да има пълната подкрепа на здравните специалисти, закона и тяхната среда. Още по-лошо е, когато националното законодателство е </w:t>
      </w:r>
      <w:r>
        <w:lastRenderedPageBreak/>
        <w:t>произволно и неясно. Ако в такава трудна лична ситуация въпросното лице трябва да заведе дело и пред съд, това може да бъде непоносимо. Може би единственото нещо, което може да му даде сили да се възползва от справедливостта в такава сложна ситуация, е да знае, че го прави не само за себе си, но и за други хора в подобна ситуация, които страдат като него.</w:t>
      </w:r>
    </w:p>
    <w:p w:rsidR="00CE500E" w:rsidRPr="004D7FC7" w:rsidRDefault="00CD7E28" w:rsidP="004D7FC7">
      <w:pPr>
        <w:pStyle w:val="JuPara"/>
      </w:pPr>
      <w:r>
        <w:t xml:space="preserve">7.  Въпреки че жалбоподателят в крайна сметка </w:t>
      </w:r>
      <w:r w:rsidR="00C77E2C">
        <w:t xml:space="preserve">е </w:t>
      </w:r>
      <w:r>
        <w:t>спечели</w:t>
      </w:r>
      <w:r w:rsidR="00C77E2C">
        <w:t>л</w:t>
      </w:r>
      <w:r>
        <w:t xml:space="preserve"> делото си на национално ниво, той </w:t>
      </w:r>
      <w:r w:rsidR="00C77E2C">
        <w:t>е знаел</w:t>
      </w:r>
      <w:r>
        <w:t xml:space="preserve"> колко решаващо може да бъде решението на ЕСПЧ за други хора в същото положение като него. Той или адвокатът му </w:t>
      </w:r>
      <w:r w:rsidR="00C77E2C">
        <w:t>са допуснали грешка</w:t>
      </w:r>
      <w:r>
        <w:t xml:space="preserve"> по простата причина, че </w:t>
      </w:r>
      <w:r w:rsidR="00C77E2C">
        <w:t>са искали</w:t>
      </w:r>
      <w:r>
        <w:t xml:space="preserve"> да помогнат на други в подобна ситуация. И очевидно не са сгрешили, тъй като само три години след решението по делото на жалбоподателя българският Върховен касационен съд категорично се противопоставя, че тези хора могат да получат </w:t>
      </w:r>
      <w:r w:rsidR="00C77E2C">
        <w:t>благоприятно</w:t>
      </w:r>
      <w:r>
        <w:t xml:space="preserve"> съдебно решение като това, получено от жалбоподателя, пред по-</w:t>
      </w:r>
      <w:proofErr w:type="spellStart"/>
      <w:r w:rsidR="00C77E2C">
        <w:t>долустоящите</w:t>
      </w:r>
      <w:proofErr w:type="spellEnd"/>
      <w:r>
        <w:t xml:space="preserve"> съдилища. Наистина ли е било необходимо жалбоподателят да бъде наказан, като бъде обвинен в злоупотреба с права? Не би ли било достатъчно да се преразгледа решението в смисъла, предложен от жалбоподателя (параграфи 15 – 17 от решението за преразглеждане), което би позволило на Съда да се произнесе по съответната национална правна рамка – решаващ въпрос, който стана изключително важен след неотдавнашното тълкувателно решение на българския Върховен касационен съд, и да се намали присъденото обезщетение или дори, евентуално, да санкционира </w:t>
      </w:r>
      <w:r w:rsidR="00C77E2C">
        <w:t>адвоката</w:t>
      </w:r>
      <w:r>
        <w:t xml:space="preserve"> на жалбоподателя, който е юрист?</w:t>
      </w:r>
    </w:p>
    <w:p w:rsidR="00CE500E" w:rsidRPr="004D7FC7" w:rsidRDefault="00CD7E28" w:rsidP="004D7FC7">
      <w:pPr>
        <w:pStyle w:val="JuPara"/>
      </w:pPr>
      <w:r>
        <w:t xml:space="preserve">8.  Това ме води до последната причина, която ме кара да считам, че настоящата съдебна практика относно злоупотребата с права като цяло е твърде тежка за жалбоподателя. Ако някой може да бъде задължен да сътрудничи и да бъде обвинен за липса на сътрудничество, това е </w:t>
      </w:r>
      <w:r w:rsidR="00C77E2C">
        <w:t>адвоката на</w:t>
      </w:r>
      <w:r>
        <w:t xml:space="preserve"> жалбоподателя, бидейки юрист, а не самият жалбоподател.</w:t>
      </w:r>
    </w:p>
    <w:p w:rsidR="00CE500E" w:rsidRPr="004D7FC7" w:rsidRDefault="00CD7E28" w:rsidP="004D7FC7">
      <w:pPr>
        <w:pStyle w:val="JuPara"/>
      </w:pPr>
      <w:r>
        <w:t xml:space="preserve">9.  Противопоставям се по принцип на санкционирането на жалбоподател за грешките на неговия адвокат. Ситуацията се е променила в сравнение с предишната съдебна практика. Сега разполагаме с инструмент за изключване на адвокати, действащи като представители пред Съда (новото правило 44D от Правилника на Съда). В ситуации като тази, ако мнозинството настоява някой да бъде санкциониран, то те трябва да санкционират </w:t>
      </w:r>
      <w:r w:rsidR="00C77E2C">
        <w:t>адвоката</w:t>
      </w:r>
      <w:r>
        <w:t xml:space="preserve"> на жалбоподателя, а не последния. Конфликтът между отговорностите на </w:t>
      </w:r>
      <w:r w:rsidR="00C77E2C">
        <w:t>адвокат</w:t>
      </w:r>
      <w:r>
        <w:t xml:space="preserve"> и тези на жалбоподател, който действително е бил засегнат от гледна точка на негови основни права, може да доведе до несправедливост.</w:t>
      </w:r>
    </w:p>
    <w:p w:rsidR="00CE500E" w:rsidRPr="004D7FC7" w:rsidRDefault="00CD7E28" w:rsidP="004D7FC7">
      <w:pPr>
        <w:pStyle w:val="JuPara"/>
      </w:pPr>
      <w:r>
        <w:t xml:space="preserve">10.  В обобщение, причините, поради които изразявам несъгласие с решението, според което жалбата трябва да бъде обявена за недопустима, за да се санкционира злоупотреба с права, извършена от жалбоподателя, се отнасят, от една страна, до особено уязвимото </w:t>
      </w:r>
      <w:r>
        <w:lastRenderedPageBreak/>
        <w:t>положение на жалбоподателя (и други хора в подобна ситуация, които той също е защитавал с действията си), а от друга страна, до съдебната практика на Съда, която смесва отговорността на адвоката с тази на неговия клиент, бидейки самия жалбоподател.</w:t>
      </w:r>
    </w:p>
    <w:sectPr w:rsidR="00CE500E" w:rsidRPr="004D7FC7" w:rsidSect="00E95E13">
      <w:headerReference w:type="even" r:id="rId16"/>
      <w:headerReference w:type="default" r:id="rId17"/>
      <w:footnotePr>
        <w:numRestart w:val="eachSect"/>
      </w:footnotePr>
      <w:pgSz w:w="11906" w:h="16838" w:code="9"/>
      <w:pgMar w:top="2274" w:right="2274" w:bottom="2274" w:left="2274" w:header="170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885" w:rsidRDefault="00801885">
      <w:r>
        <w:separator/>
      </w:r>
    </w:p>
  </w:endnote>
  <w:endnote w:type="continuationSeparator" w:id="0">
    <w:p w:rsidR="00801885" w:rsidRDefault="0080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A1" w:rsidRPr="00F25EFC" w:rsidRDefault="006859A1" w:rsidP="00954AD6">
    <w:pPr>
      <w:pStyle w:val="JuHeader"/>
    </w:pPr>
    <w:r>
      <w:fldChar w:fldCharType="begin"/>
    </w:r>
    <w:r>
      <w:instrText xml:space="preserve"> PAGE  \* MERGEFORMAT </w:instrText>
    </w:r>
    <w:r>
      <w:fldChar w:fldCharType="separate"/>
    </w:r>
    <w:r w:rsidR="005134CB">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A1" w:rsidRPr="00150BFA" w:rsidRDefault="006859A1" w:rsidP="0020718E">
    <w:pPr>
      <w:jc w:val="center"/>
    </w:pPr>
    <w:r>
      <w:rPr>
        <w:noProof/>
        <w:lang w:eastAsia="bg-BG"/>
      </w:rPr>
      <w:drawing>
        <wp:inline distT="0" distB="0" distL="0" distR="0" wp14:anchorId="44BBF54F" wp14:editId="79BEA4F3">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6859A1" w:rsidRPr="00F25EFC" w:rsidRDefault="006859A1"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A1" w:rsidRPr="00150BFA" w:rsidRDefault="006859A1" w:rsidP="0020718E">
    <w:pPr>
      <w:jc w:val="center"/>
    </w:pPr>
    <w:r>
      <w:rPr>
        <w:noProof/>
        <w:lang w:eastAsia="bg-BG"/>
      </w:rPr>
      <w:drawing>
        <wp:inline distT="0" distB="0" distL="0" distR="0" wp14:anchorId="3C5C0A60" wp14:editId="3206C949">
          <wp:extent cx="771525" cy="619125"/>
          <wp:effectExtent l="0" t="0" r="9525" b="9525"/>
          <wp:docPr id="76" name="Picture 7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6859A1" w:rsidRPr="00F25EFC" w:rsidRDefault="006859A1"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A1" w:rsidRPr="00D01935" w:rsidRDefault="006859A1" w:rsidP="00662882">
    <w:pPr>
      <w:pStyle w:val="JuHeader"/>
    </w:pPr>
    <w:r>
      <w:fldChar w:fldCharType="begin"/>
    </w:r>
    <w:r>
      <w:instrText xml:space="preserve"> PAGE  \* MERGEFORMAT </w:instrText>
    </w:r>
    <w:r>
      <w:fldChar w:fldCharType="separate"/>
    </w:r>
    <w:r w:rsidR="005134CB">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885" w:rsidRDefault="00801885">
      <w:r>
        <w:separator/>
      </w:r>
    </w:p>
  </w:footnote>
  <w:footnote w:type="continuationSeparator" w:id="0">
    <w:p w:rsidR="00801885" w:rsidRDefault="00801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A1" w:rsidRPr="00A45145" w:rsidRDefault="006859A1" w:rsidP="00A45145">
    <w:pPr>
      <w:jc w:val="center"/>
    </w:pPr>
    <w:r>
      <w:rPr>
        <w:noProof/>
        <w:lang w:eastAsia="bg-BG"/>
      </w:rPr>
      <w:drawing>
        <wp:inline distT="0" distB="0" distL="0" distR="0" wp14:anchorId="66DE8175" wp14:editId="01195AC5">
          <wp:extent cx="2962275" cy="1219200"/>
          <wp:effectExtent l="0" t="0" r="9525" b="0"/>
          <wp:docPr id="78" name="Picture 7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6859A1" w:rsidRPr="00F25EFC" w:rsidRDefault="006859A1" w:rsidP="009840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A1" w:rsidRPr="00A45145" w:rsidRDefault="006859A1" w:rsidP="00A45145">
    <w:pPr>
      <w:jc w:val="center"/>
    </w:pPr>
    <w:r>
      <w:rPr>
        <w:noProof/>
        <w:lang w:eastAsia="bg-BG"/>
      </w:rPr>
      <w:drawing>
        <wp:inline distT="0" distB="0" distL="0" distR="0" wp14:anchorId="21CAEDFF" wp14:editId="011922E3">
          <wp:extent cx="2962275" cy="1219200"/>
          <wp:effectExtent l="0" t="0" r="9525" b="0"/>
          <wp:docPr id="71" name="Picture 7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6859A1" w:rsidRPr="00F25EFC" w:rsidRDefault="006859A1"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A1" w:rsidRPr="009669EA" w:rsidRDefault="006859A1" w:rsidP="00A21624">
    <w:pPr>
      <w:pStyle w:val="JuHeader"/>
    </w:pPr>
    <w:r>
      <w:t>РЕШЕНИЕ по делото Я.Т. срещу БЪЛГАРИЯ (ПРЕРАЗГЛЕЖДАНЕ)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A1" w:rsidRPr="00662882" w:rsidRDefault="006859A1" w:rsidP="00662882">
    <w:pPr>
      <w:pStyle w:val="JuHeader"/>
    </w:pPr>
    <w:r>
      <w:t>РЕШЕНИЕ по делото Я.Т. срещу БЪЛГАРИЯ (ПРЕРАЗГЛЕЖДАНЕ)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A1" w:rsidRPr="009669EA" w:rsidRDefault="006859A1" w:rsidP="00A21624">
    <w:pPr>
      <w:pStyle w:val="JuHeader"/>
    </w:pPr>
    <w:r>
      <w:t>РЕШЕНИЕ по делото Я.Т. срещу БЪЛГАРИЯ (ПРЕРАЗГЛЕЖДАНЕ) – ОТДЕЛНО СТАНОВИЩЕ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A1" w:rsidRPr="00662882" w:rsidRDefault="006859A1" w:rsidP="00662882">
    <w:pPr>
      <w:pStyle w:val="JuHeader"/>
    </w:pPr>
    <w:r>
      <w:t>РЕШЕНИЕ по делото Я.Т. срещу БЪЛГАРИЯ (ПРЕРАЗГЛЕЖДАНЕ) – ОТДЕЛНО СТАНОВИЩЕ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00609FE8"/>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40C66486">
      <w:start w:val="1"/>
      <w:numFmt w:val="bullet"/>
      <w:pStyle w:val="ListBullet"/>
      <w:lvlText w:val=""/>
      <w:lvlJc w:val="left"/>
      <w:pPr>
        <w:tabs>
          <w:tab w:val="num" w:pos="851"/>
        </w:tabs>
        <w:ind w:left="568" w:firstLine="0"/>
      </w:pPr>
      <w:rPr>
        <w:rFonts w:ascii="Wingdings" w:hAnsi="Wingdings" w:hint="default"/>
        <w:color w:val="808080"/>
        <w:sz w:val="16"/>
      </w:rPr>
    </w:lvl>
    <w:lvl w:ilvl="1" w:tplc="CC3A648C" w:tentative="1">
      <w:start w:val="1"/>
      <w:numFmt w:val="bullet"/>
      <w:lvlText w:val="o"/>
      <w:lvlJc w:val="left"/>
      <w:pPr>
        <w:tabs>
          <w:tab w:val="num" w:pos="1724"/>
        </w:tabs>
        <w:ind w:left="1724" w:hanging="360"/>
      </w:pPr>
      <w:rPr>
        <w:rFonts w:ascii="Courier New" w:hAnsi="Courier New" w:cs="Courier New" w:hint="default"/>
      </w:rPr>
    </w:lvl>
    <w:lvl w:ilvl="2" w:tplc="D616A836" w:tentative="1">
      <w:start w:val="1"/>
      <w:numFmt w:val="bullet"/>
      <w:lvlText w:val=""/>
      <w:lvlJc w:val="left"/>
      <w:pPr>
        <w:tabs>
          <w:tab w:val="num" w:pos="2444"/>
        </w:tabs>
        <w:ind w:left="2444" w:hanging="360"/>
      </w:pPr>
      <w:rPr>
        <w:rFonts w:ascii="Wingdings" w:hAnsi="Wingdings" w:hint="default"/>
      </w:rPr>
    </w:lvl>
    <w:lvl w:ilvl="3" w:tplc="A522BB24" w:tentative="1">
      <w:start w:val="1"/>
      <w:numFmt w:val="bullet"/>
      <w:lvlText w:val=""/>
      <w:lvlJc w:val="left"/>
      <w:pPr>
        <w:tabs>
          <w:tab w:val="num" w:pos="3164"/>
        </w:tabs>
        <w:ind w:left="3164" w:hanging="360"/>
      </w:pPr>
      <w:rPr>
        <w:rFonts w:ascii="Symbol" w:hAnsi="Symbol" w:hint="default"/>
      </w:rPr>
    </w:lvl>
    <w:lvl w:ilvl="4" w:tplc="DDA47E44" w:tentative="1">
      <w:start w:val="1"/>
      <w:numFmt w:val="bullet"/>
      <w:lvlText w:val="o"/>
      <w:lvlJc w:val="left"/>
      <w:pPr>
        <w:tabs>
          <w:tab w:val="num" w:pos="3884"/>
        </w:tabs>
        <w:ind w:left="3884" w:hanging="360"/>
      </w:pPr>
      <w:rPr>
        <w:rFonts w:ascii="Courier New" w:hAnsi="Courier New" w:cs="Courier New" w:hint="default"/>
      </w:rPr>
    </w:lvl>
    <w:lvl w:ilvl="5" w:tplc="83D89300" w:tentative="1">
      <w:start w:val="1"/>
      <w:numFmt w:val="bullet"/>
      <w:lvlText w:val=""/>
      <w:lvlJc w:val="left"/>
      <w:pPr>
        <w:tabs>
          <w:tab w:val="num" w:pos="4604"/>
        </w:tabs>
        <w:ind w:left="4604" w:hanging="360"/>
      </w:pPr>
      <w:rPr>
        <w:rFonts w:ascii="Wingdings" w:hAnsi="Wingdings" w:hint="default"/>
      </w:rPr>
    </w:lvl>
    <w:lvl w:ilvl="6" w:tplc="0E0C519E" w:tentative="1">
      <w:start w:val="1"/>
      <w:numFmt w:val="bullet"/>
      <w:lvlText w:val=""/>
      <w:lvlJc w:val="left"/>
      <w:pPr>
        <w:tabs>
          <w:tab w:val="num" w:pos="5324"/>
        </w:tabs>
        <w:ind w:left="5324" w:hanging="360"/>
      </w:pPr>
      <w:rPr>
        <w:rFonts w:ascii="Symbol" w:hAnsi="Symbol" w:hint="default"/>
      </w:rPr>
    </w:lvl>
    <w:lvl w:ilvl="7" w:tplc="92B0CF62" w:tentative="1">
      <w:start w:val="1"/>
      <w:numFmt w:val="bullet"/>
      <w:lvlText w:val="o"/>
      <w:lvlJc w:val="left"/>
      <w:pPr>
        <w:tabs>
          <w:tab w:val="num" w:pos="6044"/>
        </w:tabs>
        <w:ind w:left="6044" w:hanging="360"/>
      </w:pPr>
      <w:rPr>
        <w:rFonts w:ascii="Courier New" w:hAnsi="Courier New" w:cs="Courier New" w:hint="default"/>
      </w:rPr>
    </w:lvl>
    <w:lvl w:ilvl="8" w:tplc="5EEE5CFA"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718C54F2"/>
    <w:multiLevelType w:val="multilevel"/>
    <w:tmpl w:val="00609FE8"/>
    <w:numStyleLink w:val="ECHRA1StyleList"/>
  </w:abstractNum>
  <w:num w:numId="1">
    <w:abstractNumId w:val="17"/>
    <w:lvlOverride w:ilvl="0">
      <w:lvl w:ilvl="0">
        <w:start w:val="1"/>
        <w:numFmt w:val="decimal"/>
        <w:lvlText w:val="%1."/>
        <w:lvlJc w:val="left"/>
        <w:pPr>
          <w:tabs>
            <w:tab w:val="num" w:pos="340"/>
          </w:tabs>
          <w:ind w:left="340" w:hanging="340"/>
        </w:pPr>
        <w:rPr>
          <w:rFonts w:hint="default"/>
        </w:rPr>
      </w:lvl>
    </w:lvlOverride>
  </w:num>
  <w:num w:numId="2">
    <w:abstractNumId w:val="13"/>
  </w:num>
  <w:num w:numId="3">
    <w:abstractNumId w:val="11"/>
  </w:num>
  <w:num w:numId="4">
    <w:abstractNumId w:val="10"/>
  </w:num>
  <w:num w:numId="5">
    <w:abstractNumId w:val="16"/>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14"/>
  </w:num>
  <w:num w:numId="17">
    <w:abstractNumId w:val="12"/>
    <w:lvlOverride w:ilvl="0">
      <w:lvl w:ilvl="0">
        <w:start w:val="1"/>
        <w:numFmt w:val="decimal"/>
        <w:pStyle w:val="JuList"/>
        <w:lvlText w:val="%1."/>
        <w:lvlJc w:val="left"/>
        <w:pPr>
          <w:tabs>
            <w:tab w:val="num" w:pos="340"/>
          </w:tabs>
          <w:ind w:left="340" w:hanging="340"/>
        </w:pPr>
      </w:lvl>
    </w:lvlOverride>
  </w:num>
  <w:num w:numId="18">
    <w:abstractNumId w:val="15"/>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9669EA"/>
    <w:rsid w:val="000041F8"/>
    <w:rsid w:val="000042A8"/>
    <w:rsid w:val="00004308"/>
    <w:rsid w:val="00005BF0"/>
    <w:rsid w:val="00007154"/>
    <w:rsid w:val="000103AE"/>
    <w:rsid w:val="00011D69"/>
    <w:rsid w:val="00012AD3"/>
    <w:rsid w:val="000137B7"/>
    <w:rsid w:val="00015C2D"/>
    <w:rsid w:val="00015F00"/>
    <w:rsid w:val="00022C1D"/>
    <w:rsid w:val="00034987"/>
    <w:rsid w:val="00035EDF"/>
    <w:rsid w:val="00051015"/>
    <w:rsid w:val="000602DF"/>
    <w:rsid w:val="00061B05"/>
    <w:rsid w:val="000632D5"/>
    <w:rsid w:val="000644EE"/>
    <w:rsid w:val="000675A9"/>
    <w:rsid w:val="00080ECE"/>
    <w:rsid w:val="0008621D"/>
    <w:rsid w:val="00086E4E"/>
    <w:rsid w:val="00086E70"/>
    <w:rsid w:val="0009057B"/>
    <w:rsid w:val="000925AD"/>
    <w:rsid w:val="000A20EB"/>
    <w:rsid w:val="000A24EB"/>
    <w:rsid w:val="000B3373"/>
    <w:rsid w:val="000B5D17"/>
    <w:rsid w:val="000B6923"/>
    <w:rsid w:val="000C40FA"/>
    <w:rsid w:val="000C5F3C"/>
    <w:rsid w:val="000C6DCC"/>
    <w:rsid w:val="000D04C2"/>
    <w:rsid w:val="000D0A93"/>
    <w:rsid w:val="000D47AA"/>
    <w:rsid w:val="000D721F"/>
    <w:rsid w:val="000E069B"/>
    <w:rsid w:val="000E0E82"/>
    <w:rsid w:val="000E1DC5"/>
    <w:rsid w:val="000E223F"/>
    <w:rsid w:val="000E4AC8"/>
    <w:rsid w:val="000E7D45"/>
    <w:rsid w:val="000F1305"/>
    <w:rsid w:val="000F19D8"/>
    <w:rsid w:val="000F7851"/>
    <w:rsid w:val="001005FE"/>
    <w:rsid w:val="00104619"/>
    <w:rsid w:val="00104E23"/>
    <w:rsid w:val="00111B0C"/>
    <w:rsid w:val="00112D39"/>
    <w:rsid w:val="00117CD2"/>
    <w:rsid w:val="00120D6C"/>
    <w:rsid w:val="001257EC"/>
    <w:rsid w:val="00131C0B"/>
    <w:rsid w:val="00133D33"/>
    <w:rsid w:val="00134D64"/>
    <w:rsid w:val="00135A30"/>
    <w:rsid w:val="0013612C"/>
    <w:rsid w:val="00137FF6"/>
    <w:rsid w:val="00141650"/>
    <w:rsid w:val="00141D33"/>
    <w:rsid w:val="00150BFA"/>
    <w:rsid w:val="001625AD"/>
    <w:rsid w:val="00162967"/>
    <w:rsid w:val="00162A12"/>
    <w:rsid w:val="00166530"/>
    <w:rsid w:val="00166A30"/>
    <w:rsid w:val="00180B21"/>
    <w:rsid w:val="00181508"/>
    <w:rsid w:val="001832BD"/>
    <w:rsid w:val="001943B5"/>
    <w:rsid w:val="00194C5B"/>
    <w:rsid w:val="00195134"/>
    <w:rsid w:val="001A145B"/>
    <w:rsid w:val="001A2684"/>
    <w:rsid w:val="001A674C"/>
    <w:rsid w:val="001B3B24"/>
    <w:rsid w:val="001C0F98"/>
    <w:rsid w:val="001C2A42"/>
    <w:rsid w:val="001C2B5C"/>
    <w:rsid w:val="001C6A7B"/>
    <w:rsid w:val="001D63ED"/>
    <w:rsid w:val="001D7348"/>
    <w:rsid w:val="001E035B"/>
    <w:rsid w:val="001E0961"/>
    <w:rsid w:val="001E3EAE"/>
    <w:rsid w:val="001E60AA"/>
    <w:rsid w:val="001E6F32"/>
    <w:rsid w:val="001F2145"/>
    <w:rsid w:val="001F39F4"/>
    <w:rsid w:val="001F6262"/>
    <w:rsid w:val="001F67B0"/>
    <w:rsid w:val="001F7B3D"/>
    <w:rsid w:val="00204F24"/>
    <w:rsid w:val="00205F9F"/>
    <w:rsid w:val="0020718E"/>
    <w:rsid w:val="00210338"/>
    <w:rsid w:val="002115FC"/>
    <w:rsid w:val="00212184"/>
    <w:rsid w:val="0021423C"/>
    <w:rsid w:val="00230D00"/>
    <w:rsid w:val="00231364"/>
    <w:rsid w:val="00231DF7"/>
    <w:rsid w:val="00231FD1"/>
    <w:rsid w:val="002339E0"/>
    <w:rsid w:val="00233CF8"/>
    <w:rsid w:val="0023575D"/>
    <w:rsid w:val="00237148"/>
    <w:rsid w:val="0024222D"/>
    <w:rsid w:val="00244B0E"/>
    <w:rsid w:val="00244F6C"/>
    <w:rsid w:val="002532C5"/>
    <w:rsid w:val="002546AE"/>
    <w:rsid w:val="00256F45"/>
    <w:rsid w:val="00260C03"/>
    <w:rsid w:val="0026540E"/>
    <w:rsid w:val="00275123"/>
    <w:rsid w:val="00282240"/>
    <w:rsid w:val="00292350"/>
    <w:rsid w:val="002948AD"/>
    <w:rsid w:val="0029739C"/>
    <w:rsid w:val="002A01CC"/>
    <w:rsid w:val="002A61B1"/>
    <w:rsid w:val="002A663C"/>
    <w:rsid w:val="002B444B"/>
    <w:rsid w:val="002B5887"/>
    <w:rsid w:val="002B7E83"/>
    <w:rsid w:val="002C0E27"/>
    <w:rsid w:val="002C3040"/>
    <w:rsid w:val="002D022D"/>
    <w:rsid w:val="002D24BB"/>
    <w:rsid w:val="002F29AA"/>
    <w:rsid w:val="002F2AF7"/>
    <w:rsid w:val="002F7E1C"/>
    <w:rsid w:val="00301A75"/>
    <w:rsid w:val="00302F70"/>
    <w:rsid w:val="0030336F"/>
    <w:rsid w:val="0030375E"/>
    <w:rsid w:val="0030660C"/>
    <w:rsid w:val="00312A30"/>
    <w:rsid w:val="00316323"/>
    <w:rsid w:val="00320F72"/>
    <w:rsid w:val="0032463E"/>
    <w:rsid w:val="00326224"/>
    <w:rsid w:val="00331961"/>
    <w:rsid w:val="00337EE4"/>
    <w:rsid w:val="00340FFD"/>
    <w:rsid w:val="003471AF"/>
    <w:rsid w:val="003506B1"/>
    <w:rsid w:val="00356650"/>
    <w:rsid w:val="00356AC7"/>
    <w:rsid w:val="003609FA"/>
    <w:rsid w:val="00361D45"/>
    <w:rsid w:val="00367B4F"/>
    <w:rsid w:val="003710C8"/>
    <w:rsid w:val="003722CE"/>
    <w:rsid w:val="003750BE"/>
    <w:rsid w:val="00382F9C"/>
    <w:rsid w:val="00387B9D"/>
    <w:rsid w:val="00387DFB"/>
    <w:rsid w:val="0039364F"/>
    <w:rsid w:val="00396686"/>
    <w:rsid w:val="0039778E"/>
    <w:rsid w:val="003A37B8"/>
    <w:rsid w:val="003B2E3F"/>
    <w:rsid w:val="003B4941"/>
    <w:rsid w:val="003B6A2E"/>
    <w:rsid w:val="003C5714"/>
    <w:rsid w:val="003C6B9F"/>
    <w:rsid w:val="003C6E2A"/>
    <w:rsid w:val="003D0299"/>
    <w:rsid w:val="003D32BE"/>
    <w:rsid w:val="003D344C"/>
    <w:rsid w:val="003E3FE3"/>
    <w:rsid w:val="003E6D80"/>
    <w:rsid w:val="003E7A9C"/>
    <w:rsid w:val="003F05FA"/>
    <w:rsid w:val="003F244A"/>
    <w:rsid w:val="003F30B8"/>
    <w:rsid w:val="003F4C45"/>
    <w:rsid w:val="003F5F7B"/>
    <w:rsid w:val="003F7D64"/>
    <w:rsid w:val="00401F7D"/>
    <w:rsid w:val="00402ADA"/>
    <w:rsid w:val="0041177B"/>
    <w:rsid w:val="00414300"/>
    <w:rsid w:val="00425C67"/>
    <w:rsid w:val="00427E7A"/>
    <w:rsid w:val="00431C07"/>
    <w:rsid w:val="004344E6"/>
    <w:rsid w:val="00436C49"/>
    <w:rsid w:val="0044318F"/>
    <w:rsid w:val="00445366"/>
    <w:rsid w:val="00447F5B"/>
    <w:rsid w:val="00456549"/>
    <w:rsid w:val="004604A0"/>
    <w:rsid w:val="00461DB0"/>
    <w:rsid w:val="00463926"/>
    <w:rsid w:val="00464C9A"/>
    <w:rsid w:val="00471AA2"/>
    <w:rsid w:val="00474F3D"/>
    <w:rsid w:val="00477E3A"/>
    <w:rsid w:val="00483E5F"/>
    <w:rsid w:val="00484EA4"/>
    <w:rsid w:val="00485FF9"/>
    <w:rsid w:val="004907F0"/>
    <w:rsid w:val="0049140B"/>
    <w:rsid w:val="004923A5"/>
    <w:rsid w:val="00496197"/>
    <w:rsid w:val="00496BFB"/>
    <w:rsid w:val="004A15C7"/>
    <w:rsid w:val="004B013B"/>
    <w:rsid w:val="004B112B"/>
    <w:rsid w:val="004B2729"/>
    <w:rsid w:val="004B33B6"/>
    <w:rsid w:val="004B5A5D"/>
    <w:rsid w:val="004C01E4"/>
    <w:rsid w:val="004C086C"/>
    <w:rsid w:val="004C14C4"/>
    <w:rsid w:val="004C1A3F"/>
    <w:rsid w:val="004C1F56"/>
    <w:rsid w:val="004C27BC"/>
    <w:rsid w:val="004D15F3"/>
    <w:rsid w:val="004D3860"/>
    <w:rsid w:val="004D51C3"/>
    <w:rsid w:val="004D5311"/>
    <w:rsid w:val="004D5DCC"/>
    <w:rsid w:val="004D7FC7"/>
    <w:rsid w:val="004E22F1"/>
    <w:rsid w:val="004F10AF"/>
    <w:rsid w:val="004F11A4"/>
    <w:rsid w:val="004F2389"/>
    <w:rsid w:val="004F304D"/>
    <w:rsid w:val="004F617A"/>
    <w:rsid w:val="004F61BE"/>
    <w:rsid w:val="004F66B1"/>
    <w:rsid w:val="00510D77"/>
    <w:rsid w:val="00511C07"/>
    <w:rsid w:val="005134CB"/>
    <w:rsid w:val="00516967"/>
    <w:rsid w:val="00516B59"/>
    <w:rsid w:val="005173A6"/>
    <w:rsid w:val="00520BAA"/>
    <w:rsid w:val="00520BC2"/>
    <w:rsid w:val="00522ABA"/>
    <w:rsid w:val="00525208"/>
    <w:rsid w:val="005257A5"/>
    <w:rsid w:val="005264C0"/>
    <w:rsid w:val="00526A8A"/>
    <w:rsid w:val="00530366"/>
    <w:rsid w:val="00531DF2"/>
    <w:rsid w:val="005442EE"/>
    <w:rsid w:val="00547353"/>
    <w:rsid w:val="005474E7"/>
    <w:rsid w:val="005512A3"/>
    <w:rsid w:val="005578CE"/>
    <w:rsid w:val="00562781"/>
    <w:rsid w:val="00566E2B"/>
    <w:rsid w:val="0057271C"/>
    <w:rsid w:val="00572845"/>
    <w:rsid w:val="00576986"/>
    <w:rsid w:val="00592772"/>
    <w:rsid w:val="00592C8D"/>
    <w:rsid w:val="00594B9A"/>
    <w:rsid w:val="0059574A"/>
    <w:rsid w:val="005A1B9B"/>
    <w:rsid w:val="005A6751"/>
    <w:rsid w:val="005B092E"/>
    <w:rsid w:val="005B152C"/>
    <w:rsid w:val="005B1EE0"/>
    <w:rsid w:val="005B2B24"/>
    <w:rsid w:val="005B4425"/>
    <w:rsid w:val="005B4B94"/>
    <w:rsid w:val="005C353F"/>
    <w:rsid w:val="005C37EE"/>
    <w:rsid w:val="005C3EE8"/>
    <w:rsid w:val="005C5494"/>
    <w:rsid w:val="005D34F9"/>
    <w:rsid w:val="005D4190"/>
    <w:rsid w:val="005D67A3"/>
    <w:rsid w:val="005E2988"/>
    <w:rsid w:val="005E3085"/>
    <w:rsid w:val="005F51E1"/>
    <w:rsid w:val="005F6914"/>
    <w:rsid w:val="006062DD"/>
    <w:rsid w:val="00610F7A"/>
    <w:rsid w:val="00611C80"/>
    <w:rsid w:val="00613B21"/>
    <w:rsid w:val="00620692"/>
    <w:rsid w:val="006242CA"/>
    <w:rsid w:val="00625354"/>
    <w:rsid w:val="00627507"/>
    <w:rsid w:val="00633717"/>
    <w:rsid w:val="006344E1"/>
    <w:rsid w:val="006361FD"/>
    <w:rsid w:val="00636269"/>
    <w:rsid w:val="006545C4"/>
    <w:rsid w:val="00654B7E"/>
    <w:rsid w:val="00661971"/>
    <w:rsid w:val="00661CE8"/>
    <w:rsid w:val="006623D9"/>
    <w:rsid w:val="00662882"/>
    <w:rsid w:val="0066550C"/>
    <w:rsid w:val="006716F2"/>
    <w:rsid w:val="006779BD"/>
    <w:rsid w:val="00682BF2"/>
    <w:rsid w:val="006859A1"/>
    <w:rsid w:val="006859CE"/>
    <w:rsid w:val="00691270"/>
    <w:rsid w:val="00694BA8"/>
    <w:rsid w:val="006A037C"/>
    <w:rsid w:val="006A36F4"/>
    <w:rsid w:val="006A3CE3"/>
    <w:rsid w:val="006A406F"/>
    <w:rsid w:val="006A5D3A"/>
    <w:rsid w:val="006C23D4"/>
    <w:rsid w:val="006C475E"/>
    <w:rsid w:val="006C7BB0"/>
    <w:rsid w:val="006D3237"/>
    <w:rsid w:val="006E2E37"/>
    <w:rsid w:val="006E3CF1"/>
    <w:rsid w:val="006E7E80"/>
    <w:rsid w:val="006F48CA"/>
    <w:rsid w:val="006F64DD"/>
    <w:rsid w:val="00706B41"/>
    <w:rsid w:val="00715127"/>
    <w:rsid w:val="00715E8E"/>
    <w:rsid w:val="007172B0"/>
    <w:rsid w:val="00723580"/>
    <w:rsid w:val="00723755"/>
    <w:rsid w:val="00724AE2"/>
    <w:rsid w:val="00730B5C"/>
    <w:rsid w:val="0073136C"/>
    <w:rsid w:val="00731F0F"/>
    <w:rsid w:val="00733250"/>
    <w:rsid w:val="00735951"/>
    <w:rsid w:val="00741404"/>
    <w:rsid w:val="007449E5"/>
    <w:rsid w:val="00747FF0"/>
    <w:rsid w:val="007612E2"/>
    <w:rsid w:val="00764D4E"/>
    <w:rsid w:val="00765A1F"/>
    <w:rsid w:val="00775B6D"/>
    <w:rsid w:val="00776D68"/>
    <w:rsid w:val="007850EE"/>
    <w:rsid w:val="0078519C"/>
    <w:rsid w:val="00785B95"/>
    <w:rsid w:val="00790AAD"/>
    <w:rsid w:val="00790E96"/>
    <w:rsid w:val="00791F13"/>
    <w:rsid w:val="00793366"/>
    <w:rsid w:val="00794E99"/>
    <w:rsid w:val="007971FF"/>
    <w:rsid w:val="007A4070"/>
    <w:rsid w:val="007A716F"/>
    <w:rsid w:val="007B270A"/>
    <w:rsid w:val="007C0695"/>
    <w:rsid w:val="007C419A"/>
    <w:rsid w:val="007C4CC8"/>
    <w:rsid w:val="007C5426"/>
    <w:rsid w:val="007C5798"/>
    <w:rsid w:val="007D4832"/>
    <w:rsid w:val="007E21B2"/>
    <w:rsid w:val="007E2C4E"/>
    <w:rsid w:val="007F1905"/>
    <w:rsid w:val="00801300"/>
    <w:rsid w:val="00801885"/>
    <w:rsid w:val="00802C64"/>
    <w:rsid w:val="0080523A"/>
    <w:rsid w:val="00805A87"/>
    <w:rsid w:val="00805E52"/>
    <w:rsid w:val="008061D0"/>
    <w:rsid w:val="00810B38"/>
    <w:rsid w:val="008204C7"/>
    <w:rsid w:val="00820992"/>
    <w:rsid w:val="00823602"/>
    <w:rsid w:val="008255F5"/>
    <w:rsid w:val="0083014E"/>
    <w:rsid w:val="0083214A"/>
    <w:rsid w:val="00834220"/>
    <w:rsid w:val="00840131"/>
    <w:rsid w:val="00845723"/>
    <w:rsid w:val="00851EF9"/>
    <w:rsid w:val="008577FD"/>
    <w:rsid w:val="00857CC6"/>
    <w:rsid w:val="00860B03"/>
    <w:rsid w:val="0086497A"/>
    <w:rsid w:val="008713A1"/>
    <w:rsid w:val="00871BEA"/>
    <w:rsid w:val="00873D9C"/>
    <w:rsid w:val="008748BE"/>
    <w:rsid w:val="008754AB"/>
    <w:rsid w:val="00876A02"/>
    <w:rsid w:val="00876F03"/>
    <w:rsid w:val="0088060C"/>
    <w:rsid w:val="0088062C"/>
    <w:rsid w:val="00884261"/>
    <w:rsid w:val="00891107"/>
    <w:rsid w:val="00893576"/>
    <w:rsid w:val="00893E73"/>
    <w:rsid w:val="00893F30"/>
    <w:rsid w:val="00895F5B"/>
    <w:rsid w:val="008A046A"/>
    <w:rsid w:val="008B02DC"/>
    <w:rsid w:val="008B2698"/>
    <w:rsid w:val="008B57CE"/>
    <w:rsid w:val="008C26DE"/>
    <w:rsid w:val="008C35EC"/>
    <w:rsid w:val="008D2225"/>
    <w:rsid w:val="008D4752"/>
    <w:rsid w:val="008E271C"/>
    <w:rsid w:val="008E418E"/>
    <w:rsid w:val="008E5BC6"/>
    <w:rsid w:val="008E6A25"/>
    <w:rsid w:val="008E7A1B"/>
    <w:rsid w:val="008F29D2"/>
    <w:rsid w:val="008F5193"/>
    <w:rsid w:val="009013A7"/>
    <w:rsid w:val="009017FB"/>
    <w:rsid w:val="009017FC"/>
    <w:rsid w:val="009020E3"/>
    <w:rsid w:val="00902601"/>
    <w:rsid w:val="0090506B"/>
    <w:rsid w:val="009050C9"/>
    <w:rsid w:val="009066FC"/>
    <w:rsid w:val="009140A3"/>
    <w:rsid w:val="009144A2"/>
    <w:rsid w:val="0091510C"/>
    <w:rsid w:val="009259AC"/>
    <w:rsid w:val="00926F38"/>
    <w:rsid w:val="00934301"/>
    <w:rsid w:val="00936262"/>
    <w:rsid w:val="00936CD1"/>
    <w:rsid w:val="009375A5"/>
    <w:rsid w:val="00941747"/>
    <w:rsid w:val="00941EFB"/>
    <w:rsid w:val="00946CFE"/>
    <w:rsid w:val="00947AFB"/>
    <w:rsid w:val="00951D7D"/>
    <w:rsid w:val="00954AD6"/>
    <w:rsid w:val="00961E57"/>
    <w:rsid w:val="009630C7"/>
    <w:rsid w:val="009669EA"/>
    <w:rsid w:val="00972B55"/>
    <w:rsid w:val="009743B7"/>
    <w:rsid w:val="00975039"/>
    <w:rsid w:val="00976621"/>
    <w:rsid w:val="00977227"/>
    <w:rsid w:val="0098228B"/>
    <w:rsid w:val="009828DA"/>
    <w:rsid w:val="009840A2"/>
    <w:rsid w:val="00985BAB"/>
    <w:rsid w:val="009B0B66"/>
    <w:rsid w:val="009B1B5F"/>
    <w:rsid w:val="009B6673"/>
    <w:rsid w:val="009C191B"/>
    <w:rsid w:val="009C1BE9"/>
    <w:rsid w:val="009C2BD6"/>
    <w:rsid w:val="009C3637"/>
    <w:rsid w:val="009D2F52"/>
    <w:rsid w:val="009E0E2A"/>
    <w:rsid w:val="009E16D2"/>
    <w:rsid w:val="009E1F32"/>
    <w:rsid w:val="009E483C"/>
    <w:rsid w:val="009E776C"/>
    <w:rsid w:val="00A00672"/>
    <w:rsid w:val="00A027C2"/>
    <w:rsid w:val="00A065BF"/>
    <w:rsid w:val="00A12E48"/>
    <w:rsid w:val="00A132AD"/>
    <w:rsid w:val="00A1726E"/>
    <w:rsid w:val="00A204CF"/>
    <w:rsid w:val="00A21624"/>
    <w:rsid w:val="00A23D49"/>
    <w:rsid w:val="00A27004"/>
    <w:rsid w:val="00A30C29"/>
    <w:rsid w:val="00A34DD6"/>
    <w:rsid w:val="00A36819"/>
    <w:rsid w:val="00A36989"/>
    <w:rsid w:val="00A36E5B"/>
    <w:rsid w:val="00A43628"/>
    <w:rsid w:val="00A43AA3"/>
    <w:rsid w:val="00A45145"/>
    <w:rsid w:val="00A4783F"/>
    <w:rsid w:val="00A538C9"/>
    <w:rsid w:val="00A54192"/>
    <w:rsid w:val="00A6035E"/>
    <w:rsid w:val="00A6144C"/>
    <w:rsid w:val="00A66617"/>
    <w:rsid w:val="00A671F8"/>
    <w:rsid w:val="00A673A4"/>
    <w:rsid w:val="00A724AE"/>
    <w:rsid w:val="00A73329"/>
    <w:rsid w:val="00A75785"/>
    <w:rsid w:val="00A8094B"/>
    <w:rsid w:val="00A81400"/>
    <w:rsid w:val="00A82359"/>
    <w:rsid w:val="00A865D2"/>
    <w:rsid w:val="00A93B76"/>
    <w:rsid w:val="00A94C20"/>
    <w:rsid w:val="00AA227F"/>
    <w:rsid w:val="00AA3BC7"/>
    <w:rsid w:val="00AA5E4E"/>
    <w:rsid w:val="00AA754A"/>
    <w:rsid w:val="00AB052F"/>
    <w:rsid w:val="00AB099E"/>
    <w:rsid w:val="00AB4328"/>
    <w:rsid w:val="00AB5628"/>
    <w:rsid w:val="00AC00C2"/>
    <w:rsid w:val="00AC5698"/>
    <w:rsid w:val="00AC5872"/>
    <w:rsid w:val="00AD2473"/>
    <w:rsid w:val="00AE0A2E"/>
    <w:rsid w:val="00AE354C"/>
    <w:rsid w:val="00AF4B07"/>
    <w:rsid w:val="00AF6186"/>
    <w:rsid w:val="00AF7A3A"/>
    <w:rsid w:val="00B009F4"/>
    <w:rsid w:val="00B160DB"/>
    <w:rsid w:val="00B20836"/>
    <w:rsid w:val="00B235BB"/>
    <w:rsid w:val="00B25320"/>
    <w:rsid w:val="00B25943"/>
    <w:rsid w:val="00B25D3B"/>
    <w:rsid w:val="00B27A44"/>
    <w:rsid w:val="00B30BBF"/>
    <w:rsid w:val="00B33C03"/>
    <w:rsid w:val="00B41A22"/>
    <w:rsid w:val="00B44E56"/>
    <w:rsid w:val="00B46543"/>
    <w:rsid w:val="00B47D33"/>
    <w:rsid w:val="00B52BE0"/>
    <w:rsid w:val="00B54133"/>
    <w:rsid w:val="00B701ED"/>
    <w:rsid w:val="00B751F4"/>
    <w:rsid w:val="00B8086C"/>
    <w:rsid w:val="00B840F7"/>
    <w:rsid w:val="00B861B4"/>
    <w:rsid w:val="00B86DFE"/>
    <w:rsid w:val="00B90990"/>
    <w:rsid w:val="00B922FF"/>
    <w:rsid w:val="00B9281E"/>
    <w:rsid w:val="00B93925"/>
    <w:rsid w:val="00B95187"/>
    <w:rsid w:val="00BA2D55"/>
    <w:rsid w:val="00BA71B1"/>
    <w:rsid w:val="00BB0637"/>
    <w:rsid w:val="00BB16C2"/>
    <w:rsid w:val="00BB345F"/>
    <w:rsid w:val="00BB5CA3"/>
    <w:rsid w:val="00BB68EA"/>
    <w:rsid w:val="00BC0C1C"/>
    <w:rsid w:val="00BC1C27"/>
    <w:rsid w:val="00BC1F03"/>
    <w:rsid w:val="00BC6BBF"/>
    <w:rsid w:val="00BD1572"/>
    <w:rsid w:val="00BE14E3"/>
    <w:rsid w:val="00BE3774"/>
    <w:rsid w:val="00BE41E5"/>
    <w:rsid w:val="00BF4109"/>
    <w:rsid w:val="00BF4B9C"/>
    <w:rsid w:val="00BF4CC3"/>
    <w:rsid w:val="00C00E59"/>
    <w:rsid w:val="00C054C7"/>
    <w:rsid w:val="00C057B5"/>
    <w:rsid w:val="00C149F0"/>
    <w:rsid w:val="00C22687"/>
    <w:rsid w:val="00C25983"/>
    <w:rsid w:val="00C265A3"/>
    <w:rsid w:val="00C32E4D"/>
    <w:rsid w:val="00C333A0"/>
    <w:rsid w:val="00C36408"/>
    <w:rsid w:val="00C36A81"/>
    <w:rsid w:val="00C41974"/>
    <w:rsid w:val="00C45616"/>
    <w:rsid w:val="00C53F4A"/>
    <w:rsid w:val="00C54125"/>
    <w:rsid w:val="00C55B54"/>
    <w:rsid w:val="00C6098E"/>
    <w:rsid w:val="00C6152C"/>
    <w:rsid w:val="00C61D3B"/>
    <w:rsid w:val="00C624FB"/>
    <w:rsid w:val="00C74810"/>
    <w:rsid w:val="00C75DC0"/>
    <w:rsid w:val="00C77E2C"/>
    <w:rsid w:val="00C81ACF"/>
    <w:rsid w:val="00C8635E"/>
    <w:rsid w:val="00C90D68"/>
    <w:rsid w:val="00C91581"/>
    <w:rsid w:val="00C939FE"/>
    <w:rsid w:val="00CA4BDA"/>
    <w:rsid w:val="00CA735A"/>
    <w:rsid w:val="00CA7C61"/>
    <w:rsid w:val="00CB1F66"/>
    <w:rsid w:val="00CB2951"/>
    <w:rsid w:val="00CD1DBA"/>
    <w:rsid w:val="00CD282B"/>
    <w:rsid w:val="00CD4109"/>
    <w:rsid w:val="00CD4C35"/>
    <w:rsid w:val="00CD7369"/>
    <w:rsid w:val="00CD7E28"/>
    <w:rsid w:val="00CE0B0E"/>
    <w:rsid w:val="00CE3831"/>
    <w:rsid w:val="00CE500E"/>
    <w:rsid w:val="00CE57AB"/>
    <w:rsid w:val="00CF51FC"/>
    <w:rsid w:val="00D00ABB"/>
    <w:rsid w:val="00D01935"/>
    <w:rsid w:val="00D02781"/>
    <w:rsid w:val="00D02EEC"/>
    <w:rsid w:val="00D03551"/>
    <w:rsid w:val="00D06A63"/>
    <w:rsid w:val="00D07E0E"/>
    <w:rsid w:val="00D11478"/>
    <w:rsid w:val="00D15ED0"/>
    <w:rsid w:val="00D21B3E"/>
    <w:rsid w:val="00D21C26"/>
    <w:rsid w:val="00D21FED"/>
    <w:rsid w:val="00D24251"/>
    <w:rsid w:val="00D31ECB"/>
    <w:rsid w:val="00D32BC6"/>
    <w:rsid w:val="00D343E2"/>
    <w:rsid w:val="00D361A2"/>
    <w:rsid w:val="00D44C2E"/>
    <w:rsid w:val="00D45414"/>
    <w:rsid w:val="00D54FF1"/>
    <w:rsid w:val="00D55E2C"/>
    <w:rsid w:val="00D566BD"/>
    <w:rsid w:val="00D57A4D"/>
    <w:rsid w:val="00D60AA7"/>
    <w:rsid w:val="00D62A67"/>
    <w:rsid w:val="00D6435F"/>
    <w:rsid w:val="00D74ABD"/>
    <w:rsid w:val="00D75E28"/>
    <w:rsid w:val="00D772C2"/>
    <w:rsid w:val="00D8008E"/>
    <w:rsid w:val="00D81085"/>
    <w:rsid w:val="00D82C45"/>
    <w:rsid w:val="00D908A8"/>
    <w:rsid w:val="00D95692"/>
    <w:rsid w:val="00D96D05"/>
    <w:rsid w:val="00D977B6"/>
    <w:rsid w:val="00DA3634"/>
    <w:rsid w:val="00DA4A31"/>
    <w:rsid w:val="00DA7B04"/>
    <w:rsid w:val="00DB36C2"/>
    <w:rsid w:val="00DB5CBD"/>
    <w:rsid w:val="00DC169B"/>
    <w:rsid w:val="00DC2AB9"/>
    <w:rsid w:val="00DC63F0"/>
    <w:rsid w:val="00DD10E5"/>
    <w:rsid w:val="00DD5382"/>
    <w:rsid w:val="00DD6EE5"/>
    <w:rsid w:val="00DE0C49"/>
    <w:rsid w:val="00DE2362"/>
    <w:rsid w:val="00DE386C"/>
    <w:rsid w:val="00DE4D35"/>
    <w:rsid w:val="00DF098B"/>
    <w:rsid w:val="00DF11C4"/>
    <w:rsid w:val="00DF210C"/>
    <w:rsid w:val="00DF4B6A"/>
    <w:rsid w:val="00E02C09"/>
    <w:rsid w:val="00E04D59"/>
    <w:rsid w:val="00E07DA1"/>
    <w:rsid w:val="00E11DD1"/>
    <w:rsid w:val="00E123CB"/>
    <w:rsid w:val="00E20E13"/>
    <w:rsid w:val="00E21DBC"/>
    <w:rsid w:val="00E275D7"/>
    <w:rsid w:val="00E27DBE"/>
    <w:rsid w:val="00E32AB1"/>
    <w:rsid w:val="00E36C71"/>
    <w:rsid w:val="00E37E79"/>
    <w:rsid w:val="00E40404"/>
    <w:rsid w:val="00E459C6"/>
    <w:rsid w:val="00E47589"/>
    <w:rsid w:val="00E64915"/>
    <w:rsid w:val="00E661D4"/>
    <w:rsid w:val="00E67DC1"/>
    <w:rsid w:val="00E70091"/>
    <w:rsid w:val="00E720F5"/>
    <w:rsid w:val="00E76D47"/>
    <w:rsid w:val="00E849F7"/>
    <w:rsid w:val="00E90302"/>
    <w:rsid w:val="00E915B1"/>
    <w:rsid w:val="00E95E13"/>
    <w:rsid w:val="00E97396"/>
    <w:rsid w:val="00EA185E"/>
    <w:rsid w:val="00EA47A5"/>
    <w:rsid w:val="00EA592A"/>
    <w:rsid w:val="00EB14E4"/>
    <w:rsid w:val="00EB182B"/>
    <w:rsid w:val="00EB32A5"/>
    <w:rsid w:val="00EB34ED"/>
    <w:rsid w:val="00EB4A37"/>
    <w:rsid w:val="00EB7BE0"/>
    <w:rsid w:val="00EC315E"/>
    <w:rsid w:val="00EC58D1"/>
    <w:rsid w:val="00ED077C"/>
    <w:rsid w:val="00ED1190"/>
    <w:rsid w:val="00ED1C45"/>
    <w:rsid w:val="00ED6544"/>
    <w:rsid w:val="00EE0277"/>
    <w:rsid w:val="00EE3E00"/>
    <w:rsid w:val="00EE5DD2"/>
    <w:rsid w:val="00EF34CB"/>
    <w:rsid w:val="00EF6E2D"/>
    <w:rsid w:val="00F00A79"/>
    <w:rsid w:val="00F00E86"/>
    <w:rsid w:val="00F07C1E"/>
    <w:rsid w:val="00F105DB"/>
    <w:rsid w:val="00F132BC"/>
    <w:rsid w:val="00F13D80"/>
    <w:rsid w:val="00F16AAA"/>
    <w:rsid w:val="00F21161"/>
    <w:rsid w:val="00F218EF"/>
    <w:rsid w:val="00F21BC7"/>
    <w:rsid w:val="00F234E6"/>
    <w:rsid w:val="00F25EFC"/>
    <w:rsid w:val="00F266A2"/>
    <w:rsid w:val="00F27D13"/>
    <w:rsid w:val="00F32269"/>
    <w:rsid w:val="00F569CD"/>
    <w:rsid w:val="00F56A6F"/>
    <w:rsid w:val="00F5709C"/>
    <w:rsid w:val="00F609BC"/>
    <w:rsid w:val="00F626DA"/>
    <w:rsid w:val="00F64EF1"/>
    <w:rsid w:val="00F659F3"/>
    <w:rsid w:val="00F83589"/>
    <w:rsid w:val="00F84A67"/>
    <w:rsid w:val="00F8765F"/>
    <w:rsid w:val="00F90767"/>
    <w:rsid w:val="00F912E4"/>
    <w:rsid w:val="00F94531"/>
    <w:rsid w:val="00F9588E"/>
    <w:rsid w:val="00F95B87"/>
    <w:rsid w:val="00FA0688"/>
    <w:rsid w:val="00FA685B"/>
    <w:rsid w:val="00FB0C01"/>
    <w:rsid w:val="00FB16EF"/>
    <w:rsid w:val="00FC04E5"/>
    <w:rsid w:val="00FC18F2"/>
    <w:rsid w:val="00FC28C4"/>
    <w:rsid w:val="00FC39E5"/>
    <w:rsid w:val="00FC3A78"/>
    <w:rsid w:val="00FD1005"/>
    <w:rsid w:val="00FD61AA"/>
    <w:rsid w:val="00FD6C75"/>
    <w:rsid w:val="00FD7649"/>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C75DC0"/>
    <w:rPr>
      <w:sz w:val="24"/>
      <w:szCs w:val="24"/>
    </w:rPr>
  </w:style>
  <w:style w:type="paragraph" w:styleId="Heading1">
    <w:name w:val="heading 1"/>
    <w:basedOn w:val="Normal"/>
    <w:next w:val="Normal"/>
    <w:link w:val="Heading1Char"/>
    <w:uiPriority w:val="98"/>
    <w:semiHidden/>
    <w:rsid w:val="00C75DC0"/>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C75DC0"/>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C75DC0"/>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C75DC0"/>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C75DC0"/>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C75DC0"/>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C75DC0"/>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C75DC0"/>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C75DC0"/>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C75DC0"/>
    <w:rPr>
      <w:rFonts w:ascii="Tahoma" w:hAnsi="Tahoma" w:cs="Tahoma"/>
      <w:sz w:val="16"/>
      <w:szCs w:val="16"/>
    </w:rPr>
  </w:style>
  <w:style w:type="character" w:customStyle="1" w:styleId="BalloonTextChar">
    <w:name w:val="Balloon Text Char"/>
    <w:basedOn w:val="DefaultParagraphFont"/>
    <w:link w:val="BalloonText"/>
    <w:uiPriority w:val="98"/>
    <w:semiHidden/>
    <w:rsid w:val="00C75DC0"/>
    <w:rPr>
      <w:rFonts w:ascii="Tahoma" w:hAnsi="Tahoma" w:cs="Tahoma"/>
      <w:sz w:val="16"/>
      <w:szCs w:val="16"/>
      <w:lang w:val="bg-BG"/>
    </w:rPr>
  </w:style>
  <w:style w:type="character" w:styleId="BookTitle">
    <w:name w:val="Book Title"/>
    <w:uiPriority w:val="98"/>
    <w:semiHidden/>
    <w:qFormat/>
    <w:rsid w:val="00C75DC0"/>
    <w:rPr>
      <w:i/>
      <w:iCs/>
      <w:smallCaps/>
      <w:spacing w:val="5"/>
    </w:rPr>
  </w:style>
  <w:style w:type="paragraph" w:customStyle="1" w:styleId="JuHeader">
    <w:name w:val="Ju_Header"/>
    <w:aliases w:val="_Header"/>
    <w:basedOn w:val="Header"/>
    <w:uiPriority w:val="29"/>
    <w:qFormat/>
    <w:rsid w:val="00C75DC0"/>
    <w:pPr>
      <w:tabs>
        <w:tab w:val="clear" w:pos="4536"/>
        <w:tab w:val="clear" w:pos="9072"/>
      </w:tabs>
      <w:jc w:val="center"/>
    </w:pPr>
    <w:rPr>
      <w:sz w:val="18"/>
    </w:rPr>
  </w:style>
  <w:style w:type="paragraph" w:customStyle="1" w:styleId="DummyStyle">
    <w:name w:val="Dummy_Style"/>
    <w:aliases w:val="_Dummy"/>
    <w:basedOn w:val="Normal"/>
    <w:semiHidden/>
    <w:qFormat/>
    <w:rsid w:val="00C75DC0"/>
    <w:rPr>
      <w:color w:val="00B050"/>
      <w:sz w:val="22"/>
    </w:rPr>
  </w:style>
  <w:style w:type="character" w:styleId="Strong">
    <w:name w:val="Strong"/>
    <w:uiPriority w:val="98"/>
    <w:semiHidden/>
    <w:qFormat/>
    <w:rsid w:val="00C75DC0"/>
    <w:rPr>
      <w:b/>
      <w:bCs/>
    </w:rPr>
  </w:style>
  <w:style w:type="paragraph" w:styleId="NoSpacing">
    <w:name w:val="No Spacing"/>
    <w:basedOn w:val="Normal"/>
    <w:link w:val="NoSpacingChar"/>
    <w:uiPriority w:val="98"/>
    <w:semiHidden/>
    <w:qFormat/>
    <w:rsid w:val="00C75DC0"/>
  </w:style>
  <w:style w:type="character" w:customStyle="1" w:styleId="NoSpacingChar">
    <w:name w:val="No Spacing Char"/>
    <w:basedOn w:val="DefaultParagraphFont"/>
    <w:link w:val="NoSpacing"/>
    <w:uiPriority w:val="98"/>
    <w:semiHidden/>
    <w:rsid w:val="00C75DC0"/>
    <w:rPr>
      <w:sz w:val="24"/>
      <w:szCs w:val="24"/>
      <w:lang w:val="bg-BG"/>
    </w:rPr>
  </w:style>
  <w:style w:type="paragraph" w:customStyle="1" w:styleId="JuQuot">
    <w:name w:val="Ju_Quot"/>
    <w:aliases w:val="_Quote"/>
    <w:basedOn w:val="NormalJustified"/>
    <w:uiPriority w:val="20"/>
    <w:qFormat/>
    <w:rsid w:val="00C75DC0"/>
    <w:pPr>
      <w:spacing w:before="120" w:after="120"/>
      <w:ind w:left="425" w:firstLine="142"/>
    </w:pPr>
    <w:rPr>
      <w:sz w:val="20"/>
    </w:rPr>
  </w:style>
  <w:style w:type="paragraph" w:customStyle="1" w:styleId="JuList">
    <w:name w:val="Ju_List"/>
    <w:aliases w:val="_List_1"/>
    <w:basedOn w:val="NormalJustified"/>
    <w:uiPriority w:val="23"/>
    <w:qFormat/>
    <w:rsid w:val="00C75DC0"/>
    <w:pPr>
      <w:numPr>
        <w:numId w:val="17"/>
      </w:numPr>
      <w:spacing w:before="280" w:after="60"/>
    </w:pPr>
  </w:style>
  <w:style w:type="paragraph" w:customStyle="1" w:styleId="JuLista">
    <w:name w:val="Ju_List_a"/>
    <w:aliases w:val="_List_2"/>
    <w:basedOn w:val="NormalJustified"/>
    <w:uiPriority w:val="23"/>
    <w:rsid w:val="00C75DC0"/>
    <w:pPr>
      <w:numPr>
        <w:ilvl w:val="1"/>
        <w:numId w:val="17"/>
      </w:numPr>
    </w:pPr>
  </w:style>
  <w:style w:type="paragraph" w:customStyle="1" w:styleId="JuListi">
    <w:name w:val="Ju_List_i"/>
    <w:aliases w:val="_List_3"/>
    <w:basedOn w:val="NormalJustified"/>
    <w:uiPriority w:val="23"/>
    <w:rsid w:val="00C75DC0"/>
    <w:pPr>
      <w:numPr>
        <w:ilvl w:val="2"/>
        <w:numId w:val="17"/>
      </w:numPr>
    </w:pPr>
  </w:style>
  <w:style w:type="paragraph" w:customStyle="1" w:styleId="DecHTitle">
    <w:name w:val="Dec_H_Title"/>
    <w:aliases w:val="_Title_1"/>
    <w:basedOn w:val="JuPara"/>
    <w:next w:val="JuPara"/>
    <w:uiPriority w:val="38"/>
    <w:qFormat/>
    <w:rsid w:val="00C75DC0"/>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C75DC0"/>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C75DC0"/>
    <w:pPr>
      <w:keepNext/>
      <w:keepLines/>
      <w:tabs>
        <w:tab w:val="right" w:pos="7938"/>
      </w:tabs>
      <w:ind w:firstLine="0"/>
      <w:jc w:val="center"/>
    </w:pPr>
    <w:rPr>
      <w:i/>
    </w:rPr>
  </w:style>
  <w:style w:type="numbering" w:customStyle="1" w:styleId="ECHRA1StyleBulletedSquare">
    <w:name w:val="ECHR_A1_Style_Bulleted_Square"/>
    <w:basedOn w:val="NoList"/>
    <w:rsid w:val="00C75DC0"/>
    <w:pPr>
      <w:numPr>
        <w:numId w:val="16"/>
      </w:numPr>
    </w:pPr>
  </w:style>
  <w:style w:type="paragraph" w:customStyle="1" w:styleId="JuHHead">
    <w:name w:val="Ju_H_Head"/>
    <w:aliases w:val="_Head_1"/>
    <w:basedOn w:val="Heading1"/>
    <w:next w:val="JuPara"/>
    <w:uiPriority w:val="17"/>
    <w:qFormat/>
    <w:rsid w:val="00C75DC0"/>
    <w:pPr>
      <w:keepNext/>
      <w:keepLines/>
      <w:numPr>
        <w:numId w:val="15"/>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C75DC0"/>
    <w:pPr>
      <w:numPr>
        <w:numId w:val="19"/>
      </w:numPr>
    </w:pPr>
  </w:style>
  <w:style w:type="paragraph" w:customStyle="1" w:styleId="JuSigned">
    <w:name w:val="Ju_Signed"/>
    <w:aliases w:val="_Signature"/>
    <w:basedOn w:val="Normal"/>
    <w:next w:val="JuPara"/>
    <w:uiPriority w:val="31"/>
    <w:qFormat/>
    <w:rsid w:val="00C75DC0"/>
    <w:pPr>
      <w:tabs>
        <w:tab w:val="center" w:pos="1418"/>
        <w:tab w:val="center" w:pos="5954"/>
      </w:tabs>
      <w:spacing w:before="720"/>
    </w:pPr>
  </w:style>
  <w:style w:type="paragraph" w:styleId="Title">
    <w:name w:val="Title"/>
    <w:basedOn w:val="Normal"/>
    <w:next w:val="Normal"/>
    <w:link w:val="TitleChar"/>
    <w:uiPriority w:val="98"/>
    <w:semiHidden/>
    <w:qFormat/>
    <w:rsid w:val="00C75DC0"/>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C75DC0"/>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C75DC0"/>
    <w:pPr>
      <w:numPr>
        <w:numId w:val="18"/>
      </w:numPr>
    </w:pPr>
  </w:style>
  <w:style w:type="table" w:customStyle="1" w:styleId="ECHRTable2019">
    <w:name w:val="ECHR_Table_2019"/>
    <w:basedOn w:val="TableNormal"/>
    <w:uiPriority w:val="99"/>
    <w:rsid w:val="00C75DC0"/>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C75DC0"/>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C75DC0"/>
    <w:pPr>
      <w:tabs>
        <w:tab w:val="center" w:pos="6407"/>
      </w:tabs>
      <w:spacing w:before="720"/>
      <w:jc w:val="right"/>
    </w:pPr>
  </w:style>
  <w:style w:type="paragraph" w:customStyle="1" w:styleId="JuHIRoman">
    <w:name w:val="Ju_H_I_Roman"/>
    <w:aliases w:val="_Head_2"/>
    <w:basedOn w:val="Heading2"/>
    <w:next w:val="JuPara"/>
    <w:uiPriority w:val="17"/>
    <w:qFormat/>
    <w:rsid w:val="00C75DC0"/>
    <w:pPr>
      <w:keepNext/>
      <w:keepLines/>
      <w:numPr>
        <w:ilvl w:val="1"/>
        <w:numId w:val="1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C75DC0"/>
    <w:pPr>
      <w:keepNext/>
      <w:keepLines/>
      <w:numPr>
        <w:ilvl w:val="2"/>
        <w:numId w:val="1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C75DC0"/>
    <w:pPr>
      <w:keepNext/>
      <w:keepLines/>
      <w:numPr>
        <w:ilvl w:val="3"/>
        <w:numId w:val="15"/>
      </w:numPr>
      <w:spacing w:before="100" w:beforeAutospacing="1" w:after="120"/>
      <w:jc w:val="both"/>
    </w:pPr>
    <w:rPr>
      <w:b w:val="0"/>
      <w:color w:val="auto"/>
      <w:sz w:val="24"/>
    </w:rPr>
  </w:style>
  <w:style w:type="paragraph" w:styleId="Header">
    <w:name w:val="header"/>
    <w:basedOn w:val="Normal"/>
    <w:link w:val="HeaderChar"/>
    <w:uiPriority w:val="98"/>
    <w:semiHidden/>
    <w:rsid w:val="00C75DC0"/>
    <w:pPr>
      <w:tabs>
        <w:tab w:val="center" w:pos="4536"/>
        <w:tab w:val="right" w:pos="9072"/>
      </w:tabs>
    </w:pPr>
  </w:style>
  <w:style w:type="character" w:customStyle="1" w:styleId="HeaderChar">
    <w:name w:val="Header Char"/>
    <w:basedOn w:val="DefaultParagraphFont"/>
    <w:link w:val="Header"/>
    <w:uiPriority w:val="98"/>
    <w:semiHidden/>
    <w:rsid w:val="00C75DC0"/>
    <w:rPr>
      <w:sz w:val="24"/>
      <w:szCs w:val="24"/>
      <w:lang w:val="bg-BG"/>
    </w:rPr>
  </w:style>
  <w:style w:type="character" w:customStyle="1" w:styleId="Heading1Char">
    <w:name w:val="Heading 1 Char"/>
    <w:basedOn w:val="DefaultParagraphFont"/>
    <w:link w:val="Heading1"/>
    <w:uiPriority w:val="98"/>
    <w:semiHidden/>
    <w:rsid w:val="00C75DC0"/>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C75DC0"/>
    <w:pPr>
      <w:keepNext/>
      <w:keepLines/>
      <w:numPr>
        <w:ilvl w:val="4"/>
        <w:numId w:val="15"/>
      </w:numPr>
      <w:spacing w:before="100" w:beforeAutospacing="1" w:after="120"/>
      <w:jc w:val="both"/>
    </w:pPr>
    <w:rPr>
      <w:color w:val="auto"/>
      <w:sz w:val="20"/>
    </w:rPr>
  </w:style>
  <w:style w:type="paragraph" w:customStyle="1" w:styleId="JuHi">
    <w:name w:val="Ju_H_i"/>
    <w:aliases w:val="_Head_6"/>
    <w:basedOn w:val="Heading6"/>
    <w:next w:val="JuPara"/>
    <w:uiPriority w:val="17"/>
    <w:rsid w:val="00C75DC0"/>
    <w:pPr>
      <w:keepNext/>
      <w:keepLines/>
      <w:numPr>
        <w:ilvl w:val="5"/>
        <w:numId w:val="1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C75DC0"/>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C75DC0"/>
    <w:pPr>
      <w:keepNext/>
      <w:keepLines/>
      <w:numPr>
        <w:ilvl w:val="6"/>
        <w:numId w:val="1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C75DC0"/>
    <w:pPr>
      <w:keepNext/>
      <w:keepLines/>
      <w:numPr>
        <w:ilvl w:val="7"/>
        <w:numId w:val="15"/>
      </w:numPr>
      <w:spacing w:before="100" w:beforeAutospacing="1" w:after="120"/>
      <w:jc w:val="both"/>
    </w:pPr>
    <w:rPr>
      <w:i/>
    </w:rPr>
  </w:style>
  <w:style w:type="character" w:customStyle="1" w:styleId="Heading3Char">
    <w:name w:val="Heading 3 Char"/>
    <w:basedOn w:val="DefaultParagraphFont"/>
    <w:link w:val="Heading3"/>
    <w:uiPriority w:val="98"/>
    <w:semiHidden/>
    <w:rsid w:val="00C75DC0"/>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C75DC0"/>
    <w:pPr>
      <w:keepNext/>
      <w:keepLines/>
      <w:spacing w:before="240" w:after="240"/>
      <w:ind w:firstLine="284"/>
    </w:pPr>
  </w:style>
  <w:style w:type="paragraph" w:customStyle="1" w:styleId="JuJudges">
    <w:name w:val="Ju_Judges"/>
    <w:aliases w:val="_Judges"/>
    <w:basedOn w:val="Normal"/>
    <w:uiPriority w:val="32"/>
    <w:qFormat/>
    <w:rsid w:val="00C75DC0"/>
    <w:pPr>
      <w:tabs>
        <w:tab w:val="left" w:pos="567"/>
        <w:tab w:val="left" w:pos="1134"/>
      </w:tabs>
    </w:pPr>
  </w:style>
  <w:style w:type="character" w:customStyle="1" w:styleId="Heading4Char">
    <w:name w:val="Heading 4 Char"/>
    <w:basedOn w:val="DefaultParagraphFont"/>
    <w:link w:val="Heading4"/>
    <w:uiPriority w:val="98"/>
    <w:semiHidden/>
    <w:rsid w:val="00C75DC0"/>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54"/>
    <w:qFormat/>
    <w:rsid w:val="00C75DC0"/>
    <w:rPr>
      <w:vanish w:val="0"/>
      <w:color w:val="auto"/>
      <w:sz w:val="14"/>
      <w:bdr w:val="none" w:sz="0" w:space="0" w:color="auto"/>
      <w:shd w:val="clear" w:color="auto" w:fill="FFFFFF" w:themeFill="background1" w:themeFillTint="33"/>
    </w:rPr>
  </w:style>
  <w:style w:type="character" w:customStyle="1" w:styleId="Heading5Char">
    <w:name w:val="Heading 5 Char"/>
    <w:basedOn w:val="DefaultParagraphFont"/>
    <w:link w:val="Heading5"/>
    <w:uiPriority w:val="98"/>
    <w:semiHidden/>
    <w:rsid w:val="00C75DC0"/>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C75DC0"/>
    <w:rPr>
      <w:caps w:val="0"/>
      <w:smallCaps/>
    </w:rPr>
  </w:style>
  <w:style w:type="paragraph" w:customStyle="1" w:styleId="NormalJustified">
    <w:name w:val="Normal_Justified"/>
    <w:basedOn w:val="Normal"/>
    <w:semiHidden/>
    <w:rsid w:val="00C75DC0"/>
    <w:pPr>
      <w:jc w:val="both"/>
    </w:pPr>
  </w:style>
  <w:style w:type="character" w:styleId="SubtleEmphasis">
    <w:name w:val="Subtle Emphasis"/>
    <w:uiPriority w:val="98"/>
    <w:semiHidden/>
    <w:qFormat/>
    <w:rsid w:val="00C75DC0"/>
    <w:rPr>
      <w:i/>
      <w:iCs/>
    </w:rPr>
  </w:style>
  <w:style w:type="table" w:customStyle="1" w:styleId="ECHRTable">
    <w:name w:val="ECHR_Table"/>
    <w:basedOn w:val="TableNormal"/>
    <w:rsid w:val="00C75DC0"/>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C75DC0"/>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C75DC0"/>
    <w:rPr>
      <w:b/>
      <w:bCs/>
      <w:i/>
      <w:iCs/>
      <w:spacing w:val="10"/>
      <w:bdr w:val="none" w:sz="0" w:space="0" w:color="auto"/>
      <w:shd w:val="clear" w:color="auto" w:fill="auto"/>
    </w:rPr>
  </w:style>
  <w:style w:type="paragraph" w:styleId="Footer0">
    <w:name w:val="footer"/>
    <w:basedOn w:val="Normal"/>
    <w:link w:val="FooterChar"/>
    <w:uiPriority w:val="98"/>
    <w:semiHidden/>
    <w:rsid w:val="00C75DC0"/>
    <w:pPr>
      <w:tabs>
        <w:tab w:val="center" w:pos="3686"/>
        <w:tab w:val="right" w:pos="7371"/>
      </w:tabs>
    </w:pPr>
  </w:style>
  <w:style w:type="character" w:customStyle="1" w:styleId="FooterChar">
    <w:name w:val="Footer Char"/>
    <w:basedOn w:val="DefaultParagraphFont"/>
    <w:link w:val="Footer0"/>
    <w:uiPriority w:val="98"/>
    <w:semiHidden/>
    <w:rsid w:val="00C75DC0"/>
    <w:rPr>
      <w:sz w:val="24"/>
      <w:szCs w:val="24"/>
      <w:lang w:val="bg-BG"/>
    </w:rPr>
  </w:style>
  <w:style w:type="character" w:styleId="FootnoteReference">
    <w:name w:val="footnote reference"/>
    <w:basedOn w:val="DefaultParagraphFont"/>
    <w:uiPriority w:val="98"/>
    <w:semiHidden/>
    <w:rsid w:val="00C75DC0"/>
    <w:rPr>
      <w:vertAlign w:val="superscript"/>
    </w:rPr>
  </w:style>
  <w:style w:type="paragraph" w:styleId="FootnoteText">
    <w:name w:val="footnote text"/>
    <w:basedOn w:val="NormalJustified"/>
    <w:link w:val="FootnoteTextChar"/>
    <w:uiPriority w:val="98"/>
    <w:semiHidden/>
    <w:rsid w:val="00C75DC0"/>
    <w:rPr>
      <w:sz w:val="20"/>
      <w:szCs w:val="20"/>
    </w:rPr>
  </w:style>
  <w:style w:type="character" w:customStyle="1" w:styleId="FootnoteTextChar">
    <w:name w:val="Footnote Text Char"/>
    <w:basedOn w:val="DefaultParagraphFont"/>
    <w:link w:val="FootnoteText"/>
    <w:uiPriority w:val="98"/>
    <w:semiHidden/>
    <w:rsid w:val="00C75DC0"/>
    <w:rPr>
      <w:sz w:val="20"/>
      <w:szCs w:val="20"/>
      <w:lang w:val="bg-BG"/>
    </w:rPr>
  </w:style>
  <w:style w:type="character" w:customStyle="1" w:styleId="Heading6Char">
    <w:name w:val="Heading 6 Char"/>
    <w:basedOn w:val="DefaultParagraphFont"/>
    <w:link w:val="Heading6"/>
    <w:uiPriority w:val="98"/>
    <w:semiHidden/>
    <w:rsid w:val="00C75DC0"/>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C75DC0"/>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C75DC0"/>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C75DC0"/>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C75DC0"/>
    <w:rPr>
      <w:color w:val="0072BC" w:themeColor="hyperlink"/>
      <w:u w:val="single"/>
    </w:rPr>
  </w:style>
  <w:style w:type="character" w:styleId="IntenseEmphasis">
    <w:name w:val="Intense Emphasis"/>
    <w:uiPriority w:val="98"/>
    <w:semiHidden/>
    <w:qFormat/>
    <w:rsid w:val="00C75DC0"/>
    <w:rPr>
      <w:b/>
      <w:bCs/>
    </w:rPr>
  </w:style>
  <w:style w:type="paragraph" w:styleId="IntenseQuote">
    <w:name w:val="Intense Quote"/>
    <w:basedOn w:val="Normal"/>
    <w:next w:val="Normal"/>
    <w:link w:val="IntenseQuoteChar"/>
    <w:uiPriority w:val="98"/>
    <w:semiHidden/>
    <w:qFormat/>
    <w:rsid w:val="00C75DC0"/>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C75DC0"/>
    <w:rPr>
      <w:b/>
      <w:bCs/>
      <w:i/>
      <w:iCs/>
      <w:sz w:val="24"/>
      <w:szCs w:val="24"/>
      <w:lang w:val="bg-BG" w:bidi="en-US"/>
    </w:rPr>
  </w:style>
  <w:style w:type="character" w:styleId="IntenseReference">
    <w:name w:val="Intense Reference"/>
    <w:uiPriority w:val="98"/>
    <w:semiHidden/>
    <w:qFormat/>
    <w:rsid w:val="00C75DC0"/>
    <w:rPr>
      <w:smallCaps/>
      <w:spacing w:val="5"/>
      <w:u w:val="single"/>
    </w:rPr>
  </w:style>
  <w:style w:type="paragraph" w:styleId="ListParagraph">
    <w:name w:val="List Paragraph"/>
    <w:basedOn w:val="Normal"/>
    <w:uiPriority w:val="98"/>
    <w:semiHidden/>
    <w:qFormat/>
    <w:rsid w:val="00C75DC0"/>
    <w:pPr>
      <w:ind w:left="720"/>
      <w:contextualSpacing/>
    </w:pPr>
  </w:style>
  <w:style w:type="table" w:customStyle="1" w:styleId="LtrTableAddress">
    <w:name w:val="Ltr_Table_Address"/>
    <w:aliases w:val="ECHR_Ltr_Table_Address"/>
    <w:basedOn w:val="TableNormal"/>
    <w:uiPriority w:val="99"/>
    <w:rsid w:val="00C75DC0"/>
    <w:rPr>
      <w:sz w:val="24"/>
      <w:szCs w:val="24"/>
    </w:rPr>
    <w:tblPr>
      <w:tblInd w:w="5103" w:type="dxa"/>
    </w:tblPr>
  </w:style>
  <w:style w:type="paragraph" w:styleId="Quote">
    <w:name w:val="Quote"/>
    <w:basedOn w:val="Normal"/>
    <w:next w:val="Normal"/>
    <w:link w:val="QuoteChar"/>
    <w:uiPriority w:val="98"/>
    <w:semiHidden/>
    <w:qFormat/>
    <w:rsid w:val="00C75DC0"/>
    <w:pPr>
      <w:spacing w:before="200"/>
      <w:ind w:left="360" w:right="360"/>
    </w:pPr>
    <w:rPr>
      <w:i/>
      <w:iCs/>
      <w:lang w:bidi="en-US"/>
    </w:rPr>
  </w:style>
  <w:style w:type="character" w:customStyle="1" w:styleId="QuoteChar">
    <w:name w:val="Quote Char"/>
    <w:basedOn w:val="DefaultParagraphFont"/>
    <w:link w:val="Quote"/>
    <w:uiPriority w:val="98"/>
    <w:semiHidden/>
    <w:rsid w:val="00C75DC0"/>
    <w:rPr>
      <w:i/>
      <w:iCs/>
      <w:sz w:val="24"/>
      <w:szCs w:val="24"/>
      <w:lang w:val="bg-BG" w:bidi="en-US"/>
    </w:rPr>
  </w:style>
  <w:style w:type="character" w:styleId="SubtleReference">
    <w:name w:val="Subtle Reference"/>
    <w:uiPriority w:val="98"/>
    <w:semiHidden/>
    <w:qFormat/>
    <w:rsid w:val="00C75DC0"/>
    <w:rPr>
      <w:smallCaps/>
    </w:rPr>
  </w:style>
  <w:style w:type="table" w:styleId="TableGrid">
    <w:name w:val="Table Grid"/>
    <w:basedOn w:val="TableNormal"/>
    <w:uiPriority w:val="59"/>
    <w:semiHidden/>
    <w:rsid w:val="00C75DC0"/>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C75DC0"/>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C75DC0"/>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C75DC0"/>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C75DC0"/>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C75DC0"/>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C75DC0"/>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C75DC0"/>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C75DC0"/>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C75DC0"/>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C75DC0"/>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C75DC0"/>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C75DC0"/>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C75DC0"/>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C75DC0"/>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C75DC0"/>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C75DC0"/>
    <w:pPr>
      <w:numPr>
        <w:numId w:val="2"/>
      </w:numPr>
    </w:pPr>
  </w:style>
  <w:style w:type="paragraph" w:customStyle="1" w:styleId="JuPara">
    <w:name w:val="Ju_Para"/>
    <w:aliases w:val="_Para"/>
    <w:basedOn w:val="NormalJustified"/>
    <w:link w:val="JuParaChar"/>
    <w:uiPriority w:val="4"/>
    <w:qFormat/>
    <w:rsid w:val="00C75DC0"/>
    <w:pPr>
      <w:ind w:firstLine="284"/>
    </w:pPr>
  </w:style>
  <w:style w:type="numbering" w:styleId="1ai">
    <w:name w:val="Outline List 1"/>
    <w:basedOn w:val="NoList"/>
    <w:uiPriority w:val="99"/>
    <w:semiHidden/>
    <w:unhideWhenUsed/>
    <w:rsid w:val="00C75DC0"/>
    <w:pPr>
      <w:numPr>
        <w:numId w:val="3"/>
      </w:numPr>
    </w:pPr>
  </w:style>
  <w:style w:type="table" w:customStyle="1" w:styleId="ECHRTableSimpleBox">
    <w:name w:val="ECHR_Table_Simple_Box"/>
    <w:basedOn w:val="TableNormal"/>
    <w:uiPriority w:val="99"/>
    <w:rsid w:val="00C75DC0"/>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C75DC0"/>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C75DC0"/>
    <w:pPr>
      <w:numPr>
        <w:numId w:val="4"/>
      </w:numPr>
    </w:pPr>
  </w:style>
  <w:style w:type="table" w:customStyle="1" w:styleId="ECHRTableForInternalUse">
    <w:name w:val="ECHR_Table_For_Internal_Use"/>
    <w:basedOn w:val="TableNormal"/>
    <w:uiPriority w:val="99"/>
    <w:rsid w:val="00C75DC0"/>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C75DC0"/>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C75DC0"/>
  </w:style>
  <w:style w:type="paragraph" w:styleId="BlockText">
    <w:name w:val="Block Text"/>
    <w:basedOn w:val="Normal"/>
    <w:uiPriority w:val="98"/>
    <w:semiHidden/>
    <w:rsid w:val="00C75DC0"/>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C75DC0"/>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C75DC0"/>
    <w:pPr>
      <w:spacing w:after="120"/>
    </w:pPr>
  </w:style>
  <w:style w:type="character" w:customStyle="1" w:styleId="BodyTextChar">
    <w:name w:val="Body Text Char"/>
    <w:basedOn w:val="DefaultParagraphFont"/>
    <w:link w:val="BodyText"/>
    <w:uiPriority w:val="98"/>
    <w:semiHidden/>
    <w:rsid w:val="00C75DC0"/>
    <w:rPr>
      <w:sz w:val="24"/>
      <w:szCs w:val="24"/>
      <w:lang w:val="bg-BG"/>
    </w:rPr>
  </w:style>
  <w:style w:type="table" w:customStyle="1" w:styleId="ECHRTableOddBanded">
    <w:name w:val="ECHR_Table_Odd_Banded"/>
    <w:basedOn w:val="TableNormal"/>
    <w:uiPriority w:val="99"/>
    <w:rsid w:val="00C75DC0"/>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C75DC0"/>
    <w:pPr>
      <w:spacing w:after="120" w:line="480" w:lineRule="auto"/>
    </w:pPr>
  </w:style>
  <w:style w:type="table" w:customStyle="1" w:styleId="ECHRHeaderTableReduced">
    <w:name w:val="ECHR_Header_Table_Reduced"/>
    <w:basedOn w:val="TableNormal"/>
    <w:uiPriority w:val="99"/>
    <w:rsid w:val="00C75DC0"/>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C75DC0"/>
    <w:pPr>
      <w:ind w:firstLine="284"/>
    </w:pPr>
    <w:rPr>
      <w:b/>
    </w:rPr>
  </w:style>
  <w:style w:type="character" w:styleId="PageNumber">
    <w:name w:val="page number"/>
    <w:uiPriority w:val="98"/>
    <w:semiHidden/>
    <w:rsid w:val="00C75DC0"/>
    <w:rPr>
      <w:sz w:val="18"/>
    </w:rPr>
  </w:style>
  <w:style w:type="paragraph" w:styleId="ListBullet2">
    <w:name w:val="List Bullet 2"/>
    <w:basedOn w:val="Normal"/>
    <w:uiPriority w:val="98"/>
    <w:semiHidden/>
    <w:rsid w:val="00C75DC0"/>
    <w:pPr>
      <w:numPr>
        <w:numId w:val="6"/>
      </w:numPr>
      <w:contextualSpacing/>
    </w:pPr>
  </w:style>
  <w:style w:type="character" w:customStyle="1" w:styleId="BodyText2Char">
    <w:name w:val="Body Text 2 Char"/>
    <w:basedOn w:val="DefaultParagraphFont"/>
    <w:link w:val="BodyText2"/>
    <w:uiPriority w:val="98"/>
    <w:semiHidden/>
    <w:rsid w:val="00C75DC0"/>
    <w:rPr>
      <w:sz w:val="24"/>
      <w:szCs w:val="24"/>
      <w:lang w:val="bg-BG"/>
    </w:rPr>
  </w:style>
  <w:style w:type="paragraph" w:styleId="BodyText3">
    <w:name w:val="Body Text 3"/>
    <w:basedOn w:val="Normal"/>
    <w:link w:val="BodyText3Char"/>
    <w:uiPriority w:val="98"/>
    <w:semiHidden/>
    <w:rsid w:val="00C75DC0"/>
    <w:pPr>
      <w:spacing w:after="120"/>
    </w:pPr>
    <w:rPr>
      <w:sz w:val="16"/>
      <w:szCs w:val="16"/>
    </w:rPr>
  </w:style>
  <w:style w:type="character" w:customStyle="1" w:styleId="BodyText3Char">
    <w:name w:val="Body Text 3 Char"/>
    <w:basedOn w:val="DefaultParagraphFont"/>
    <w:link w:val="BodyText3"/>
    <w:uiPriority w:val="98"/>
    <w:semiHidden/>
    <w:rsid w:val="00C75DC0"/>
    <w:rPr>
      <w:sz w:val="16"/>
      <w:szCs w:val="16"/>
      <w:lang w:val="bg-BG"/>
    </w:rPr>
  </w:style>
  <w:style w:type="paragraph" w:styleId="BodyTextFirstIndent">
    <w:name w:val="Body Text First Indent"/>
    <w:basedOn w:val="BodyText"/>
    <w:link w:val="BodyTextFirstIndentChar"/>
    <w:uiPriority w:val="98"/>
    <w:semiHidden/>
    <w:rsid w:val="00C75DC0"/>
    <w:pPr>
      <w:spacing w:after="0"/>
      <w:ind w:firstLine="360"/>
    </w:pPr>
  </w:style>
  <w:style w:type="character" w:customStyle="1" w:styleId="BodyTextFirstIndentChar">
    <w:name w:val="Body Text First Indent Char"/>
    <w:basedOn w:val="BodyTextChar"/>
    <w:link w:val="BodyTextFirstIndent"/>
    <w:uiPriority w:val="98"/>
    <w:semiHidden/>
    <w:rsid w:val="00C75DC0"/>
    <w:rPr>
      <w:sz w:val="24"/>
      <w:szCs w:val="24"/>
      <w:lang w:val="bg-BG"/>
    </w:rPr>
  </w:style>
  <w:style w:type="paragraph" w:styleId="BodyTextIndent">
    <w:name w:val="Body Text Indent"/>
    <w:basedOn w:val="Normal"/>
    <w:link w:val="BodyTextIndentChar"/>
    <w:uiPriority w:val="98"/>
    <w:semiHidden/>
    <w:rsid w:val="00C75DC0"/>
    <w:pPr>
      <w:spacing w:after="120"/>
      <w:ind w:left="283"/>
    </w:pPr>
  </w:style>
  <w:style w:type="character" w:customStyle="1" w:styleId="BodyTextIndentChar">
    <w:name w:val="Body Text Indent Char"/>
    <w:basedOn w:val="DefaultParagraphFont"/>
    <w:link w:val="BodyTextIndent"/>
    <w:uiPriority w:val="98"/>
    <w:semiHidden/>
    <w:rsid w:val="00C75DC0"/>
    <w:rPr>
      <w:sz w:val="24"/>
      <w:szCs w:val="24"/>
      <w:lang w:val="bg-BG"/>
    </w:rPr>
  </w:style>
  <w:style w:type="paragraph" w:styleId="BodyTextFirstIndent2">
    <w:name w:val="Body Text First Indent 2"/>
    <w:basedOn w:val="BodyTextIndent"/>
    <w:link w:val="BodyTextFirstIndent2Char"/>
    <w:uiPriority w:val="98"/>
    <w:semiHidden/>
    <w:rsid w:val="00C75DC0"/>
    <w:pPr>
      <w:spacing w:after="0"/>
      <w:ind w:left="360" w:firstLine="360"/>
    </w:pPr>
  </w:style>
  <w:style w:type="character" w:customStyle="1" w:styleId="BodyTextFirstIndent2Char">
    <w:name w:val="Body Text First Indent 2 Char"/>
    <w:basedOn w:val="BodyTextIndentChar"/>
    <w:link w:val="BodyTextFirstIndent2"/>
    <w:uiPriority w:val="98"/>
    <w:semiHidden/>
    <w:rsid w:val="00C75DC0"/>
    <w:rPr>
      <w:sz w:val="24"/>
      <w:szCs w:val="24"/>
      <w:lang w:val="bg-BG"/>
    </w:rPr>
  </w:style>
  <w:style w:type="paragraph" w:styleId="BodyTextIndent2">
    <w:name w:val="Body Text Indent 2"/>
    <w:basedOn w:val="Normal"/>
    <w:link w:val="BodyTextIndent2Char"/>
    <w:uiPriority w:val="98"/>
    <w:semiHidden/>
    <w:rsid w:val="00C75DC0"/>
    <w:pPr>
      <w:spacing w:after="120" w:line="480" w:lineRule="auto"/>
      <w:ind w:left="283"/>
    </w:pPr>
  </w:style>
  <w:style w:type="character" w:customStyle="1" w:styleId="BodyTextIndent2Char">
    <w:name w:val="Body Text Indent 2 Char"/>
    <w:basedOn w:val="DefaultParagraphFont"/>
    <w:link w:val="BodyTextIndent2"/>
    <w:uiPriority w:val="98"/>
    <w:semiHidden/>
    <w:rsid w:val="00C75DC0"/>
    <w:rPr>
      <w:sz w:val="24"/>
      <w:szCs w:val="24"/>
      <w:lang w:val="bg-BG"/>
    </w:rPr>
  </w:style>
  <w:style w:type="paragraph" w:styleId="BodyTextIndent3">
    <w:name w:val="Body Text Indent 3"/>
    <w:basedOn w:val="Normal"/>
    <w:link w:val="BodyTextIndent3Char"/>
    <w:uiPriority w:val="98"/>
    <w:semiHidden/>
    <w:rsid w:val="00C75DC0"/>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C75DC0"/>
    <w:rPr>
      <w:sz w:val="16"/>
      <w:szCs w:val="16"/>
      <w:lang w:val="bg-BG"/>
    </w:rPr>
  </w:style>
  <w:style w:type="paragraph" w:styleId="Caption">
    <w:name w:val="caption"/>
    <w:basedOn w:val="Normal"/>
    <w:next w:val="Normal"/>
    <w:uiPriority w:val="98"/>
    <w:semiHidden/>
    <w:qFormat/>
    <w:rsid w:val="00C75DC0"/>
    <w:pPr>
      <w:spacing w:after="200"/>
    </w:pPr>
    <w:rPr>
      <w:b/>
      <w:bCs/>
      <w:color w:val="0072BC" w:themeColor="accent1"/>
      <w:sz w:val="18"/>
      <w:szCs w:val="18"/>
    </w:rPr>
  </w:style>
  <w:style w:type="paragraph" w:styleId="Closing">
    <w:name w:val="Closing"/>
    <w:basedOn w:val="Normal"/>
    <w:link w:val="ClosingChar"/>
    <w:uiPriority w:val="98"/>
    <w:semiHidden/>
    <w:rsid w:val="00C75DC0"/>
    <w:pPr>
      <w:ind w:left="4252"/>
    </w:pPr>
  </w:style>
  <w:style w:type="character" w:customStyle="1" w:styleId="ClosingChar">
    <w:name w:val="Closing Char"/>
    <w:basedOn w:val="DefaultParagraphFont"/>
    <w:link w:val="Closing"/>
    <w:uiPriority w:val="98"/>
    <w:semiHidden/>
    <w:rsid w:val="00C75DC0"/>
    <w:rPr>
      <w:sz w:val="24"/>
      <w:szCs w:val="24"/>
      <w:lang w:val="bg-BG"/>
    </w:rPr>
  </w:style>
  <w:style w:type="table" w:styleId="ColorfulGrid">
    <w:name w:val="Colorful Grid"/>
    <w:basedOn w:val="TableNormal"/>
    <w:uiPriority w:val="73"/>
    <w:semiHidden/>
    <w:rsid w:val="00C75DC0"/>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C75DC0"/>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C75DC0"/>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C75DC0"/>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C75DC0"/>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C75DC0"/>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C75DC0"/>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C75DC0"/>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C75DC0"/>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C75DC0"/>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C75DC0"/>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C75DC0"/>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C75DC0"/>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C75DC0"/>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C75DC0"/>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C75DC0"/>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C75DC0"/>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C75DC0"/>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C75DC0"/>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C75DC0"/>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C75DC0"/>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C75DC0"/>
    <w:rPr>
      <w:sz w:val="16"/>
      <w:szCs w:val="16"/>
    </w:rPr>
  </w:style>
  <w:style w:type="paragraph" w:styleId="CommentText">
    <w:name w:val="annotation text"/>
    <w:basedOn w:val="Normal"/>
    <w:link w:val="CommentTextChar"/>
    <w:uiPriority w:val="98"/>
    <w:semiHidden/>
    <w:rsid w:val="00C75DC0"/>
    <w:rPr>
      <w:sz w:val="20"/>
      <w:szCs w:val="20"/>
    </w:rPr>
  </w:style>
  <w:style w:type="character" w:customStyle="1" w:styleId="CommentTextChar">
    <w:name w:val="Comment Text Char"/>
    <w:basedOn w:val="DefaultParagraphFont"/>
    <w:link w:val="CommentText"/>
    <w:uiPriority w:val="98"/>
    <w:semiHidden/>
    <w:rsid w:val="00C75DC0"/>
    <w:rPr>
      <w:sz w:val="20"/>
      <w:szCs w:val="20"/>
      <w:lang w:val="bg-BG"/>
    </w:rPr>
  </w:style>
  <w:style w:type="paragraph" w:styleId="CommentSubject">
    <w:name w:val="annotation subject"/>
    <w:basedOn w:val="CommentText"/>
    <w:next w:val="CommentText"/>
    <w:link w:val="CommentSubjectChar"/>
    <w:uiPriority w:val="98"/>
    <w:semiHidden/>
    <w:rsid w:val="00C75DC0"/>
    <w:rPr>
      <w:b/>
      <w:bCs/>
    </w:rPr>
  </w:style>
  <w:style w:type="character" w:customStyle="1" w:styleId="CommentSubjectChar">
    <w:name w:val="Comment Subject Char"/>
    <w:basedOn w:val="CommentTextChar"/>
    <w:link w:val="CommentSubject"/>
    <w:uiPriority w:val="98"/>
    <w:semiHidden/>
    <w:rsid w:val="00C75DC0"/>
    <w:rPr>
      <w:b/>
      <w:bCs/>
      <w:sz w:val="20"/>
      <w:szCs w:val="20"/>
      <w:lang w:val="bg-BG"/>
    </w:rPr>
  </w:style>
  <w:style w:type="table" w:styleId="DarkList">
    <w:name w:val="Dark List"/>
    <w:basedOn w:val="TableNormal"/>
    <w:uiPriority w:val="70"/>
    <w:semiHidden/>
    <w:rsid w:val="00C75DC0"/>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C75DC0"/>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C75DC0"/>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C75DC0"/>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C75DC0"/>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C75DC0"/>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C75DC0"/>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C75DC0"/>
  </w:style>
  <w:style w:type="character" w:customStyle="1" w:styleId="DateChar">
    <w:name w:val="Date Char"/>
    <w:basedOn w:val="DefaultParagraphFont"/>
    <w:link w:val="Date"/>
    <w:uiPriority w:val="98"/>
    <w:semiHidden/>
    <w:rsid w:val="00C75DC0"/>
    <w:rPr>
      <w:sz w:val="24"/>
      <w:szCs w:val="24"/>
      <w:lang w:val="bg-BG"/>
    </w:rPr>
  </w:style>
  <w:style w:type="paragraph" w:styleId="DocumentMap">
    <w:name w:val="Document Map"/>
    <w:basedOn w:val="Normal"/>
    <w:link w:val="DocumentMapChar"/>
    <w:uiPriority w:val="98"/>
    <w:semiHidden/>
    <w:rsid w:val="00C75DC0"/>
    <w:rPr>
      <w:rFonts w:ascii="Tahoma" w:hAnsi="Tahoma" w:cs="Tahoma"/>
      <w:sz w:val="16"/>
      <w:szCs w:val="16"/>
    </w:rPr>
  </w:style>
  <w:style w:type="character" w:customStyle="1" w:styleId="DocumentMapChar">
    <w:name w:val="Document Map Char"/>
    <w:basedOn w:val="DefaultParagraphFont"/>
    <w:link w:val="DocumentMap"/>
    <w:uiPriority w:val="98"/>
    <w:semiHidden/>
    <w:rsid w:val="00C75DC0"/>
    <w:rPr>
      <w:rFonts w:ascii="Tahoma" w:hAnsi="Tahoma" w:cs="Tahoma"/>
      <w:sz w:val="16"/>
      <w:szCs w:val="16"/>
      <w:lang w:val="bg-BG"/>
    </w:rPr>
  </w:style>
  <w:style w:type="paragraph" w:styleId="E-mailSignature">
    <w:name w:val="E-mail Signature"/>
    <w:basedOn w:val="Normal"/>
    <w:link w:val="E-mailSignatureChar"/>
    <w:uiPriority w:val="98"/>
    <w:semiHidden/>
    <w:rsid w:val="00C75DC0"/>
  </w:style>
  <w:style w:type="character" w:customStyle="1" w:styleId="E-mailSignatureChar">
    <w:name w:val="E-mail Signature Char"/>
    <w:basedOn w:val="DefaultParagraphFont"/>
    <w:link w:val="E-mailSignature"/>
    <w:uiPriority w:val="98"/>
    <w:semiHidden/>
    <w:rsid w:val="00C75DC0"/>
    <w:rPr>
      <w:sz w:val="24"/>
      <w:szCs w:val="24"/>
      <w:lang w:val="bg-BG"/>
    </w:rPr>
  </w:style>
  <w:style w:type="character" w:styleId="EndnoteReference">
    <w:name w:val="endnote reference"/>
    <w:basedOn w:val="DefaultParagraphFont"/>
    <w:uiPriority w:val="98"/>
    <w:semiHidden/>
    <w:rsid w:val="00C75DC0"/>
    <w:rPr>
      <w:vertAlign w:val="superscript"/>
    </w:rPr>
  </w:style>
  <w:style w:type="paragraph" w:styleId="EndnoteText">
    <w:name w:val="endnote text"/>
    <w:basedOn w:val="Normal"/>
    <w:link w:val="EndnoteTextChar"/>
    <w:uiPriority w:val="98"/>
    <w:semiHidden/>
    <w:rsid w:val="00C75DC0"/>
    <w:rPr>
      <w:sz w:val="20"/>
      <w:szCs w:val="20"/>
    </w:rPr>
  </w:style>
  <w:style w:type="character" w:customStyle="1" w:styleId="EndnoteTextChar">
    <w:name w:val="Endnote Text Char"/>
    <w:basedOn w:val="DefaultParagraphFont"/>
    <w:link w:val="EndnoteText"/>
    <w:uiPriority w:val="98"/>
    <w:semiHidden/>
    <w:rsid w:val="00C75DC0"/>
    <w:rPr>
      <w:sz w:val="20"/>
      <w:szCs w:val="20"/>
      <w:lang w:val="bg-BG"/>
    </w:rPr>
  </w:style>
  <w:style w:type="paragraph" w:styleId="EnvelopeAddress">
    <w:name w:val="envelope address"/>
    <w:basedOn w:val="Normal"/>
    <w:uiPriority w:val="98"/>
    <w:semiHidden/>
    <w:rsid w:val="00C75DC0"/>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C75DC0"/>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C75DC0"/>
    <w:rPr>
      <w:color w:val="7030A0" w:themeColor="followedHyperlink"/>
      <w:u w:val="single"/>
    </w:rPr>
  </w:style>
  <w:style w:type="character" w:styleId="HTMLAcronym">
    <w:name w:val="HTML Acronym"/>
    <w:basedOn w:val="DefaultParagraphFont"/>
    <w:uiPriority w:val="98"/>
    <w:semiHidden/>
    <w:rsid w:val="00C75DC0"/>
  </w:style>
  <w:style w:type="paragraph" w:styleId="HTMLAddress">
    <w:name w:val="HTML Address"/>
    <w:basedOn w:val="Normal"/>
    <w:link w:val="HTMLAddressChar"/>
    <w:uiPriority w:val="98"/>
    <w:semiHidden/>
    <w:rsid w:val="00C75DC0"/>
    <w:rPr>
      <w:i/>
      <w:iCs/>
    </w:rPr>
  </w:style>
  <w:style w:type="character" w:customStyle="1" w:styleId="HTMLAddressChar">
    <w:name w:val="HTML Address Char"/>
    <w:basedOn w:val="DefaultParagraphFont"/>
    <w:link w:val="HTMLAddress"/>
    <w:uiPriority w:val="98"/>
    <w:semiHidden/>
    <w:rsid w:val="00C75DC0"/>
    <w:rPr>
      <w:i/>
      <w:iCs/>
      <w:sz w:val="24"/>
      <w:szCs w:val="24"/>
      <w:lang w:val="bg-BG"/>
    </w:rPr>
  </w:style>
  <w:style w:type="character" w:styleId="HTMLCite">
    <w:name w:val="HTML Cite"/>
    <w:basedOn w:val="DefaultParagraphFont"/>
    <w:uiPriority w:val="98"/>
    <w:semiHidden/>
    <w:rsid w:val="00C75DC0"/>
    <w:rPr>
      <w:i/>
      <w:iCs/>
    </w:rPr>
  </w:style>
  <w:style w:type="character" w:styleId="HTMLCode">
    <w:name w:val="HTML Code"/>
    <w:basedOn w:val="DefaultParagraphFont"/>
    <w:uiPriority w:val="98"/>
    <w:semiHidden/>
    <w:rsid w:val="00C75DC0"/>
    <w:rPr>
      <w:rFonts w:ascii="Consolas" w:hAnsi="Consolas" w:cs="Consolas"/>
      <w:sz w:val="20"/>
      <w:szCs w:val="20"/>
    </w:rPr>
  </w:style>
  <w:style w:type="character" w:styleId="HTMLDefinition">
    <w:name w:val="HTML Definition"/>
    <w:basedOn w:val="DefaultParagraphFont"/>
    <w:uiPriority w:val="98"/>
    <w:semiHidden/>
    <w:rsid w:val="00C75DC0"/>
    <w:rPr>
      <w:i/>
      <w:iCs/>
    </w:rPr>
  </w:style>
  <w:style w:type="character" w:styleId="HTMLKeyboard">
    <w:name w:val="HTML Keyboard"/>
    <w:basedOn w:val="DefaultParagraphFont"/>
    <w:uiPriority w:val="98"/>
    <w:semiHidden/>
    <w:rsid w:val="00C75DC0"/>
    <w:rPr>
      <w:rFonts w:ascii="Consolas" w:hAnsi="Consolas" w:cs="Consolas"/>
      <w:sz w:val="20"/>
      <w:szCs w:val="20"/>
    </w:rPr>
  </w:style>
  <w:style w:type="paragraph" w:styleId="HTMLPreformatted">
    <w:name w:val="HTML Preformatted"/>
    <w:basedOn w:val="Normal"/>
    <w:link w:val="HTMLPreformattedChar"/>
    <w:uiPriority w:val="98"/>
    <w:semiHidden/>
    <w:rsid w:val="00C75DC0"/>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C75DC0"/>
    <w:rPr>
      <w:rFonts w:ascii="Consolas" w:hAnsi="Consolas" w:cs="Consolas"/>
      <w:sz w:val="20"/>
      <w:szCs w:val="20"/>
      <w:lang w:val="bg-BG"/>
    </w:rPr>
  </w:style>
  <w:style w:type="character" w:styleId="HTMLSample">
    <w:name w:val="HTML Sample"/>
    <w:basedOn w:val="DefaultParagraphFont"/>
    <w:uiPriority w:val="98"/>
    <w:semiHidden/>
    <w:rsid w:val="00C75DC0"/>
    <w:rPr>
      <w:rFonts w:ascii="Consolas" w:hAnsi="Consolas" w:cs="Consolas"/>
      <w:sz w:val="24"/>
      <w:szCs w:val="24"/>
    </w:rPr>
  </w:style>
  <w:style w:type="character" w:styleId="HTMLTypewriter">
    <w:name w:val="HTML Typewriter"/>
    <w:basedOn w:val="DefaultParagraphFont"/>
    <w:uiPriority w:val="98"/>
    <w:semiHidden/>
    <w:rsid w:val="00C75DC0"/>
    <w:rPr>
      <w:rFonts w:ascii="Consolas" w:hAnsi="Consolas" w:cs="Consolas"/>
      <w:sz w:val="20"/>
      <w:szCs w:val="20"/>
    </w:rPr>
  </w:style>
  <w:style w:type="character" w:styleId="HTMLVariable">
    <w:name w:val="HTML Variable"/>
    <w:basedOn w:val="DefaultParagraphFont"/>
    <w:uiPriority w:val="98"/>
    <w:semiHidden/>
    <w:rsid w:val="00C75DC0"/>
    <w:rPr>
      <w:i/>
      <w:iCs/>
    </w:rPr>
  </w:style>
  <w:style w:type="paragraph" w:styleId="Index1">
    <w:name w:val="index 1"/>
    <w:basedOn w:val="Normal"/>
    <w:next w:val="Normal"/>
    <w:autoRedefine/>
    <w:uiPriority w:val="98"/>
    <w:semiHidden/>
    <w:rsid w:val="00C75DC0"/>
    <w:pPr>
      <w:ind w:left="240" w:hanging="240"/>
    </w:pPr>
  </w:style>
  <w:style w:type="paragraph" w:styleId="Index2">
    <w:name w:val="index 2"/>
    <w:basedOn w:val="Normal"/>
    <w:next w:val="Normal"/>
    <w:autoRedefine/>
    <w:uiPriority w:val="98"/>
    <w:semiHidden/>
    <w:rsid w:val="00C75DC0"/>
    <w:pPr>
      <w:ind w:left="480" w:hanging="240"/>
    </w:pPr>
  </w:style>
  <w:style w:type="paragraph" w:styleId="Index3">
    <w:name w:val="index 3"/>
    <w:basedOn w:val="Normal"/>
    <w:next w:val="Normal"/>
    <w:autoRedefine/>
    <w:uiPriority w:val="98"/>
    <w:semiHidden/>
    <w:rsid w:val="00C75DC0"/>
    <w:pPr>
      <w:ind w:left="720" w:hanging="240"/>
    </w:pPr>
  </w:style>
  <w:style w:type="paragraph" w:styleId="Index4">
    <w:name w:val="index 4"/>
    <w:basedOn w:val="Normal"/>
    <w:next w:val="Normal"/>
    <w:autoRedefine/>
    <w:uiPriority w:val="98"/>
    <w:semiHidden/>
    <w:rsid w:val="00C75DC0"/>
    <w:pPr>
      <w:ind w:left="960" w:hanging="240"/>
    </w:pPr>
  </w:style>
  <w:style w:type="paragraph" w:styleId="Index5">
    <w:name w:val="index 5"/>
    <w:basedOn w:val="Normal"/>
    <w:next w:val="Normal"/>
    <w:autoRedefine/>
    <w:uiPriority w:val="98"/>
    <w:semiHidden/>
    <w:rsid w:val="00C75DC0"/>
    <w:pPr>
      <w:ind w:left="1200" w:hanging="240"/>
    </w:pPr>
  </w:style>
  <w:style w:type="paragraph" w:styleId="Index6">
    <w:name w:val="index 6"/>
    <w:basedOn w:val="Normal"/>
    <w:next w:val="Normal"/>
    <w:autoRedefine/>
    <w:uiPriority w:val="98"/>
    <w:semiHidden/>
    <w:rsid w:val="00C75DC0"/>
    <w:pPr>
      <w:ind w:left="1440" w:hanging="240"/>
    </w:pPr>
  </w:style>
  <w:style w:type="paragraph" w:styleId="Index7">
    <w:name w:val="index 7"/>
    <w:basedOn w:val="Normal"/>
    <w:next w:val="Normal"/>
    <w:autoRedefine/>
    <w:uiPriority w:val="98"/>
    <w:semiHidden/>
    <w:rsid w:val="00C75DC0"/>
    <w:pPr>
      <w:ind w:left="1680" w:hanging="240"/>
    </w:pPr>
  </w:style>
  <w:style w:type="paragraph" w:styleId="Index8">
    <w:name w:val="index 8"/>
    <w:basedOn w:val="Normal"/>
    <w:next w:val="Normal"/>
    <w:autoRedefine/>
    <w:uiPriority w:val="98"/>
    <w:semiHidden/>
    <w:rsid w:val="00C75DC0"/>
    <w:pPr>
      <w:ind w:left="1920" w:hanging="240"/>
    </w:pPr>
  </w:style>
  <w:style w:type="paragraph" w:styleId="Index9">
    <w:name w:val="index 9"/>
    <w:basedOn w:val="Normal"/>
    <w:next w:val="Normal"/>
    <w:autoRedefine/>
    <w:uiPriority w:val="98"/>
    <w:semiHidden/>
    <w:rsid w:val="00C75DC0"/>
    <w:pPr>
      <w:ind w:left="2160" w:hanging="240"/>
    </w:pPr>
  </w:style>
  <w:style w:type="paragraph" w:styleId="IndexHeading">
    <w:name w:val="index heading"/>
    <w:basedOn w:val="Normal"/>
    <w:next w:val="Index1"/>
    <w:uiPriority w:val="98"/>
    <w:semiHidden/>
    <w:rsid w:val="00C75DC0"/>
    <w:rPr>
      <w:rFonts w:asciiTheme="majorHAnsi" w:eastAsiaTheme="majorEastAsia" w:hAnsiTheme="majorHAnsi" w:cstheme="majorBidi"/>
      <w:b/>
      <w:bCs/>
    </w:rPr>
  </w:style>
  <w:style w:type="table" w:styleId="LightGrid">
    <w:name w:val="Light Grid"/>
    <w:basedOn w:val="TableNormal"/>
    <w:uiPriority w:val="62"/>
    <w:semiHidden/>
    <w:rsid w:val="00C75DC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C75DC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C75DC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C75DC0"/>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C75DC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C75DC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C75DC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C75DC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C75DC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C75DC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C75DC0"/>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C75DC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C75DC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C75DC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C75DC0"/>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C75DC0"/>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C75DC0"/>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C75DC0"/>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C75DC0"/>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C75DC0"/>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C75DC0"/>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C75DC0"/>
  </w:style>
  <w:style w:type="paragraph" w:styleId="List">
    <w:name w:val="List"/>
    <w:basedOn w:val="Normal"/>
    <w:uiPriority w:val="98"/>
    <w:semiHidden/>
    <w:rsid w:val="00C75DC0"/>
    <w:pPr>
      <w:ind w:left="283" w:hanging="283"/>
      <w:contextualSpacing/>
    </w:pPr>
  </w:style>
  <w:style w:type="paragraph" w:styleId="List2">
    <w:name w:val="List 2"/>
    <w:basedOn w:val="Normal"/>
    <w:uiPriority w:val="98"/>
    <w:semiHidden/>
    <w:rsid w:val="00C75DC0"/>
    <w:pPr>
      <w:ind w:left="566" w:hanging="283"/>
      <w:contextualSpacing/>
    </w:pPr>
  </w:style>
  <w:style w:type="paragraph" w:styleId="List3">
    <w:name w:val="List 3"/>
    <w:basedOn w:val="Normal"/>
    <w:uiPriority w:val="98"/>
    <w:semiHidden/>
    <w:rsid w:val="00C75DC0"/>
    <w:pPr>
      <w:ind w:left="849" w:hanging="283"/>
      <w:contextualSpacing/>
    </w:pPr>
  </w:style>
  <w:style w:type="paragraph" w:styleId="List4">
    <w:name w:val="List 4"/>
    <w:basedOn w:val="Normal"/>
    <w:uiPriority w:val="98"/>
    <w:semiHidden/>
    <w:rsid w:val="00C75DC0"/>
    <w:pPr>
      <w:ind w:left="1132" w:hanging="283"/>
      <w:contextualSpacing/>
    </w:pPr>
  </w:style>
  <w:style w:type="paragraph" w:styleId="List5">
    <w:name w:val="List 5"/>
    <w:basedOn w:val="Normal"/>
    <w:uiPriority w:val="98"/>
    <w:semiHidden/>
    <w:rsid w:val="00C75DC0"/>
    <w:pPr>
      <w:ind w:left="1415" w:hanging="283"/>
      <w:contextualSpacing/>
    </w:pPr>
  </w:style>
  <w:style w:type="paragraph" w:styleId="ListBullet">
    <w:name w:val="List Bullet"/>
    <w:basedOn w:val="Normal"/>
    <w:uiPriority w:val="98"/>
    <w:semiHidden/>
    <w:rsid w:val="00C75DC0"/>
    <w:pPr>
      <w:numPr>
        <w:numId w:val="5"/>
      </w:numPr>
    </w:pPr>
  </w:style>
  <w:style w:type="paragraph" w:styleId="ListBullet3">
    <w:name w:val="List Bullet 3"/>
    <w:basedOn w:val="Normal"/>
    <w:uiPriority w:val="98"/>
    <w:semiHidden/>
    <w:rsid w:val="00C75DC0"/>
    <w:pPr>
      <w:numPr>
        <w:numId w:val="7"/>
      </w:numPr>
      <w:contextualSpacing/>
    </w:pPr>
  </w:style>
  <w:style w:type="paragraph" w:styleId="ListBullet4">
    <w:name w:val="List Bullet 4"/>
    <w:basedOn w:val="Normal"/>
    <w:uiPriority w:val="98"/>
    <w:semiHidden/>
    <w:rsid w:val="00C75DC0"/>
    <w:pPr>
      <w:numPr>
        <w:numId w:val="8"/>
      </w:numPr>
      <w:contextualSpacing/>
    </w:pPr>
  </w:style>
  <w:style w:type="paragraph" w:styleId="ListBullet5">
    <w:name w:val="List Bullet 5"/>
    <w:basedOn w:val="Normal"/>
    <w:uiPriority w:val="98"/>
    <w:semiHidden/>
    <w:rsid w:val="00C75DC0"/>
    <w:pPr>
      <w:numPr>
        <w:numId w:val="9"/>
      </w:numPr>
      <w:contextualSpacing/>
    </w:pPr>
  </w:style>
  <w:style w:type="paragraph" w:styleId="ListContinue">
    <w:name w:val="List Continue"/>
    <w:basedOn w:val="Normal"/>
    <w:uiPriority w:val="98"/>
    <w:semiHidden/>
    <w:rsid w:val="00C75DC0"/>
    <w:pPr>
      <w:spacing w:after="120"/>
      <w:ind w:left="283"/>
      <w:contextualSpacing/>
    </w:pPr>
  </w:style>
  <w:style w:type="paragraph" w:styleId="ListContinue2">
    <w:name w:val="List Continue 2"/>
    <w:basedOn w:val="Normal"/>
    <w:uiPriority w:val="98"/>
    <w:semiHidden/>
    <w:rsid w:val="00C75DC0"/>
    <w:pPr>
      <w:spacing w:after="120"/>
      <w:ind w:left="566"/>
      <w:contextualSpacing/>
    </w:pPr>
  </w:style>
  <w:style w:type="paragraph" w:styleId="ListContinue3">
    <w:name w:val="List Continue 3"/>
    <w:basedOn w:val="Normal"/>
    <w:uiPriority w:val="98"/>
    <w:semiHidden/>
    <w:rsid w:val="00C75DC0"/>
    <w:pPr>
      <w:spacing w:after="120"/>
      <w:ind w:left="849"/>
      <w:contextualSpacing/>
    </w:pPr>
  </w:style>
  <w:style w:type="paragraph" w:styleId="ListContinue4">
    <w:name w:val="List Continue 4"/>
    <w:basedOn w:val="Normal"/>
    <w:uiPriority w:val="98"/>
    <w:semiHidden/>
    <w:rsid w:val="00C75DC0"/>
    <w:pPr>
      <w:spacing w:after="120"/>
      <w:ind w:left="1132"/>
      <w:contextualSpacing/>
    </w:pPr>
  </w:style>
  <w:style w:type="paragraph" w:styleId="ListContinue5">
    <w:name w:val="List Continue 5"/>
    <w:basedOn w:val="Normal"/>
    <w:uiPriority w:val="98"/>
    <w:semiHidden/>
    <w:rsid w:val="00C75DC0"/>
    <w:pPr>
      <w:spacing w:after="120"/>
      <w:ind w:left="1415"/>
      <w:contextualSpacing/>
    </w:pPr>
  </w:style>
  <w:style w:type="paragraph" w:styleId="ListNumber">
    <w:name w:val="List Number"/>
    <w:basedOn w:val="Normal"/>
    <w:uiPriority w:val="98"/>
    <w:semiHidden/>
    <w:rsid w:val="00C75DC0"/>
    <w:pPr>
      <w:numPr>
        <w:numId w:val="10"/>
      </w:numPr>
      <w:contextualSpacing/>
    </w:pPr>
  </w:style>
  <w:style w:type="paragraph" w:styleId="ListNumber2">
    <w:name w:val="List Number 2"/>
    <w:basedOn w:val="Normal"/>
    <w:uiPriority w:val="98"/>
    <w:semiHidden/>
    <w:rsid w:val="00C75DC0"/>
    <w:pPr>
      <w:numPr>
        <w:numId w:val="11"/>
      </w:numPr>
      <w:contextualSpacing/>
    </w:pPr>
  </w:style>
  <w:style w:type="paragraph" w:styleId="ListNumber3">
    <w:name w:val="List Number 3"/>
    <w:basedOn w:val="Normal"/>
    <w:uiPriority w:val="98"/>
    <w:semiHidden/>
    <w:rsid w:val="00C75DC0"/>
    <w:pPr>
      <w:numPr>
        <w:numId w:val="12"/>
      </w:numPr>
      <w:contextualSpacing/>
    </w:pPr>
  </w:style>
  <w:style w:type="paragraph" w:styleId="ListNumber4">
    <w:name w:val="List Number 4"/>
    <w:basedOn w:val="Normal"/>
    <w:uiPriority w:val="98"/>
    <w:semiHidden/>
    <w:rsid w:val="00C75DC0"/>
    <w:pPr>
      <w:numPr>
        <w:numId w:val="13"/>
      </w:numPr>
      <w:contextualSpacing/>
    </w:pPr>
  </w:style>
  <w:style w:type="paragraph" w:styleId="ListNumber5">
    <w:name w:val="List Number 5"/>
    <w:basedOn w:val="Normal"/>
    <w:uiPriority w:val="98"/>
    <w:semiHidden/>
    <w:rsid w:val="00C75DC0"/>
    <w:pPr>
      <w:numPr>
        <w:numId w:val="14"/>
      </w:numPr>
      <w:contextualSpacing/>
    </w:pPr>
  </w:style>
  <w:style w:type="paragraph" w:styleId="MacroText">
    <w:name w:val="macro"/>
    <w:link w:val="MacroTextChar"/>
    <w:uiPriority w:val="98"/>
    <w:semiHidden/>
    <w:rsid w:val="00C75DC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C75DC0"/>
    <w:rPr>
      <w:rFonts w:ascii="Consolas" w:eastAsiaTheme="minorEastAsia" w:hAnsi="Consolas" w:cs="Consolas"/>
      <w:sz w:val="20"/>
      <w:szCs w:val="20"/>
    </w:rPr>
  </w:style>
  <w:style w:type="table" w:styleId="MediumGrid1">
    <w:name w:val="Medium Grid 1"/>
    <w:basedOn w:val="TableNormal"/>
    <w:uiPriority w:val="67"/>
    <w:semiHidden/>
    <w:rsid w:val="00C75DC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C75DC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C75DC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C75DC0"/>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C75DC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C75DC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C75DC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C75DC0"/>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C75DC0"/>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C75DC0"/>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C75DC0"/>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C75DC0"/>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C75DC0"/>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C75DC0"/>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C75DC0"/>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C75DC0"/>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C75DC0"/>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C75DC0"/>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C75DC0"/>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C75DC0"/>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C75DC0"/>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C75DC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C75DC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C75DC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C75DC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C75DC0"/>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C75DC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C75DC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C75DC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C75DC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C75DC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C75DC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C75DC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C75DC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C75DC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C75DC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C75DC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C75DC0"/>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C75DC0"/>
    <w:rPr>
      <w:rFonts w:ascii="Times New Roman" w:hAnsi="Times New Roman" w:cs="Times New Roman"/>
    </w:rPr>
  </w:style>
  <w:style w:type="paragraph" w:styleId="NormalIndent">
    <w:name w:val="Normal Indent"/>
    <w:basedOn w:val="Normal"/>
    <w:uiPriority w:val="98"/>
    <w:semiHidden/>
    <w:rsid w:val="00C75DC0"/>
    <w:pPr>
      <w:ind w:left="720"/>
    </w:pPr>
  </w:style>
  <w:style w:type="paragraph" w:styleId="NoteHeading">
    <w:name w:val="Note Heading"/>
    <w:basedOn w:val="Normal"/>
    <w:next w:val="Normal"/>
    <w:link w:val="NoteHeadingChar"/>
    <w:uiPriority w:val="98"/>
    <w:semiHidden/>
    <w:rsid w:val="00C75DC0"/>
  </w:style>
  <w:style w:type="character" w:customStyle="1" w:styleId="NoteHeadingChar">
    <w:name w:val="Note Heading Char"/>
    <w:basedOn w:val="DefaultParagraphFont"/>
    <w:link w:val="NoteHeading"/>
    <w:uiPriority w:val="98"/>
    <w:semiHidden/>
    <w:rsid w:val="00C75DC0"/>
    <w:rPr>
      <w:sz w:val="24"/>
      <w:szCs w:val="24"/>
      <w:lang w:val="bg-BG"/>
    </w:rPr>
  </w:style>
  <w:style w:type="character" w:styleId="PlaceholderText">
    <w:name w:val="Placeholder Text"/>
    <w:basedOn w:val="DefaultParagraphFont"/>
    <w:uiPriority w:val="98"/>
    <w:semiHidden/>
    <w:rsid w:val="00C75DC0"/>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C75DC0"/>
    <w:rPr>
      <w:rFonts w:ascii="Consolas" w:hAnsi="Consolas" w:cs="Consolas"/>
      <w:sz w:val="21"/>
      <w:szCs w:val="21"/>
    </w:rPr>
  </w:style>
  <w:style w:type="character" w:customStyle="1" w:styleId="PlainTextChar">
    <w:name w:val="Plain Text Char"/>
    <w:basedOn w:val="DefaultParagraphFont"/>
    <w:link w:val="PlainText"/>
    <w:uiPriority w:val="98"/>
    <w:semiHidden/>
    <w:rsid w:val="00C75DC0"/>
    <w:rPr>
      <w:rFonts w:ascii="Consolas" w:hAnsi="Consolas" w:cs="Consolas"/>
      <w:sz w:val="21"/>
      <w:szCs w:val="21"/>
      <w:lang w:val="bg-BG"/>
    </w:rPr>
  </w:style>
  <w:style w:type="paragraph" w:styleId="Salutation">
    <w:name w:val="Salutation"/>
    <w:basedOn w:val="Normal"/>
    <w:next w:val="Normal"/>
    <w:link w:val="SalutationChar"/>
    <w:uiPriority w:val="98"/>
    <w:semiHidden/>
    <w:rsid w:val="00C75DC0"/>
  </w:style>
  <w:style w:type="character" w:customStyle="1" w:styleId="SalutationChar">
    <w:name w:val="Salutation Char"/>
    <w:basedOn w:val="DefaultParagraphFont"/>
    <w:link w:val="Salutation"/>
    <w:uiPriority w:val="98"/>
    <w:semiHidden/>
    <w:rsid w:val="00C75DC0"/>
    <w:rPr>
      <w:sz w:val="24"/>
      <w:szCs w:val="24"/>
      <w:lang w:val="bg-BG"/>
    </w:rPr>
  </w:style>
  <w:style w:type="paragraph" w:styleId="Signature">
    <w:name w:val="Signature"/>
    <w:basedOn w:val="Normal"/>
    <w:link w:val="SignatureChar"/>
    <w:uiPriority w:val="98"/>
    <w:semiHidden/>
    <w:rsid w:val="00C75DC0"/>
    <w:pPr>
      <w:ind w:left="4252"/>
    </w:pPr>
  </w:style>
  <w:style w:type="character" w:customStyle="1" w:styleId="SignatureChar">
    <w:name w:val="Signature Char"/>
    <w:basedOn w:val="DefaultParagraphFont"/>
    <w:link w:val="Signature"/>
    <w:uiPriority w:val="98"/>
    <w:semiHidden/>
    <w:rsid w:val="00C75DC0"/>
    <w:rPr>
      <w:sz w:val="24"/>
      <w:szCs w:val="24"/>
      <w:lang w:val="bg-BG"/>
    </w:rPr>
  </w:style>
  <w:style w:type="table" w:styleId="Table3Deffects1">
    <w:name w:val="Table 3D effects 1"/>
    <w:basedOn w:val="TableNormal"/>
    <w:uiPriority w:val="99"/>
    <w:semiHidden/>
    <w:unhideWhenUsed/>
    <w:rsid w:val="00C75DC0"/>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5DC0"/>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5DC0"/>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5DC0"/>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5DC0"/>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5DC0"/>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5DC0"/>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5DC0"/>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5DC0"/>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5DC0"/>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5DC0"/>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5DC0"/>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5DC0"/>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5DC0"/>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5DC0"/>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5DC0"/>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5DC0"/>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5DC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5DC0"/>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5DC0"/>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5DC0"/>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5DC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5DC0"/>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5DC0"/>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5DC0"/>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75DC0"/>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5DC0"/>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5DC0"/>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5DC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5DC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5DC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5DC0"/>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5DC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C75DC0"/>
    <w:pPr>
      <w:ind w:left="240" w:hanging="240"/>
    </w:pPr>
  </w:style>
  <w:style w:type="paragraph" w:styleId="TableofFigures">
    <w:name w:val="table of figures"/>
    <w:basedOn w:val="Normal"/>
    <w:next w:val="Normal"/>
    <w:uiPriority w:val="98"/>
    <w:semiHidden/>
    <w:rsid w:val="00C75DC0"/>
  </w:style>
  <w:style w:type="table" w:styleId="TableProfessional">
    <w:name w:val="Table Professional"/>
    <w:basedOn w:val="TableNormal"/>
    <w:uiPriority w:val="99"/>
    <w:semiHidden/>
    <w:unhideWhenUsed/>
    <w:rsid w:val="00C75DC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5DC0"/>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5DC0"/>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5DC0"/>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5DC0"/>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5DC0"/>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5DC0"/>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5DC0"/>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5DC0"/>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5DC0"/>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C75DC0"/>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C75DC0"/>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C75DC0"/>
    <w:pPr>
      <w:spacing w:after="100"/>
      <w:ind w:left="1680"/>
    </w:pPr>
  </w:style>
  <w:style w:type="paragraph" w:styleId="TOC9">
    <w:name w:val="toc 9"/>
    <w:basedOn w:val="Normal"/>
    <w:next w:val="Normal"/>
    <w:autoRedefine/>
    <w:uiPriority w:val="98"/>
    <w:semiHidden/>
    <w:rsid w:val="00C75DC0"/>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C75DC0"/>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C75DC0"/>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C75DC0"/>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C75DC0"/>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C75DC0"/>
    <w:pPr>
      <w:numPr>
        <w:numId w:val="16"/>
      </w:numPr>
      <w:spacing w:before="60" w:after="60"/>
    </w:pPr>
  </w:style>
  <w:style w:type="paragraph" w:customStyle="1" w:styleId="ECHRBullet2">
    <w:name w:val="ECHR_Bullet_2"/>
    <w:aliases w:val="_Bul_2"/>
    <w:basedOn w:val="ECHRBullet1"/>
    <w:uiPriority w:val="23"/>
    <w:semiHidden/>
    <w:rsid w:val="00C75DC0"/>
    <w:pPr>
      <w:numPr>
        <w:ilvl w:val="1"/>
      </w:numPr>
    </w:pPr>
  </w:style>
  <w:style w:type="paragraph" w:customStyle="1" w:styleId="ECHRBullet3">
    <w:name w:val="ECHR_Bullet_3"/>
    <w:aliases w:val="_Bul_3"/>
    <w:basedOn w:val="ECHRBullet2"/>
    <w:uiPriority w:val="23"/>
    <w:semiHidden/>
    <w:rsid w:val="00C75DC0"/>
    <w:pPr>
      <w:numPr>
        <w:ilvl w:val="2"/>
      </w:numPr>
    </w:pPr>
  </w:style>
  <w:style w:type="paragraph" w:customStyle="1" w:styleId="ECHRBullet4">
    <w:name w:val="ECHR_Bullet_4"/>
    <w:aliases w:val="_Bul_4"/>
    <w:basedOn w:val="ECHRBullet3"/>
    <w:uiPriority w:val="23"/>
    <w:semiHidden/>
    <w:rsid w:val="00C75DC0"/>
    <w:pPr>
      <w:numPr>
        <w:ilvl w:val="3"/>
      </w:numPr>
    </w:pPr>
  </w:style>
  <w:style w:type="paragraph" w:customStyle="1" w:styleId="ECHRConfidential">
    <w:name w:val="ECHR_Confidential"/>
    <w:aliases w:val="_Confidential"/>
    <w:basedOn w:val="Normal"/>
    <w:next w:val="Normal"/>
    <w:uiPriority w:val="42"/>
    <w:semiHidden/>
    <w:qFormat/>
    <w:rsid w:val="00C75DC0"/>
    <w:pPr>
      <w:jc w:val="right"/>
    </w:pPr>
    <w:rPr>
      <w:color w:val="C00000"/>
      <w:sz w:val="20"/>
    </w:rPr>
  </w:style>
  <w:style w:type="paragraph" w:customStyle="1" w:styleId="ECHRDecisionBody">
    <w:name w:val="ECHR_Decision_Body"/>
    <w:aliases w:val="_Decision_Body"/>
    <w:basedOn w:val="NormalJustified"/>
    <w:uiPriority w:val="54"/>
    <w:semiHidden/>
    <w:rsid w:val="00C75DC0"/>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C75DC0"/>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C75DC0"/>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29"/>
    <w:semiHidden/>
    <w:rsid w:val="00C75DC0"/>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C75DC0"/>
    <w:pPr>
      <w:jc w:val="right"/>
    </w:pPr>
    <w:rPr>
      <w:sz w:val="20"/>
    </w:rPr>
  </w:style>
  <w:style w:type="paragraph" w:customStyle="1" w:styleId="ECHRHeaderRefIt">
    <w:name w:val="ECHR_Header_Ref_It"/>
    <w:aliases w:val="_Ref_Ital"/>
    <w:basedOn w:val="Normal"/>
    <w:next w:val="ECHRHeaderDate"/>
    <w:uiPriority w:val="43"/>
    <w:semiHidden/>
    <w:qFormat/>
    <w:rsid w:val="00C75DC0"/>
    <w:pPr>
      <w:jc w:val="right"/>
    </w:pPr>
    <w:rPr>
      <w:i/>
      <w:sz w:val="20"/>
    </w:rPr>
  </w:style>
  <w:style w:type="paragraph" w:customStyle="1" w:styleId="ECHRHeading9">
    <w:name w:val="ECHR_Heading_9"/>
    <w:aliases w:val="_Head_9"/>
    <w:basedOn w:val="Heading9"/>
    <w:uiPriority w:val="17"/>
    <w:semiHidden/>
    <w:rsid w:val="00C75DC0"/>
    <w:pPr>
      <w:keepNext/>
      <w:keepLines/>
      <w:numPr>
        <w:ilvl w:val="8"/>
        <w:numId w:val="1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C75DC0"/>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C75DC0"/>
    <w:pPr>
      <w:numPr>
        <w:numId w:val="18"/>
      </w:numPr>
      <w:spacing w:before="60" w:after="60"/>
    </w:pPr>
  </w:style>
  <w:style w:type="paragraph" w:customStyle="1" w:styleId="ECHRNumberedList2">
    <w:name w:val="ECHR_Numbered_List_2"/>
    <w:aliases w:val="_Num_2"/>
    <w:basedOn w:val="ECHRNumberedList1"/>
    <w:uiPriority w:val="23"/>
    <w:semiHidden/>
    <w:rsid w:val="00C75DC0"/>
    <w:pPr>
      <w:numPr>
        <w:ilvl w:val="1"/>
      </w:numPr>
    </w:pPr>
  </w:style>
  <w:style w:type="paragraph" w:customStyle="1" w:styleId="ECHRNumberedList3">
    <w:name w:val="ECHR_Numbered_List_3"/>
    <w:aliases w:val="_Num_3"/>
    <w:basedOn w:val="ECHRNumberedList2"/>
    <w:uiPriority w:val="23"/>
    <w:semiHidden/>
    <w:rsid w:val="00C75DC0"/>
    <w:pPr>
      <w:numPr>
        <w:ilvl w:val="2"/>
      </w:numPr>
    </w:pPr>
  </w:style>
  <w:style w:type="paragraph" w:customStyle="1" w:styleId="ECHRParaHanging">
    <w:name w:val="ECHR_Para_Hanging"/>
    <w:aliases w:val="_Hanging"/>
    <w:basedOn w:val="NormalJustified"/>
    <w:uiPriority w:val="8"/>
    <w:semiHidden/>
    <w:qFormat/>
    <w:rsid w:val="00C75DC0"/>
    <w:pPr>
      <w:ind w:left="567" w:hanging="567"/>
    </w:pPr>
  </w:style>
  <w:style w:type="paragraph" w:customStyle="1" w:styleId="ECHRParaIndent">
    <w:name w:val="ECHR_Para_Indent"/>
    <w:aliases w:val="_Indent"/>
    <w:basedOn w:val="NormalJustified"/>
    <w:uiPriority w:val="7"/>
    <w:semiHidden/>
    <w:qFormat/>
    <w:rsid w:val="00C75DC0"/>
    <w:pPr>
      <w:spacing w:before="120" w:after="120"/>
      <w:ind w:left="567"/>
    </w:pPr>
  </w:style>
  <w:style w:type="character" w:customStyle="1" w:styleId="ECHRRed">
    <w:name w:val="ECHR_Red"/>
    <w:aliases w:val="_Red"/>
    <w:basedOn w:val="DefaultParagraphFont"/>
    <w:uiPriority w:val="15"/>
    <w:semiHidden/>
    <w:qFormat/>
    <w:rsid w:val="00C75DC0"/>
    <w:rPr>
      <w:color w:val="C00000" w:themeColor="accent2"/>
    </w:rPr>
  </w:style>
  <w:style w:type="paragraph" w:customStyle="1" w:styleId="DecList">
    <w:name w:val="Dec_List"/>
    <w:aliases w:val="_List"/>
    <w:basedOn w:val="JuList"/>
    <w:uiPriority w:val="22"/>
    <w:rsid w:val="00C75DC0"/>
    <w:pPr>
      <w:numPr>
        <w:numId w:val="0"/>
      </w:numPr>
      <w:ind w:left="284"/>
    </w:pPr>
  </w:style>
  <w:style w:type="table" w:customStyle="1" w:styleId="ECHRTable2">
    <w:name w:val="ECHR_Table_2"/>
    <w:basedOn w:val="TableNormal"/>
    <w:uiPriority w:val="99"/>
    <w:rsid w:val="00C75DC0"/>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C75DC0"/>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C75DC0"/>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C75DC0"/>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C75DC0"/>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C75DC0"/>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C75DC0"/>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C75DC0"/>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C75DC0"/>
    <w:pPr>
      <w:outlineLvl w:val="0"/>
    </w:pPr>
  </w:style>
  <w:style w:type="paragraph" w:customStyle="1" w:styleId="ECHRTitleTOC1">
    <w:name w:val="ECHR_Title_TOC_1"/>
    <w:aliases w:val="_Title_L_TOC"/>
    <w:basedOn w:val="ECHRTitle1"/>
    <w:next w:val="Normal"/>
    <w:uiPriority w:val="27"/>
    <w:semiHidden/>
    <w:qFormat/>
    <w:rsid w:val="00C75DC0"/>
    <w:pPr>
      <w:outlineLvl w:val="0"/>
    </w:pPr>
  </w:style>
  <w:style w:type="paragraph" w:customStyle="1" w:styleId="ECHRPlaceholder">
    <w:name w:val="ECHR_Placeholder"/>
    <w:aliases w:val="_Placeholder"/>
    <w:basedOn w:val="JuSigned"/>
    <w:uiPriority w:val="31"/>
    <w:rsid w:val="00C75DC0"/>
    <w:rPr>
      <w:color w:val="FFFFFF"/>
    </w:rPr>
  </w:style>
  <w:style w:type="paragraph" w:customStyle="1" w:styleId="ECHRSpacer">
    <w:name w:val="ECHR_Spacer"/>
    <w:aliases w:val="_Spacer"/>
    <w:basedOn w:val="Normal"/>
    <w:uiPriority w:val="45"/>
    <w:semiHidden/>
    <w:rsid w:val="00C75DC0"/>
    <w:rPr>
      <w:sz w:val="4"/>
    </w:rPr>
  </w:style>
  <w:style w:type="table" w:customStyle="1" w:styleId="ECHRTableGrey">
    <w:name w:val="ECHR_Table_Grey"/>
    <w:basedOn w:val="TableNormal"/>
    <w:uiPriority w:val="99"/>
    <w:rsid w:val="00C75DC0"/>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884261"/>
    <w:rPr>
      <w:color w:val="605E5C"/>
      <w:shd w:val="clear" w:color="auto" w:fill="E1DFDD"/>
    </w:rPr>
  </w:style>
  <w:style w:type="table" w:styleId="GridTable1Light">
    <w:name w:val="Grid Table 1 Light"/>
    <w:basedOn w:val="TableNormal"/>
    <w:uiPriority w:val="46"/>
    <w:semiHidden/>
    <w:rsid w:val="009669EA"/>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9669EA"/>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669EA"/>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669EA"/>
    <w:rPr>
      <w:sz w:val="24"/>
      <w:szCs w:val="24"/>
    </w:rPr>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669EA"/>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669EA"/>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669EA"/>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669EA"/>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669EA"/>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9669EA"/>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9669EA"/>
    <w:rPr>
      <w:sz w:val="24"/>
      <w:szCs w:val="24"/>
    </w:rPr>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9669EA"/>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9669EA"/>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9669EA"/>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9669EA"/>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669EA"/>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9669EA"/>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9669EA"/>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9669EA"/>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9669EA"/>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9669EA"/>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9669EA"/>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669EA"/>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9669EA"/>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9669EA"/>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9669EA"/>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9669EA"/>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9669EA"/>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9669E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669E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9669E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9669E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9669E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9669E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9669E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9669EA"/>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669EA"/>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9669EA"/>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9669EA"/>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9669EA"/>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9669EA"/>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9669EA"/>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9669EA"/>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669EA"/>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9669EA"/>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9669EA"/>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9669EA"/>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9669EA"/>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9669EA"/>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9669EA"/>
    <w:rPr>
      <w:color w:val="2B579A"/>
      <w:shd w:val="clear" w:color="auto" w:fill="E1DFDD"/>
    </w:rPr>
  </w:style>
  <w:style w:type="table" w:styleId="ListTable1Light">
    <w:name w:val="List Table 1 Light"/>
    <w:basedOn w:val="TableNormal"/>
    <w:uiPriority w:val="46"/>
    <w:semiHidden/>
    <w:rsid w:val="009669EA"/>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669EA"/>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9669EA"/>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9669EA"/>
    <w:rPr>
      <w:sz w:val="24"/>
      <w:szCs w:val="24"/>
    </w:rPr>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9669EA"/>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9669EA"/>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9669EA"/>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9669EA"/>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669EA"/>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9669EA"/>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9669EA"/>
    <w:rPr>
      <w:sz w:val="24"/>
      <w:szCs w:val="24"/>
    </w:rPr>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9669EA"/>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9669EA"/>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9669EA"/>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9669EA"/>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669EA"/>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9669EA"/>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9669EA"/>
    <w:rPr>
      <w:sz w:val="24"/>
      <w:szCs w:val="24"/>
    </w:rPr>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9669EA"/>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9669EA"/>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9669EA"/>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9669EA"/>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669EA"/>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9669EA"/>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9669EA"/>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9669EA"/>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9669EA"/>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9669EA"/>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9669EA"/>
    <w:rPr>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669EA"/>
    <w:rPr>
      <w:color w:val="FFFFFF"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669EA"/>
    <w:rPr>
      <w:color w:val="FFFFFF"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669EA"/>
    <w:rPr>
      <w:color w:val="FFFFFF" w:themeColor="background1"/>
      <w:sz w:val="24"/>
      <w:szCs w:val="24"/>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669EA"/>
    <w:rPr>
      <w:color w:val="FFFFFF"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669EA"/>
    <w:rPr>
      <w:color w:val="FFFFFF"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669EA"/>
    <w:rPr>
      <w:color w:val="FFFFFF"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669EA"/>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669EA"/>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9669EA"/>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9669EA"/>
    <w:rPr>
      <w:color w:val="424242" w:themeColor="accent3" w:themeShade="BF"/>
      <w:sz w:val="24"/>
      <w:szCs w:val="24"/>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9669EA"/>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9669EA"/>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9669EA"/>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9669EA"/>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669EA"/>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669EA"/>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669EA"/>
    <w:rPr>
      <w:color w:val="424242"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669EA"/>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669EA"/>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669EA"/>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9669EA"/>
    <w:rPr>
      <w:color w:val="2B579A"/>
      <w:shd w:val="clear" w:color="auto" w:fill="E1DFDD"/>
    </w:rPr>
  </w:style>
  <w:style w:type="table" w:styleId="PlainTable1">
    <w:name w:val="Plain Table 1"/>
    <w:basedOn w:val="TableNormal"/>
    <w:uiPriority w:val="41"/>
    <w:semiHidden/>
    <w:rsid w:val="009669EA"/>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9669EA"/>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669EA"/>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669EA"/>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9669EA"/>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9669EA"/>
    <w:rPr>
      <w:u w:val="dotted"/>
    </w:rPr>
  </w:style>
  <w:style w:type="character" w:customStyle="1" w:styleId="SmartLink1">
    <w:name w:val="SmartLink1"/>
    <w:basedOn w:val="DefaultParagraphFont"/>
    <w:uiPriority w:val="99"/>
    <w:semiHidden/>
    <w:unhideWhenUsed/>
    <w:rsid w:val="009669EA"/>
    <w:rPr>
      <w:color w:val="0000FF"/>
      <w:u w:val="single"/>
      <w:shd w:val="clear" w:color="auto" w:fill="F3F2F1"/>
    </w:rPr>
  </w:style>
  <w:style w:type="table" w:styleId="TableGridLight">
    <w:name w:val="Grid Table Light"/>
    <w:basedOn w:val="TableNormal"/>
    <w:uiPriority w:val="40"/>
    <w:semiHidden/>
    <w:rsid w:val="009669EA"/>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uParaChar">
    <w:name w:val="Ju_Para Char"/>
    <w:aliases w:val="_Para Char"/>
    <w:link w:val="JuPara"/>
    <w:uiPriority w:val="4"/>
    <w:qFormat/>
    <w:rsid w:val="009669EA"/>
    <w:rPr>
      <w:sz w:val="24"/>
      <w:szCs w:val="24"/>
      <w:lang w:val="bg-BG"/>
    </w:rPr>
  </w:style>
  <w:style w:type="character" w:customStyle="1" w:styleId="JuParaCar">
    <w:name w:val="Ju_Para Car"/>
    <w:uiPriority w:val="12"/>
    <w:rsid w:val="009669EA"/>
    <w:rPr>
      <w:rFonts w:eastAsiaTheme="minorEastAsia"/>
      <w:sz w:val="24"/>
    </w:rPr>
  </w:style>
  <w:style w:type="character" w:customStyle="1" w:styleId="JuNames0">
    <w:name w:val="Ju_Names"/>
    <w:rsid w:val="009669EA"/>
    <w:rPr>
      <w:rFonts w:ascii="Times New Roman" w:hAnsi="Times New Roman" w:cs="Times New Roman"/>
      <w:smallCaps/>
    </w:rPr>
  </w:style>
  <w:style w:type="paragraph" w:styleId="Revision">
    <w:name w:val="Revision"/>
    <w:hidden/>
    <w:uiPriority w:val="99"/>
    <w:semiHidden/>
    <w:rsid w:val="009669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3B22E-F66F-4718-9737-110358A2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4853</Words>
  <Characters>27667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32456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lastModifiedBy/>
  <cp:revision>1</cp:revision>
  <dcterms:created xsi:type="dcterms:W3CDTF">2024-11-28T09:13:00Z</dcterms:created>
  <dcterms:modified xsi:type="dcterms:W3CDTF">2024-12-20T13:52:00Z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1225190</vt:lpwstr>
  </property>
  <property fmtid="{D5CDD505-2E9C-101B-9397-08002B2CF9AE}" pid="3" name="cstLanguage">
    <vt:i4>1036</vt:i4>
  </property>
  <property fmtid="{D5CDD505-2E9C-101B-9397-08002B2CF9AE}" pid="4" name="RegisteredNo">
    <vt:lpwstr>41701/16</vt:lpwstr>
  </property>
  <property fmtid="{D5CDD505-2E9C-101B-9397-08002B2CF9AE}" pid="5" name="_MarkAsFinal">
    <vt:bool>true</vt:bool>
  </property>
</Properties>
</file>