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35" w:rsidRPr="0022105A" w:rsidRDefault="00115035" w:rsidP="0022105A">
      <w:pPr>
        <w:jc w:val="center"/>
      </w:pPr>
      <w:bookmarkStart w:id="0" w:name="_GoBack"/>
      <w:bookmarkEnd w:id="0"/>
    </w:p>
    <w:p w:rsidR="00E93FC7" w:rsidRPr="0022105A" w:rsidRDefault="00E93FC7" w:rsidP="0022105A">
      <w:pPr>
        <w:jc w:val="center"/>
        <w:rPr>
          <w:sz w:val="4"/>
          <w:szCs w:val="4"/>
        </w:rPr>
      </w:pPr>
    </w:p>
    <w:p w:rsidR="00E93FC7" w:rsidRDefault="005244C5" w:rsidP="0022105A">
      <w:pPr>
        <w:pStyle w:val="DecHTitle"/>
      </w:pPr>
      <w:r>
        <w:t>ТРЕТО ОТДЕЛЕНИЕ</w:t>
      </w:r>
    </w:p>
    <w:p w:rsidR="00F90AC7" w:rsidRPr="00A26B63" w:rsidRDefault="00F90AC7" w:rsidP="00A26B63">
      <w:pPr>
        <w:pStyle w:val="JuPara"/>
      </w:pPr>
    </w:p>
    <w:p w:rsidR="00E93FC7" w:rsidRDefault="005244C5" w:rsidP="0022105A">
      <w:pPr>
        <w:pStyle w:val="DecHTitle"/>
      </w:pPr>
      <w:r>
        <w:t>РЕШЕНИЕ</w:t>
      </w:r>
      <w:r w:rsidR="005064C7">
        <w:t xml:space="preserve"> ПО ДОПУСТИМОСТ</w:t>
      </w:r>
    </w:p>
    <w:p w:rsidR="00F90AC7" w:rsidRPr="00A26B63" w:rsidRDefault="00F90AC7" w:rsidP="00A26B63">
      <w:pPr>
        <w:pStyle w:val="JuPara"/>
      </w:pPr>
    </w:p>
    <w:p w:rsidR="00EE3667" w:rsidRDefault="00782C46" w:rsidP="0022105A">
      <w:pPr>
        <w:pStyle w:val="DecHCase"/>
      </w:pPr>
      <w:r>
        <w:t>Жалба №</w:t>
      </w:r>
      <w:r>
        <w:rPr>
          <w:lang w:val="en-US"/>
        </w:rPr>
        <w:t> </w:t>
      </w:r>
      <w:r w:rsidR="005244C5">
        <w:t>10599/14</w:t>
      </w:r>
      <w:r w:rsidR="005244C5">
        <w:br/>
        <w:t xml:space="preserve">от Сотир Живков Янков и други </w:t>
      </w:r>
      <w:r w:rsidR="005244C5">
        <w:br/>
        <w:t>срещу България</w:t>
      </w:r>
    </w:p>
    <w:p w:rsidR="00F90AC7" w:rsidRPr="00A26B63" w:rsidRDefault="00F90AC7" w:rsidP="00A26B63">
      <w:pPr>
        <w:pStyle w:val="JuPara"/>
      </w:pPr>
    </w:p>
    <w:p w:rsidR="00E93FC7" w:rsidRPr="0022105A" w:rsidRDefault="00E93FC7" w:rsidP="0022105A">
      <w:pPr>
        <w:rPr>
          <w:sz w:val="2"/>
          <w:szCs w:val="2"/>
        </w:rPr>
      </w:pPr>
    </w:p>
    <w:p w:rsidR="00671F62" w:rsidRPr="0022105A" w:rsidRDefault="005244C5" w:rsidP="0022105A">
      <w:pPr>
        <w:pStyle w:val="JuPara"/>
      </w:pPr>
      <w:r>
        <w:t>Европейският съд по правата на човека (Трето отделе</w:t>
      </w:r>
      <w:r w:rsidR="00A57323">
        <w:t xml:space="preserve">ние), заседаващ </w:t>
      </w:r>
      <w:r w:rsidR="005064C7">
        <w:t>като</w:t>
      </w:r>
      <w:r w:rsidR="00A57323">
        <w:t xml:space="preserve"> комитет на 06</w:t>
      </w:r>
      <w:r w:rsidR="00A57323">
        <w:rPr>
          <w:lang w:val="en-US"/>
        </w:rPr>
        <w:t> </w:t>
      </w:r>
      <w:r w:rsidR="00A57323">
        <w:t>февруари 2024</w:t>
      </w:r>
      <w:r w:rsidR="00A57323">
        <w:rPr>
          <w:lang w:val="en-US"/>
        </w:rPr>
        <w:t> </w:t>
      </w:r>
      <w:r>
        <w:t>г., в състав:</w:t>
      </w:r>
    </w:p>
    <w:p w:rsidR="00671F62" w:rsidRPr="0022105A" w:rsidRDefault="005244C5" w:rsidP="0022105A">
      <w:pPr>
        <w:pStyle w:val="JuJudges"/>
        <w:rPr>
          <w:iCs/>
        </w:rPr>
      </w:pPr>
      <w:r>
        <w:tab/>
      </w:r>
      <w:proofErr w:type="spellStart"/>
      <w:r>
        <w:t>Йоаннис</w:t>
      </w:r>
      <w:proofErr w:type="spellEnd"/>
      <w:r>
        <w:t xml:space="preserve"> </w:t>
      </w:r>
      <w:proofErr w:type="spellStart"/>
      <w:r>
        <w:t>Ктистакис</w:t>
      </w:r>
      <w:proofErr w:type="spellEnd"/>
      <w:r>
        <w:t xml:space="preserve"> (</w:t>
      </w:r>
      <w:proofErr w:type="spellStart"/>
      <w:r>
        <w:t>Ioannis</w:t>
      </w:r>
      <w:proofErr w:type="spellEnd"/>
      <w:r>
        <w:t xml:space="preserve"> </w:t>
      </w:r>
      <w:proofErr w:type="spellStart"/>
      <w:r>
        <w:t>Ktistakis</w:t>
      </w:r>
      <w:proofErr w:type="spellEnd"/>
      <w:r>
        <w:t xml:space="preserve">), </w:t>
      </w:r>
      <w:r>
        <w:rPr>
          <w:i/>
          <w:iCs/>
        </w:rPr>
        <w:t>Председател</w:t>
      </w:r>
      <w:r>
        <w:t>,</w:t>
      </w:r>
      <w:r>
        <w:br/>
      </w:r>
      <w:r>
        <w:tab/>
        <w:t>Йонко Грозев,</w:t>
      </w:r>
      <w:r>
        <w:br/>
      </w:r>
      <w:r>
        <w:tab/>
        <w:t xml:space="preserve">Андреас </w:t>
      </w:r>
      <w:proofErr w:type="spellStart"/>
      <w:r>
        <w:t>Зюнд</w:t>
      </w:r>
      <w:proofErr w:type="spellEnd"/>
      <w:r>
        <w:t xml:space="preserve"> (</w:t>
      </w:r>
      <w:proofErr w:type="spellStart"/>
      <w:r>
        <w:t>Andreas</w:t>
      </w:r>
      <w:proofErr w:type="spellEnd"/>
      <w:r>
        <w:t xml:space="preserve"> </w:t>
      </w:r>
      <w:proofErr w:type="spellStart"/>
      <w:r>
        <w:t>Zünd</w:t>
      </w:r>
      <w:proofErr w:type="spellEnd"/>
      <w:r>
        <w:t xml:space="preserve">), </w:t>
      </w:r>
      <w:r>
        <w:rPr>
          <w:i/>
          <w:iCs/>
        </w:rPr>
        <w:t>съдии</w:t>
      </w:r>
      <w:r>
        <w:t>,</w:t>
      </w:r>
      <w:r>
        <w:br/>
        <w:t xml:space="preserve">и Олга </w:t>
      </w:r>
      <w:proofErr w:type="spellStart"/>
      <w:r>
        <w:t>Чернишова</w:t>
      </w:r>
      <w:proofErr w:type="spellEnd"/>
      <w:r>
        <w:t xml:space="preserve">, </w:t>
      </w:r>
      <w:r>
        <w:rPr>
          <w:i/>
          <w:iCs/>
        </w:rPr>
        <w:t>заместник-секретар на отделението;</w:t>
      </w:r>
    </w:p>
    <w:p w:rsidR="00671F62" w:rsidRPr="0022105A" w:rsidRDefault="005244C5" w:rsidP="0022105A">
      <w:pPr>
        <w:pStyle w:val="JuPara"/>
      </w:pPr>
      <w:r>
        <w:t>Като взема предвид:</w:t>
      </w:r>
    </w:p>
    <w:p w:rsidR="00671F62" w:rsidRPr="0022105A" w:rsidRDefault="005244C5" w:rsidP="0022105A">
      <w:pPr>
        <w:pStyle w:val="JuPara"/>
      </w:pPr>
      <w:r>
        <w:t>жалбата (№ 10599/14) срещу Република България, подадена в Съда на основание член 34 от Конвенцията за защита на правата на човека и основнит</w:t>
      </w:r>
      <w:r w:rsidR="00876BD7">
        <w:t>е свободи („Конвенцията“) на 23</w:t>
      </w:r>
      <w:r w:rsidR="00876BD7">
        <w:rPr>
          <w:lang w:val="en-US"/>
        </w:rPr>
        <w:t> </w:t>
      </w:r>
      <w:r>
        <w:t xml:space="preserve">януари 2014 г. от трима български граждани и едно българско дружество с ограничена отговорност, чиито съответни данни са посочени в приложената таблица („жалбоподателите“) и които са представлявани пред Съда от г-н М. </w:t>
      </w:r>
      <w:proofErr w:type="spellStart"/>
      <w:r>
        <w:t>Екимджиев</w:t>
      </w:r>
      <w:proofErr w:type="spellEnd"/>
      <w:r>
        <w:t xml:space="preserve"> и г-жа С. Стефанова, адвокати, практикуващи в Пловдив;</w:t>
      </w:r>
    </w:p>
    <w:p w:rsidR="00671F62" w:rsidRPr="0022105A" w:rsidRDefault="005244C5" w:rsidP="0022105A">
      <w:pPr>
        <w:pStyle w:val="JuPara"/>
      </w:pPr>
      <w:r>
        <w:t xml:space="preserve">решението за уведомяване на българското правителство („правителството“), представлявано от неговия представител г-жа С. Собаджиева от Министерството на правосъдието, за </w:t>
      </w:r>
      <w:r w:rsidR="00DB1C37">
        <w:t xml:space="preserve">оплакванията </w:t>
      </w:r>
      <w:r>
        <w:t xml:space="preserve">относно </w:t>
      </w:r>
      <w:r w:rsidR="005064C7">
        <w:t xml:space="preserve">обезпечителните мерки </w:t>
      </w:r>
      <w:r w:rsidR="00DB1C37">
        <w:t xml:space="preserve">върху </w:t>
      </w:r>
      <w:r>
        <w:t>имуществ</w:t>
      </w:r>
      <w:r w:rsidR="00DB1C37">
        <w:t>а</w:t>
      </w:r>
      <w:r>
        <w:t xml:space="preserve"> на жалбоподателите с оглед на бъдещото </w:t>
      </w:r>
      <w:r w:rsidR="00DB1C37">
        <w:t>им</w:t>
      </w:r>
      <w:r>
        <w:t xml:space="preserve"> отнемане като облаги от престъпление и за обявяване на останалата част от жалбата за недопустима;</w:t>
      </w:r>
    </w:p>
    <w:p w:rsidR="00671F62" w:rsidRPr="0022105A" w:rsidRDefault="00DB1C37" w:rsidP="0022105A">
      <w:pPr>
        <w:pStyle w:val="JuPara"/>
      </w:pPr>
      <w:r>
        <w:t>становищата</w:t>
      </w:r>
      <w:r w:rsidR="005244C5">
        <w:t xml:space="preserve"> на страните;</w:t>
      </w:r>
    </w:p>
    <w:p w:rsidR="00671F62" w:rsidRPr="0022105A" w:rsidRDefault="005244C5" w:rsidP="0022105A">
      <w:pPr>
        <w:pStyle w:val="JuPara"/>
      </w:pPr>
      <w:r>
        <w:t>След като проведе обсъждане, взе следното решение:</w:t>
      </w:r>
    </w:p>
    <w:p w:rsidR="00671F62" w:rsidRPr="0022105A" w:rsidRDefault="005244C5" w:rsidP="0022105A">
      <w:pPr>
        <w:pStyle w:val="JuHHead"/>
        <w:numPr>
          <w:ilvl w:val="0"/>
          <w:numId w:val="0"/>
        </w:numPr>
      </w:pPr>
      <w:r>
        <w:lastRenderedPageBreak/>
        <w:t>ПРЕДМЕТ НА ДЕЛОТО</w:t>
      </w:r>
    </w:p>
    <w:bookmarkStart w:id="1" w:name="intro"/>
    <w:p w:rsidR="00671F62" w:rsidRPr="0022105A" w:rsidRDefault="005244C5" w:rsidP="0022105A">
      <w:pPr>
        <w:pStyle w:val="JuPara"/>
      </w:pPr>
      <w:r w:rsidRPr="0022105A">
        <w:fldChar w:fldCharType="begin"/>
      </w:r>
      <w:r w:rsidRPr="0022105A">
        <w:instrText xml:space="preserve"> SEQ level0 \*arabic \* MERGEFORMAT </w:instrText>
      </w:r>
      <w:r w:rsidRPr="0022105A">
        <w:fldChar w:fldCharType="separate"/>
      </w:r>
      <w:r w:rsidR="0022105A" w:rsidRPr="0022105A">
        <w:t>1</w:t>
      </w:r>
      <w:r w:rsidRPr="0022105A">
        <w:fldChar w:fldCharType="end"/>
      </w:r>
      <w:bookmarkEnd w:id="1"/>
      <w:r>
        <w:t xml:space="preserve">.  Делото се отнася до </w:t>
      </w:r>
      <w:r w:rsidR="00DB1C37">
        <w:t xml:space="preserve">налагането на </w:t>
      </w:r>
      <w:r>
        <w:t>обезпеч</w:t>
      </w:r>
      <w:r w:rsidR="00DB1C37">
        <w:t>ителни мерки по отношение</w:t>
      </w:r>
      <w:r>
        <w:t xml:space="preserve"> на многоб</w:t>
      </w:r>
      <w:r w:rsidR="004A6F38">
        <w:t>ройни активи на жалбоподателите — по-специално недвижими имоти </w:t>
      </w:r>
      <w:r>
        <w:t xml:space="preserve">— с оглед на бъдещото им отнемане като </w:t>
      </w:r>
      <w:r w:rsidR="00DB1C37">
        <w:t xml:space="preserve">облаги </w:t>
      </w:r>
      <w:r>
        <w:t xml:space="preserve">от престъпна дейност, в рамките на производство по Закона за отнемане в полза на държавата на имущество, придобито от престъпна дейност от 2005 г. (наричан по-нататък „Закона от 2005 г.“, за повече подробности вж. </w:t>
      </w:r>
      <w:bookmarkStart w:id="2" w:name="_cl40833"/>
      <w:r>
        <w:rPr>
          <w:i/>
          <w:iCs/>
        </w:rPr>
        <w:t>Тодоров и други срещу България</w:t>
      </w:r>
      <w:bookmarkEnd w:id="2"/>
      <w:r>
        <w:t>, жалби с номера 50</w:t>
      </w:r>
      <w:r w:rsidR="007133F6">
        <w:t>705/11 и 6 други, §§ 90-110, 13 юли 2021 </w:t>
      </w:r>
      <w:r>
        <w:t xml:space="preserve">г.). Мерките са наложени през 2013 г., след като жалбоподателите-физически лица са обвинени в укриване на данъци в големи размери, и са </w:t>
      </w:r>
      <w:r w:rsidR="00DB1C37">
        <w:t xml:space="preserve">все още </w:t>
      </w:r>
      <w:r>
        <w:t xml:space="preserve">в сила </w:t>
      </w:r>
      <w:r w:rsidR="00DB1C37">
        <w:t xml:space="preserve">с оглед висящото </w:t>
      </w:r>
      <w:r>
        <w:t>наказателното производство. Съгласно Закона от 2005 г. искове за реално отнемане могат да бъдат предявени само ако жалбоподателите са осъдени с влязла в сила присъда.</w:t>
      </w:r>
    </w:p>
    <w:bookmarkStart w:id="3" w:name="complaints"/>
    <w:p w:rsidR="00671F62" w:rsidRPr="0022105A" w:rsidRDefault="005244C5" w:rsidP="0022105A">
      <w:pPr>
        <w:pStyle w:val="JuPara"/>
      </w:pPr>
      <w:r w:rsidRPr="0022105A">
        <w:fldChar w:fldCharType="begin"/>
      </w:r>
      <w:r w:rsidRPr="0022105A">
        <w:instrText xml:space="preserve"> SEQ level0 \*arabic \* MERGEFORMAT </w:instrText>
      </w:r>
      <w:r w:rsidRPr="0022105A">
        <w:fldChar w:fldCharType="separate"/>
      </w:r>
      <w:r w:rsidR="0022105A" w:rsidRPr="0022105A">
        <w:t>2</w:t>
      </w:r>
      <w:r w:rsidRPr="0022105A">
        <w:fldChar w:fldCharType="end"/>
      </w:r>
      <w:bookmarkEnd w:id="3"/>
      <w:r>
        <w:t>.  Жалбоподателите се оплакват, позовавайки се на член 1 от Протокол № 1 и член 6 § 1 и член 13 от Конвенцията, че мерките за обезпечаване са били произволни и необосновани и че са останали в сила за прекалено дълъг период от време.</w:t>
      </w:r>
    </w:p>
    <w:bookmarkStart w:id="4" w:name="letter"/>
    <w:p w:rsidR="00671F62" w:rsidRPr="0022105A" w:rsidRDefault="005244C5" w:rsidP="0022105A">
      <w:pPr>
        <w:pStyle w:val="JuPara"/>
      </w:pPr>
      <w:r w:rsidRPr="0022105A">
        <w:fldChar w:fldCharType="begin"/>
      </w:r>
      <w:r w:rsidRPr="0022105A">
        <w:instrText xml:space="preserve"> SEQ level0 \*arabic \* MERGEFORMAT </w:instrText>
      </w:r>
      <w:r w:rsidRPr="0022105A">
        <w:fldChar w:fldCharType="separate"/>
      </w:r>
      <w:r w:rsidR="0022105A" w:rsidRPr="0022105A">
        <w:t>3</w:t>
      </w:r>
      <w:r w:rsidRPr="0022105A">
        <w:fldChar w:fldCharType="end"/>
      </w:r>
      <w:bookmarkEnd w:id="4"/>
      <w:r>
        <w:t xml:space="preserve">.  На 28 октомври 2021 г. </w:t>
      </w:r>
      <w:r w:rsidR="00DB1C37">
        <w:t xml:space="preserve">Регистратурата </w:t>
      </w:r>
      <w:r>
        <w:t xml:space="preserve">на Съда изпраща писмо до жалбоподателите, в което отправя запитване към тях дали има някакво </w:t>
      </w:r>
      <w:proofErr w:type="spellStart"/>
      <w:r w:rsidR="00DB1C37">
        <w:t>относимо</w:t>
      </w:r>
      <w:proofErr w:type="spellEnd"/>
      <w:r w:rsidR="00DB1C37">
        <w:t xml:space="preserve"> </w:t>
      </w:r>
      <w:r>
        <w:t xml:space="preserve">развитие в наказателното производство срещу тях и в производството по Закона от 2005 г. В писмо от 14 декември 2021 г. жалбоподателите отговарят, че наказателното производство </w:t>
      </w:r>
      <w:r w:rsidR="00F91BD1">
        <w:t xml:space="preserve">е все още </w:t>
      </w:r>
      <w:r>
        <w:t>висящо и че „</w:t>
      </w:r>
      <w:r w:rsidR="00DB1C37">
        <w:t xml:space="preserve">наложените спрямо </w:t>
      </w:r>
      <w:r>
        <w:t xml:space="preserve"> жалбоподателите </w:t>
      </w:r>
      <w:r w:rsidR="00DB1C37">
        <w:t xml:space="preserve">обезпечителни мерки </w:t>
      </w:r>
      <w:r>
        <w:t>[са] все още в сила“.</w:t>
      </w:r>
    </w:p>
    <w:bookmarkStart w:id="5" w:name="communication"/>
    <w:p w:rsidR="00671F62" w:rsidRPr="0022105A" w:rsidRDefault="005244C5" w:rsidP="0022105A">
      <w:pPr>
        <w:pStyle w:val="JuPara"/>
      </w:pPr>
      <w:r w:rsidRPr="0022105A">
        <w:fldChar w:fldCharType="begin"/>
      </w:r>
      <w:r w:rsidRPr="0022105A">
        <w:instrText xml:space="preserve"> SEQ level0 \*arabic \* MERGEFORMAT </w:instrText>
      </w:r>
      <w:r w:rsidRPr="0022105A">
        <w:fldChar w:fldCharType="separate"/>
      </w:r>
      <w:r w:rsidR="0022105A" w:rsidRPr="0022105A">
        <w:t>4</w:t>
      </w:r>
      <w:r w:rsidRPr="0022105A">
        <w:fldChar w:fldCharType="end"/>
      </w:r>
      <w:bookmarkEnd w:id="5"/>
      <w:r>
        <w:t xml:space="preserve">.  Делото е </w:t>
      </w:r>
      <w:r w:rsidR="00F91BD1">
        <w:t xml:space="preserve">комуникирано </w:t>
      </w:r>
      <w:r>
        <w:t>на българското правителство на 12 април 2022 г. През следващите месеци страните си разменят становища.</w:t>
      </w:r>
    </w:p>
    <w:bookmarkStart w:id="6" w:name="new_facts_1"/>
    <w:p w:rsidR="00671F62" w:rsidRPr="0022105A" w:rsidRDefault="005244C5" w:rsidP="0022105A">
      <w:pPr>
        <w:pStyle w:val="JuPara"/>
      </w:pPr>
      <w:r w:rsidRPr="0022105A">
        <w:fldChar w:fldCharType="begin"/>
      </w:r>
      <w:r w:rsidRPr="0022105A">
        <w:instrText xml:space="preserve"> SEQ level0 \*arabic \* MERGEFORMAT </w:instrText>
      </w:r>
      <w:r w:rsidRPr="0022105A">
        <w:fldChar w:fldCharType="separate"/>
      </w:r>
      <w:r w:rsidR="0022105A" w:rsidRPr="0022105A">
        <w:t>5</w:t>
      </w:r>
      <w:r w:rsidRPr="0022105A">
        <w:fldChar w:fldCharType="end"/>
      </w:r>
      <w:bookmarkEnd w:id="6"/>
      <w:r>
        <w:t>.  </w:t>
      </w:r>
      <w:r w:rsidR="00F91BD1">
        <w:t xml:space="preserve">Впоследствие </w:t>
      </w:r>
      <w:r>
        <w:t>от становищ</w:t>
      </w:r>
      <w:r w:rsidR="00F91BD1">
        <w:t>ето</w:t>
      </w:r>
      <w:r>
        <w:t xml:space="preserve"> на </w:t>
      </w:r>
      <w:r w:rsidR="00F91BD1">
        <w:t>п</w:t>
      </w:r>
      <w:r>
        <w:t>равителството по допустимост и същество на делото става ясно, че ситуацията с обезпечен</w:t>
      </w:r>
      <w:r w:rsidR="00F91BD1">
        <w:t>ото</w:t>
      </w:r>
      <w:r>
        <w:t xml:space="preserve"> недвижим</w:t>
      </w:r>
      <w:r w:rsidR="00F91BD1">
        <w:t>о</w:t>
      </w:r>
      <w:r>
        <w:t xml:space="preserve"> им</w:t>
      </w:r>
      <w:r w:rsidR="00F91BD1">
        <w:t>ущество</w:t>
      </w:r>
      <w:r>
        <w:t xml:space="preserve"> на жалбоподателите се е променила. Всъщност много от </w:t>
      </w:r>
      <w:r w:rsidR="00F91BD1">
        <w:t xml:space="preserve">въпросните </w:t>
      </w:r>
      <w:r>
        <w:t xml:space="preserve">имоти — няколко парцела, апартаменти и гаражи — са били ипотекирани преди обезпечаването им по силата на Закона от 2005 г., а между 2014 г. и 2016 г. са обявени на публична продан и продадени на трети лица. Оспорваните </w:t>
      </w:r>
      <w:r w:rsidR="00F91BD1">
        <w:t xml:space="preserve">обезпечителни </w:t>
      </w:r>
      <w:r>
        <w:t>мерки  в полза на държавата са съответно отменени.</w:t>
      </w:r>
    </w:p>
    <w:bookmarkStart w:id="7" w:name="new_facts_2"/>
    <w:p w:rsidR="00671F62" w:rsidRPr="0022105A" w:rsidRDefault="005244C5" w:rsidP="0022105A">
      <w:pPr>
        <w:pStyle w:val="JuPara"/>
      </w:pPr>
      <w:r w:rsidRPr="0022105A">
        <w:fldChar w:fldCharType="begin"/>
      </w:r>
      <w:r w:rsidRPr="0022105A">
        <w:instrText xml:space="preserve"> SEQ level0 \*arabic \* MERGEFORMAT </w:instrText>
      </w:r>
      <w:r w:rsidRPr="0022105A">
        <w:fldChar w:fldCharType="separate"/>
      </w:r>
      <w:r w:rsidR="0022105A" w:rsidRPr="0022105A">
        <w:t>6</w:t>
      </w:r>
      <w:r w:rsidRPr="0022105A">
        <w:fldChar w:fldCharType="end"/>
      </w:r>
      <w:bookmarkEnd w:id="7"/>
      <w:r>
        <w:t>.  </w:t>
      </w:r>
      <w:r w:rsidR="00F91BD1">
        <w:t>Н</w:t>
      </w:r>
      <w:r>
        <w:t>едвижим имот</w:t>
      </w:r>
      <w:r w:rsidR="00F91BD1">
        <w:t xml:space="preserve"> с най-висока стойност</w:t>
      </w:r>
      <w:r>
        <w:t xml:space="preserve">, във връзка с който се оплакват жалбоподателите — промишлен </w:t>
      </w:r>
      <w:r w:rsidR="00F91BD1">
        <w:t>комплекс</w:t>
      </w:r>
      <w:r>
        <w:t xml:space="preserve">, състоящ се от земя и множество сгради, собственост на четвъртия жалбоподател, дружеството „Янков и </w:t>
      </w:r>
      <w:proofErr w:type="spellStart"/>
      <w:r w:rsidR="00F91BD1">
        <w:t>с</w:t>
      </w:r>
      <w:r>
        <w:t>ие</w:t>
      </w:r>
      <w:proofErr w:type="spellEnd"/>
      <w:r>
        <w:t>“ ООД (вж. приложената таблица) — също е продаден на трето лице през 2016 г., след като през 2014 г. дружеството е обявено в несъстоятелност. Обезпечителните мерки по Закона от 2005 г. са отменени през 2016 г.</w:t>
      </w:r>
    </w:p>
    <w:p w:rsidR="00671F62" w:rsidRPr="0022105A" w:rsidRDefault="005244C5" w:rsidP="0022105A">
      <w:pPr>
        <w:pStyle w:val="JuHHead"/>
      </w:pPr>
      <w:r>
        <w:lastRenderedPageBreak/>
        <w:t>ПРЕЦЕНКА НА СЪДА</w:t>
      </w:r>
    </w:p>
    <w:p w:rsidR="00671F62" w:rsidRPr="0022105A" w:rsidRDefault="0022105A" w:rsidP="0022105A">
      <w:pPr>
        <w:pStyle w:val="JuPara"/>
      </w:pPr>
      <w:r w:rsidRPr="0022105A">
        <w:fldChar w:fldCharType="begin"/>
      </w:r>
      <w:r w:rsidR="005244C5">
        <w:instrText xml:space="preserve"> SEQ level0 \*arabic \* MERGEFORMAT </w:instrText>
      </w:r>
      <w:r w:rsidRPr="0022105A">
        <w:fldChar w:fldCharType="separate"/>
      </w:r>
      <w:r w:rsidRPr="0022105A">
        <w:t>7</w:t>
      </w:r>
      <w:r w:rsidRPr="0022105A">
        <w:fldChar w:fldCharType="end"/>
      </w:r>
      <w:r>
        <w:t xml:space="preserve">.  Въз основа на гореизложеното правителството твърди, че жалбоподателите са злоупотребили с правото си на индивидуална жалба до Съда, тъй като са </w:t>
      </w:r>
      <w:r w:rsidR="00F91BD1">
        <w:t xml:space="preserve">затаили </w:t>
      </w:r>
      <w:r>
        <w:t>важна информация.</w:t>
      </w:r>
    </w:p>
    <w:p w:rsidR="00671F62" w:rsidRPr="0022105A" w:rsidRDefault="0022105A" w:rsidP="0022105A">
      <w:pPr>
        <w:pStyle w:val="JuPara"/>
      </w:pPr>
      <w:r w:rsidRPr="0022105A">
        <w:fldChar w:fldCharType="begin"/>
      </w:r>
      <w:r w:rsidR="005244C5">
        <w:instrText xml:space="preserve"> SEQ level0 \*arabic \* MERGEFORMAT </w:instrText>
      </w:r>
      <w:r w:rsidRPr="0022105A">
        <w:fldChar w:fldCharType="separate"/>
      </w:r>
      <w:r w:rsidRPr="0022105A">
        <w:t>8</w:t>
      </w:r>
      <w:r w:rsidRPr="0022105A">
        <w:fldChar w:fldCharType="end"/>
      </w:r>
      <w:r>
        <w:t xml:space="preserve">.  Съгласно член 35 § 3, буква а) от Конвенцията една жалба може да бъде отхвърлена като представляваща злоупотреба с правото на индивидуална жалба, ако, наред с други причини, тя съзнателно се основава на неверни факти или ако жалбоподателите представят непълна и по този начин подвеждаща информация. Тази информация трябва да се отнася до самото същество на делото. Същото важи и ако по време на производството пред Съда настъпят важни нови обстоятелства и жалбоподателите не разкрият тази информация, като по този начин попречат на Съда да се произнесе по делото при пълно познаване на фактите (вж. сред много други източници </w:t>
      </w:r>
      <w:bookmarkStart w:id="8" w:name="_cl26917"/>
      <w:proofErr w:type="spellStart"/>
      <w:r>
        <w:rPr>
          <w:i/>
          <w:iCs/>
        </w:rPr>
        <w:t>Gross</w:t>
      </w:r>
      <w:proofErr w:type="spellEnd"/>
      <w:r>
        <w:rPr>
          <w:i/>
          <w:iCs/>
        </w:rPr>
        <w:t xml:space="preserve"> срещу Швейцария</w:t>
      </w:r>
      <w:bookmarkEnd w:id="8"/>
      <w:r>
        <w:t xml:space="preserve"> [ГК], жалба № 67810/10, § 28, ЕСПЧ 2014 г., и </w:t>
      </w:r>
      <w:proofErr w:type="spellStart"/>
      <w:r>
        <w:rPr>
          <w:i/>
          <w:iCs/>
        </w:rPr>
        <w:t>Bekauri</w:t>
      </w:r>
      <w:proofErr w:type="spellEnd"/>
      <w:r>
        <w:rPr>
          <w:i/>
          <w:iCs/>
        </w:rPr>
        <w:t xml:space="preserve"> срещу Грузия</w:t>
      </w:r>
      <w:r>
        <w:t>, (</w:t>
      </w:r>
      <w:proofErr w:type="spellStart"/>
      <w:r>
        <w:t>реш</w:t>
      </w:r>
      <w:proofErr w:type="spellEnd"/>
      <w:r>
        <w:t>.), жалба № 14102/02, §§ 21-23, 10 април 2012 г.).</w:t>
      </w:r>
    </w:p>
    <w:p w:rsidR="00671F62" w:rsidRPr="0022105A" w:rsidRDefault="0022105A" w:rsidP="0022105A">
      <w:pPr>
        <w:pStyle w:val="JuPara"/>
      </w:pPr>
      <w:r w:rsidRPr="0022105A">
        <w:fldChar w:fldCharType="begin"/>
      </w:r>
      <w:r w:rsidR="005244C5">
        <w:instrText xml:space="preserve"> SEQ level0 \*arabic \* MERGEFORMAT </w:instrText>
      </w:r>
      <w:r w:rsidRPr="0022105A">
        <w:fldChar w:fldCharType="separate"/>
      </w:r>
      <w:r w:rsidRPr="0022105A">
        <w:t>9</w:t>
      </w:r>
      <w:r w:rsidRPr="0022105A">
        <w:fldChar w:fldCharType="end"/>
      </w:r>
      <w:r>
        <w:t xml:space="preserve">.  В разглежданото дело жалбоподателите се оплакват от обезпечаването на активите им в рамките на производство по Закона от 2005 г. (вж. параграф </w:t>
      </w:r>
      <w:r w:rsidR="005244C5" w:rsidRPr="0022105A">
        <w:fldChar w:fldCharType="begin"/>
      </w:r>
      <w:r w:rsidR="005244C5" w:rsidRPr="0022105A">
        <w:instrText xml:space="preserve"> REF complaints \h </w:instrText>
      </w:r>
      <w:r w:rsidR="005244C5" w:rsidRPr="0022105A">
        <w:fldChar w:fldCharType="separate"/>
      </w:r>
      <w:r w:rsidRPr="0022105A">
        <w:t>2</w:t>
      </w:r>
      <w:r w:rsidR="005244C5" w:rsidRPr="0022105A">
        <w:fldChar w:fldCharType="end"/>
      </w:r>
      <w:r>
        <w:t xml:space="preserve"> по-горе). Те обаче не са уведомили Съда, че в годините след подаването на жалбата си са загубили правото на собственост върху голям брой от въпросните активи, включително върху </w:t>
      </w:r>
      <w:r w:rsidR="00F91BD1">
        <w:t xml:space="preserve">този </w:t>
      </w:r>
      <w:r>
        <w:t xml:space="preserve">от тях </w:t>
      </w:r>
      <w:r w:rsidR="00F91BD1">
        <w:t>с най-висока стойност</w:t>
      </w:r>
      <w:r>
        <w:t xml:space="preserve">— промишленото предприятие на дружеството </w:t>
      </w:r>
      <w:r w:rsidR="00F91BD1">
        <w:t xml:space="preserve">- </w:t>
      </w:r>
      <w:r>
        <w:t xml:space="preserve">жалбоподател, и че обезпечителните мерки, предмет на жалбата, са били отменени. Задължението за информиране на Съда за всички </w:t>
      </w:r>
      <w:r w:rsidR="00F91BD1">
        <w:t xml:space="preserve">релевантни </w:t>
      </w:r>
      <w:r>
        <w:t xml:space="preserve">нови обстоятелства се съдържа в член 47 § 7 от Правилника на Съда. В настоящия случай Съдът изрично е отправил запитване преди </w:t>
      </w:r>
      <w:r w:rsidR="00F90AC7">
        <w:t xml:space="preserve">извършване на комуникацията </w:t>
      </w:r>
      <w:r>
        <w:t xml:space="preserve">дали са налице нови </w:t>
      </w:r>
      <w:r w:rsidR="00F90AC7">
        <w:t xml:space="preserve">релевантни </w:t>
      </w:r>
      <w:r>
        <w:t xml:space="preserve">развития в производството по Закона от 2005 г. (вж. параграф </w:t>
      </w:r>
      <w:r w:rsidR="005244C5" w:rsidRPr="0022105A">
        <w:fldChar w:fldCharType="begin"/>
      </w:r>
      <w:r w:rsidR="005244C5" w:rsidRPr="0022105A">
        <w:instrText xml:space="preserve"> REF letter \h </w:instrText>
      </w:r>
      <w:r w:rsidR="005244C5" w:rsidRPr="0022105A">
        <w:fldChar w:fldCharType="separate"/>
      </w:r>
      <w:r w:rsidRPr="0022105A">
        <w:t>3</w:t>
      </w:r>
      <w:r w:rsidR="005244C5" w:rsidRPr="0022105A">
        <w:fldChar w:fldCharType="end"/>
      </w:r>
      <w:r>
        <w:t xml:space="preserve"> по-горе). Жалбоподателите са </w:t>
      </w:r>
      <w:r w:rsidR="00F90AC7">
        <w:t xml:space="preserve">затаили </w:t>
      </w:r>
      <w:r>
        <w:t xml:space="preserve">съответната информация и съответно, когато е </w:t>
      </w:r>
      <w:r w:rsidR="00F90AC7">
        <w:t xml:space="preserve">комуникирал жалбата </w:t>
      </w:r>
      <w:r>
        <w:t xml:space="preserve">на ответното правителство през 2022 г. (вж. параграф </w:t>
      </w:r>
      <w:r w:rsidR="005244C5" w:rsidRPr="0022105A">
        <w:fldChar w:fldCharType="begin"/>
      </w:r>
      <w:r w:rsidR="005244C5" w:rsidRPr="0022105A">
        <w:instrText xml:space="preserve"> REF communication \h </w:instrText>
      </w:r>
      <w:r w:rsidR="005244C5" w:rsidRPr="0022105A">
        <w:fldChar w:fldCharType="separate"/>
      </w:r>
      <w:r w:rsidRPr="0022105A">
        <w:t>4</w:t>
      </w:r>
      <w:r w:rsidR="005244C5" w:rsidRPr="0022105A">
        <w:fldChar w:fldCharType="end"/>
      </w:r>
      <w:r>
        <w:t xml:space="preserve"> по-горе), Съдът е направил това, без да е </w:t>
      </w:r>
      <w:r w:rsidR="00F90AC7">
        <w:t xml:space="preserve">бил </w:t>
      </w:r>
      <w:r>
        <w:t xml:space="preserve">запознат напълно с фактите. Във връзка с отправените от жалбоподателите оплаквания относно обосноваността и продължителността на наложените срещу тях обезпечителни мерки Съдът счита, че информацията, която е била </w:t>
      </w:r>
      <w:r w:rsidR="00F90AC7">
        <w:t>у</w:t>
      </w:r>
      <w:r>
        <w:t xml:space="preserve">крита от него, е засягала самата същност на делото (за сравнение вж. </w:t>
      </w:r>
      <w:proofErr w:type="spellStart"/>
      <w:r>
        <w:rPr>
          <w:i/>
          <w:iCs/>
        </w:rPr>
        <w:t>Zbyranyk</w:t>
      </w:r>
      <w:proofErr w:type="spellEnd"/>
      <w:r>
        <w:rPr>
          <w:i/>
          <w:iCs/>
        </w:rPr>
        <w:t xml:space="preserve"> и </w:t>
      </w:r>
      <w:proofErr w:type="spellStart"/>
      <w:r>
        <w:rPr>
          <w:i/>
          <w:iCs/>
        </w:rPr>
        <w:t>Smetanin</w:t>
      </w:r>
      <w:proofErr w:type="spellEnd"/>
      <w:r>
        <w:rPr>
          <w:i/>
          <w:iCs/>
        </w:rPr>
        <w:t xml:space="preserve"> срещу Украйна</w:t>
      </w:r>
      <w:r>
        <w:t xml:space="preserve"> (</w:t>
      </w:r>
      <w:proofErr w:type="spellStart"/>
      <w:r>
        <w:t>реш</w:t>
      </w:r>
      <w:proofErr w:type="spellEnd"/>
      <w:r>
        <w:t>.) [Комитет], жалби с номера 453/21 и 9741/21, 10 март 2022 г.).</w:t>
      </w:r>
    </w:p>
    <w:p w:rsidR="00671F62" w:rsidRPr="0022105A" w:rsidRDefault="0022105A" w:rsidP="0022105A">
      <w:pPr>
        <w:pStyle w:val="JuPara"/>
      </w:pPr>
      <w:r w:rsidRPr="0022105A">
        <w:fldChar w:fldCharType="begin"/>
      </w:r>
      <w:r w:rsidR="005244C5">
        <w:instrText xml:space="preserve"> SEQ level0 \*arabic \* MERGEFORMAT </w:instrText>
      </w:r>
      <w:r w:rsidRPr="0022105A">
        <w:fldChar w:fldCharType="separate"/>
      </w:r>
      <w:r w:rsidRPr="0022105A">
        <w:t>10</w:t>
      </w:r>
      <w:r w:rsidRPr="0022105A">
        <w:fldChar w:fldCharType="end"/>
      </w:r>
      <w:r>
        <w:t xml:space="preserve">.  Жалбоподателите не са представили никакво </w:t>
      </w:r>
      <w:r w:rsidR="00F90AC7">
        <w:t xml:space="preserve">валидно оправдание </w:t>
      </w:r>
      <w:r>
        <w:t>за това, че не са информирали своевременно Съда за новите развития, разгледани по-горе.</w:t>
      </w:r>
    </w:p>
    <w:p w:rsidR="00671F62" w:rsidRPr="0022105A" w:rsidRDefault="0022105A" w:rsidP="0022105A">
      <w:pPr>
        <w:pStyle w:val="JuPara"/>
      </w:pPr>
      <w:r w:rsidRPr="0022105A">
        <w:lastRenderedPageBreak/>
        <w:fldChar w:fldCharType="begin"/>
      </w:r>
      <w:r w:rsidR="005244C5">
        <w:instrText xml:space="preserve"> SEQ level0 \*arabic \* MERGEFORMAT </w:instrText>
      </w:r>
      <w:r w:rsidRPr="0022105A">
        <w:fldChar w:fldCharType="separate"/>
      </w:r>
      <w:r w:rsidRPr="0022105A">
        <w:t>11</w:t>
      </w:r>
      <w:r w:rsidRPr="0022105A">
        <w:fldChar w:fldCharType="end"/>
      </w:r>
      <w:r>
        <w:t xml:space="preserve">.  Съответно Съдът </w:t>
      </w:r>
      <w:r w:rsidR="00F90AC7">
        <w:t xml:space="preserve">уважава </w:t>
      </w:r>
      <w:r>
        <w:t xml:space="preserve">възражението на </w:t>
      </w:r>
      <w:r w:rsidR="00F90AC7">
        <w:t>п</w:t>
      </w:r>
      <w:r>
        <w:t>равителството, че поведението на жалбоподателите представлява злоупотреба с правото на жалба по смисъла на член 35 § 3 (а) от Конвенцията.</w:t>
      </w:r>
    </w:p>
    <w:p w:rsidR="00671F62" w:rsidRPr="0022105A" w:rsidRDefault="005244C5" w:rsidP="0022105A">
      <w:pPr>
        <w:pStyle w:val="JuParaLast"/>
      </w:pPr>
      <w:r>
        <w:t>По тези причини, Съдът единодушно</w:t>
      </w:r>
    </w:p>
    <w:p w:rsidR="00671F62" w:rsidRPr="0022105A" w:rsidRDefault="005244C5" w:rsidP="0022105A">
      <w:pPr>
        <w:pStyle w:val="DecList"/>
      </w:pPr>
      <w:r>
        <w:rPr>
          <w:i/>
          <w:iCs/>
        </w:rPr>
        <w:t>Обявява</w:t>
      </w:r>
      <w:r>
        <w:t xml:space="preserve"> жалбата за недопустима;</w:t>
      </w:r>
    </w:p>
    <w:p w:rsidR="00BD1692" w:rsidRPr="0022105A" w:rsidRDefault="005244C5" w:rsidP="00A26B63">
      <w:pPr>
        <w:pStyle w:val="JuParaLast"/>
      </w:pPr>
      <w:r>
        <w:t>Съставено на английски език и съобщено писмено на 07 март 2024 г.</w:t>
      </w:r>
    </w:p>
    <w:p w:rsidR="002B6368" w:rsidRPr="0022105A" w:rsidRDefault="005244C5" w:rsidP="0022105A">
      <w:pPr>
        <w:pStyle w:val="JuSigned"/>
      </w:pPr>
      <w:r>
        <w:tab/>
        <w:t>Ол</w:t>
      </w:r>
      <w:r w:rsidR="00BA267F">
        <w:t xml:space="preserve">га </w:t>
      </w:r>
      <w:proofErr w:type="spellStart"/>
      <w:r w:rsidR="00BA267F">
        <w:t>Чернишова</w:t>
      </w:r>
      <w:proofErr w:type="spellEnd"/>
      <w:r w:rsidR="00BA267F">
        <w:tab/>
      </w:r>
      <w:proofErr w:type="spellStart"/>
      <w:r w:rsidR="00BA267F">
        <w:t>Йоанис</w:t>
      </w:r>
      <w:proofErr w:type="spellEnd"/>
      <w:r w:rsidR="00BA267F">
        <w:t xml:space="preserve"> </w:t>
      </w:r>
      <w:proofErr w:type="spellStart"/>
      <w:r w:rsidR="00BA267F">
        <w:t>Ктистакис</w:t>
      </w:r>
      <w:proofErr w:type="spellEnd"/>
      <w:r>
        <w:br/>
      </w:r>
      <w:r>
        <w:tab/>
        <w:t>Заместник-секретар</w:t>
      </w:r>
      <w:r>
        <w:tab/>
        <w:t>Председател</w:t>
      </w:r>
    </w:p>
    <w:p w:rsidR="00671F62" w:rsidRPr="0022105A" w:rsidRDefault="005244C5" w:rsidP="0022105A">
      <w:pPr>
        <w:pStyle w:val="JuPara"/>
        <w:rPr>
          <w:noProof/>
        </w:rPr>
      </w:pPr>
      <w:r>
        <w:br w:type="page"/>
      </w:r>
    </w:p>
    <w:p w:rsidR="00ED04C3" w:rsidRPr="0022105A" w:rsidRDefault="005244C5" w:rsidP="0022105A">
      <w:pPr>
        <w:pStyle w:val="DecHTitle"/>
      </w:pPr>
      <w:r>
        <w:lastRenderedPageBreak/>
        <w:t>Приложение</w:t>
      </w:r>
    </w:p>
    <w:p w:rsidR="00671F62" w:rsidRPr="0022105A" w:rsidRDefault="005244C5" w:rsidP="0022105A">
      <w:pPr>
        <w:pStyle w:val="DecHCase"/>
        <w:keepNext w:val="0"/>
        <w:keepLines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Списък на жалбоподателите:</w:t>
      </w:r>
    </w:p>
    <w:tbl>
      <w:tblPr>
        <w:tblStyle w:val="ECHRListTable"/>
        <w:tblW w:w="5591" w:type="pct"/>
        <w:tblLook w:val="0420" w:firstRow="1" w:lastRow="0" w:firstColumn="0" w:lastColumn="0" w:noHBand="0" w:noVBand="1"/>
      </w:tblPr>
      <w:tblGrid>
        <w:gridCol w:w="458"/>
        <w:gridCol w:w="2880"/>
        <w:gridCol w:w="2568"/>
        <w:gridCol w:w="2311"/>
      </w:tblGrid>
      <w:tr w:rsidR="00147B0D" w:rsidTr="00147B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№</w:t>
            </w:r>
          </w:p>
        </w:tc>
        <w:tc>
          <w:tcPr>
            <w:tcW w:w="1979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Име на жалбоподателя</w:t>
            </w:r>
          </w:p>
        </w:tc>
        <w:tc>
          <w:tcPr>
            <w:tcW w:w="1121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Година на раждане/регистрация</w:t>
            </w:r>
          </w:p>
        </w:tc>
        <w:tc>
          <w:tcPr>
            <w:tcW w:w="1553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Местожителство</w:t>
            </w:r>
          </w:p>
        </w:tc>
      </w:tr>
      <w:tr w:rsidR="00147B0D" w:rsidTr="00147B0D">
        <w:tc>
          <w:tcPr>
            <w:tcW w:w="347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1.</w:t>
            </w:r>
          </w:p>
        </w:tc>
        <w:tc>
          <w:tcPr>
            <w:tcW w:w="1979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Сотир Живков Янков</w:t>
            </w:r>
          </w:p>
        </w:tc>
        <w:tc>
          <w:tcPr>
            <w:tcW w:w="1121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1956 г.</w:t>
            </w:r>
          </w:p>
        </w:tc>
        <w:tc>
          <w:tcPr>
            <w:tcW w:w="1553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Пловдив</w:t>
            </w:r>
          </w:p>
        </w:tc>
      </w:tr>
      <w:tr w:rsidR="00147B0D" w:rsidTr="00147B0D">
        <w:tc>
          <w:tcPr>
            <w:tcW w:w="347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2.</w:t>
            </w:r>
          </w:p>
        </w:tc>
        <w:tc>
          <w:tcPr>
            <w:tcW w:w="1979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Елена Атанасова Янкова</w:t>
            </w:r>
          </w:p>
        </w:tc>
        <w:tc>
          <w:tcPr>
            <w:tcW w:w="1121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1961 г.</w:t>
            </w:r>
          </w:p>
        </w:tc>
        <w:tc>
          <w:tcPr>
            <w:tcW w:w="1553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Пловдив</w:t>
            </w:r>
          </w:p>
        </w:tc>
      </w:tr>
      <w:tr w:rsidR="00147B0D" w:rsidTr="00147B0D">
        <w:tc>
          <w:tcPr>
            <w:tcW w:w="347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3.</w:t>
            </w:r>
          </w:p>
        </w:tc>
        <w:tc>
          <w:tcPr>
            <w:tcW w:w="1979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Мария Сотирова Янкова</w:t>
            </w:r>
          </w:p>
        </w:tc>
        <w:tc>
          <w:tcPr>
            <w:tcW w:w="1121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1984 г.</w:t>
            </w:r>
          </w:p>
        </w:tc>
        <w:tc>
          <w:tcPr>
            <w:tcW w:w="1553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Пловдив</w:t>
            </w:r>
          </w:p>
        </w:tc>
      </w:tr>
      <w:tr w:rsidR="00147B0D" w:rsidTr="00147B0D">
        <w:tc>
          <w:tcPr>
            <w:tcW w:w="347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4.</w:t>
            </w:r>
          </w:p>
        </w:tc>
        <w:tc>
          <w:tcPr>
            <w:tcW w:w="1979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„ЯНКОВ И СИЕ“ ООД</w:t>
            </w:r>
          </w:p>
        </w:tc>
        <w:tc>
          <w:tcPr>
            <w:tcW w:w="1121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1992 г.</w:t>
            </w:r>
          </w:p>
        </w:tc>
        <w:tc>
          <w:tcPr>
            <w:tcW w:w="1553" w:type="pct"/>
          </w:tcPr>
          <w:p w:rsidR="00671F62" w:rsidRPr="0022105A" w:rsidRDefault="005244C5" w:rsidP="0022105A">
            <w:pPr>
              <w:rPr>
                <w:rFonts w:eastAsia="Times New Roman"/>
              </w:rPr>
            </w:pPr>
            <w:r>
              <w:t>Пловдив</w:t>
            </w:r>
          </w:p>
        </w:tc>
      </w:tr>
    </w:tbl>
    <w:p w:rsidR="00CB3BD9" w:rsidRPr="0022105A" w:rsidRDefault="00CB3BD9" w:rsidP="0022105A">
      <w:pPr>
        <w:jc w:val="center"/>
      </w:pPr>
    </w:p>
    <w:sectPr w:rsidR="00CB3BD9" w:rsidRPr="0022105A" w:rsidSect="00760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C2" w:rsidRDefault="00E022C2">
      <w:r>
        <w:separator/>
      </w:r>
    </w:p>
  </w:endnote>
  <w:endnote w:type="continuationSeparator" w:id="0">
    <w:p w:rsidR="00E022C2" w:rsidRDefault="00E0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8B5" w:rsidRPr="00671F62" w:rsidRDefault="005244C5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74C8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8B5" w:rsidRPr="00671F62" w:rsidRDefault="005244C5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74C8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F62" w:rsidRPr="00150BFA" w:rsidRDefault="005244C5" w:rsidP="0020718E">
    <w:pPr>
      <w:jc w:val="center"/>
    </w:pPr>
    <w:r>
      <w:rPr>
        <w:noProof/>
        <w:lang w:eastAsia="bg-BG"/>
      </w:rPr>
      <w:drawing>
        <wp:inline distT="0" distB="0" distL="0" distR="0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C7B" w:rsidRPr="00671F62" w:rsidRDefault="00F05C7B" w:rsidP="002E2C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C2" w:rsidRDefault="00E022C2">
      <w:r>
        <w:separator/>
      </w:r>
    </w:p>
  </w:footnote>
  <w:footnote w:type="continuationSeparator" w:id="0">
    <w:p w:rsidR="00E022C2" w:rsidRDefault="00E0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7B" w:rsidRPr="00671F62" w:rsidRDefault="005244C5" w:rsidP="0076040F">
    <w:pPr>
      <w:pStyle w:val="JuHeader"/>
    </w:pPr>
    <w:r>
      <w:t>РЕШЕНИЕ ЯНКОВ И ДРУГИ СРЕЩУ БЪЛГАРИЯ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7B" w:rsidRPr="00671F62" w:rsidRDefault="005244C5" w:rsidP="000D61E7">
    <w:pPr>
      <w:pStyle w:val="JuHeader"/>
    </w:pPr>
    <w:r>
      <w:t>РЕШЕНИЕ ЯНКОВ И ДРУГИ 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F62" w:rsidRPr="00A45145" w:rsidRDefault="005244C5" w:rsidP="00A45145">
    <w:pPr>
      <w:jc w:val="center"/>
    </w:pPr>
    <w:r>
      <w:rPr>
        <w:noProof/>
        <w:lang w:eastAsia="bg-BG"/>
      </w:rPr>
      <w:drawing>
        <wp:inline distT="0" distB="0" distL="0" distR="0">
          <wp:extent cx="2962275" cy="1219200"/>
          <wp:effectExtent l="0" t="0" r="9525" b="0"/>
          <wp:docPr id="13" name="Picture 13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C7B" w:rsidRPr="00671F62" w:rsidRDefault="00F05C7B" w:rsidP="00EA10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FFFFFF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FFFFFF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FFFFFF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43A466A0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6F70AB8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D8A338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2CE4990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73492C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4C2C0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D77C424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329246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E96A0A6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7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16"/>
  </w:num>
  <w:num w:numId="17">
    <w:abstractNumId w:val="15"/>
  </w:num>
  <w:num w:numId="18">
    <w:abstractNumId w:val="16"/>
  </w:num>
  <w:num w:numId="19">
    <w:abstractNumId w:val="10"/>
  </w:num>
  <w:num w:numId="2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3"/>
    <w:docVar w:name="SignForeName" w:val="0"/>
    <w:docVar w:name="SndCaseNumber" w:val="Error!Nodocumentvariablesupplied."/>
  </w:docVars>
  <w:rsids>
    <w:rsidRoot w:val="00671F62"/>
    <w:rsid w:val="00095FD8"/>
    <w:rsid w:val="000B1FA9"/>
    <w:rsid w:val="000D61E7"/>
    <w:rsid w:val="000E3A89"/>
    <w:rsid w:val="001022A8"/>
    <w:rsid w:val="00115035"/>
    <w:rsid w:val="00132029"/>
    <w:rsid w:val="00144EBC"/>
    <w:rsid w:val="00147B0D"/>
    <w:rsid w:val="00150BFA"/>
    <w:rsid w:val="001818B5"/>
    <w:rsid w:val="001D1233"/>
    <w:rsid w:val="0020718E"/>
    <w:rsid w:val="0022105A"/>
    <w:rsid w:val="00223591"/>
    <w:rsid w:val="002A7443"/>
    <w:rsid w:val="002B6368"/>
    <w:rsid w:val="002E2C77"/>
    <w:rsid w:val="003B50D7"/>
    <w:rsid w:val="003E3C60"/>
    <w:rsid w:val="00452087"/>
    <w:rsid w:val="00464268"/>
    <w:rsid w:val="004A026C"/>
    <w:rsid w:val="004A4C71"/>
    <w:rsid w:val="004A6F38"/>
    <w:rsid w:val="004B4E73"/>
    <w:rsid w:val="005064C7"/>
    <w:rsid w:val="005244C5"/>
    <w:rsid w:val="005E56C2"/>
    <w:rsid w:val="005F11CB"/>
    <w:rsid w:val="006262FA"/>
    <w:rsid w:val="006267D3"/>
    <w:rsid w:val="006300E9"/>
    <w:rsid w:val="006373DF"/>
    <w:rsid w:val="00653EF4"/>
    <w:rsid w:val="00656B81"/>
    <w:rsid w:val="00671F62"/>
    <w:rsid w:val="006D4D63"/>
    <w:rsid w:val="006E123B"/>
    <w:rsid w:val="007133F6"/>
    <w:rsid w:val="0076040F"/>
    <w:rsid w:val="00765598"/>
    <w:rsid w:val="0077698A"/>
    <w:rsid w:val="00782C46"/>
    <w:rsid w:val="007874C8"/>
    <w:rsid w:val="007907C0"/>
    <w:rsid w:val="007A74FC"/>
    <w:rsid w:val="007B2364"/>
    <w:rsid w:val="00812D10"/>
    <w:rsid w:val="00833C17"/>
    <w:rsid w:val="00876BD7"/>
    <w:rsid w:val="008A4098"/>
    <w:rsid w:val="008D10E4"/>
    <w:rsid w:val="008F0A92"/>
    <w:rsid w:val="008F7189"/>
    <w:rsid w:val="00956B2A"/>
    <w:rsid w:val="0096293E"/>
    <w:rsid w:val="009656DE"/>
    <w:rsid w:val="009B6F49"/>
    <w:rsid w:val="009C21E8"/>
    <w:rsid w:val="009C36EC"/>
    <w:rsid w:val="009E01FB"/>
    <w:rsid w:val="009F431B"/>
    <w:rsid w:val="00A26B63"/>
    <w:rsid w:val="00A45145"/>
    <w:rsid w:val="00A57323"/>
    <w:rsid w:val="00AA5AEE"/>
    <w:rsid w:val="00AB1C22"/>
    <w:rsid w:val="00AC58E5"/>
    <w:rsid w:val="00AF5F44"/>
    <w:rsid w:val="00B140D3"/>
    <w:rsid w:val="00BA267F"/>
    <w:rsid w:val="00BA7FDE"/>
    <w:rsid w:val="00BD1692"/>
    <w:rsid w:val="00C42C12"/>
    <w:rsid w:val="00C8038F"/>
    <w:rsid w:val="00CB3BD9"/>
    <w:rsid w:val="00CD0CC8"/>
    <w:rsid w:val="00D415D6"/>
    <w:rsid w:val="00DB0DFE"/>
    <w:rsid w:val="00DB1C37"/>
    <w:rsid w:val="00DB413C"/>
    <w:rsid w:val="00DB6354"/>
    <w:rsid w:val="00E022C2"/>
    <w:rsid w:val="00E5464B"/>
    <w:rsid w:val="00E93FC7"/>
    <w:rsid w:val="00EA1004"/>
    <w:rsid w:val="00ED04C3"/>
    <w:rsid w:val="00EE3667"/>
    <w:rsid w:val="00EE38CA"/>
    <w:rsid w:val="00F0534F"/>
    <w:rsid w:val="00F05C7B"/>
    <w:rsid w:val="00F168E7"/>
    <w:rsid w:val="00F2212F"/>
    <w:rsid w:val="00F24AB9"/>
    <w:rsid w:val="00F90AC7"/>
    <w:rsid w:val="00F91BD1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1022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1022A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1022A8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1022A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1022A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1022A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1022A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1022A8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1022A8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1022A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1022A8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1022A8"/>
    <w:pPr>
      <w:ind w:firstLine="284"/>
    </w:pPr>
  </w:style>
  <w:style w:type="character" w:styleId="PageNumber">
    <w:name w:val="page number"/>
    <w:uiPriority w:val="98"/>
    <w:semiHidden/>
    <w:rsid w:val="001022A8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102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102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1022A8"/>
    <w:rPr>
      <w:sz w:val="20"/>
      <w:szCs w:val="20"/>
      <w:lang w:val="bg-BG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1022A8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1022A8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1022A8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1022A8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1022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1022A8"/>
    <w:rPr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8"/>
    <w:semiHidden/>
    <w:rsid w:val="00102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1022A8"/>
    <w:rPr>
      <w:rFonts w:ascii="Tahoma" w:hAnsi="Tahoma" w:cs="Tahoma"/>
      <w:sz w:val="16"/>
      <w:szCs w:val="16"/>
      <w:lang w:val="bg-BG"/>
    </w:rPr>
  </w:style>
  <w:style w:type="paragraph" w:customStyle="1" w:styleId="DummyStyle">
    <w:name w:val="Dummy_Style"/>
    <w:aliases w:val="_Dummy"/>
    <w:basedOn w:val="Normal"/>
    <w:semiHidden/>
    <w:qFormat/>
    <w:rsid w:val="001022A8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1022A8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1022A8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1022A8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1022A8"/>
    <w:rPr>
      <w:sz w:val="24"/>
      <w:szCs w:val="24"/>
    </w:rPr>
    <w:tblPr>
      <w:jc w:val="center"/>
      <w:tblBorders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24242" w:themeColor="accent3" w:themeShade="BF"/>
        <w:sz w:val="24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nil"/>
          <w:right w:val="single" w:sz="4" w:space="0" w:color="838383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1022A8"/>
    <w:pPr>
      <w:numPr>
        <w:numId w:val="14"/>
      </w:numPr>
    </w:pPr>
  </w:style>
  <w:style w:type="numbering" w:customStyle="1" w:styleId="ECHRA1StyleList">
    <w:name w:val="ECHR_A1_Style_List"/>
    <w:basedOn w:val="NoList"/>
    <w:uiPriority w:val="99"/>
    <w:rsid w:val="001022A8"/>
    <w:pPr>
      <w:numPr>
        <w:numId w:val="15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1022A8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1022A8"/>
    <w:pPr>
      <w:numPr>
        <w:numId w:val="16"/>
      </w:numPr>
    </w:pPr>
  </w:style>
  <w:style w:type="table" w:customStyle="1" w:styleId="ECHRHeaderTable">
    <w:name w:val="ECHR_Header_Table"/>
    <w:basedOn w:val="TableNormal"/>
    <w:uiPriority w:val="99"/>
    <w:rsid w:val="001022A8"/>
    <w:rPr>
      <w:sz w:val="24"/>
      <w:szCs w:val="24"/>
    </w:rPr>
    <w:tblPr>
      <w:tblInd w:w="-1474" w:type="dxa"/>
      <w:tblBorders>
        <w:bottom w:val="single" w:sz="6" w:space="0" w:color="838383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1022A8"/>
    <w:pPr>
      <w:keepNext/>
      <w:keepLines/>
      <w:numPr>
        <w:numId w:val="1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1022A8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1022A8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838383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838383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1022A8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1022A8"/>
    <w:rPr>
      <w:vanish w:val="0"/>
      <w:color w:val="auto"/>
      <w:sz w:val="14"/>
      <w:bdr w:val="none" w:sz="0" w:space="0" w:color="auto"/>
      <w:shd w:val="clear" w:color="auto" w:fill="FFFFFF" w:themeFill="background1" w:themeFillTint="33"/>
    </w:rPr>
  </w:style>
  <w:style w:type="table" w:customStyle="1" w:styleId="ECHRTable2019">
    <w:name w:val="ECHR_Table_2019"/>
    <w:basedOn w:val="TableNormal"/>
    <w:uiPriority w:val="99"/>
    <w:rsid w:val="001022A8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595959" w:themeColor="accent3"/>
        <w:insideV w:val="single" w:sz="4" w:space="0" w:color="595959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DDDDD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95959" w:themeColor="accent3"/>
          <w:left w:val="single" w:sz="4" w:space="0" w:color="595959" w:themeColor="accent3"/>
          <w:bottom w:val="single" w:sz="8" w:space="0" w:color="595959" w:themeColor="accent3"/>
          <w:right w:val="single" w:sz="4" w:space="0" w:color="595959" w:themeColor="accent3"/>
          <w:insideH w:val="nil"/>
          <w:insideV w:val="single" w:sz="4" w:space="0" w:color="595959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EFEFEF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EFEFEF" w:themeFill="text2" w:themeFillTint="33"/>
      </w:tcPr>
    </w:tblStylePr>
    <w:tblStylePr w:type="band2Horz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single" w:sz="4" w:space="0" w:color="595959" w:themeColor="accent3"/>
          <w:insideV w:val="single" w:sz="4" w:space="0" w:color="595959" w:themeColor="accent3"/>
          <w:tl2br w:val="nil"/>
          <w:tr2bl w:val="nil"/>
        </w:tcBorders>
        <w:shd w:val="clear" w:color="auto" w:fill="EFEFEF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1022A8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1022A8"/>
    <w:pPr>
      <w:keepNext/>
      <w:keepLines/>
      <w:numPr>
        <w:ilvl w:val="1"/>
        <w:numId w:val="1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1022A8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1022A8"/>
    <w:pPr>
      <w:keepNext/>
      <w:keepLines/>
      <w:numPr>
        <w:ilvl w:val="2"/>
        <w:numId w:val="19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1022A8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1">
    <w:name w:val="Ju_H_1."/>
    <w:aliases w:val="_Head_4"/>
    <w:basedOn w:val="Heading4"/>
    <w:next w:val="JuPara"/>
    <w:uiPriority w:val="17"/>
    <w:rsid w:val="001022A8"/>
    <w:pPr>
      <w:keepNext/>
      <w:keepLines/>
      <w:numPr>
        <w:ilvl w:val="3"/>
        <w:numId w:val="19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1022A8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1022A8"/>
    <w:pPr>
      <w:keepNext/>
      <w:keepLines/>
      <w:numPr>
        <w:ilvl w:val="4"/>
        <w:numId w:val="19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1022A8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Hi">
    <w:name w:val="Ju_H_i"/>
    <w:aliases w:val="_Head_6"/>
    <w:basedOn w:val="Heading6"/>
    <w:next w:val="JuPara"/>
    <w:uiPriority w:val="17"/>
    <w:rsid w:val="001022A8"/>
    <w:pPr>
      <w:keepNext/>
      <w:keepLines/>
      <w:numPr>
        <w:ilvl w:val="5"/>
        <w:numId w:val="1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1022A8"/>
    <w:rPr>
      <w:rFonts w:asciiTheme="majorHAnsi" w:eastAsiaTheme="majorEastAsia" w:hAnsiTheme="majorHAnsi" w:cstheme="majorBidi"/>
      <w:b/>
      <w:bCs/>
      <w:color w:val="808080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1022A8"/>
    <w:pPr>
      <w:keepNext/>
      <w:keepLines/>
      <w:numPr>
        <w:ilvl w:val="6"/>
        <w:numId w:val="1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1022A8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1022A8"/>
    <w:pPr>
      <w:keepNext/>
      <w:keepLines/>
      <w:numPr>
        <w:ilvl w:val="7"/>
        <w:numId w:val="19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1022A8"/>
    <w:rPr>
      <w:rFonts w:asciiTheme="majorHAnsi" w:eastAsiaTheme="majorEastAsia" w:hAnsiTheme="majorHAnsi" w:cstheme="majorBidi"/>
      <w:i/>
      <w:iCs/>
      <w:lang w:val="bg-BG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1022A8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1022A8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95959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1022A8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1022A8"/>
    <w:pPr>
      <w:numPr>
        <w:numId w:val="2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1022A8"/>
    <w:pPr>
      <w:numPr>
        <w:ilvl w:val="1"/>
        <w:numId w:val="20"/>
      </w:numPr>
    </w:pPr>
  </w:style>
  <w:style w:type="paragraph" w:customStyle="1" w:styleId="JuListi">
    <w:name w:val="Ju_List_i"/>
    <w:aliases w:val="_List_3"/>
    <w:basedOn w:val="NormalJustified"/>
    <w:uiPriority w:val="23"/>
    <w:rsid w:val="001022A8"/>
    <w:pPr>
      <w:numPr>
        <w:ilvl w:val="2"/>
        <w:numId w:val="20"/>
      </w:numPr>
    </w:pPr>
  </w:style>
  <w:style w:type="table" w:customStyle="1" w:styleId="ECHRTableFax">
    <w:name w:val="ECHR_Table_Fax"/>
    <w:basedOn w:val="TableNormal"/>
    <w:uiPriority w:val="99"/>
    <w:rsid w:val="001022A8"/>
    <w:rPr>
      <w:color w:val="000000" w:themeColor="text1"/>
      <w:sz w:val="24"/>
      <w:szCs w:val="24"/>
    </w:rPr>
    <w:tblPr>
      <w:tblInd w:w="-680" w:type="dxa"/>
      <w:tblBorders>
        <w:insideH w:val="single" w:sz="4" w:space="0" w:color="B0B0B0" w:themeColor="text2"/>
        <w:insideV w:val="single" w:sz="4" w:space="0" w:color="B0B0B0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1022A8"/>
    <w:rPr>
      <w:color w:val="585858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1022A8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838383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1022A8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1022A8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1022A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1022A8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1022A8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1022A8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character" w:styleId="Strong">
    <w:name w:val="Strong"/>
    <w:uiPriority w:val="98"/>
    <w:semiHidden/>
    <w:qFormat/>
    <w:rsid w:val="001022A8"/>
    <w:rPr>
      <w:b/>
      <w:bCs/>
    </w:rPr>
  </w:style>
  <w:style w:type="character" w:styleId="Emphasis">
    <w:name w:val="Emphasis"/>
    <w:uiPriority w:val="98"/>
    <w:semiHidden/>
    <w:qFormat/>
    <w:rsid w:val="001022A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1022A8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1022A8"/>
    <w:rPr>
      <w:sz w:val="24"/>
      <w:szCs w:val="24"/>
      <w:lang w:val="bg-BG"/>
    </w:rPr>
  </w:style>
  <w:style w:type="paragraph" w:styleId="ListParagraph">
    <w:name w:val="List Paragraph"/>
    <w:basedOn w:val="Normal"/>
    <w:uiPriority w:val="98"/>
    <w:semiHidden/>
    <w:qFormat/>
    <w:rsid w:val="001022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1022A8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1022A8"/>
    <w:rPr>
      <w:i/>
      <w:iCs/>
      <w:sz w:val="24"/>
      <w:szCs w:val="24"/>
      <w:lang w:val="bg-BG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1022A8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1022A8"/>
    <w:rPr>
      <w:b/>
      <w:bCs/>
      <w:i/>
      <w:iCs/>
      <w:sz w:val="24"/>
      <w:szCs w:val="24"/>
      <w:lang w:val="bg-BG" w:bidi="en-US"/>
    </w:rPr>
  </w:style>
  <w:style w:type="character" w:styleId="SubtleEmphasis">
    <w:name w:val="Subtle Emphasis"/>
    <w:uiPriority w:val="98"/>
    <w:semiHidden/>
    <w:qFormat/>
    <w:rsid w:val="001022A8"/>
    <w:rPr>
      <w:i/>
      <w:iCs/>
    </w:rPr>
  </w:style>
  <w:style w:type="character" w:styleId="IntenseEmphasis">
    <w:name w:val="Intense Emphasis"/>
    <w:uiPriority w:val="98"/>
    <w:semiHidden/>
    <w:qFormat/>
    <w:rsid w:val="001022A8"/>
    <w:rPr>
      <w:b/>
      <w:bCs/>
    </w:rPr>
  </w:style>
  <w:style w:type="character" w:styleId="SubtleReference">
    <w:name w:val="Subtle Reference"/>
    <w:uiPriority w:val="98"/>
    <w:semiHidden/>
    <w:qFormat/>
    <w:rsid w:val="001022A8"/>
    <w:rPr>
      <w:smallCaps/>
    </w:rPr>
  </w:style>
  <w:style w:type="character" w:styleId="IntenseReference">
    <w:name w:val="Intense Reference"/>
    <w:uiPriority w:val="98"/>
    <w:semiHidden/>
    <w:qFormat/>
    <w:rsid w:val="001022A8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1022A8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1022A8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1022A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1022A8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1022A8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8"/>
    <w:semiHidden/>
    <w:rsid w:val="001022A8"/>
  </w:style>
  <w:style w:type="paragraph" w:styleId="BlockText">
    <w:name w:val="Block Text"/>
    <w:basedOn w:val="Normal"/>
    <w:uiPriority w:val="98"/>
    <w:semiHidden/>
    <w:rsid w:val="001022A8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1022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1022A8"/>
    <w:rPr>
      <w:sz w:val="24"/>
      <w:szCs w:val="24"/>
      <w:lang w:val="bg-BG"/>
    </w:rPr>
  </w:style>
  <w:style w:type="paragraph" w:styleId="BodyText2">
    <w:name w:val="Body Text 2"/>
    <w:basedOn w:val="Normal"/>
    <w:link w:val="BodyText2Char"/>
    <w:uiPriority w:val="98"/>
    <w:semiHidden/>
    <w:rsid w:val="001022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1022A8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1022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1022A8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1022A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1022A8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1022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1022A8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1022A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1022A8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1022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1022A8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1022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1022A8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1022A8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1022A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1022A8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</w:rPr>
      <w:tblPr/>
      <w:tcPr>
        <w:shd w:val="clear" w:color="auto" w:fill="BCB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E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47" w:themeFill="accent3" w:themeFillShade="CC"/>
      </w:tcPr>
    </w:tblStylePr>
    <w:tblStylePr w:type="lastRow">
      <w:rPr>
        <w:b/>
        <w:bCs/>
        <w:color w:val="4747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3" w:themeShade="99"/>
          <w:insideV w:val="nil"/>
        </w:tcBorders>
        <w:shd w:val="clear" w:color="auto" w:fill="3535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3" w:themeFillShade="99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95959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102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1022A8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1022A8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1022A8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1022A8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1022A8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1022A8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1022A8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1022A8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1022A8"/>
  </w:style>
  <w:style w:type="character" w:customStyle="1" w:styleId="DateChar">
    <w:name w:val="Date Char"/>
    <w:basedOn w:val="DefaultParagraphFont"/>
    <w:link w:val="Date"/>
    <w:uiPriority w:val="98"/>
    <w:semiHidden/>
    <w:rsid w:val="001022A8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1022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1022A8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1022A8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1022A8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1022A8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1022A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1022A8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1022A8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1022A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1022A8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1022A8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1022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1022A8"/>
    <w:rPr>
      <w:sz w:val="20"/>
      <w:szCs w:val="20"/>
      <w:lang w:val="bg-BG"/>
    </w:rPr>
  </w:style>
  <w:style w:type="character" w:styleId="HTMLAcronym">
    <w:name w:val="HTML Acronym"/>
    <w:basedOn w:val="DefaultParagraphFont"/>
    <w:uiPriority w:val="98"/>
    <w:semiHidden/>
    <w:rsid w:val="001022A8"/>
  </w:style>
  <w:style w:type="paragraph" w:styleId="HTMLAddress">
    <w:name w:val="HTML Address"/>
    <w:basedOn w:val="Normal"/>
    <w:link w:val="HTMLAddressChar"/>
    <w:uiPriority w:val="98"/>
    <w:semiHidden/>
    <w:rsid w:val="001022A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1022A8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1022A8"/>
    <w:rPr>
      <w:i/>
      <w:iCs/>
    </w:rPr>
  </w:style>
  <w:style w:type="character" w:styleId="HTMLCode">
    <w:name w:val="HTML Code"/>
    <w:basedOn w:val="DefaultParagraphFont"/>
    <w:uiPriority w:val="98"/>
    <w:semiHidden/>
    <w:rsid w:val="001022A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1022A8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1022A8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1022A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1022A8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1022A8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1022A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1022A8"/>
    <w:rPr>
      <w:i/>
      <w:iCs/>
    </w:rPr>
  </w:style>
  <w:style w:type="character" w:styleId="Hyperlink">
    <w:name w:val="Hyperlink"/>
    <w:basedOn w:val="DefaultParagraphFont"/>
    <w:uiPriority w:val="98"/>
    <w:semiHidden/>
    <w:rsid w:val="001022A8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1022A8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1022A8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1022A8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1022A8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1022A8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1022A8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1022A8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1022A8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1022A8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1022A8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1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  <w:shd w:val="clear" w:color="auto" w:fill="D5D5D5" w:themeFill="accent3" w:themeFillTint="3F"/>
      </w:tcPr>
    </w:tblStylePr>
    <w:tblStylePr w:type="band2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1022A8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1022A8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1022A8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1022A8"/>
    <w:rPr>
      <w:color w:val="424242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bottom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1022A8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1022A8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1022A8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1022A8"/>
  </w:style>
  <w:style w:type="paragraph" w:styleId="List">
    <w:name w:val="List"/>
    <w:basedOn w:val="Normal"/>
    <w:uiPriority w:val="98"/>
    <w:semiHidden/>
    <w:rsid w:val="001022A8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1022A8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1022A8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1022A8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1022A8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1022A8"/>
    <w:pPr>
      <w:numPr>
        <w:numId w:val="4"/>
      </w:numPr>
    </w:pPr>
  </w:style>
  <w:style w:type="paragraph" w:styleId="ListBullet2">
    <w:name w:val="List Bullet 2"/>
    <w:basedOn w:val="Normal"/>
    <w:uiPriority w:val="98"/>
    <w:semiHidden/>
    <w:rsid w:val="001022A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8"/>
    <w:semiHidden/>
    <w:rsid w:val="001022A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8"/>
    <w:semiHidden/>
    <w:rsid w:val="001022A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8"/>
    <w:semiHidden/>
    <w:rsid w:val="001022A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8"/>
    <w:semiHidden/>
    <w:rsid w:val="001022A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1022A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1022A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1022A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1022A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1022A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8"/>
    <w:semiHidden/>
    <w:rsid w:val="001022A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8"/>
    <w:semiHidden/>
    <w:rsid w:val="001022A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8"/>
    <w:semiHidden/>
    <w:rsid w:val="001022A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8"/>
    <w:semiHidden/>
    <w:rsid w:val="001022A8"/>
    <w:pPr>
      <w:numPr>
        <w:numId w:val="13"/>
      </w:numPr>
      <w:contextualSpacing/>
    </w:pPr>
  </w:style>
  <w:style w:type="paragraph" w:styleId="MacroText">
    <w:name w:val="macro"/>
    <w:link w:val="MacroTextChar"/>
    <w:uiPriority w:val="98"/>
    <w:semiHidden/>
    <w:rsid w:val="001022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1022A8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  <w:insideV w:val="single" w:sz="8" w:space="0" w:color="828282" w:themeColor="accent3" w:themeTint="BF"/>
      </w:tblBorders>
    </w:tblPr>
    <w:tcPr>
      <w:shd w:val="clear" w:color="auto" w:fill="D5D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1022A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1022A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1022A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1022A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</w:tblPr>
    <w:tcPr>
      <w:shd w:val="clear" w:color="auto" w:fill="D5D5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3" w:themeFillTint="33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tcBorders>
          <w:insideH w:val="single" w:sz="6" w:space="0" w:color="595959" w:themeColor="accent3"/>
          <w:insideV w:val="single" w:sz="6" w:space="0" w:color="595959" w:themeColor="accent3"/>
        </w:tcBorders>
        <w:shd w:val="clear" w:color="auto" w:fill="ACAC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1022A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1022A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1022A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bottom w:val="single" w:sz="8" w:space="0" w:color="5959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3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shd w:val="clear" w:color="auto" w:fill="D5D5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1022A8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1022A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1022A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1022A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1022A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1022A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1022A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1022A8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3" w:themeTint="BF"/>
          <w:left w:val="single" w:sz="8" w:space="0" w:color="828282" w:themeColor="accent3" w:themeTint="BF"/>
          <w:bottom w:val="single" w:sz="8" w:space="0" w:color="828282" w:themeColor="accent3" w:themeTint="BF"/>
          <w:right w:val="single" w:sz="8" w:space="0" w:color="828282" w:themeColor="accent3" w:themeTint="BF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3" w:themeTint="BF"/>
          <w:left w:val="single" w:sz="8" w:space="0" w:color="828282" w:themeColor="accent3" w:themeTint="BF"/>
          <w:bottom w:val="single" w:sz="8" w:space="0" w:color="828282" w:themeColor="accent3" w:themeTint="BF"/>
          <w:right w:val="single" w:sz="8" w:space="0" w:color="8282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1022A8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1022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1022A8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1022A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1022A8"/>
    <w:pPr>
      <w:ind w:left="720"/>
    </w:pPr>
  </w:style>
  <w:style w:type="table" w:customStyle="1" w:styleId="ECHRTableNoLines">
    <w:name w:val="ECHR_Table_No_Lines"/>
    <w:basedOn w:val="TableNormal"/>
    <w:uiPriority w:val="99"/>
    <w:rsid w:val="001022A8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4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1022A8"/>
    <w:rPr>
      <w:sz w:val="24"/>
      <w:szCs w:val="24"/>
    </w:rPr>
    <w:tblPr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1022A8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1022A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1022A8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1022A8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1022A8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1022A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1022A8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022A8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022A8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022A8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022A8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022A8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rsid w:val="001022A8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022A8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1022A8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1022A8"/>
  </w:style>
  <w:style w:type="table" w:styleId="TableProfessional">
    <w:name w:val="Table Professional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022A8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1022A8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24242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1022A8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1022A8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1022A8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1022A8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1022A8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1022A8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1022A8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1022A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1022A8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1022A8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1022A8"/>
    <w:rPr>
      <w:sz w:val="24"/>
      <w:szCs w:val="24"/>
      <w:lang w:val="bg-BG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1022A8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1022A8"/>
    <w:rPr>
      <w:sz w:val="24"/>
      <w:szCs w:val="24"/>
    </w:rPr>
    <w:tblPr>
      <w:tblBorders>
        <w:top w:val="single" w:sz="4" w:space="0" w:color="838383" w:themeColor="text2" w:themeShade="BF"/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24242" w:themeColor="accent3" w:themeShade="BF"/>
      </w:rPr>
      <w:tblPr/>
      <w:trPr>
        <w:tblHeader/>
      </w:trPr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1022A8"/>
    <w:pPr>
      <w:ind w:firstLine="284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1022A8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1022A8"/>
    <w:rPr>
      <w:sz w:val="24"/>
      <w:szCs w:val="24"/>
      <w:lang w:val="bg-BG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1022A8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1022A8"/>
    <w:pPr>
      <w:numPr>
        <w:numId w:val="1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1022A8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1022A8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1022A8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1022A8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1022A8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1022A8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1022A8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1022A8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24242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1022A8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1022A8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1022A8"/>
    <w:pPr>
      <w:keepNext/>
      <w:keepLines/>
      <w:numPr>
        <w:ilvl w:val="8"/>
        <w:numId w:val="1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1022A8"/>
    <w:pPr>
      <w:pBdr>
        <w:bottom w:val="single" w:sz="12" w:space="1" w:color="838383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1022A8"/>
    <w:pPr>
      <w:numPr>
        <w:numId w:val="1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1022A8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1022A8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1022A8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1022A8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1022A8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1022A8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1022A8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38383" w:themeColor="text2" w:themeShade="BF"/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2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1022A8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1022A8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595959" w:themeColor="accent3"/>
        <w:insideV w:val="single" w:sz="4" w:space="0" w:color="595959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single" w:sz="4" w:space="0" w:color="595959" w:themeColor="accent3"/>
          <w:insideV w:val="single" w:sz="4" w:space="0" w:color="F8F8F8" w:themeColor="background2"/>
          <w:tl2br w:val="nil"/>
          <w:tr2bl w:val="nil"/>
        </w:tcBorders>
        <w:shd w:val="clear" w:color="auto" w:fill="595959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95959" w:themeColor="accent3"/>
          <w:left w:val="single" w:sz="4" w:space="0" w:color="595959" w:themeColor="accent3"/>
          <w:bottom w:val="single" w:sz="8" w:space="0" w:color="595959" w:themeColor="accent3"/>
          <w:right w:val="single" w:sz="4" w:space="0" w:color="595959" w:themeColor="accent3"/>
          <w:insideH w:val="nil"/>
          <w:insideV w:val="single" w:sz="4" w:space="0" w:color="595959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DFDFDF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DFDFDF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DFDFDF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1022A8"/>
    <w:pPr>
      <w:keepNext/>
      <w:keepLines/>
      <w:spacing w:before="240"/>
      <w:contextualSpacing/>
    </w:pPr>
    <w:rPr>
      <w:rFonts w:asciiTheme="majorHAnsi" w:hAnsiTheme="majorHAnsi"/>
      <w:b/>
      <w:color w:val="2C2C2C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1022A8"/>
    <w:pPr>
      <w:keepNext/>
      <w:keepLines/>
      <w:spacing w:before="240"/>
      <w:contextualSpacing/>
    </w:pPr>
    <w:rPr>
      <w:rFonts w:asciiTheme="majorHAnsi" w:hAnsiTheme="majorHAnsi"/>
      <w:b/>
      <w:color w:val="424242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1022A8"/>
    <w:pPr>
      <w:keepNext/>
      <w:keepLines/>
      <w:spacing w:before="240"/>
      <w:contextualSpacing/>
    </w:pPr>
    <w:rPr>
      <w:rFonts w:asciiTheme="majorHAnsi" w:hAnsiTheme="majorHAnsi"/>
      <w:b/>
      <w:color w:val="424242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1022A8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C2C2C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1022A8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1022A8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1022A8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1022A8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1022A8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1022A8"/>
    <w:rPr>
      <w:color w:val="000000" w:themeColor="text1"/>
      <w:sz w:val="18"/>
      <w:szCs w:val="24"/>
    </w:rPr>
    <w:tblPr>
      <w:tblBorders>
        <w:top w:val="single" w:sz="8" w:space="0" w:color="9B9B9B" w:themeColor="accent3" w:themeTint="99"/>
        <w:left w:val="single" w:sz="8" w:space="0" w:color="9B9B9B" w:themeColor="accent3" w:themeTint="99"/>
        <w:bottom w:val="single" w:sz="8" w:space="0" w:color="9B9B9B" w:themeColor="accent3" w:themeTint="99"/>
        <w:right w:val="single" w:sz="8" w:space="0" w:color="9B9B9B" w:themeColor="accent3" w:themeTint="99"/>
        <w:insideH w:val="single" w:sz="8" w:space="0" w:color="9B9B9B" w:themeColor="accent3" w:themeTint="99"/>
        <w:insideV w:val="single" w:sz="8" w:space="0" w:color="9B9B9B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1022A8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1022A8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1022A8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1022A8"/>
    <w:rPr>
      <w:sz w:val="4"/>
    </w:rPr>
  </w:style>
  <w:style w:type="table" w:customStyle="1" w:styleId="ECHRTableGrey">
    <w:name w:val="ECHR_Table_Grey"/>
    <w:basedOn w:val="TableNormal"/>
    <w:uiPriority w:val="99"/>
    <w:rsid w:val="001022A8"/>
    <w:pPr>
      <w:tabs>
        <w:tab w:val="left" w:pos="397"/>
      </w:tabs>
    </w:pPr>
    <w:tblPr>
      <w:jc w:val="center"/>
      <w:tblBorders>
        <w:top w:val="single" w:sz="4" w:space="0" w:color="585858" w:themeColor="text2" w:themeShade="80"/>
        <w:left w:val="single" w:sz="4" w:space="0" w:color="585858" w:themeColor="text2" w:themeShade="80"/>
        <w:bottom w:val="single" w:sz="4" w:space="0" w:color="585858" w:themeColor="text2" w:themeShade="80"/>
        <w:right w:val="single" w:sz="4" w:space="0" w:color="585858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1022A8"/>
    <w:tblPr>
      <w:tblStyleRowBandSize w:val="1"/>
      <w:tblStyleColBandSize w:val="1"/>
      <w:tblBorders>
        <w:top w:val="single" w:sz="4" w:space="0" w:color="838383" w:themeColor="text2" w:themeShade="BF"/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2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nil"/>
          <w:insideV w:val="single" w:sz="4" w:space="0" w:color="838383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22A8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671F62"/>
    <w:rPr>
      <w:sz w:val="24"/>
      <w:szCs w:val="24"/>
      <w:lang w:val="bg-BG"/>
    </w:rPr>
  </w:style>
  <w:style w:type="table" w:styleId="GridTable1Light">
    <w:name w:val="Grid Table 1 Light"/>
    <w:basedOn w:val="TableNormal"/>
    <w:uiPriority w:val="46"/>
    <w:semiHidden/>
    <w:rsid w:val="00F2212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2212F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2212F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2212F"/>
    <w:tblPr>
      <w:tblStyleRowBandSize w:val="1"/>
      <w:tblStyleColBandSize w:val="1"/>
      <w:tblBorders>
        <w:top w:val="single" w:sz="4" w:space="0" w:color="BCBCBC" w:themeColor="accent3" w:themeTint="66"/>
        <w:left w:val="single" w:sz="4" w:space="0" w:color="BCBCBC" w:themeColor="accent3" w:themeTint="66"/>
        <w:bottom w:val="single" w:sz="4" w:space="0" w:color="BCBCBC" w:themeColor="accent3" w:themeTint="66"/>
        <w:right w:val="single" w:sz="4" w:space="0" w:color="BCBCBC" w:themeColor="accent3" w:themeTint="66"/>
        <w:insideH w:val="single" w:sz="4" w:space="0" w:color="BCBCBC" w:themeColor="accent3" w:themeTint="66"/>
        <w:insideV w:val="single" w:sz="4" w:space="0" w:color="BCBC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2212F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2212F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2212F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2212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2212F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2212F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2212F"/>
    <w:tblPr>
      <w:tblStyleRowBandSize w:val="1"/>
      <w:tblStyleColBandSize w:val="1"/>
      <w:tblBorders>
        <w:top w:val="single" w:sz="2" w:space="0" w:color="9B9B9B" w:themeColor="accent3" w:themeTint="99"/>
        <w:bottom w:val="single" w:sz="2" w:space="0" w:color="9B9B9B" w:themeColor="accent3" w:themeTint="99"/>
        <w:insideH w:val="single" w:sz="2" w:space="0" w:color="9B9B9B" w:themeColor="accent3" w:themeTint="99"/>
        <w:insideV w:val="single" w:sz="2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2212F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2212F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2212F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221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2212F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2212F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2212F"/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2212F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2212F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2212F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221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2212F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2212F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2212F"/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2212F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2212F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2212F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221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221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221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221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BCBC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221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221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221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2212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2212F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2212F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2212F"/>
    <w:rPr>
      <w:color w:val="424242" w:themeColor="accent3" w:themeShade="BF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2212F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2212F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2212F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2212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2212F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2212F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2212F"/>
    <w:rPr>
      <w:color w:val="424242" w:themeColor="accent3" w:themeShade="BF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2212F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2212F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2212F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F2212F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F221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221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221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221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221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221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221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2212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2212F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2212F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2212F"/>
    <w:tblPr>
      <w:tblStyleRowBandSize w:val="1"/>
      <w:tblStyleColBandSize w:val="1"/>
      <w:tblBorders>
        <w:top w:val="single" w:sz="4" w:space="0" w:color="9B9B9B" w:themeColor="accent3" w:themeTint="99"/>
        <w:bottom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2212F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2212F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2212F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221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2212F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2212F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2212F"/>
    <w:tblPr>
      <w:tblStyleRowBandSize w:val="1"/>
      <w:tblStyleColBandSize w:val="1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959" w:themeColor="accent3"/>
          <w:right w:val="single" w:sz="4" w:space="0" w:color="595959" w:themeColor="accent3"/>
        </w:tcBorders>
      </w:tcPr>
    </w:tblStylePr>
    <w:tblStylePr w:type="band1Horz">
      <w:tblPr/>
      <w:tcPr>
        <w:tcBorders>
          <w:top w:val="single" w:sz="4" w:space="0" w:color="595959" w:themeColor="accent3"/>
          <w:bottom w:val="single" w:sz="4" w:space="0" w:color="5959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959" w:themeColor="accent3"/>
          <w:left w:val="nil"/>
        </w:tcBorders>
      </w:tcPr>
    </w:tblStylePr>
    <w:tblStylePr w:type="swCell">
      <w:tblPr/>
      <w:tcPr>
        <w:tcBorders>
          <w:top w:val="double" w:sz="4" w:space="0" w:color="5959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2212F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2212F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2212F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221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2212F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2212F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2212F"/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2212F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2212F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2212F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2212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2212F"/>
    <w:rPr>
      <w:color w:val="FFFFFF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2212F"/>
    <w:rPr>
      <w:color w:val="FFFFFF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2212F"/>
    <w:rPr>
      <w:color w:val="FFFFFF" w:themeColor="background1"/>
    </w:rPr>
    <w:tblPr>
      <w:tblStyleRowBandSize w:val="1"/>
      <w:tblStyleColBandSize w:val="1"/>
      <w:tblBorders>
        <w:top w:val="single" w:sz="24" w:space="0" w:color="595959" w:themeColor="accent3"/>
        <w:left w:val="single" w:sz="24" w:space="0" w:color="595959" w:themeColor="accent3"/>
        <w:bottom w:val="single" w:sz="24" w:space="0" w:color="595959" w:themeColor="accent3"/>
        <w:right w:val="single" w:sz="24" w:space="0" w:color="595959" w:themeColor="accent3"/>
      </w:tblBorders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2212F"/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2212F"/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2212F"/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2212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2212F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2212F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2212F"/>
    <w:rPr>
      <w:color w:val="424242" w:themeColor="accent3" w:themeShade="BF"/>
    </w:rPr>
    <w:tblPr>
      <w:tblStyleRowBandSize w:val="1"/>
      <w:tblStyleColBandSize w:val="1"/>
      <w:tblBorders>
        <w:top w:val="single" w:sz="4" w:space="0" w:color="595959" w:themeColor="accent3"/>
        <w:bottom w:val="single" w:sz="4" w:space="0" w:color="5959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959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2212F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2212F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2212F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2212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2212F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2212F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2212F"/>
    <w:rPr>
      <w:color w:val="42424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59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59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59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59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2212F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2212F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2212F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F2212F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F221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221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2212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2212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22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semiHidden/>
    <w:unhideWhenUsed/>
    <w:rsid w:val="00F2212F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F2212F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F221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_New">
      <a:dk1>
        <a:sysClr val="windowText" lastClr="000000"/>
      </a:dk1>
      <a:lt1>
        <a:srgbClr val="FFFFFF"/>
      </a:lt1>
      <a:dk2>
        <a:srgbClr val="B0B0B0"/>
      </a:dk2>
      <a:lt2>
        <a:srgbClr val="F8F8F8"/>
      </a:lt2>
      <a:accent1>
        <a:srgbClr val="0072BC"/>
      </a:accent1>
      <a:accent2>
        <a:srgbClr val="C00000"/>
      </a:accent2>
      <a:accent3>
        <a:srgbClr val="595959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C8770-FDAC-42C2-8A4F-A23B138B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lastModifiedBy/>
  <cp:revision>1</cp:revision>
  <dcterms:created xsi:type="dcterms:W3CDTF">2024-07-26T08:06:00Z</dcterms:created>
  <dcterms:modified xsi:type="dcterms:W3CDTF">2024-07-26T08:12:00Z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972334</vt:lpwstr>
  </property>
  <property fmtid="{D5CDD505-2E9C-101B-9397-08002B2CF9AE}" pid="3" name="cstLanguage">
    <vt:i4>2057</vt:i4>
  </property>
  <property fmtid="{D5CDD505-2E9C-101B-9397-08002B2CF9AE}" pid="4" name="RegisteredNo">
    <vt:lpwstr>10599/14</vt:lpwstr>
  </property>
  <property fmtid="{D5CDD505-2E9C-101B-9397-08002B2CF9AE}" pid="5" name="_MarkAsFinal">
    <vt:bool>true</vt:bool>
  </property>
</Properties>
</file>