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80" w:rsidRPr="00845CC1" w:rsidRDefault="00685E80" w:rsidP="00845CC1">
      <w:pPr>
        <w:jc w:val="center"/>
        <w:rPr>
          <w:rFonts w:ascii="Times New Roman" w:hAnsi="Times New Roman" w:cs="Times New Roman"/>
          <w:noProof/>
        </w:rPr>
      </w:pPr>
      <w:bookmarkStart w:id="0" w:name="_GoBack"/>
      <w:bookmarkEnd w:id="0"/>
    </w:p>
    <w:p w:rsidR="0098410D" w:rsidRPr="00845CC1" w:rsidRDefault="0098410D" w:rsidP="00845CC1">
      <w:pPr>
        <w:jc w:val="center"/>
      </w:pPr>
    </w:p>
    <w:p w:rsidR="0098410D" w:rsidRPr="00845CC1" w:rsidRDefault="002E17CC" w:rsidP="00845CC1">
      <w:pPr>
        <w:pStyle w:val="DecHTitle"/>
      </w:pPr>
      <w:r>
        <w:t>ТРЕТО ОТДЕЛЕНИЕ</w:t>
      </w:r>
    </w:p>
    <w:p w:rsidR="008E6217" w:rsidRPr="00845CC1" w:rsidRDefault="002E17CC" w:rsidP="00845CC1">
      <w:pPr>
        <w:pStyle w:val="JuTitle"/>
      </w:pPr>
      <w:r>
        <w:t>ДЕЛО СЛАВКОВ И ДРУГИ СРЕЩУ БЪЛГАРИЯ</w:t>
      </w:r>
    </w:p>
    <w:p w:rsidR="00D74888" w:rsidRPr="00845CC1" w:rsidRDefault="002E17CC" w:rsidP="00845CC1">
      <w:pPr>
        <w:pStyle w:val="ECHRCoverTitle4"/>
      </w:pPr>
      <w:r>
        <w:t>(Жалба № 36250/12)</w:t>
      </w:r>
    </w:p>
    <w:p w:rsidR="0098410D" w:rsidRPr="00845CC1" w:rsidRDefault="0098410D" w:rsidP="00845CC1">
      <w:pPr>
        <w:pStyle w:val="DecHCase"/>
      </w:pPr>
    </w:p>
    <w:p w:rsidR="0098410D" w:rsidRPr="00845CC1" w:rsidRDefault="0098410D" w:rsidP="00845CC1">
      <w:pPr>
        <w:pStyle w:val="DecHCase"/>
      </w:pPr>
    </w:p>
    <w:p w:rsidR="00845CC1" w:rsidRPr="00845CC1" w:rsidRDefault="00845CC1" w:rsidP="00845CC1">
      <w:pPr>
        <w:pStyle w:val="DecHCase"/>
      </w:pPr>
    </w:p>
    <w:p w:rsidR="00845CC1" w:rsidRPr="00845CC1" w:rsidRDefault="00845CC1" w:rsidP="00845CC1">
      <w:pPr>
        <w:pStyle w:val="DecHCase"/>
      </w:pPr>
    </w:p>
    <w:p w:rsidR="0098410D" w:rsidRPr="00845CC1" w:rsidRDefault="002E17CC" w:rsidP="00845CC1">
      <w:pPr>
        <w:pStyle w:val="DecHCase"/>
      </w:pPr>
      <w:r>
        <w:t>РЕШЕНИЕ</w:t>
      </w:r>
      <w:r>
        <w:br/>
      </w:r>
    </w:p>
    <w:p w:rsidR="0098410D" w:rsidRPr="00845CC1" w:rsidRDefault="002E17CC" w:rsidP="00845CC1">
      <w:pPr>
        <w:pStyle w:val="DecHCase"/>
      </w:pPr>
      <w:r>
        <w:t>СТРАСБУРГ</w:t>
      </w:r>
    </w:p>
    <w:p w:rsidR="0098410D" w:rsidRPr="00845CC1" w:rsidRDefault="002E17CC" w:rsidP="00845CC1">
      <w:pPr>
        <w:pStyle w:val="DecHCase"/>
      </w:pPr>
      <w:r>
        <w:rPr>
          <w:rFonts w:ascii="Times New Roman" w:hAnsi="Times New Roman"/>
        </w:rPr>
        <w:t>17 октомври 2023 г.</w:t>
      </w:r>
    </w:p>
    <w:p w:rsidR="00AC4CD4" w:rsidRPr="00845CC1" w:rsidRDefault="00AC4CD4" w:rsidP="00845CC1">
      <w:pPr>
        <w:pStyle w:val="JuPara"/>
      </w:pPr>
    </w:p>
    <w:p w:rsidR="002422B6" w:rsidRPr="00845CC1" w:rsidRDefault="002E17CC" w:rsidP="00845CC1">
      <w:pPr>
        <w:rPr>
          <w:i/>
          <w:sz w:val="22"/>
        </w:rPr>
      </w:pPr>
      <w:r>
        <w:rPr>
          <w:i/>
          <w:sz w:val="22"/>
        </w:rPr>
        <w:t>Решението</w:t>
      </w:r>
      <w:r w:rsidR="004A5649" w:rsidRPr="004A5649">
        <w:rPr>
          <w:i/>
          <w:sz w:val="22"/>
        </w:rPr>
        <w:t xml:space="preserve"> </w:t>
      </w:r>
      <w:r w:rsidR="004A5649">
        <w:rPr>
          <w:i/>
          <w:sz w:val="22"/>
        </w:rPr>
        <w:t>е окончателно, но</w:t>
      </w:r>
      <w:r>
        <w:rPr>
          <w:i/>
          <w:sz w:val="22"/>
        </w:rPr>
        <w:t xml:space="preserve"> може да бъде обект на редакционни промени.</w:t>
      </w:r>
    </w:p>
    <w:p w:rsidR="0098410D" w:rsidRPr="00845CC1" w:rsidRDefault="0098410D" w:rsidP="00845CC1">
      <w:pPr>
        <w:sectPr w:rsidR="0098410D" w:rsidRPr="00845CC1"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845CC1" w:rsidRDefault="002E17CC" w:rsidP="00845CC1">
      <w:pPr>
        <w:pStyle w:val="JuCase"/>
      </w:pPr>
      <w:r>
        <w:lastRenderedPageBreak/>
        <w:t>По делото Славков и други срещу България,</w:t>
      </w:r>
    </w:p>
    <w:p w:rsidR="009F4C8F" w:rsidRPr="00845CC1" w:rsidRDefault="002E17CC" w:rsidP="00845CC1">
      <w:pPr>
        <w:pStyle w:val="JuPara"/>
      </w:pPr>
      <w:r>
        <w:t>Европейският съд по правата на човека (Трето отделение), заседаващ в комитет в състав:</w:t>
      </w:r>
    </w:p>
    <w:p w:rsidR="00A92625" w:rsidRPr="00845CC1" w:rsidRDefault="002E17CC" w:rsidP="00845CC1">
      <w:pPr>
        <w:pStyle w:val="JuJudges"/>
      </w:pPr>
      <w:r>
        <w:tab/>
        <w:t xml:space="preserve">Йоаннис Ктистакис (Ioannis Ktistakis), </w:t>
      </w:r>
      <w:r>
        <w:rPr>
          <w:i/>
          <w:iCs/>
        </w:rPr>
        <w:t>Председател</w:t>
      </w:r>
      <w:r>
        <w:t>,</w:t>
      </w:r>
      <w:r>
        <w:br/>
      </w:r>
      <w:r>
        <w:tab/>
        <w:t>Йонко Грозев,,</w:t>
      </w:r>
      <w:r>
        <w:br/>
      </w:r>
      <w:r>
        <w:tab/>
        <w:t xml:space="preserve">Андреас Зюнд (Andreas Zünd), </w:t>
      </w:r>
      <w:r>
        <w:rPr>
          <w:i/>
          <w:iCs/>
        </w:rPr>
        <w:t>съдии</w:t>
      </w:r>
      <w:r>
        <w:t>,,</w:t>
      </w:r>
      <w:r>
        <w:br/>
        <w:t xml:space="preserve">и Олга Чернишова, </w:t>
      </w:r>
      <w:r>
        <w:rPr>
          <w:i/>
          <w:iCs/>
        </w:rPr>
        <w:t>заместник-секретар на отделението;</w:t>
      </w:r>
    </w:p>
    <w:p w:rsidR="00685E80" w:rsidRPr="00845CC1" w:rsidRDefault="002E17CC" w:rsidP="00845CC1">
      <w:pPr>
        <w:pStyle w:val="JuPara"/>
      </w:pPr>
      <w:r>
        <w:t>Като взе предвид:</w:t>
      </w:r>
    </w:p>
    <w:p w:rsidR="00685E80" w:rsidRPr="00845CC1" w:rsidRDefault="002E17CC" w:rsidP="00845CC1">
      <w:pPr>
        <w:pStyle w:val="JuPara"/>
      </w:pPr>
      <w:r>
        <w:t xml:space="preserve">жалбата (№ 36250/12) срещу България, подадена в Съда съгласно </w:t>
      </w:r>
      <w:r w:rsidR="00C66B95">
        <w:t>член </w:t>
      </w:r>
      <w:r>
        <w:t>34 от Конвенцията за защита на правата на човека и основните свободи („Конвенцията“) на 04 юни 2012 г. от трима жалбоподатели — две физически лица и едно дружество с ограничена отговорност, чиито данни са посочени в приложената таблица („жалбоподателите“) и които са представлявани от г-н М. Екимджиев и г-жа С. Стефанова, адвокати, практикуващи в Пловдив;</w:t>
      </w:r>
    </w:p>
    <w:p w:rsidR="00685E80" w:rsidRPr="00845CC1" w:rsidRDefault="002E17CC" w:rsidP="00845CC1">
      <w:pPr>
        <w:pStyle w:val="JuPara"/>
      </w:pPr>
      <w:r>
        <w:t xml:space="preserve">решението да се уведоми българското правителство („Правителството“), представлявано от неговия агент, г-жа Б. Симеонова от Министерството на правосъдието, за </w:t>
      </w:r>
      <w:r w:rsidR="002B306E">
        <w:t>оплакването</w:t>
      </w:r>
      <w:r>
        <w:t xml:space="preserve"> на първия жалбоподател по </w:t>
      </w:r>
      <w:r w:rsidR="00C66B95">
        <w:t>член </w:t>
      </w:r>
      <w:r>
        <w:t>5 §</w:t>
      </w:r>
      <w:r w:rsidR="00C66B95">
        <w:t>§ </w:t>
      </w:r>
      <w:r>
        <w:t xml:space="preserve">3 и 5 от Конвенцията, както и за </w:t>
      </w:r>
      <w:r w:rsidR="002B306E">
        <w:t>оплакването</w:t>
      </w:r>
      <w:r w:rsidR="00427E45">
        <w:t xml:space="preserve"> относно продължителните обезпечителни мерки върху</w:t>
      </w:r>
      <w:r>
        <w:t xml:space="preserve"> имуществото на тримата жалбоподатели, и да се обяви за недопустима останалата част от жалбата;</w:t>
      </w:r>
    </w:p>
    <w:p w:rsidR="00685E80" w:rsidRPr="00845CC1" w:rsidRDefault="002B306E" w:rsidP="00845CC1">
      <w:pPr>
        <w:pStyle w:val="JuPara"/>
      </w:pPr>
      <w:r>
        <w:t>становищата</w:t>
      </w:r>
      <w:r w:rsidR="002E17CC">
        <w:t xml:space="preserve"> на страните;</w:t>
      </w:r>
    </w:p>
    <w:p w:rsidR="009F4C8F" w:rsidRPr="00845CC1" w:rsidRDefault="002E17CC" w:rsidP="00845CC1">
      <w:pPr>
        <w:pStyle w:val="JuPara"/>
      </w:pPr>
      <w:r>
        <w:t>След закрито заседание, проведено на 26 септември 2023 г.,</w:t>
      </w:r>
    </w:p>
    <w:p w:rsidR="009F4C8F" w:rsidRPr="00845CC1" w:rsidRDefault="002E17CC" w:rsidP="00845CC1">
      <w:pPr>
        <w:pStyle w:val="JuPara"/>
      </w:pPr>
      <w:r>
        <w:t>Постанови следното решение, прието на същата дата:</w:t>
      </w:r>
    </w:p>
    <w:p w:rsidR="00685E80" w:rsidRPr="00845CC1" w:rsidRDefault="002E17CC" w:rsidP="00845CC1">
      <w:pPr>
        <w:pStyle w:val="JuHHead"/>
        <w:numPr>
          <w:ilvl w:val="0"/>
          <w:numId w:val="0"/>
        </w:numPr>
      </w:pPr>
      <w:r>
        <w:t>ПРЕДМЕТ НА ДЕЛОТО</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w:t>
      </w:r>
      <w:r>
        <w:rPr>
          <w:noProof/>
        </w:rPr>
        <w:fldChar w:fldCharType="end"/>
      </w:r>
      <w:r w:rsidR="002E17CC">
        <w:t xml:space="preserve">.  Настоящото дело се отнася до продължителността на предварителното задържане на първия жалбоподател, г-н И. Славков. </w:t>
      </w:r>
      <w:r w:rsidR="00471053">
        <w:t>То се отнася и до обезпечителните мерки,  наложени върху</w:t>
      </w:r>
      <w:r w:rsidR="002E17CC">
        <w:t xml:space="preserve"> имуществото на тримата жалбоподатели с оглед на бъдещото му отнемане като постъпления от престъпна дейност.</w:t>
      </w:r>
    </w:p>
    <w:bookmarkStart w:id="1" w:name="detention"/>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2</w:t>
      </w:r>
      <w:r w:rsidRPr="00845CC1">
        <w:fldChar w:fldCharType="end"/>
      </w:r>
      <w:bookmarkEnd w:id="1"/>
      <w:r>
        <w:t xml:space="preserve">.  Г-н Славков е арестуван на 20 октомври 2008 г. по обвинение в участие в организирана престъпна група, създадена с цел </w:t>
      </w:r>
      <w:r w:rsidR="00471053">
        <w:t>пране</w:t>
      </w:r>
      <w:r>
        <w:t xml:space="preserve"> на пари, сводничество, трафик на хора и наркотици. Той остава в ареста до 11 юли 2012 г., когато е освободен под гаранция; по това време наказателното производство </w:t>
      </w:r>
      <w:r w:rsidRPr="00471053">
        <w:t>срещу неговата група</w:t>
      </w:r>
      <w:r>
        <w:t xml:space="preserve"> е висящо пред първоинстанционния Варненски окръжен съд. През периода на задържането си първият жалбоподател подава двадесет и две молби за освобождаване, които са отхвърлени от Варненския окръжен съд и Варненския апелативен съд. В много случаи националните съдилища се позовават на тежестта на обвиненията срещу жалбоподателя, на факта, че престъпна</w:t>
      </w:r>
      <w:r w:rsidR="00950D2F">
        <w:t>та</w:t>
      </w:r>
      <w:r>
        <w:t xml:space="preserve"> група е била добре структурирана и въоръжена и е </w:t>
      </w:r>
      <w:r>
        <w:lastRenderedPageBreak/>
        <w:t>функционирала известно време, преди да бъде раз</w:t>
      </w:r>
      <w:r w:rsidR="00950D2F">
        <w:t>крита</w:t>
      </w:r>
      <w:r>
        <w:t xml:space="preserve">, на водещата му позиция в нея и на това, че е имал „авторитет“ в престъпните среди; всички тези елементи се разглеждат като обосноваващи риска жалбоподателят да извърши престъпление, да се укрие или да упражни заплаха срещу свидетели. „Агресивността“ на първия жалбоподател в съдебната зала също се разглеждала като признак, че той може да извърши престъпление или да се опита да </w:t>
      </w:r>
      <w:r w:rsidR="00E71F6C">
        <w:t>унищожи</w:t>
      </w:r>
      <w:r>
        <w:t xml:space="preserve"> доказателства. Националните съдилища изтъкват, че наказателното производство е било сложно, че заседанията са се провеждали на редовни интервали и че </w:t>
      </w:r>
      <w:r w:rsidR="00DD3F3F">
        <w:t>значителни забавяния са причинени от защитата</w:t>
      </w:r>
      <w:r>
        <w:t>.</w:t>
      </w:r>
    </w:p>
    <w:bookmarkStart w:id="2" w:name="conviction_quashed"/>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3</w:t>
      </w:r>
      <w:r w:rsidRPr="00845CC1">
        <w:fldChar w:fldCharType="end"/>
      </w:r>
      <w:bookmarkEnd w:id="2"/>
      <w:r>
        <w:t xml:space="preserve">.  С решение от 15 януари 2013 г. Варненският окръжен съд осъжда първия жалбоподател и неговите съучастници; заключението му е, че тяхната престъпна група е действала в периода 1996-2008 г. Жалбоподателят е осъден на десет години лишаване от свобода. Осъдителната присъда и наказанието обаче са отменени от Върховния касационен съд и производството е </w:t>
      </w:r>
      <w:r w:rsidR="0028617A">
        <w:t>върнато за ново разглеждане</w:t>
      </w:r>
      <w:r>
        <w:t xml:space="preserve"> от първа инстанция, където все още е </w:t>
      </w:r>
      <w:r w:rsidR="0028617A">
        <w:t>висящо към момента на последната</w:t>
      </w:r>
      <w:r>
        <w:t xml:space="preserve"> </w:t>
      </w:r>
      <w:r w:rsidR="0028617A">
        <w:t>комуникация</w:t>
      </w:r>
      <w:r>
        <w:t xml:space="preserve"> от страните през </w:t>
      </w:r>
      <w:r w:rsidR="00EF0E2F">
        <w:t xml:space="preserve">м. </w:t>
      </w:r>
      <w:r>
        <w:t>май 2023 г.</w:t>
      </w:r>
    </w:p>
    <w:bookmarkStart w:id="3" w:name="freezing_request"/>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4</w:t>
      </w:r>
      <w:r w:rsidRPr="00845CC1">
        <w:fldChar w:fldCharType="end"/>
      </w:r>
      <w:bookmarkEnd w:id="3"/>
      <w:r>
        <w:t>.  Междувременно Комисията за установяване на имущество, придобито от престъпна дейност (наричана по-нататък „Комисията“), образува производство и през декември 2008 г. подава искане за</w:t>
      </w:r>
      <w:r w:rsidR="00372B08">
        <w:t xml:space="preserve"> налагане на обезпечителни мерки върху </w:t>
      </w:r>
      <w:r>
        <w:t>имущес</w:t>
      </w:r>
      <w:r w:rsidR="006D267C">
        <w:t xml:space="preserve">твото на тримата жалбоподатели – г-н </w:t>
      </w:r>
      <w:r>
        <w:t xml:space="preserve">Славков, съпругата му и контролирано от него дружество (вж. приложения списък), с оглед на бъдещото му отнемане като постъпления, придобити от престъпна дейност. Макар че Комисията може да подаде </w:t>
      </w:r>
      <w:r w:rsidR="006D267C">
        <w:t xml:space="preserve">искова </w:t>
      </w:r>
      <w:r>
        <w:t xml:space="preserve">молба за </w:t>
      </w:r>
      <w:r w:rsidR="006D267C">
        <w:t>отнемане на имуществото</w:t>
      </w:r>
      <w:r>
        <w:t xml:space="preserve"> само след приключване на наказателното производство и ако първият жалбопода</w:t>
      </w:r>
      <w:r w:rsidR="00EF0E2F">
        <w:t>тел бъде осъден, предварителната</w:t>
      </w:r>
      <w:r>
        <w:t xml:space="preserve"> ѝ </w:t>
      </w:r>
      <w:r w:rsidR="006D267C">
        <w:t>проверка</w:t>
      </w:r>
      <w:r>
        <w:t xml:space="preserve"> вече показва, че през разглеждания перио</w:t>
      </w:r>
      <w:r w:rsidR="001F04FE">
        <w:t>д, между 1997 г. и 2008 г., г- н </w:t>
      </w:r>
      <w:r>
        <w:t xml:space="preserve">Славков и съпругата му са получавали законни доходи, равняващи се на около 1517 минимални месечни заплати (относно използването на такива еквиваленти от националните съдилища в подобна ситуация вж. </w:t>
      </w:r>
      <w:bookmarkStart w:id="4" w:name="_cl40833"/>
      <w:r>
        <w:rPr>
          <w:i/>
          <w:iCs/>
        </w:rPr>
        <w:t>Тодоров и други срещу България</w:t>
      </w:r>
      <w:bookmarkEnd w:id="4"/>
      <w:r>
        <w:t xml:space="preserve">, № 50705/11 и 6 други, </w:t>
      </w:r>
      <w:r w:rsidR="00C66B95">
        <w:t>§ </w:t>
      </w:r>
      <w:r>
        <w:t>109, 13 юли 2021 г.), докато разходите на тримата жалбопо</w:t>
      </w:r>
      <w:r w:rsidR="00EF0E2F">
        <w:t>датели са се равнявали на 6</w:t>
      </w:r>
      <w:r>
        <w:t xml:space="preserve">892 минимални месечни заплати. Поради това Комисията е на мнение, че може да се предположи, че притежаваното от жалбоподателите по това време имущество, а именно два апартамента във Варна, няколко автомобила и дялове в няколко дружества, </w:t>
      </w:r>
      <w:r w:rsidR="00910158">
        <w:t xml:space="preserve">е </w:t>
      </w:r>
      <w:r w:rsidR="0016766A">
        <w:t>придобито</w:t>
      </w:r>
      <w:r w:rsidR="00910158">
        <w:t xml:space="preserve"> от престъп</w:t>
      </w:r>
      <w:r>
        <w:t>на дейност.</w:t>
      </w:r>
    </w:p>
    <w:bookmarkStart w:id="5" w:name="freezing_asset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5</w:t>
      </w:r>
      <w:r w:rsidRPr="00845CC1">
        <w:fldChar w:fldCharType="end"/>
      </w:r>
      <w:bookmarkEnd w:id="5"/>
      <w:r>
        <w:t xml:space="preserve">.  С решение от 13 януари 2010 г. Варненският апелативен съд </w:t>
      </w:r>
      <w:r w:rsidR="0016766A">
        <w:t>налага обезпечителни мерки върху</w:t>
      </w:r>
      <w:r>
        <w:t xml:space="preserve"> това имущество, с изключение на един апартамент, който не е предмет на искането за обезпечаване. Наложени са и запори върху банковите сметки на жалбоподателите, в които според Правителството нямало никакви средства.</w:t>
      </w:r>
    </w:p>
    <w:bookmarkStart w:id="6" w:name="freezing_2012"/>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6</w:t>
      </w:r>
      <w:r w:rsidRPr="00845CC1">
        <w:fldChar w:fldCharType="end"/>
      </w:r>
      <w:bookmarkEnd w:id="6"/>
      <w:r>
        <w:t xml:space="preserve">.  Впоследствие жалбоподателите подават молба за </w:t>
      </w:r>
      <w:r w:rsidR="00916766">
        <w:t>отмяна на обезпечителните мерки</w:t>
      </w:r>
      <w:r>
        <w:t xml:space="preserve"> върху имуществото им, но молбата им е отхвърлена с окончателно </w:t>
      </w:r>
      <w:r w:rsidR="004F182C">
        <w:t>определение</w:t>
      </w:r>
      <w:r>
        <w:t xml:space="preserve"> на Варненския апелативен съд от 1 ноември 2012 г. Националните съдилища приемат, че продължаващото наказателно производство срещу първия жалбоподател обосновава валидността на обжалваните мерки и че на този етап е невъзможно да се прецени основателността</w:t>
      </w:r>
      <w:r w:rsidR="00DE3EAA">
        <w:t xml:space="preserve"> на бъдещата искова молба</w:t>
      </w:r>
      <w:r>
        <w:t xml:space="preserve"> за отнемане.</w:t>
      </w:r>
    </w:p>
    <w:bookmarkStart w:id="7" w:name="freezing_continue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7</w:t>
      </w:r>
      <w:r w:rsidRPr="00845CC1">
        <w:fldChar w:fldCharType="end"/>
      </w:r>
      <w:bookmarkEnd w:id="7"/>
      <w:r>
        <w:t xml:space="preserve">.  Имуществото на жалбоподателите, описано по-горе, остава </w:t>
      </w:r>
      <w:r w:rsidR="001B7750">
        <w:t>с наложени обезпечителни мерки към момента на последната</w:t>
      </w:r>
      <w:r>
        <w:t xml:space="preserve"> </w:t>
      </w:r>
      <w:r w:rsidR="001B7750">
        <w:t>комуникация</w:t>
      </w:r>
      <w:r>
        <w:t xml:space="preserve"> от страните през </w:t>
      </w:r>
      <w:r w:rsidR="0025358D">
        <w:t xml:space="preserve">м. </w:t>
      </w:r>
      <w:r>
        <w:t>май 2023 г.</w:t>
      </w:r>
    </w:p>
    <w:bookmarkStart w:id="8" w:name="complaint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8</w:t>
      </w:r>
      <w:r w:rsidRPr="00845CC1">
        <w:fldChar w:fldCharType="end"/>
      </w:r>
      <w:bookmarkEnd w:id="8"/>
      <w:r>
        <w:t xml:space="preserve">.  Г-н Славков се оплаква по </w:t>
      </w:r>
      <w:r w:rsidR="00C66B95">
        <w:t>член </w:t>
      </w:r>
      <w:r w:rsidR="0025358D">
        <w:t xml:space="preserve">5 </w:t>
      </w:r>
      <w:r w:rsidR="00C66B95">
        <w:t>§ </w:t>
      </w:r>
      <w:r>
        <w:t>3 от Конвенцията от продължителността на задържане</w:t>
      </w:r>
      <w:r w:rsidR="001B7750">
        <w:t>то му под стража</w:t>
      </w:r>
      <w:r>
        <w:t xml:space="preserve"> и по </w:t>
      </w:r>
      <w:r w:rsidR="00C66B95">
        <w:t>член </w:t>
      </w:r>
      <w:r>
        <w:t xml:space="preserve">5 </w:t>
      </w:r>
      <w:r w:rsidR="00C66B95">
        <w:t>§ </w:t>
      </w:r>
      <w:r w:rsidR="001B7750">
        <w:t>5 –</w:t>
      </w:r>
      <w:r>
        <w:t xml:space="preserve"> от липсата на изпълнимо право на обезщетение в тази връзка. Тримата жалбоподатели се оплакват по </w:t>
      </w:r>
      <w:r w:rsidR="00C66B95">
        <w:t>член </w:t>
      </w:r>
      <w:r>
        <w:t>1 о</w:t>
      </w:r>
      <w:r w:rsidR="00DA753E">
        <w:t>т Протокол № 1 от обезпечителните мерки</w:t>
      </w:r>
      <w:r>
        <w:t xml:space="preserve"> </w:t>
      </w:r>
      <w:r w:rsidR="00DA753E">
        <w:t>върху</w:t>
      </w:r>
      <w:r>
        <w:t xml:space="preserve"> имуществото им; те считат т</w:t>
      </w:r>
      <w:r w:rsidR="00DA753E">
        <w:t>ези мерки за необосновани и прекомерно продължителни</w:t>
      </w:r>
      <w:r>
        <w:t>.</w:t>
      </w:r>
    </w:p>
    <w:p w:rsidR="00685E80" w:rsidRPr="00845CC1" w:rsidRDefault="002E17CC" w:rsidP="00845CC1">
      <w:pPr>
        <w:pStyle w:val="JuHHead"/>
      </w:pPr>
      <w:r>
        <w:t>ПРЕЦЕНКАТА НА СЪДА</w:t>
      </w:r>
    </w:p>
    <w:p w:rsidR="00685E80" w:rsidRPr="00845CC1" w:rsidRDefault="00805281" w:rsidP="00845CC1">
      <w:pPr>
        <w:pStyle w:val="JuHIRoman"/>
        <w:ind w:left="397" w:hanging="397"/>
      </w:pPr>
      <w:r>
        <w:t>ТВЪРДЯНИ НАРУШЕНИЯ</w:t>
      </w:r>
      <w:r w:rsidR="002E17CC">
        <w:t xml:space="preserve"> НА </w:t>
      </w:r>
      <w:r w:rsidR="00C66B95">
        <w:t>ЧЛЕН </w:t>
      </w:r>
      <w:r>
        <w:t xml:space="preserve">5 </w:t>
      </w:r>
      <w:r w:rsidR="002E17CC">
        <w:t>§</w:t>
      </w:r>
      <w:r w:rsidR="00C66B95">
        <w:t>§ </w:t>
      </w:r>
      <w:r w:rsidR="002E17CC">
        <w:t>3 и 5 ОТ КОНВЕНЦИЯТА</w:t>
      </w:r>
    </w:p>
    <w:bookmarkStart w:id="9" w:name="art_5_nex_1"/>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9</w:t>
      </w:r>
      <w:r w:rsidRPr="00845CC1">
        <w:fldChar w:fldCharType="end"/>
      </w:r>
      <w:bookmarkEnd w:id="9"/>
      <w:r>
        <w:t xml:space="preserve">.  Правителството твърди, че г-н Славков е можел да претендира обезщетение по </w:t>
      </w:r>
      <w:r w:rsidR="00DA753E">
        <w:t>ч</w:t>
      </w:r>
      <w:r w:rsidR="00805281">
        <w:t>л.</w:t>
      </w:r>
      <w:r w:rsidR="00C66B95">
        <w:t> </w:t>
      </w:r>
      <w:r>
        <w:t xml:space="preserve">2, </w:t>
      </w:r>
      <w:r w:rsidR="00805281">
        <w:t>ал.</w:t>
      </w:r>
      <w:r w:rsidR="00C66B95">
        <w:t> </w:t>
      </w:r>
      <w:r w:rsidR="00805281">
        <w:t>1, т.</w:t>
      </w:r>
      <w:r>
        <w:t xml:space="preserve"> 2 от Закона за отговорността на държавата и общините за вреди, който предвижда отговорност на властите за нарушения на </w:t>
      </w:r>
      <w:r w:rsidR="00C66B95">
        <w:t>член </w:t>
      </w:r>
      <w:r>
        <w:t xml:space="preserve">5 от Конвенцията. Въпросното средство за правна защита обаче е въведено през </w:t>
      </w:r>
      <w:r w:rsidR="00DA753E">
        <w:t xml:space="preserve">м. </w:t>
      </w:r>
      <w:r>
        <w:t xml:space="preserve">декември 2012 г. (за повече подробности вж. </w:t>
      </w:r>
      <w:r>
        <w:rPr>
          <w:i/>
          <w:iCs/>
        </w:rPr>
        <w:t>Стефанов срещу България</w:t>
      </w:r>
      <w:r w:rsidR="001F04FE">
        <w:t xml:space="preserve"> (реш.), № 51127/18, </w:t>
      </w:r>
      <w:r w:rsidR="00C66B95">
        <w:t>§ </w:t>
      </w:r>
      <w:r w:rsidR="001F04FE">
        <w:t>48, 8 </w:t>
      </w:r>
      <w:r>
        <w:t xml:space="preserve">септември 2020 г.), докато жалбоподателят е бил освободен на 11 юли 2012 г. (вж. параграф </w:t>
      </w:r>
      <w:r w:rsidRPr="00845CC1">
        <w:fldChar w:fldCharType="begin"/>
      </w:r>
      <w:r w:rsidRPr="00845CC1">
        <w:instrText xml:space="preserve"> REF detention \h </w:instrText>
      </w:r>
      <w:r w:rsidRPr="00845CC1">
        <w:fldChar w:fldCharType="separate"/>
      </w:r>
      <w:r w:rsidR="00ED5B4A">
        <w:rPr>
          <w:noProof/>
        </w:rPr>
        <w:t>2</w:t>
      </w:r>
      <w:r w:rsidRPr="00845CC1">
        <w:fldChar w:fldCharType="end"/>
      </w:r>
      <w:r>
        <w:t xml:space="preserve"> по-горе), а Съдът вече е установил, че не е доказано, че </w:t>
      </w:r>
      <w:r w:rsidR="00F54F4F">
        <w:t>чл.</w:t>
      </w:r>
      <w:r w:rsidR="00C66B95">
        <w:t> </w:t>
      </w:r>
      <w:r>
        <w:t xml:space="preserve">2, </w:t>
      </w:r>
      <w:r w:rsidR="00F54F4F">
        <w:t>ал.</w:t>
      </w:r>
      <w:r w:rsidR="00C66B95">
        <w:t> </w:t>
      </w:r>
      <w:r w:rsidR="00F54F4F">
        <w:t>1, т.</w:t>
      </w:r>
      <w:r>
        <w:t xml:space="preserve"> 2 се прилага за факти, настъпили преди влизането му в сила (вж. например </w:t>
      </w:r>
      <w:bookmarkStart w:id="10" w:name="_cl29230"/>
      <w:r>
        <w:rPr>
          <w:i/>
          <w:iCs/>
        </w:rPr>
        <w:t>Кирил Андреев срещу България</w:t>
      </w:r>
      <w:bookmarkEnd w:id="10"/>
      <w:r>
        <w:t>, № 79828/12, §</w:t>
      </w:r>
      <w:r w:rsidR="00C66B95">
        <w:t>§ </w:t>
      </w:r>
      <w:r>
        <w:t>31-41, 28 януари 2016 г.). В настоящия случай Правителството е представило едно вътрешноправно решение, постановено през 2015 г., в което въпросната разпоредба е била приложена към факти, настъпили през 2010 г., но едно такова решение не е достатъчно, за да опровергае предишните констатации на Съда.</w:t>
      </w:r>
    </w:p>
    <w:bookmarkStart w:id="11" w:name="art_5_nex_2"/>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10</w:t>
      </w:r>
      <w:r w:rsidRPr="00845CC1">
        <w:fldChar w:fldCharType="end"/>
      </w:r>
      <w:bookmarkEnd w:id="11"/>
      <w:r>
        <w:t>.  В допълнение Правителството твърди, че дори и Законът за отговорността на държавата и общините за вреди да е бил неприложим, жалбоподателят е можел да търси обезщетение за вреди по общия ред на деликтното право. По същия начин той е можел да прибегне до средство за правна защита, целящо да осигури обезщетение за прекомерната продължителност на съдебното производство. Все пак Правителството не е представило никаква национална практика, която да показва, че тези средства за правна защита са могли да бъдат ефективни по отношение на разглежданите оплаквания.</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11</w:t>
      </w:r>
      <w:r>
        <w:rPr>
          <w:noProof/>
        </w:rPr>
        <w:fldChar w:fldCharType="end"/>
      </w:r>
      <w:r w:rsidR="002E17CC">
        <w:t xml:space="preserve">.  Накрая Правителството посочва, че г-н Славков не е обжалвал всички откази на Варненския окръжен съд да разпореди освобождаването му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по-горе). Той обаче е обжалвал по-голямата част от тези откази и във всеки един от случаите те са били потвърждавани от Варненския апелативен съд. Поради това Съдът не може да стигне до заключението, че жалбоподателят не се е възползвал адекватно от възможността, предвидена във вътрешното право, да поиска освобождаване (вж. за подобни съображения </w:t>
      </w:r>
      <w:bookmarkStart w:id="12" w:name="_cl22173"/>
      <w:r w:rsidR="002E17CC">
        <w:rPr>
          <w:i/>
          <w:iCs/>
        </w:rPr>
        <w:t>Bielski срещу Полша и Германия</w:t>
      </w:r>
      <w:bookmarkEnd w:id="12"/>
      <w:r w:rsidR="002E17CC">
        <w:t xml:space="preserve">, № 18120/03, </w:t>
      </w:r>
      <w:r w:rsidR="00C66B95">
        <w:t>§ </w:t>
      </w:r>
      <w:r w:rsidR="002E17CC">
        <w:t>33, 3 май 2011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12</w:t>
      </w:r>
      <w:r>
        <w:rPr>
          <w:noProof/>
        </w:rPr>
        <w:fldChar w:fldCharType="end"/>
      </w:r>
      <w:r w:rsidR="002E17CC">
        <w:t xml:space="preserve">.  С оглед на гореизложеното Съдът отхвърля възражението на Правителството за недопустимост, основано на неизчерпване на вътрешноправните средства за защита. Освен това той отбелязва, че разглежданите оплаквания не са явно </w:t>
      </w:r>
      <w:r w:rsidR="00DC18B2">
        <w:t>необосновани</w:t>
      </w:r>
      <w:r w:rsidR="002E17CC">
        <w:t xml:space="preserve"> по смисъла на </w:t>
      </w:r>
      <w:r w:rsidR="00C66B95">
        <w:t>член </w:t>
      </w:r>
      <w:r w:rsidR="002E17CC">
        <w:t>35, параграф 3, буква а) от Конвенцията или недопустими на друго основание. Следователно те трябва да бъдат обявени за допустими.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13</w:t>
      </w:r>
      <w:r>
        <w:rPr>
          <w:noProof/>
        </w:rPr>
        <w:fldChar w:fldCharType="end"/>
      </w:r>
      <w:r w:rsidR="002E17CC">
        <w:t xml:space="preserve">.  По </w:t>
      </w:r>
      <w:r w:rsidR="00DC18B2">
        <w:t>основателността на оплакванията</w:t>
      </w:r>
      <w:r w:rsidR="002E17CC">
        <w:t xml:space="preserve"> Правителството твърди, че продължителността на задържането на първия жалбоподател е била целесъобразна с оглед на тежкото престъпление, в което е бил обвинен, и „безспорната фактическа и правна сложност на делото“. Жалбоподателят отново изтъква оплакванията си.</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14</w:t>
      </w:r>
      <w:r>
        <w:rPr>
          <w:noProof/>
        </w:rPr>
        <w:fldChar w:fldCharType="end"/>
      </w:r>
      <w:r w:rsidR="002E17CC">
        <w:t>.  Общите принципи относно правото на „</w:t>
      </w:r>
      <w:r w:rsidR="00D96132">
        <w:t>гледане на неговото</w:t>
      </w:r>
      <w:r w:rsidR="002E17CC">
        <w:t xml:space="preserve"> </w:t>
      </w:r>
      <w:r w:rsidR="00D96132">
        <w:t>дело</w:t>
      </w:r>
      <w:r w:rsidR="002E17CC">
        <w:t xml:space="preserve"> в разумен срок“ или на освобождаване в очакване на съдебен процес, гарантирано от </w:t>
      </w:r>
      <w:r w:rsidR="00C66B95">
        <w:t>член </w:t>
      </w:r>
      <w:r w:rsidR="002E17CC">
        <w:t xml:space="preserve">5 </w:t>
      </w:r>
      <w:r w:rsidR="00C66B95">
        <w:t>§ </w:t>
      </w:r>
      <w:r w:rsidR="002E17CC">
        <w:t xml:space="preserve">3 от Конвенцията, са обобщени в делото </w:t>
      </w:r>
      <w:bookmarkStart w:id="13" w:name="_cl22834"/>
      <w:r w:rsidR="002E17CC">
        <w:rPr>
          <w:i/>
          <w:iCs/>
        </w:rPr>
        <w:t>Buzadji срещу Република Молдова</w:t>
      </w:r>
      <w:bookmarkEnd w:id="13"/>
      <w:r w:rsidR="002E17CC">
        <w:t xml:space="preserve"> ([ГК], № 23755/07, §</w:t>
      </w:r>
      <w:r w:rsidR="00C66B95">
        <w:t>§ </w:t>
      </w:r>
      <w:r w:rsidR="002E17CC">
        <w:t>87-91, 5 юли 2016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15</w:t>
      </w:r>
      <w:r>
        <w:rPr>
          <w:noProof/>
        </w:rPr>
        <w:fldChar w:fldCharType="end"/>
      </w:r>
      <w:r w:rsidR="002E17CC">
        <w:t>.  Задържането под стража на</w:t>
      </w:r>
      <w:r w:rsidR="001A57B1">
        <w:t xml:space="preserve"> жалбоподателя продължава от 20 </w:t>
      </w:r>
      <w:r w:rsidR="002E17CC">
        <w:t xml:space="preserve">октомври 2008 г. до 11 юли 2012 г., когато е освободен под гаранция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Така продължителността на задържането му под стража е три години, осем месеца и двадесет и един дни.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16</w:t>
      </w:r>
      <w:r>
        <w:rPr>
          <w:noProof/>
        </w:rPr>
        <w:fldChar w:fldCharType="end"/>
      </w:r>
      <w:r w:rsidR="002E17CC">
        <w:t xml:space="preserve">.  Националните съдилища оправдават продължителното задържане на жалбоподателя с редица основания, както е разгледано в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Макар че тези основания безспорно са били „относими“ и Съдът не вижда причина да се съмнява, че наказателното дело срещу жалбоподателя е било сложно, той не е убеден, че посочените основания са били „достатъчни“, за да оправдаят толкова продължително задържане под стража при обстоятелства, които, макар и очевидно трудни, не са били изключителни.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17</w:t>
      </w:r>
      <w:r>
        <w:rPr>
          <w:noProof/>
        </w:rPr>
        <w:fldChar w:fldCharType="end"/>
      </w:r>
      <w:r w:rsidR="002E17CC">
        <w:t>.  Като взема предвид съдебната си практика по този въпрос, Съдът стига до заключението, че продължителността на задържане</w:t>
      </w:r>
      <w:r w:rsidR="00472B7E">
        <w:t>то</w:t>
      </w:r>
      <w:r w:rsidR="002E17CC">
        <w:t xml:space="preserve"> под стража на първия жалбоподател е била прекомерна. Следователно е налице нарушение на </w:t>
      </w:r>
      <w:r w:rsidR="00C66B95">
        <w:t>член </w:t>
      </w:r>
      <w:r w:rsidR="002E17CC">
        <w:t xml:space="preserve">5 </w:t>
      </w:r>
      <w:r w:rsidR="00C66B95">
        <w:t>§ </w:t>
      </w:r>
      <w:r w:rsidR="002E17CC">
        <w:t>3 от Конвенцията.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18</w:t>
      </w:r>
      <w:r>
        <w:rPr>
          <w:noProof/>
        </w:rPr>
        <w:fldChar w:fldCharType="end"/>
      </w:r>
      <w:r w:rsidR="002E17CC">
        <w:t xml:space="preserve">.  Що се отнася до оплакването на първия жалбоподател по </w:t>
      </w:r>
      <w:r w:rsidR="00C66B95">
        <w:t>член </w:t>
      </w:r>
      <w:r w:rsidR="002E17CC">
        <w:t xml:space="preserve">5 </w:t>
      </w:r>
      <w:r w:rsidR="00C66B95">
        <w:t>§ </w:t>
      </w:r>
      <w:r w:rsidR="002E17CC">
        <w:t xml:space="preserve">5, Съдът се позовава на констатацията си, че той не е разполагал с ефективно средство за правна защита, за да търси обезщетение за нарушението на правата му по </w:t>
      </w:r>
      <w:r w:rsidR="00C66B95">
        <w:t>член </w:t>
      </w:r>
      <w:r w:rsidR="002E17CC">
        <w:t xml:space="preserve">5 </w:t>
      </w:r>
      <w:r w:rsidR="00C66B95">
        <w:t>§ </w:t>
      </w:r>
      <w:r w:rsidR="002E17CC">
        <w:t xml:space="preserve">3 (вж. </w:t>
      </w:r>
      <w:bookmarkStart w:id="14" w:name="_cl36988"/>
      <w:r w:rsidR="002E17CC">
        <w:rPr>
          <w:i/>
          <w:iCs/>
        </w:rPr>
        <w:t>Станев срещу България</w:t>
      </w:r>
      <w:bookmarkEnd w:id="14"/>
      <w:r w:rsidR="002E17CC">
        <w:t xml:space="preserve"> [ГК], № 36760/06, </w:t>
      </w:r>
      <w:r w:rsidR="00C66B95">
        <w:t>§ </w:t>
      </w:r>
      <w:r w:rsidR="002E17CC">
        <w:t xml:space="preserve">184, ЕСПЧ 2012 г.; и параграфи </w:t>
      </w:r>
      <w:r w:rsidR="002E17CC" w:rsidRPr="00845CC1">
        <w:fldChar w:fldCharType="begin"/>
      </w:r>
      <w:r w:rsidR="002E17CC" w:rsidRPr="00845CC1">
        <w:instrText xml:space="preserve"> REF art_5_nex_1 \h </w:instrText>
      </w:r>
      <w:r w:rsidR="002E17CC" w:rsidRPr="00845CC1">
        <w:fldChar w:fldCharType="separate"/>
      </w:r>
      <w:r w:rsidR="00ED5B4A">
        <w:rPr>
          <w:noProof/>
        </w:rPr>
        <w:t>9</w:t>
      </w:r>
      <w:r w:rsidR="002E17CC" w:rsidRPr="00845CC1">
        <w:fldChar w:fldCharType="end"/>
      </w:r>
      <w:r w:rsidR="00472B7E">
        <w:t>-</w:t>
      </w:r>
      <w:r w:rsidR="002E17CC" w:rsidRPr="00845CC1">
        <w:fldChar w:fldCharType="begin"/>
      </w:r>
      <w:r w:rsidR="002E17CC" w:rsidRPr="00845CC1">
        <w:instrText xml:space="preserve"> REF art_5_nex_2 \h </w:instrText>
      </w:r>
      <w:r w:rsidR="002E17CC" w:rsidRPr="00845CC1">
        <w:fldChar w:fldCharType="separate"/>
      </w:r>
      <w:r w:rsidR="00ED5B4A">
        <w:rPr>
          <w:noProof/>
        </w:rPr>
        <w:t>10</w:t>
      </w:r>
      <w:r w:rsidR="002E17CC" w:rsidRPr="00845CC1">
        <w:fldChar w:fldCharType="end"/>
      </w:r>
      <w:r w:rsidR="002E17CC">
        <w:t xml:space="preserve"> по-горе). </w:t>
      </w:r>
      <w:r w:rsidR="00472B7E">
        <w:t>С</w:t>
      </w:r>
      <w:r w:rsidR="002E17CC">
        <w:t>лед</w:t>
      </w:r>
      <w:r w:rsidR="00472B7E">
        <w:t>о</w:t>
      </w:r>
      <w:r w:rsidR="002E17CC">
        <w:t>ва</w:t>
      </w:r>
      <w:r w:rsidR="00472B7E">
        <w:t>телно</w:t>
      </w:r>
      <w:r w:rsidR="002E17CC">
        <w:t xml:space="preserve"> е налице нарушение и на </w:t>
      </w:r>
      <w:r w:rsidR="00C66B95">
        <w:t>член </w:t>
      </w:r>
      <w:r w:rsidR="002E17CC">
        <w:t xml:space="preserve">5 </w:t>
      </w:r>
      <w:r w:rsidR="00C66B95">
        <w:t>§ </w:t>
      </w:r>
      <w:r w:rsidR="002E17CC">
        <w:t>5 от Конвенцията;</w:t>
      </w:r>
    </w:p>
    <w:p w:rsidR="00685E80" w:rsidRPr="00845CC1" w:rsidRDefault="002E17CC" w:rsidP="00845CC1">
      <w:pPr>
        <w:pStyle w:val="JuHIRoman"/>
        <w:tabs>
          <w:tab w:val="left" w:pos="567"/>
          <w:tab w:val="left" w:pos="680"/>
        </w:tabs>
        <w:ind w:left="397" w:hanging="397"/>
      </w:pPr>
      <w:r>
        <w:t xml:space="preserve">ТВЪРДЯНО НАРУШЕНИЕ НА </w:t>
      </w:r>
      <w:r w:rsidR="00C66B95">
        <w:t>член </w:t>
      </w:r>
      <w:r>
        <w:t>1 от протокол № 1</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19</w:t>
      </w:r>
      <w:r>
        <w:rPr>
          <w:noProof/>
        </w:rPr>
        <w:fldChar w:fldCharType="end"/>
      </w:r>
      <w:r w:rsidR="002E17CC">
        <w:t xml:space="preserve">.  Тримата жалбоподатели се оплакват от </w:t>
      </w:r>
      <w:r w:rsidR="00201DD9">
        <w:t>налагането на обезпечителни мерки върху тяхното имущество</w:t>
      </w:r>
      <w:r w:rsidR="002E17CC">
        <w:t xml:space="preserve"> по искане на Комисията (вж. параграф </w:t>
      </w:r>
      <w:r w:rsidR="002E17CC" w:rsidRPr="00845CC1">
        <w:fldChar w:fldCharType="begin"/>
      </w:r>
      <w:r w:rsidR="002E17CC" w:rsidRPr="00845CC1">
        <w:instrText xml:space="preserve"> REF complaints \h </w:instrText>
      </w:r>
      <w:r w:rsidR="002E17CC" w:rsidRPr="00845CC1">
        <w:fldChar w:fldCharType="separate"/>
      </w:r>
      <w:r w:rsidR="00ED5B4A">
        <w:rPr>
          <w:noProof/>
        </w:rPr>
        <w:t>8</w:t>
      </w:r>
      <w:r w:rsidR="002E17CC" w:rsidRPr="00845CC1">
        <w:fldChar w:fldCharType="end"/>
      </w:r>
      <w:r w:rsidR="002E17CC">
        <w:t xml:space="preserve"> по-горе).</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20</w:t>
      </w:r>
      <w:r>
        <w:rPr>
          <w:noProof/>
        </w:rPr>
        <w:fldChar w:fldCharType="end"/>
      </w:r>
      <w:r w:rsidR="002E17CC">
        <w:t xml:space="preserve">.  Тези мерки са наложени през 2010 г. (вж. параграф </w:t>
      </w:r>
      <w:r w:rsidR="002E17CC" w:rsidRPr="00845CC1">
        <w:fldChar w:fldCharType="begin"/>
      </w:r>
      <w:r w:rsidR="002E17CC" w:rsidRPr="00845CC1">
        <w:instrText xml:space="preserve"> REF freezing_assets \h </w:instrText>
      </w:r>
      <w:r w:rsidR="002E17CC" w:rsidRPr="00845CC1">
        <w:fldChar w:fldCharType="separate"/>
      </w:r>
      <w:r w:rsidR="00ED5B4A">
        <w:rPr>
          <w:noProof/>
        </w:rPr>
        <w:t>5</w:t>
      </w:r>
      <w:r w:rsidR="002E17CC" w:rsidRPr="00845CC1">
        <w:fldChar w:fldCharType="end"/>
      </w:r>
      <w:r w:rsidR="002E17CC">
        <w:t xml:space="preserve"> по-горе), т.е. повече от шест месеца преди подаването на настоящата жалба на 4 юни 2012 г. Следователно всяко оплакване, свързано с първоначалното решение на Варненския апелативен съд, е </w:t>
      </w:r>
      <w:r w:rsidR="00B62AC0">
        <w:t>извън срока</w:t>
      </w:r>
      <w:r w:rsidR="002E17CC">
        <w:t xml:space="preserve"> съгласно </w:t>
      </w:r>
      <w:r w:rsidR="00C66B95">
        <w:t>член </w:t>
      </w:r>
      <w:r w:rsidR="002E17CC">
        <w:t xml:space="preserve">35 </w:t>
      </w:r>
      <w:r w:rsidR="00C66B95">
        <w:t>§ </w:t>
      </w:r>
      <w:r w:rsidR="002E17CC">
        <w:t>1 от Конвенцията.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21</w:t>
      </w:r>
      <w:r>
        <w:rPr>
          <w:noProof/>
        </w:rPr>
        <w:fldChar w:fldCharType="end"/>
      </w:r>
      <w:r w:rsidR="002E17CC">
        <w:t>.  Това, което Съдът е компетентен да разгледа, е продължи</w:t>
      </w:r>
      <w:r w:rsidR="00CC34ED">
        <w:t>телността на обжалваните мерки –</w:t>
      </w:r>
      <w:r w:rsidR="002E17CC">
        <w:t xml:space="preserve"> поне до </w:t>
      </w:r>
      <w:r w:rsidR="0032429F">
        <w:t xml:space="preserve">м. </w:t>
      </w:r>
      <w:r w:rsidR="00CC34ED">
        <w:t xml:space="preserve">май 2023 г. – </w:t>
      </w:r>
      <w:r w:rsidR="002E17CC">
        <w:t xml:space="preserve"> както и отхвърлянето на искането на жалбоподателите през 2012 г. за отмяна на тези мерки (вж. параграфи </w:t>
      </w:r>
      <w:r w:rsidR="002E17CC" w:rsidRPr="00845CC1">
        <w:fldChar w:fldCharType="begin"/>
      </w:r>
      <w:r w:rsidR="002E17CC" w:rsidRPr="00845CC1">
        <w:instrText xml:space="preserve"> REF freezing_2012 \h </w:instrText>
      </w:r>
      <w:r w:rsidR="002E17CC" w:rsidRPr="00845CC1">
        <w:fldChar w:fldCharType="separate"/>
      </w:r>
      <w:r w:rsidR="00ED5B4A">
        <w:rPr>
          <w:noProof/>
        </w:rPr>
        <w:t>6</w:t>
      </w:r>
      <w:r w:rsidR="002E17CC" w:rsidRPr="00845CC1">
        <w:fldChar w:fldCharType="end"/>
      </w:r>
      <w:r w:rsidR="00CC34ED">
        <w:t>-7</w:t>
      </w:r>
      <w:r w:rsidR="002E17CC">
        <w:t xml:space="preserve"> по-горе).</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22</w:t>
      </w:r>
      <w:r>
        <w:rPr>
          <w:noProof/>
        </w:rPr>
        <w:fldChar w:fldCharType="end"/>
      </w:r>
      <w:r w:rsidR="002E17CC">
        <w:t>.  В предишни дела пред Съда, в които продължителните привременни мерки са довели до на</w:t>
      </w:r>
      <w:r>
        <w:t xml:space="preserve">рушение на </w:t>
      </w:r>
      <w:r w:rsidR="00C66B95">
        <w:t>член </w:t>
      </w:r>
      <w:r>
        <w:t>1 от Протокол № </w:t>
      </w:r>
      <w:r w:rsidR="002E17CC">
        <w:t xml:space="preserve">1, констатацията за нарушение се е основавала на съвкупност от фактори. Макар че продължителността на периода, през който ограниченията са останали в сила, е била решаваща част от оценката на Съда (вж. например </w:t>
      </w:r>
      <w:bookmarkStart w:id="15" w:name="_cl38441"/>
      <w:r w:rsidR="002E17CC">
        <w:rPr>
          <w:i/>
          <w:iCs/>
        </w:rPr>
        <w:t>Uzan и други срещу Турция</w:t>
      </w:r>
      <w:bookmarkEnd w:id="15"/>
      <w:r w:rsidR="002E17CC">
        <w:t>, № 19620/05 и 3 други, §</w:t>
      </w:r>
      <w:r w:rsidR="00C66B95">
        <w:t>§ </w:t>
      </w:r>
      <w:r w:rsidR="002E17CC">
        <w:t xml:space="preserve">207 и 212, 5 март 2019 г.), обхватът и естеството на ограниченията и наличието или липсата на процесуални гаранции също са били от значение (вж. </w:t>
      </w:r>
      <w:bookmarkStart w:id="16" w:name="_cl41408"/>
      <w:r w:rsidR="002E17CC">
        <w:rPr>
          <w:i/>
          <w:iCs/>
        </w:rPr>
        <w:t>Shorazova срещу Малта</w:t>
      </w:r>
      <w:bookmarkEnd w:id="16"/>
      <w:r w:rsidR="002E17CC">
        <w:t xml:space="preserve">, № 51853/19, </w:t>
      </w:r>
      <w:r w:rsidR="00C66B95">
        <w:t>§ </w:t>
      </w:r>
      <w:r w:rsidR="002E17CC">
        <w:t>113, 3 март 2022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23</w:t>
      </w:r>
      <w:r>
        <w:rPr>
          <w:noProof/>
        </w:rPr>
        <w:fldChar w:fldCharType="end"/>
      </w:r>
      <w:r w:rsidR="002E17CC">
        <w:t xml:space="preserve">.  В конкретния случай </w:t>
      </w:r>
      <w:r w:rsidR="00547CEB">
        <w:t xml:space="preserve">върху </w:t>
      </w:r>
      <w:r w:rsidR="002E17CC">
        <w:t xml:space="preserve">имуществото на жалбоподателите </w:t>
      </w:r>
      <w:r w:rsidR="00547CEB">
        <w:t>са наложени обезпечителни мерки</w:t>
      </w:r>
      <w:r w:rsidR="002E17CC">
        <w:t xml:space="preserve"> с оглед на бъдещото му отнемане като постъпления от престъпна дейност. Ограниченията са постановени след образуването на наказателно производство срещу първия жа</w:t>
      </w:r>
      <w:r>
        <w:t>лбоподател (вж. параграф </w:t>
      </w:r>
      <w:r w:rsidR="002E17CC" w:rsidRPr="00845CC1">
        <w:fldChar w:fldCharType="begin"/>
      </w:r>
      <w:r w:rsidR="002E17CC" w:rsidRPr="00845CC1">
        <w:instrText xml:space="preserve"> REF freezing_request \h </w:instrText>
      </w:r>
      <w:r w:rsidR="002E17CC" w:rsidRPr="00845CC1">
        <w:fldChar w:fldCharType="separate"/>
      </w:r>
      <w:r w:rsidR="00ED5B4A">
        <w:rPr>
          <w:noProof/>
        </w:rPr>
        <w:t>4</w:t>
      </w:r>
      <w:r w:rsidR="002E17CC" w:rsidRPr="00845CC1">
        <w:fldChar w:fldCharType="end"/>
      </w:r>
      <w:r w:rsidR="002E17CC">
        <w:t xml:space="preserve"> по-горе). Той е обвинен в участие в организирана престъпна група, създадена с цел </w:t>
      </w:r>
      <w:r w:rsidR="001B4F5C">
        <w:t>пране</w:t>
      </w:r>
      <w:r w:rsidR="002E17CC">
        <w:t xml:space="preserve"> на пари, сводничество, трафик на хора и </w:t>
      </w:r>
      <w:r w:rsidR="001B4F5C">
        <w:t>разпространение</w:t>
      </w:r>
      <w:r w:rsidR="002E17CC">
        <w:t xml:space="preserve"> на наркотици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т.е. в престъпление, което очевидно има потенциал да донесе финансова изгода.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24</w:t>
      </w:r>
      <w:r>
        <w:rPr>
          <w:noProof/>
        </w:rPr>
        <w:fldChar w:fldCharType="end"/>
      </w:r>
      <w:r w:rsidR="002E17CC">
        <w:t xml:space="preserve">.  В първоначалния си анализ Комисията установява, че разходите на г-н Славков и съпругата му през разглеждания период изглежда са надвишавали значително доходите им от законни източници и че това обосновава предварителното заключение, че имуществото им може да представлява постъпления от престъпна дейност (вж. параграф </w:t>
      </w:r>
      <w:r w:rsidR="002E17CC" w:rsidRPr="00845CC1">
        <w:fldChar w:fldCharType="begin"/>
      </w:r>
      <w:r w:rsidR="002E17CC" w:rsidRPr="00845CC1">
        <w:instrText xml:space="preserve"> REF freezing_request \h </w:instrText>
      </w:r>
      <w:r w:rsidR="002E17CC" w:rsidRPr="00845CC1">
        <w:fldChar w:fldCharType="separate"/>
      </w:r>
      <w:r w:rsidR="00ED5B4A">
        <w:rPr>
          <w:noProof/>
        </w:rPr>
        <w:t>4</w:t>
      </w:r>
      <w:r w:rsidR="002E17CC" w:rsidRPr="00845CC1">
        <w:fldChar w:fldCharType="end"/>
      </w:r>
      <w:r w:rsidR="002E17CC">
        <w:t xml:space="preserve"> по-горе). Именно това имущество е било предмет на обезпечителните мерки (вж. параграф </w:t>
      </w:r>
      <w:r w:rsidR="002E17CC" w:rsidRPr="00845CC1">
        <w:fldChar w:fldCharType="begin"/>
      </w:r>
      <w:r w:rsidR="002E17CC" w:rsidRPr="00845CC1">
        <w:instrText xml:space="preserve"> REF freezing_assets \h </w:instrText>
      </w:r>
      <w:r w:rsidR="002E17CC" w:rsidRPr="00845CC1">
        <w:fldChar w:fldCharType="separate"/>
      </w:r>
      <w:r w:rsidR="00ED5B4A">
        <w:rPr>
          <w:noProof/>
        </w:rPr>
        <w:t>5</w:t>
      </w:r>
      <w:r w:rsidR="002E17CC" w:rsidRPr="00845CC1">
        <w:fldChar w:fldCharType="end"/>
      </w:r>
      <w:r w:rsidR="002E17CC">
        <w:t xml:space="preserve"> по-горе); следователно обхватът на въпросните мерки не е бил непропорционален по отношение на бъдещата финансова загуба за жалбоподателите в случай на успешен иск за отнемане (за сравнение вж. обстоятелствата по делото </w:t>
      </w:r>
      <w:bookmarkStart w:id="17" w:name="_cl40519"/>
      <w:r w:rsidR="002E17CC">
        <w:rPr>
          <w:i/>
          <w:iCs/>
        </w:rPr>
        <w:t>Karahasanoğlu срещу Турция</w:t>
      </w:r>
      <w:bookmarkEnd w:id="17"/>
      <w:r w:rsidR="002E17CC">
        <w:t>, №</w:t>
      </w:r>
      <w:r w:rsidR="00F46429">
        <w:t xml:space="preserve"> №</w:t>
      </w:r>
      <w:r w:rsidR="002E17CC">
        <w:t xml:space="preserve"> 21392/08 и 2 други, </w:t>
      </w:r>
      <w:r w:rsidR="00C66B95">
        <w:t>§ </w:t>
      </w:r>
      <w:r w:rsidR="002E17CC">
        <w:t xml:space="preserve">153, 16 март 2021 г.; за разлика от </w:t>
      </w:r>
      <w:bookmarkStart w:id="18" w:name="_cl24975"/>
      <w:r w:rsidR="002E17CC">
        <w:rPr>
          <w:i/>
          <w:iCs/>
        </w:rPr>
        <w:t>Džinić срещу Хърватия</w:t>
      </w:r>
      <w:bookmarkEnd w:id="18"/>
      <w:r w:rsidR="002E17CC">
        <w:t>, № 38359/13, §</w:t>
      </w:r>
      <w:r w:rsidR="00C66B95">
        <w:t>§ </w:t>
      </w:r>
      <w:r w:rsidR="002E17CC">
        <w:t>73-80, 17 май 2016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25</w:t>
      </w:r>
      <w:r>
        <w:rPr>
          <w:noProof/>
        </w:rPr>
        <w:fldChar w:fldCharType="end"/>
      </w:r>
      <w:r w:rsidR="002E17CC">
        <w:t xml:space="preserve">.  Както е посочено от Правителството и не се оспорва от жалбоподателите, първият и вторият жалбоподател са могли свободно да използват и да реализират печалба от апартамента и автомобила си, които са предмет на </w:t>
      </w:r>
      <w:r w:rsidR="00F46429">
        <w:t>обезпечителни мерки</w:t>
      </w:r>
      <w:r w:rsidR="002E17CC">
        <w:t>. Съответно, обезпечителни мерки</w:t>
      </w:r>
      <w:r w:rsidR="00F46429">
        <w:t>, от които се оплакват,</w:t>
      </w:r>
      <w:r w:rsidR="002E17CC">
        <w:t xml:space="preserve"> не поставят под заплаха условията на живот на тези двама жалбоподатели (за разлика от </w:t>
      </w:r>
      <w:r w:rsidR="002E17CC">
        <w:rPr>
          <w:i/>
          <w:iCs/>
        </w:rPr>
        <w:t>Uzan и други</w:t>
      </w:r>
      <w:r w:rsidR="002E17CC">
        <w:t xml:space="preserve">, цитирано по-горе, </w:t>
      </w:r>
      <w:r w:rsidR="00C66B95">
        <w:t>§ </w:t>
      </w:r>
      <w:r w:rsidR="002E17CC">
        <w:t xml:space="preserve">212). Не се твърди също така, че </w:t>
      </w:r>
      <w:r w:rsidR="00B209D9">
        <w:t>запора върху</w:t>
      </w:r>
      <w:r w:rsidR="002E17CC">
        <w:t xml:space="preserve"> автомобилите на третия жалбоподател е засегнало по някакъв съществен начин неговата стопанска дейност (за разлика от </w:t>
      </w:r>
      <w:bookmarkStart w:id="19" w:name="_cl28382"/>
      <w:r w:rsidR="002E17CC">
        <w:rPr>
          <w:i/>
          <w:iCs/>
        </w:rPr>
        <w:t>JGK Statyba Ltd и Guselnikovas срещу Литва</w:t>
      </w:r>
      <w:bookmarkEnd w:id="19"/>
      <w:r w:rsidR="002E17CC">
        <w:t xml:space="preserve">, №. 3330/12, </w:t>
      </w:r>
      <w:r w:rsidR="00C66B95">
        <w:t>§ </w:t>
      </w:r>
      <w:r w:rsidR="002E17CC">
        <w:t xml:space="preserve">143, 5 ноември 2013 г.), или че </w:t>
      </w:r>
      <w:r w:rsidR="00170BBA">
        <w:t>запора върху</w:t>
      </w:r>
      <w:r w:rsidR="002E17CC">
        <w:t xml:space="preserve"> дяловете на жалбоподателите в други дружества е засегнало упражняването на техните членски права или функционирането на дружествата.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26</w:t>
      </w:r>
      <w:r>
        <w:rPr>
          <w:noProof/>
        </w:rPr>
        <w:fldChar w:fldCharType="end"/>
      </w:r>
      <w:r w:rsidR="002E17CC">
        <w:t xml:space="preserve">.  Що се отнася до отказа през 2012 г. да бъдат отменени </w:t>
      </w:r>
      <w:r w:rsidR="00E35606">
        <w:t>оспорваните</w:t>
      </w:r>
      <w:r w:rsidR="002E17CC">
        <w:t xml:space="preserve"> ограничения (вж. параграф </w:t>
      </w:r>
      <w:r w:rsidR="002E17CC" w:rsidRPr="00845CC1">
        <w:fldChar w:fldCharType="begin"/>
      </w:r>
      <w:r w:rsidR="002E17CC" w:rsidRPr="00845CC1">
        <w:instrText xml:space="preserve"> REF freezing_2012 \h </w:instrText>
      </w:r>
      <w:r w:rsidR="002E17CC" w:rsidRPr="00845CC1">
        <w:fldChar w:fldCharType="separate"/>
      </w:r>
      <w:r w:rsidR="00ED5B4A">
        <w:rPr>
          <w:noProof/>
        </w:rPr>
        <w:t>6</w:t>
      </w:r>
      <w:r w:rsidR="002E17CC" w:rsidRPr="00845CC1">
        <w:fldChar w:fldCharType="end"/>
      </w:r>
      <w:r w:rsidR="002E17CC">
        <w:t xml:space="preserve"> по-горе), след като тези мерки вече са били </w:t>
      </w:r>
      <w:r w:rsidR="00A96A16">
        <w:t>наложени през 2010 г. –</w:t>
      </w:r>
      <w:r w:rsidR="002E17CC">
        <w:t xml:space="preserve"> решение, което, както е отбелязано, Съдът няма да преразглеж</w:t>
      </w:r>
      <w:r w:rsidR="00A96A16">
        <w:t>да –</w:t>
      </w:r>
      <w:r w:rsidR="002E17CC">
        <w:t xml:space="preserve"> Съдът</w:t>
      </w:r>
      <w:r w:rsidR="00A96A16">
        <w:t xml:space="preserve"> </w:t>
      </w:r>
      <w:r w:rsidR="002E17CC">
        <w:t xml:space="preserve">не намира подхода на националните съдилища, а именно нежеланието им да проверят основателността на бъдещото искане на Комисията за отнемане на имущество, за неадекватен или необоснован. Това, което е било от значение по това време, е, че висящото наказателно производство срещу първия жалбоподател е продължавало да обосновава мерките. След 2012 г. жалбоподателите не са поискали мерките да бъдат отменени или променени, въпреки че през тези години вътрешната практика по отношение на отнемането на постъпления от престъпна дейност е претърпяла важни промени (вж. </w:t>
      </w:r>
      <w:r w:rsidR="002E17CC">
        <w:rPr>
          <w:i/>
          <w:iCs/>
        </w:rPr>
        <w:t>Тодоров и други</w:t>
      </w:r>
      <w:r w:rsidR="001F04FE">
        <w:t>, цитирано по-горе, §</w:t>
      </w:r>
      <w:r w:rsidR="00C66B95">
        <w:t>§ </w:t>
      </w:r>
      <w:r w:rsidR="002E17CC">
        <w:t>104</w:t>
      </w:r>
      <w:r w:rsidR="002E17CC">
        <w:noBreakHyphen/>
        <w:t>107).</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27</w:t>
      </w:r>
      <w:r>
        <w:rPr>
          <w:noProof/>
        </w:rPr>
        <w:fldChar w:fldCharType="end"/>
      </w:r>
      <w:r w:rsidR="002E17CC">
        <w:t>.  Следователно, предвид горните съображения Съдът не може да стигне д</w:t>
      </w:r>
      <w:r w:rsidR="00247528">
        <w:t>о заключение, че продължителните</w:t>
      </w:r>
      <w:r w:rsidR="002E17CC">
        <w:t xml:space="preserve"> о</w:t>
      </w:r>
      <w:r w:rsidR="0020254B">
        <w:t>безпечителни мерки</w:t>
      </w:r>
      <w:r w:rsidR="002E17CC">
        <w:t xml:space="preserve"> </w:t>
      </w:r>
      <w:r w:rsidR="0020254B">
        <w:t>върху</w:t>
      </w:r>
      <w:r w:rsidR="002E17CC">
        <w:t xml:space="preserve"> активите на жалбоподателите е нарушило изискванията на </w:t>
      </w:r>
      <w:r w:rsidR="00C66B95">
        <w:t>член </w:t>
      </w:r>
      <w:r w:rsidR="002E17CC">
        <w:t>1 от Протокол № 1.</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28</w:t>
      </w:r>
      <w:r>
        <w:rPr>
          <w:noProof/>
        </w:rPr>
        <w:fldChar w:fldCharType="end"/>
      </w:r>
      <w:r w:rsidR="002E17CC">
        <w:t xml:space="preserve">.  Следва също така да се отбележи, че ако ограниченията, от които се оплакват жалбоподателите, в крайна сметка се окажат необосновани, а именно ако производството срещу първия жалбоподател не доведе до осъдителна присъда или евентуалният иск за отнемане в крайна сметка бъде отхвърлен, жалбоподателите по принцип ще имат право да търсят обезщетение на национално </w:t>
      </w:r>
      <w:r w:rsidR="00B911AE">
        <w:t>ниво</w:t>
      </w:r>
      <w:r w:rsidR="002E17CC">
        <w:t xml:space="preserve"> (вж. </w:t>
      </w:r>
      <w:r w:rsidR="002E17CC">
        <w:rPr>
          <w:i/>
          <w:iCs/>
        </w:rPr>
        <w:t>Недялков и други срещу България</w:t>
      </w:r>
      <w:r w:rsidR="002E17CC">
        <w:t xml:space="preserve"> (реш.), № 663/11, §</w:t>
      </w:r>
      <w:r w:rsidR="00C66B95">
        <w:t>§ </w:t>
      </w:r>
      <w:r w:rsidR="002E17CC">
        <w:t>91-100, 10 септември 2013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29</w:t>
      </w:r>
      <w:r>
        <w:rPr>
          <w:noProof/>
        </w:rPr>
        <w:fldChar w:fldCharType="end"/>
      </w:r>
      <w:r w:rsidR="002E17CC">
        <w:t>.  </w:t>
      </w:r>
      <w:r w:rsidR="00B911AE">
        <w:t>Следователно разглежданото оплакване е явно необосновано и трябва да бъде отхвърлено</w:t>
      </w:r>
      <w:r w:rsidR="002E17CC">
        <w:t xml:space="preserve"> в съответствие с </w:t>
      </w:r>
      <w:r w:rsidR="00C66B95">
        <w:t>член </w:t>
      </w:r>
      <w:r w:rsidR="002E17CC">
        <w:t>35 §</w:t>
      </w:r>
      <w:r w:rsidR="00C66B95">
        <w:t>§ </w:t>
      </w:r>
      <w:r w:rsidR="002E17CC">
        <w:t>3, буква а) и 4 от Конвенцията.</w:t>
      </w:r>
    </w:p>
    <w:p w:rsidR="00685E80" w:rsidRPr="00845CC1" w:rsidRDefault="002E17CC" w:rsidP="00845CC1">
      <w:pPr>
        <w:pStyle w:val="JuHHead"/>
      </w:pPr>
      <w:r>
        <w:rPr>
          <w:caps w:val="0"/>
        </w:rPr>
        <w:t xml:space="preserve">ПРИЛОЖЕНИЕ НА </w:t>
      </w:r>
      <w:r w:rsidR="00C66B95">
        <w:rPr>
          <w:caps w:val="0"/>
        </w:rPr>
        <w:t>ЧЛЕН </w:t>
      </w:r>
      <w:r>
        <w:rPr>
          <w:caps w:val="0"/>
        </w:rPr>
        <w:t>41 ОТ КОНВЕНЦИЯТА</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30</w:t>
      </w:r>
      <w:r>
        <w:rPr>
          <w:noProof/>
        </w:rPr>
        <w:fldChar w:fldCharType="end"/>
      </w:r>
      <w:r w:rsidR="00B911AE">
        <w:t>.  Съдът установи</w:t>
      </w:r>
      <w:r w:rsidR="002E17CC">
        <w:t xml:space="preserve"> нарушения на правата на първия жалбоподател по </w:t>
      </w:r>
      <w:r w:rsidR="00C66B95">
        <w:t>член </w:t>
      </w:r>
      <w:r w:rsidR="002E17CC">
        <w:t xml:space="preserve">5 </w:t>
      </w:r>
      <w:r w:rsidR="00C66B95">
        <w:t>§ </w:t>
      </w:r>
      <w:r w:rsidR="002E17CC">
        <w:t xml:space="preserve">3 и </w:t>
      </w:r>
      <w:r w:rsidR="00C66B95">
        <w:t>член </w:t>
      </w:r>
      <w:r w:rsidR="002E17CC">
        <w:t xml:space="preserve">5 </w:t>
      </w:r>
      <w:r w:rsidR="00C66B95">
        <w:t>§ </w:t>
      </w:r>
      <w:r w:rsidR="002E17CC">
        <w:t xml:space="preserve">5 от Конвенцията. Поради това той ще разгледа само </w:t>
      </w:r>
      <w:r w:rsidR="00867D93">
        <w:t>исковете</w:t>
      </w:r>
      <w:r w:rsidR="002E17CC">
        <w:t>, свързани с тези нарушения.</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31</w:t>
      </w:r>
      <w:r>
        <w:rPr>
          <w:noProof/>
        </w:rPr>
        <w:fldChar w:fldCharType="end"/>
      </w:r>
      <w:r w:rsidR="002E17CC">
        <w:t>.  Първият жалбоподател претендира 448 900 евро за неимуществени вреди. Правителството оспорва претенцията. Съдът, отсъждайки по справедливост, присъжда на ищеца 2 300 евро за неимуществени вреди, плюс всички данъци, които могат да му бъдат начислени.</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32</w:t>
      </w:r>
      <w:r>
        <w:rPr>
          <w:noProof/>
        </w:rPr>
        <w:fldChar w:fldCharType="end"/>
      </w:r>
      <w:r w:rsidR="002E17CC">
        <w:t>.  Що се отнася до разходите и разноските, тримата жалбоподатели претендират за 5 089 евро за процесуалното си представителство пред Съда и за пощенски разходи и писмени преводи. Те представят договори и фактури. Като има предвид естеството на делото, документите, с които разполага, и факта, че е отхвърлил част от жалбата като недопустима, Съдът счита за разумно да присъди на първия жалбоподател 2 000 евро, покриващи разходите по всички позиции. Към тях се включва и всеки данък, който може да бъде начислен на първия жалбоподател.</w:t>
      </w:r>
    </w:p>
    <w:p w:rsidR="00685E80" w:rsidRPr="00845CC1" w:rsidRDefault="002E17CC" w:rsidP="00845CC1">
      <w:pPr>
        <w:pStyle w:val="JuHHead"/>
      </w:pPr>
      <w:r>
        <w:t>ПО ТЕЗИ СЪОБРАЖЕНИЯ СЪДЪТ ЕДИНОДУШНО</w:t>
      </w:r>
    </w:p>
    <w:p w:rsidR="00685E80" w:rsidRPr="00845CC1" w:rsidRDefault="002E17CC" w:rsidP="00845CC1">
      <w:pPr>
        <w:pStyle w:val="JuList"/>
      </w:pPr>
      <w:r>
        <w:rPr>
          <w:i/>
          <w:iCs/>
        </w:rPr>
        <w:t>Обявява</w:t>
      </w:r>
      <w:r>
        <w:t xml:space="preserve"> оплакванията на първия жалбоподател, г-н И. Славков, по </w:t>
      </w:r>
      <w:r w:rsidR="00C66B95">
        <w:t>член </w:t>
      </w:r>
      <w:r>
        <w:t>5 §</w:t>
      </w:r>
      <w:r w:rsidR="00C66B95">
        <w:t>§ </w:t>
      </w:r>
      <w:r>
        <w:t>3 и 5 от Конвенцията за допустими, а останалата част от жалбата за недопустима;</w:t>
      </w:r>
    </w:p>
    <w:p w:rsidR="00685E80" w:rsidRPr="00845CC1" w:rsidRDefault="002E17CC" w:rsidP="00845CC1">
      <w:pPr>
        <w:pStyle w:val="JuList"/>
      </w:pPr>
      <w:r>
        <w:rPr>
          <w:i/>
          <w:iCs/>
        </w:rPr>
        <w:t>Отсъжда</w:t>
      </w:r>
      <w:r>
        <w:t xml:space="preserve">, че е налице нарушение на </w:t>
      </w:r>
      <w:r w:rsidR="00C66B95">
        <w:t>член </w:t>
      </w:r>
      <w:r>
        <w:t xml:space="preserve">5 </w:t>
      </w:r>
      <w:r w:rsidR="00C66B95">
        <w:t>§ </w:t>
      </w:r>
      <w:r>
        <w:t>3 от Конвенцията;</w:t>
      </w:r>
    </w:p>
    <w:p w:rsidR="00685E80" w:rsidRPr="00845CC1" w:rsidRDefault="002E17CC" w:rsidP="00845CC1">
      <w:pPr>
        <w:pStyle w:val="JuList"/>
      </w:pPr>
      <w:r>
        <w:rPr>
          <w:i/>
          <w:iCs/>
        </w:rPr>
        <w:t>Отсъжда</w:t>
      </w:r>
      <w:r>
        <w:t xml:space="preserve">, че е налице нарушение на </w:t>
      </w:r>
      <w:r w:rsidR="00C66B95">
        <w:t>член </w:t>
      </w:r>
      <w:r>
        <w:t xml:space="preserve">5 </w:t>
      </w:r>
      <w:r w:rsidR="00C66B95">
        <w:t>§ </w:t>
      </w:r>
      <w:r>
        <w:t>5 от Конвенцията;</w:t>
      </w:r>
    </w:p>
    <w:p w:rsidR="00685E80" w:rsidRPr="00845CC1" w:rsidRDefault="002E17CC" w:rsidP="00845CC1">
      <w:pPr>
        <w:pStyle w:val="JuList"/>
      </w:pPr>
      <w:r>
        <w:rPr>
          <w:i/>
        </w:rPr>
        <w:t>Отсъжда,</w:t>
      </w:r>
    </w:p>
    <w:p w:rsidR="00685E80" w:rsidRPr="00845CC1" w:rsidRDefault="002E17CC" w:rsidP="00ED5B4A">
      <w:pPr>
        <w:pStyle w:val="JuLista"/>
        <w:numPr>
          <w:ilvl w:val="0"/>
          <w:numId w:val="22"/>
        </w:numPr>
        <w:ind w:left="709" w:hanging="369"/>
      </w:pPr>
      <w:r>
        <w:t>държавата ответник да заплати на г-н И. Славков в рамките на три месеца следните суми, които да бъдат конвертирани във валутата на държавата ответник по курса, приложим към датата на изплащането им:</w:t>
      </w:r>
    </w:p>
    <w:p w:rsidR="00685E80" w:rsidRPr="00845CC1" w:rsidRDefault="002E17CC" w:rsidP="00845CC1">
      <w:pPr>
        <w:pStyle w:val="JuListi"/>
        <w:numPr>
          <w:ilvl w:val="2"/>
          <w:numId w:val="1"/>
        </w:numPr>
      </w:pPr>
      <w:r>
        <w:t>2300 EUR (две хиляди и триста евро), плюс всички данъци, които могат да бъдат начислени, за неимуществени вреди;</w:t>
      </w:r>
    </w:p>
    <w:p w:rsidR="00685E80" w:rsidRPr="00845CC1" w:rsidRDefault="002E17CC" w:rsidP="00845CC1">
      <w:pPr>
        <w:pStyle w:val="JuListi"/>
        <w:numPr>
          <w:ilvl w:val="2"/>
          <w:numId w:val="1"/>
        </w:numPr>
      </w:pPr>
      <w:r>
        <w:t>2 000 EUR (две хиляди евро), плюс всички данъци, които могат да бъдат начислени на жалбоподателя, за разходи и разноски;</w:t>
      </w:r>
    </w:p>
    <w:p w:rsidR="00685E80" w:rsidRPr="00845CC1" w:rsidRDefault="002E17CC" w:rsidP="00ED5B4A">
      <w:pPr>
        <w:pStyle w:val="JuLista"/>
        <w:numPr>
          <w:ilvl w:val="0"/>
          <w:numId w:val="22"/>
        </w:numPr>
        <w:ind w:left="709" w:hanging="369"/>
      </w:pPr>
      <w:r>
        <w:t>че от изтичането на упоменатия по-горе тримесечен срок до плащането се дължи проста лихва върху горепосочената сума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rsidR="004D0EC7" w:rsidRPr="00845CC1" w:rsidRDefault="002E17CC" w:rsidP="00845CC1">
      <w:pPr>
        <w:pStyle w:val="JuList"/>
      </w:pPr>
      <w:r>
        <w:rPr>
          <w:i/>
          <w:iCs/>
        </w:rPr>
        <w:t>Отхвърля</w:t>
      </w:r>
      <w:r>
        <w:t xml:space="preserve"> останалата част от исканията за справедливо обезщетение.</w:t>
      </w:r>
    </w:p>
    <w:p w:rsidR="008E3A08" w:rsidRPr="00845CC1" w:rsidRDefault="002E17CC" w:rsidP="00845CC1">
      <w:pPr>
        <w:pStyle w:val="JuParaLast"/>
      </w:pPr>
      <w:r>
        <w:t>Изготвено на английски език и оповестено писмено на 17 октомври 2023 г., в с</w:t>
      </w:r>
      <w:r w:rsidR="009B5488">
        <w:t>ъответствие с Правило</w:t>
      </w:r>
      <w:r w:rsidR="006A38FB">
        <w:t xml:space="preserve"> 77, алинеи</w:t>
      </w:r>
      <w:r>
        <w:t xml:space="preserve"> 2 и 3 от Правилника на Съда.</w:t>
      </w:r>
    </w:p>
    <w:p w:rsidR="00675AF2" w:rsidRPr="00845CC1" w:rsidRDefault="002E17CC" w:rsidP="00845CC1">
      <w:pPr>
        <w:pStyle w:val="JuSigned"/>
      </w:pPr>
      <w:r>
        <w:tab/>
        <w:t>Олга Чернишова</w:t>
      </w:r>
      <w:r>
        <w:tab/>
        <w:t>Ioannis Ktistakis (Йоан</w:t>
      </w:r>
      <w:r w:rsidR="00464DB3">
        <w:t>н</w:t>
      </w:r>
      <w:r>
        <w:t>ис Ктистакис)</w:t>
      </w:r>
      <w:r>
        <w:br/>
      </w:r>
      <w:r>
        <w:tab/>
        <w:t>Заместник-секретар</w:t>
      </w:r>
      <w:r>
        <w:tab/>
        <w:t>Председател</w:t>
      </w:r>
    </w:p>
    <w:p w:rsidR="00685E80" w:rsidRPr="00845CC1" w:rsidRDefault="00685E80" w:rsidP="00845CC1">
      <w:pPr>
        <w:rPr>
          <w:noProof/>
          <w:color w:val="000000"/>
        </w:rPr>
      </w:pPr>
    </w:p>
    <w:p w:rsidR="00685E80" w:rsidRPr="00845CC1" w:rsidRDefault="00685E80" w:rsidP="00845CC1">
      <w:pPr>
        <w:rPr>
          <w:noProof/>
          <w:color w:val="000000"/>
        </w:rPr>
        <w:sectPr w:rsidR="00685E80" w:rsidRPr="00845CC1"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rsidR="00685E80" w:rsidRPr="00845CC1" w:rsidRDefault="002E17CC" w:rsidP="00845CC1">
      <w:pPr>
        <w:pStyle w:val="DecHTitle"/>
        <w:rPr>
          <w:noProof/>
        </w:rPr>
      </w:pPr>
      <w:r>
        <w:t>ПРИЛОЖЕНИЕ</w:t>
      </w:r>
    </w:p>
    <w:p w:rsidR="00685E80" w:rsidRPr="00845CC1" w:rsidRDefault="002E17CC" w:rsidP="00845CC1">
      <w:pPr>
        <w:pStyle w:val="DecHCase"/>
        <w:keepNext w:val="0"/>
        <w:keepLines w:val="0"/>
        <w:jc w:val="left"/>
        <w:rPr>
          <w:rFonts w:ascii="Times New Roman" w:hAnsi="Times New Roman" w:cs="Times New Roman"/>
        </w:rPr>
      </w:pPr>
      <w:r>
        <w:rPr>
          <w:rFonts w:ascii="Times New Roman" w:hAnsi="Times New Roman"/>
        </w:rPr>
        <w:t>Списък на жалбоподателите:</w:t>
      </w:r>
    </w:p>
    <w:tbl>
      <w:tblPr>
        <w:tblStyle w:val="ECHRListTable"/>
        <w:tblW w:w="5595" w:type="pct"/>
        <w:tblInd w:w="-147" w:type="dxa"/>
        <w:tblLook w:val="0420" w:firstRow="1" w:lastRow="0" w:firstColumn="0" w:lastColumn="0" w:noHBand="0" w:noVBand="1"/>
      </w:tblPr>
      <w:tblGrid>
        <w:gridCol w:w="509"/>
        <w:gridCol w:w="2354"/>
        <w:gridCol w:w="1643"/>
        <w:gridCol w:w="1650"/>
        <w:gridCol w:w="2066"/>
      </w:tblGrid>
      <w:tr w:rsidR="0010077C" w:rsidTr="0010077C">
        <w:trPr>
          <w:cnfStyle w:val="100000000000" w:firstRow="1" w:lastRow="0" w:firstColumn="0" w:lastColumn="0" w:oddVBand="0" w:evenVBand="0" w:oddHBand="0" w:evenHBand="0" w:firstRowFirstColumn="0" w:firstRowLastColumn="0" w:lastRowFirstColumn="0" w:lastRowLastColumn="0"/>
        </w:trPr>
        <w:tc>
          <w:tcPr>
            <w:tcW w:w="345" w:type="pct"/>
          </w:tcPr>
          <w:p w:rsidR="00685E80" w:rsidRPr="00845CC1" w:rsidRDefault="002E17CC" w:rsidP="00845CC1">
            <w:pPr>
              <w:rPr>
                <w:rFonts w:eastAsia="Times New Roman"/>
              </w:rPr>
            </w:pPr>
            <w:r>
              <w:t>№</w:t>
            </w:r>
          </w:p>
        </w:tc>
        <w:tc>
          <w:tcPr>
            <w:tcW w:w="1466" w:type="pct"/>
          </w:tcPr>
          <w:p w:rsidR="00685E80" w:rsidRPr="00845CC1" w:rsidRDefault="002E17CC" w:rsidP="00845CC1">
            <w:pPr>
              <w:rPr>
                <w:rFonts w:eastAsia="Times New Roman"/>
              </w:rPr>
            </w:pPr>
            <w:r>
              <w:t>Име на жалбоподателя</w:t>
            </w:r>
          </w:p>
        </w:tc>
        <w:tc>
          <w:tcPr>
            <w:tcW w:w="1034" w:type="pct"/>
          </w:tcPr>
          <w:p w:rsidR="00685E80" w:rsidRPr="00845CC1" w:rsidRDefault="002E17CC" w:rsidP="00845CC1">
            <w:pPr>
              <w:rPr>
                <w:rFonts w:eastAsia="Times New Roman"/>
              </w:rPr>
            </w:pPr>
            <w:r>
              <w:t>Година на раждане</w:t>
            </w:r>
          </w:p>
        </w:tc>
        <w:tc>
          <w:tcPr>
            <w:tcW w:w="864" w:type="pct"/>
          </w:tcPr>
          <w:p w:rsidR="00685E80" w:rsidRPr="00845CC1" w:rsidRDefault="002E17CC" w:rsidP="00845CC1">
            <w:pPr>
              <w:rPr>
                <w:rFonts w:eastAsia="Times New Roman"/>
              </w:rPr>
            </w:pPr>
            <w:r>
              <w:t>Гражданство</w:t>
            </w:r>
          </w:p>
        </w:tc>
        <w:tc>
          <w:tcPr>
            <w:tcW w:w="1291" w:type="pct"/>
          </w:tcPr>
          <w:p w:rsidR="00685E80" w:rsidRPr="00845CC1" w:rsidRDefault="002E17CC" w:rsidP="00845CC1">
            <w:pPr>
              <w:rPr>
                <w:rFonts w:eastAsia="Times New Roman"/>
              </w:rPr>
            </w:pPr>
            <w:r>
              <w:t>Място на пребиваване/ адрес по регистрация</w:t>
            </w:r>
          </w:p>
        </w:tc>
      </w:tr>
      <w:tr w:rsidR="0010077C" w:rsidTr="0010077C">
        <w:tc>
          <w:tcPr>
            <w:tcW w:w="345" w:type="pct"/>
          </w:tcPr>
          <w:p w:rsidR="00685E80" w:rsidRPr="00845CC1" w:rsidRDefault="002E17CC" w:rsidP="00845CC1">
            <w:pPr>
              <w:rPr>
                <w:rFonts w:eastAsia="Times New Roman"/>
              </w:rPr>
            </w:pPr>
            <w:r>
              <w:t>1.</w:t>
            </w:r>
          </w:p>
        </w:tc>
        <w:tc>
          <w:tcPr>
            <w:tcW w:w="1466" w:type="pct"/>
          </w:tcPr>
          <w:p w:rsidR="00685E80" w:rsidRPr="00845CC1" w:rsidRDefault="002E17CC" w:rsidP="00845CC1">
            <w:pPr>
              <w:rPr>
                <w:rFonts w:eastAsia="Times New Roman"/>
              </w:rPr>
            </w:pPr>
            <w:r>
              <w:t>Иван Стоянов СЛАВКОВ</w:t>
            </w:r>
          </w:p>
        </w:tc>
        <w:tc>
          <w:tcPr>
            <w:tcW w:w="1034" w:type="pct"/>
          </w:tcPr>
          <w:p w:rsidR="00685E80" w:rsidRPr="00845CC1" w:rsidRDefault="002E17CC" w:rsidP="00845CC1">
            <w:pPr>
              <w:rPr>
                <w:rFonts w:eastAsia="Times New Roman"/>
              </w:rPr>
            </w:pPr>
            <w:r>
              <w:t>1967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r w:rsidR="0010077C" w:rsidTr="0010077C">
        <w:tc>
          <w:tcPr>
            <w:tcW w:w="345" w:type="pct"/>
          </w:tcPr>
          <w:p w:rsidR="00685E80" w:rsidRPr="00845CC1" w:rsidRDefault="002E17CC" w:rsidP="00845CC1">
            <w:pPr>
              <w:rPr>
                <w:rFonts w:eastAsia="Times New Roman"/>
              </w:rPr>
            </w:pPr>
            <w:r>
              <w:t>2.</w:t>
            </w:r>
          </w:p>
        </w:tc>
        <w:tc>
          <w:tcPr>
            <w:tcW w:w="1466" w:type="pct"/>
          </w:tcPr>
          <w:p w:rsidR="00685E80" w:rsidRPr="00845CC1" w:rsidRDefault="002E17CC" w:rsidP="00845CC1">
            <w:pPr>
              <w:rPr>
                <w:rFonts w:eastAsia="Times New Roman"/>
              </w:rPr>
            </w:pPr>
            <w:r>
              <w:t>Емел Неждет СЛАВКОВА</w:t>
            </w:r>
          </w:p>
        </w:tc>
        <w:tc>
          <w:tcPr>
            <w:tcW w:w="1034" w:type="pct"/>
          </w:tcPr>
          <w:p w:rsidR="00685E80" w:rsidRPr="00845CC1" w:rsidRDefault="002E17CC" w:rsidP="00845CC1">
            <w:pPr>
              <w:rPr>
                <w:rFonts w:eastAsia="Times New Roman"/>
              </w:rPr>
            </w:pPr>
            <w:r>
              <w:t>1971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r w:rsidR="0010077C" w:rsidTr="0010077C">
        <w:tc>
          <w:tcPr>
            <w:tcW w:w="345" w:type="pct"/>
          </w:tcPr>
          <w:p w:rsidR="00685E80" w:rsidRPr="00845CC1" w:rsidRDefault="002E17CC" w:rsidP="00845CC1">
            <w:pPr>
              <w:rPr>
                <w:rFonts w:eastAsia="Times New Roman"/>
              </w:rPr>
            </w:pPr>
            <w:r>
              <w:t>3.</w:t>
            </w:r>
          </w:p>
        </w:tc>
        <w:tc>
          <w:tcPr>
            <w:tcW w:w="1466" w:type="pct"/>
          </w:tcPr>
          <w:p w:rsidR="00685E80" w:rsidRPr="00845CC1" w:rsidRDefault="002E17CC" w:rsidP="00845CC1">
            <w:pPr>
              <w:rPr>
                <w:rFonts w:eastAsia="Times New Roman"/>
              </w:rPr>
            </w:pPr>
            <w:r>
              <w:t>БАРЕТ АУТО ООД</w:t>
            </w:r>
          </w:p>
        </w:tc>
        <w:tc>
          <w:tcPr>
            <w:tcW w:w="1034" w:type="pct"/>
          </w:tcPr>
          <w:p w:rsidR="00685E80" w:rsidRPr="00845CC1" w:rsidRDefault="002E17CC" w:rsidP="00845CC1">
            <w:pPr>
              <w:rPr>
                <w:rFonts w:eastAsia="Times New Roman"/>
              </w:rPr>
            </w:pPr>
            <w:r>
              <w:t>2003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bl>
    <w:p w:rsidR="00685E80" w:rsidRPr="00845CC1" w:rsidRDefault="00685E80" w:rsidP="00845CC1">
      <w:pPr>
        <w:rPr>
          <w:rFonts w:ascii="Times New Roman" w:hAnsi="Times New Roman" w:cs="Times New Roman"/>
        </w:rPr>
      </w:pPr>
    </w:p>
    <w:sectPr w:rsidR="00685E80" w:rsidRPr="00845CC1" w:rsidSect="00424E84">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77" w:rsidRDefault="006C1977">
      <w:r>
        <w:separator/>
      </w:r>
    </w:p>
  </w:endnote>
  <w:endnote w:type="continuationSeparator" w:id="0">
    <w:p w:rsidR="006C1977" w:rsidRDefault="006C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150BFA" w:rsidRDefault="002E17CC" w:rsidP="0020718E">
    <w:pPr>
      <w:jc w:val="center"/>
    </w:pPr>
    <w:r>
      <w:rPr>
        <w:noProof/>
        <w:lang w:eastAsia="bg-BG"/>
      </w:rPr>
      <w:drawing>
        <wp:inline distT="0" distB="0" distL="0" distR="0" wp14:anchorId="3AFF9666" wp14:editId="7A399ABF">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685E80"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150BFA" w:rsidRDefault="002E17CC" w:rsidP="0020718E">
    <w:pPr>
      <w:jc w:val="center"/>
    </w:pPr>
    <w:r>
      <w:rPr>
        <w:noProof/>
        <w:lang w:eastAsia="bg-BG"/>
      </w:rPr>
      <w:drawing>
        <wp:inline distT="0" distB="0" distL="0" distR="0" wp14:anchorId="094D9773" wp14:editId="00B7D067">
          <wp:extent cx="771525" cy="619125"/>
          <wp:effectExtent l="0" t="0" r="9525" b="9525"/>
          <wp:docPr id="51" name="Picture 5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685E80"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Default="002E17CC" w:rsidP="009A115C">
    <w:pPr>
      <w:pStyle w:val="JuHeader"/>
    </w:pPr>
    <w:r>
      <w:rPr>
        <w:rStyle w:val="PageNumber"/>
      </w:rPr>
      <w:fldChar w:fldCharType="begin"/>
    </w:r>
    <w:r>
      <w:rPr>
        <w:rStyle w:val="PageNumber"/>
      </w:rPr>
      <w:instrText xml:space="preserve"> PAGE </w:instrText>
    </w:r>
    <w:r>
      <w:rPr>
        <w:rStyle w:val="PageNumber"/>
      </w:rPr>
      <w:fldChar w:fldCharType="separate"/>
    </w:r>
    <w:r w:rsidR="00893D55">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0B7195" w:rsidRDefault="002E17CC" w:rsidP="007D3701">
    <w:pPr>
      <w:pStyle w:val="JuHeader"/>
    </w:pPr>
    <w:r>
      <w:fldChar w:fldCharType="begin"/>
    </w:r>
    <w:r>
      <w:instrText xml:space="preserve"> PAGE </w:instrText>
    </w:r>
    <w:r>
      <w:fldChar w:fldCharType="separate"/>
    </w:r>
    <w:r w:rsidR="00893D55">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2E17CC" w:rsidP="009A115C">
    <w:pPr>
      <w:pStyle w:val="JuHeader"/>
    </w:pPr>
    <w:r>
      <w:rPr>
        <w:rStyle w:val="PageNumber"/>
      </w:rPr>
      <w:fldChar w:fldCharType="begin"/>
    </w:r>
    <w:r>
      <w:rPr>
        <w:rStyle w:val="PageNumber"/>
      </w:rPr>
      <w:instrText xml:space="preserve"> PAGE </w:instrText>
    </w:r>
    <w:r>
      <w:rPr>
        <w:rStyle w:val="PageNumber"/>
      </w:rPr>
      <w:fldChar w:fldCharType="separate"/>
    </w:r>
    <w:r w:rsidR="00324724">
      <w:rPr>
        <w:rStyle w:val="PageNumber"/>
      </w:rPr>
      <w:t>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2E17CC" w:rsidP="007D3701">
    <w:pPr>
      <w:pStyle w:val="JuHeader"/>
    </w:pPr>
    <w:r>
      <w:fldChar w:fldCharType="begin"/>
    </w:r>
    <w:r>
      <w:instrText xml:space="preserve"> PAGE </w:instrText>
    </w:r>
    <w:r>
      <w:fldChar w:fldCharType="separate"/>
    </w:r>
    <w:r w:rsidR="00893D55">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77" w:rsidRDefault="006C1977">
      <w:r>
        <w:separator/>
      </w:r>
    </w:p>
  </w:footnote>
  <w:footnote w:type="continuationSeparator" w:id="0">
    <w:p w:rsidR="006C1977" w:rsidRDefault="006C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A45145" w:rsidRDefault="002E17CC" w:rsidP="00A45145">
    <w:pPr>
      <w:jc w:val="center"/>
    </w:pPr>
    <w:r>
      <w:rPr>
        <w:noProof/>
        <w:lang w:eastAsia="bg-BG"/>
      </w:rPr>
      <w:drawing>
        <wp:inline distT="0" distB="0" distL="0" distR="0" wp14:anchorId="009ED364" wp14:editId="6820523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685E80"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A45145" w:rsidRDefault="002E17CC" w:rsidP="00A45145">
    <w:pPr>
      <w:jc w:val="center"/>
    </w:pPr>
    <w:r>
      <w:rPr>
        <w:noProof/>
        <w:lang w:eastAsia="bg-BG"/>
      </w:rPr>
      <w:drawing>
        <wp:inline distT="0" distB="0" distL="0" distR="0" wp14:anchorId="0EF28D79" wp14:editId="0A2A06A5">
          <wp:extent cx="2962275" cy="1219200"/>
          <wp:effectExtent l="0" t="0" r="9525" b="0"/>
          <wp:docPr id="45" name="Picture 4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685E80"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4D0EC7" w:rsidRDefault="002E17CC" w:rsidP="004D0EC7">
    <w:pPr>
      <w:pStyle w:val="JuHeader"/>
    </w:pPr>
    <w:r>
      <w:t>РЕШЕНИЕ СЛАВКОВ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882CD5" w:rsidRDefault="002E17CC" w:rsidP="007D3701">
    <w:pPr>
      <w:pStyle w:val="JuHeader"/>
    </w:pPr>
    <w:r>
      <w:t>РЕШЕНИЕ СЛАВКОВ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2E17CC" w:rsidP="004D0EC7">
    <w:pPr>
      <w:pStyle w:val="JuHeader"/>
    </w:pPr>
    <w:r>
      <w:t>РЕШЕНИЕ СЛАВКОВ И ДРУГИ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2E17CC" w:rsidP="007D3701">
    <w:pPr>
      <w:pStyle w:val="JuHeader"/>
    </w:pPr>
    <w:r>
      <w:t>РЕШЕНИЕ СЛАВКОВ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0D107B0"/>
    <w:multiLevelType w:val="hybridMultilevel"/>
    <w:tmpl w:val="47F62F50"/>
    <w:lvl w:ilvl="0" w:tplc="2B6AC9A8">
      <w:start w:val="1"/>
      <mc:AlternateContent>
        <mc:Choice Requires="w14">
          <w:numFmt w:val="custom" w:format="а, й, к, ..."/>
        </mc:Choice>
        <mc:Fallback>
          <w:numFmt w:val="decimal"/>
        </mc:Fallback>
      </mc:AlternateContent>
      <w:lvlText w:val="%1)"/>
      <w:lvlJc w:val="left"/>
      <w:pPr>
        <w:ind w:left="1060" w:hanging="360"/>
      </w:pPr>
      <w:rPr>
        <w:rFonts w:hint="default"/>
        <w:spacing w:val="-1"/>
        <w:w w:val="99"/>
        <w:sz w:val="24"/>
        <w:szCs w:val="24"/>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15:restartNumberingAfterBreak="0">
    <w:nsid w:val="67FD1241"/>
    <w:multiLevelType w:val="hybridMultilevel"/>
    <w:tmpl w:val="F6D86CC2"/>
    <w:lvl w:ilvl="0" w:tplc="52249CB6">
      <w:start w:val="1"/>
      <w:numFmt w:val="bullet"/>
      <w:pStyle w:val="ListBullet"/>
      <w:lvlText w:val=""/>
      <w:lvlJc w:val="left"/>
      <w:pPr>
        <w:tabs>
          <w:tab w:val="num" w:pos="851"/>
        </w:tabs>
        <w:ind w:left="568" w:firstLine="0"/>
      </w:pPr>
      <w:rPr>
        <w:rFonts w:ascii="Wingdings" w:hAnsi="Wingdings" w:hint="default"/>
        <w:color w:val="808080"/>
        <w:sz w:val="16"/>
      </w:rPr>
    </w:lvl>
    <w:lvl w:ilvl="1" w:tplc="9648CBE8" w:tentative="1">
      <w:start w:val="1"/>
      <w:numFmt w:val="bullet"/>
      <w:lvlText w:val="o"/>
      <w:lvlJc w:val="left"/>
      <w:pPr>
        <w:tabs>
          <w:tab w:val="num" w:pos="1724"/>
        </w:tabs>
        <w:ind w:left="1724" w:hanging="360"/>
      </w:pPr>
      <w:rPr>
        <w:rFonts w:ascii="Courier New" w:hAnsi="Courier New" w:cs="Courier New" w:hint="default"/>
      </w:rPr>
    </w:lvl>
    <w:lvl w:ilvl="2" w:tplc="FFE21F7E" w:tentative="1">
      <w:start w:val="1"/>
      <w:numFmt w:val="bullet"/>
      <w:lvlText w:val=""/>
      <w:lvlJc w:val="left"/>
      <w:pPr>
        <w:tabs>
          <w:tab w:val="num" w:pos="2444"/>
        </w:tabs>
        <w:ind w:left="2444" w:hanging="360"/>
      </w:pPr>
      <w:rPr>
        <w:rFonts w:ascii="Wingdings" w:hAnsi="Wingdings" w:hint="default"/>
      </w:rPr>
    </w:lvl>
    <w:lvl w:ilvl="3" w:tplc="8200C9F8" w:tentative="1">
      <w:start w:val="1"/>
      <w:numFmt w:val="bullet"/>
      <w:lvlText w:val=""/>
      <w:lvlJc w:val="left"/>
      <w:pPr>
        <w:tabs>
          <w:tab w:val="num" w:pos="3164"/>
        </w:tabs>
        <w:ind w:left="3164" w:hanging="360"/>
      </w:pPr>
      <w:rPr>
        <w:rFonts w:ascii="Symbol" w:hAnsi="Symbol" w:hint="default"/>
      </w:rPr>
    </w:lvl>
    <w:lvl w:ilvl="4" w:tplc="B6406184" w:tentative="1">
      <w:start w:val="1"/>
      <w:numFmt w:val="bullet"/>
      <w:lvlText w:val="o"/>
      <w:lvlJc w:val="left"/>
      <w:pPr>
        <w:tabs>
          <w:tab w:val="num" w:pos="3884"/>
        </w:tabs>
        <w:ind w:left="3884" w:hanging="360"/>
      </w:pPr>
      <w:rPr>
        <w:rFonts w:ascii="Courier New" w:hAnsi="Courier New" w:cs="Courier New" w:hint="default"/>
      </w:rPr>
    </w:lvl>
    <w:lvl w:ilvl="5" w:tplc="74D6CC68" w:tentative="1">
      <w:start w:val="1"/>
      <w:numFmt w:val="bullet"/>
      <w:lvlText w:val=""/>
      <w:lvlJc w:val="left"/>
      <w:pPr>
        <w:tabs>
          <w:tab w:val="num" w:pos="4604"/>
        </w:tabs>
        <w:ind w:left="4604" w:hanging="360"/>
      </w:pPr>
      <w:rPr>
        <w:rFonts w:ascii="Wingdings" w:hAnsi="Wingdings" w:hint="default"/>
      </w:rPr>
    </w:lvl>
    <w:lvl w:ilvl="6" w:tplc="6C8A560E" w:tentative="1">
      <w:start w:val="1"/>
      <w:numFmt w:val="bullet"/>
      <w:lvlText w:val=""/>
      <w:lvlJc w:val="left"/>
      <w:pPr>
        <w:tabs>
          <w:tab w:val="num" w:pos="5324"/>
        </w:tabs>
        <w:ind w:left="5324" w:hanging="360"/>
      </w:pPr>
      <w:rPr>
        <w:rFonts w:ascii="Symbol" w:hAnsi="Symbol" w:hint="default"/>
      </w:rPr>
    </w:lvl>
    <w:lvl w:ilvl="7" w:tplc="B3AA2934" w:tentative="1">
      <w:start w:val="1"/>
      <w:numFmt w:val="bullet"/>
      <w:lvlText w:val="o"/>
      <w:lvlJc w:val="left"/>
      <w:pPr>
        <w:tabs>
          <w:tab w:val="num" w:pos="6044"/>
        </w:tabs>
        <w:ind w:left="6044" w:hanging="360"/>
      </w:pPr>
      <w:rPr>
        <w:rFonts w:ascii="Courier New" w:hAnsi="Courier New" w:cs="Courier New" w:hint="default"/>
      </w:rPr>
    </w:lvl>
    <w:lvl w:ilvl="8" w:tplc="20942A6A"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3"/>
    <w:docVar w:name="SignForeName" w:val="0"/>
    <w:docVar w:name="SndCaseNumber" w:val="Error!Nodocumentvariablesupplied."/>
  </w:docVars>
  <w:rsids>
    <w:rsidRoot w:val="00685E80"/>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560"/>
    <w:rsid w:val="000602DF"/>
    <w:rsid w:val="00061B05"/>
    <w:rsid w:val="000632D5"/>
    <w:rsid w:val="000644EE"/>
    <w:rsid w:val="000712E3"/>
    <w:rsid w:val="0007780A"/>
    <w:rsid w:val="00085457"/>
    <w:rsid w:val="000925AD"/>
    <w:rsid w:val="00096FE1"/>
    <w:rsid w:val="00097A62"/>
    <w:rsid w:val="000A24EB"/>
    <w:rsid w:val="000A277E"/>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077C"/>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56695"/>
    <w:rsid w:val="00162A12"/>
    <w:rsid w:val="00166530"/>
    <w:rsid w:val="0016766A"/>
    <w:rsid w:val="00170027"/>
    <w:rsid w:val="00170BBA"/>
    <w:rsid w:val="00182EBA"/>
    <w:rsid w:val="001832BD"/>
    <w:rsid w:val="001943B5"/>
    <w:rsid w:val="00195134"/>
    <w:rsid w:val="001A020C"/>
    <w:rsid w:val="001A145B"/>
    <w:rsid w:val="001A3E09"/>
    <w:rsid w:val="001A57B1"/>
    <w:rsid w:val="001A623E"/>
    <w:rsid w:val="001A674C"/>
    <w:rsid w:val="001B3B24"/>
    <w:rsid w:val="001B4F5C"/>
    <w:rsid w:val="001B7750"/>
    <w:rsid w:val="001C055B"/>
    <w:rsid w:val="001C0F98"/>
    <w:rsid w:val="001C2A42"/>
    <w:rsid w:val="001D63ED"/>
    <w:rsid w:val="001D7348"/>
    <w:rsid w:val="001E035B"/>
    <w:rsid w:val="001E0961"/>
    <w:rsid w:val="001E3EAE"/>
    <w:rsid w:val="001E6857"/>
    <w:rsid w:val="001E6F32"/>
    <w:rsid w:val="001F04FE"/>
    <w:rsid w:val="001F2145"/>
    <w:rsid w:val="001F6262"/>
    <w:rsid w:val="001F67B0"/>
    <w:rsid w:val="001F7B3D"/>
    <w:rsid w:val="00201DD9"/>
    <w:rsid w:val="0020254B"/>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47528"/>
    <w:rsid w:val="00252C4E"/>
    <w:rsid w:val="002532C5"/>
    <w:rsid w:val="0025358D"/>
    <w:rsid w:val="00254DF2"/>
    <w:rsid w:val="00260C03"/>
    <w:rsid w:val="0026439A"/>
    <w:rsid w:val="0026540E"/>
    <w:rsid w:val="00275123"/>
    <w:rsid w:val="00281B7C"/>
    <w:rsid w:val="00282240"/>
    <w:rsid w:val="00282BD8"/>
    <w:rsid w:val="0028617A"/>
    <w:rsid w:val="00287AD5"/>
    <w:rsid w:val="002934D0"/>
    <w:rsid w:val="00293676"/>
    <w:rsid w:val="00293BD9"/>
    <w:rsid w:val="002948AD"/>
    <w:rsid w:val="002A01CC"/>
    <w:rsid w:val="002A613A"/>
    <w:rsid w:val="002A61B1"/>
    <w:rsid w:val="002A663C"/>
    <w:rsid w:val="002B28B4"/>
    <w:rsid w:val="002B306E"/>
    <w:rsid w:val="002B444B"/>
    <w:rsid w:val="002B5887"/>
    <w:rsid w:val="002B5B43"/>
    <w:rsid w:val="002C0E27"/>
    <w:rsid w:val="002C3040"/>
    <w:rsid w:val="002C4433"/>
    <w:rsid w:val="002C5ADD"/>
    <w:rsid w:val="002C7826"/>
    <w:rsid w:val="002D022D"/>
    <w:rsid w:val="002D24BB"/>
    <w:rsid w:val="002D2FA7"/>
    <w:rsid w:val="002D47BA"/>
    <w:rsid w:val="002D77B9"/>
    <w:rsid w:val="002E17CC"/>
    <w:rsid w:val="002E46DA"/>
    <w:rsid w:val="002E7764"/>
    <w:rsid w:val="002F2AF7"/>
    <w:rsid w:val="002F69C4"/>
    <w:rsid w:val="002F7D9E"/>
    <w:rsid w:val="002F7E1C"/>
    <w:rsid w:val="00301A75"/>
    <w:rsid w:val="00302F70"/>
    <w:rsid w:val="0030336F"/>
    <w:rsid w:val="0030375E"/>
    <w:rsid w:val="00312A30"/>
    <w:rsid w:val="003201D8"/>
    <w:rsid w:val="00320F72"/>
    <w:rsid w:val="0032429F"/>
    <w:rsid w:val="0032463E"/>
    <w:rsid w:val="00324724"/>
    <w:rsid w:val="00326224"/>
    <w:rsid w:val="00330875"/>
    <w:rsid w:val="00337EE4"/>
    <w:rsid w:val="00340FFD"/>
    <w:rsid w:val="00345C41"/>
    <w:rsid w:val="003506B1"/>
    <w:rsid w:val="00355877"/>
    <w:rsid w:val="00356AC7"/>
    <w:rsid w:val="003609FA"/>
    <w:rsid w:val="003710C8"/>
    <w:rsid w:val="00372B0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4300"/>
    <w:rsid w:val="00414F27"/>
    <w:rsid w:val="00420703"/>
    <w:rsid w:val="00424E84"/>
    <w:rsid w:val="00425C67"/>
    <w:rsid w:val="00427E45"/>
    <w:rsid w:val="00427E7A"/>
    <w:rsid w:val="004355AC"/>
    <w:rsid w:val="00436C49"/>
    <w:rsid w:val="00443D98"/>
    <w:rsid w:val="00445366"/>
    <w:rsid w:val="00447F5B"/>
    <w:rsid w:val="00461DB0"/>
    <w:rsid w:val="00463926"/>
    <w:rsid w:val="00464AB7"/>
    <w:rsid w:val="00464C9A"/>
    <w:rsid w:val="00464DB3"/>
    <w:rsid w:val="00471053"/>
    <w:rsid w:val="00472B7E"/>
    <w:rsid w:val="00474F3D"/>
    <w:rsid w:val="00477E3A"/>
    <w:rsid w:val="00483E5F"/>
    <w:rsid w:val="00485FF9"/>
    <w:rsid w:val="0049049B"/>
    <w:rsid w:val="004907F0"/>
    <w:rsid w:val="0049140B"/>
    <w:rsid w:val="004923A5"/>
    <w:rsid w:val="0049310E"/>
    <w:rsid w:val="004950E2"/>
    <w:rsid w:val="00496BFB"/>
    <w:rsid w:val="004A15C7"/>
    <w:rsid w:val="004A3201"/>
    <w:rsid w:val="004A5649"/>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182C"/>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47CEB"/>
    <w:rsid w:val="005512A3"/>
    <w:rsid w:val="005515D3"/>
    <w:rsid w:val="005578CE"/>
    <w:rsid w:val="00562781"/>
    <w:rsid w:val="00562B6C"/>
    <w:rsid w:val="0057271C"/>
    <w:rsid w:val="00572845"/>
    <w:rsid w:val="00580ECF"/>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69D"/>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85E80"/>
    <w:rsid w:val="00691270"/>
    <w:rsid w:val="00694BA8"/>
    <w:rsid w:val="006A037C"/>
    <w:rsid w:val="006A0C84"/>
    <w:rsid w:val="006A36F4"/>
    <w:rsid w:val="006A38FB"/>
    <w:rsid w:val="006A406F"/>
    <w:rsid w:val="006A4E97"/>
    <w:rsid w:val="006A5D3A"/>
    <w:rsid w:val="006B1942"/>
    <w:rsid w:val="006B378A"/>
    <w:rsid w:val="006C1977"/>
    <w:rsid w:val="006C23D4"/>
    <w:rsid w:val="006C7BB0"/>
    <w:rsid w:val="006D267C"/>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353D7"/>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281"/>
    <w:rsid w:val="00805E52"/>
    <w:rsid w:val="008061D0"/>
    <w:rsid w:val="00810B38"/>
    <w:rsid w:val="008204C7"/>
    <w:rsid w:val="00820992"/>
    <w:rsid w:val="00823602"/>
    <w:rsid w:val="008255F5"/>
    <w:rsid w:val="00826890"/>
    <w:rsid w:val="0083014E"/>
    <w:rsid w:val="0083214A"/>
    <w:rsid w:val="00834220"/>
    <w:rsid w:val="00845723"/>
    <w:rsid w:val="00845CC1"/>
    <w:rsid w:val="008519E7"/>
    <w:rsid w:val="00851EF9"/>
    <w:rsid w:val="008577FD"/>
    <w:rsid w:val="00860B03"/>
    <w:rsid w:val="0086497A"/>
    <w:rsid w:val="0086538E"/>
    <w:rsid w:val="00867066"/>
    <w:rsid w:val="00867D93"/>
    <w:rsid w:val="008713A1"/>
    <w:rsid w:val="00872584"/>
    <w:rsid w:val="008754AB"/>
    <w:rsid w:val="0088060C"/>
    <w:rsid w:val="00882CD5"/>
    <w:rsid w:val="00883151"/>
    <w:rsid w:val="00893576"/>
    <w:rsid w:val="00893D55"/>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0158"/>
    <w:rsid w:val="009140A3"/>
    <w:rsid w:val="009144A2"/>
    <w:rsid w:val="0091510C"/>
    <w:rsid w:val="00916766"/>
    <w:rsid w:val="009259AC"/>
    <w:rsid w:val="00926F38"/>
    <w:rsid w:val="00927BEB"/>
    <w:rsid w:val="009333DC"/>
    <w:rsid w:val="00934301"/>
    <w:rsid w:val="00936CD1"/>
    <w:rsid w:val="0094131C"/>
    <w:rsid w:val="00941747"/>
    <w:rsid w:val="00941EFB"/>
    <w:rsid w:val="0094715B"/>
    <w:rsid w:val="00947AFB"/>
    <w:rsid w:val="00950D2F"/>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462E"/>
    <w:rsid w:val="009B5488"/>
    <w:rsid w:val="009B6673"/>
    <w:rsid w:val="009C191B"/>
    <w:rsid w:val="009C2BD6"/>
    <w:rsid w:val="009D1AB4"/>
    <w:rsid w:val="009D57AA"/>
    <w:rsid w:val="009E1F32"/>
    <w:rsid w:val="009E2CC2"/>
    <w:rsid w:val="009E47A2"/>
    <w:rsid w:val="009E776C"/>
    <w:rsid w:val="009E7A6F"/>
    <w:rsid w:val="009F4C8F"/>
    <w:rsid w:val="00A02972"/>
    <w:rsid w:val="00A05588"/>
    <w:rsid w:val="00A15601"/>
    <w:rsid w:val="00A1726E"/>
    <w:rsid w:val="00A17350"/>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96A16"/>
    <w:rsid w:val="00AA1B09"/>
    <w:rsid w:val="00AA227F"/>
    <w:rsid w:val="00AA3BC7"/>
    <w:rsid w:val="00AA754A"/>
    <w:rsid w:val="00AB099E"/>
    <w:rsid w:val="00AB4328"/>
    <w:rsid w:val="00AC38DE"/>
    <w:rsid w:val="00AC4CD4"/>
    <w:rsid w:val="00AD428C"/>
    <w:rsid w:val="00AE0A2E"/>
    <w:rsid w:val="00AE354C"/>
    <w:rsid w:val="00AF12C5"/>
    <w:rsid w:val="00AF4B07"/>
    <w:rsid w:val="00AF6186"/>
    <w:rsid w:val="00AF7A3A"/>
    <w:rsid w:val="00B02587"/>
    <w:rsid w:val="00B049D1"/>
    <w:rsid w:val="00B14793"/>
    <w:rsid w:val="00B153A0"/>
    <w:rsid w:val="00B160DB"/>
    <w:rsid w:val="00B20836"/>
    <w:rsid w:val="00B209D9"/>
    <w:rsid w:val="00B235BB"/>
    <w:rsid w:val="00B27A44"/>
    <w:rsid w:val="00B30BBF"/>
    <w:rsid w:val="00B33C03"/>
    <w:rsid w:val="00B4421F"/>
    <w:rsid w:val="00B44E56"/>
    <w:rsid w:val="00B45917"/>
    <w:rsid w:val="00B46543"/>
    <w:rsid w:val="00B47D33"/>
    <w:rsid w:val="00B52BE0"/>
    <w:rsid w:val="00B54133"/>
    <w:rsid w:val="00B55A8D"/>
    <w:rsid w:val="00B62AC0"/>
    <w:rsid w:val="00B701ED"/>
    <w:rsid w:val="00B748F7"/>
    <w:rsid w:val="00B8086C"/>
    <w:rsid w:val="00B81C58"/>
    <w:rsid w:val="00B861B4"/>
    <w:rsid w:val="00B86DFE"/>
    <w:rsid w:val="00B90990"/>
    <w:rsid w:val="00B911AE"/>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D0E"/>
    <w:rsid w:val="00C10C94"/>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66B95"/>
    <w:rsid w:val="00C71424"/>
    <w:rsid w:val="00C74810"/>
    <w:rsid w:val="00C90D68"/>
    <w:rsid w:val="00C939FE"/>
    <w:rsid w:val="00CA4BDA"/>
    <w:rsid w:val="00CB13E3"/>
    <w:rsid w:val="00CB1F66"/>
    <w:rsid w:val="00CB232C"/>
    <w:rsid w:val="00CB2951"/>
    <w:rsid w:val="00CB4277"/>
    <w:rsid w:val="00CC34ED"/>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54B1"/>
    <w:rsid w:val="00D26E72"/>
    <w:rsid w:val="00D276E4"/>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6052"/>
    <w:rsid w:val="00D772C2"/>
    <w:rsid w:val="00D8008E"/>
    <w:rsid w:val="00D82C45"/>
    <w:rsid w:val="00D86CDB"/>
    <w:rsid w:val="00D908A8"/>
    <w:rsid w:val="00D96132"/>
    <w:rsid w:val="00D977B6"/>
    <w:rsid w:val="00DA1223"/>
    <w:rsid w:val="00DA4A31"/>
    <w:rsid w:val="00DA753E"/>
    <w:rsid w:val="00DA7B04"/>
    <w:rsid w:val="00DB36C2"/>
    <w:rsid w:val="00DC00A8"/>
    <w:rsid w:val="00DC169B"/>
    <w:rsid w:val="00DC18B2"/>
    <w:rsid w:val="00DC2AB9"/>
    <w:rsid w:val="00DC63F0"/>
    <w:rsid w:val="00DD37EA"/>
    <w:rsid w:val="00DD3F3F"/>
    <w:rsid w:val="00DD6EE5"/>
    <w:rsid w:val="00DE2F08"/>
    <w:rsid w:val="00DE386C"/>
    <w:rsid w:val="00DE3EAA"/>
    <w:rsid w:val="00DE4D35"/>
    <w:rsid w:val="00DF098B"/>
    <w:rsid w:val="00DF11C4"/>
    <w:rsid w:val="00DF210C"/>
    <w:rsid w:val="00DF3AE0"/>
    <w:rsid w:val="00DF4B6A"/>
    <w:rsid w:val="00E004C0"/>
    <w:rsid w:val="00E02C09"/>
    <w:rsid w:val="00E04D59"/>
    <w:rsid w:val="00E07DA1"/>
    <w:rsid w:val="00E123CB"/>
    <w:rsid w:val="00E13B09"/>
    <w:rsid w:val="00E20E13"/>
    <w:rsid w:val="00E21DBC"/>
    <w:rsid w:val="00E275D7"/>
    <w:rsid w:val="00E27DBE"/>
    <w:rsid w:val="00E32AB1"/>
    <w:rsid w:val="00E35606"/>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1F6C"/>
    <w:rsid w:val="00E720F5"/>
    <w:rsid w:val="00E744E0"/>
    <w:rsid w:val="00E76D47"/>
    <w:rsid w:val="00E827BC"/>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1858"/>
    <w:rsid w:val="00EC315E"/>
    <w:rsid w:val="00ED077C"/>
    <w:rsid w:val="00ED10A9"/>
    <w:rsid w:val="00ED1190"/>
    <w:rsid w:val="00ED34AC"/>
    <w:rsid w:val="00ED5B4A"/>
    <w:rsid w:val="00ED6544"/>
    <w:rsid w:val="00EE0277"/>
    <w:rsid w:val="00EE2899"/>
    <w:rsid w:val="00EE3E00"/>
    <w:rsid w:val="00EE5DD2"/>
    <w:rsid w:val="00EF0E2F"/>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6429"/>
    <w:rsid w:val="00F54F4F"/>
    <w:rsid w:val="00F56A6F"/>
    <w:rsid w:val="00F5709C"/>
    <w:rsid w:val="00F60B85"/>
    <w:rsid w:val="00F64EF1"/>
    <w:rsid w:val="00F72498"/>
    <w:rsid w:val="00F72B14"/>
    <w:rsid w:val="00F7349B"/>
    <w:rsid w:val="00F8765F"/>
    <w:rsid w:val="00F90767"/>
    <w:rsid w:val="00F9263C"/>
    <w:rsid w:val="00FA1637"/>
    <w:rsid w:val="00FA3B0B"/>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24E84"/>
    <w:rPr>
      <w:sz w:val="24"/>
      <w:szCs w:val="24"/>
    </w:rPr>
  </w:style>
  <w:style w:type="paragraph" w:styleId="Heading1">
    <w:name w:val="heading 1"/>
    <w:basedOn w:val="Normal"/>
    <w:next w:val="Normal"/>
    <w:link w:val="Heading1Char"/>
    <w:uiPriority w:val="98"/>
    <w:semiHidden/>
    <w:rsid w:val="00424E8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424E8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424E8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424E8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424E8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424E8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424E8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424E8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424E8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24E84"/>
    <w:rPr>
      <w:rFonts w:ascii="Tahoma" w:hAnsi="Tahoma" w:cs="Tahoma"/>
      <w:sz w:val="16"/>
      <w:szCs w:val="16"/>
    </w:rPr>
  </w:style>
  <w:style w:type="character" w:customStyle="1" w:styleId="BalloonTextChar">
    <w:name w:val="Balloon Text Char"/>
    <w:basedOn w:val="DefaultParagraphFont"/>
    <w:link w:val="BalloonText"/>
    <w:uiPriority w:val="98"/>
    <w:semiHidden/>
    <w:rsid w:val="00424E84"/>
    <w:rPr>
      <w:rFonts w:ascii="Tahoma" w:hAnsi="Tahoma" w:cs="Tahoma"/>
      <w:sz w:val="16"/>
      <w:szCs w:val="16"/>
      <w:lang w:val="bg-BG"/>
    </w:rPr>
  </w:style>
  <w:style w:type="character" w:styleId="BookTitle">
    <w:name w:val="Book Title"/>
    <w:uiPriority w:val="98"/>
    <w:semiHidden/>
    <w:qFormat/>
    <w:rsid w:val="00424E84"/>
    <w:rPr>
      <w:i/>
      <w:iCs/>
      <w:smallCaps/>
      <w:spacing w:val="5"/>
    </w:rPr>
  </w:style>
  <w:style w:type="paragraph" w:customStyle="1" w:styleId="JuHeader">
    <w:name w:val="Ju_Header"/>
    <w:aliases w:val="_Header"/>
    <w:basedOn w:val="Header"/>
    <w:uiPriority w:val="29"/>
    <w:qFormat/>
    <w:rsid w:val="00424E84"/>
    <w:pPr>
      <w:tabs>
        <w:tab w:val="clear" w:pos="4536"/>
        <w:tab w:val="clear" w:pos="9072"/>
      </w:tabs>
      <w:jc w:val="center"/>
    </w:pPr>
    <w:rPr>
      <w:sz w:val="18"/>
    </w:rPr>
  </w:style>
  <w:style w:type="paragraph" w:customStyle="1" w:styleId="NormalJustified">
    <w:name w:val="Normal_Justified"/>
    <w:basedOn w:val="Normal"/>
    <w:semiHidden/>
    <w:rsid w:val="00424E84"/>
    <w:pPr>
      <w:jc w:val="both"/>
    </w:pPr>
  </w:style>
  <w:style w:type="character" w:styleId="Strong">
    <w:name w:val="Strong"/>
    <w:uiPriority w:val="98"/>
    <w:semiHidden/>
    <w:qFormat/>
    <w:rsid w:val="00424E84"/>
    <w:rPr>
      <w:b/>
      <w:bCs/>
    </w:rPr>
  </w:style>
  <w:style w:type="paragraph" w:styleId="NoSpacing">
    <w:name w:val="No Spacing"/>
    <w:basedOn w:val="Normal"/>
    <w:link w:val="NoSpacingChar"/>
    <w:uiPriority w:val="98"/>
    <w:semiHidden/>
    <w:qFormat/>
    <w:rsid w:val="00424E84"/>
  </w:style>
  <w:style w:type="character" w:customStyle="1" w:styleId="NoSpacingChar">
    <w:name w:val="No Spacing Char"/>
    <w:basedOn w:val="DefaultParagraphFont"/>
    <w:link w:val="NoSpacing"/>
    <w:uiPriority w:val="98"/>
    <w:semiHidden/>
    <w:rsid w:val="00424E84"/>
    <w:rPr>
      <w:sz w:val="24"/>
      <w:szCs w:val="24"/>
      <w:lang w:val="bg-BG"/>
    </w:rPr>
  </w:style>
  <w:style w:type="paragraph" w:customStyle="1" w:styleId="JuQuot">
    <w:name w:val="Ju_Quot"/>
    <w:aliases w:val="_Quote"/>
    <w:basedOn w:val="NormalJustified"/>
    <w:uiPriority w:val="20"/>
    <w:qFormat/>
    <w:rsid w:val="00424E84"/>
    <w:pPr>
      <w:spacing w:before="120" w:after="120"/>
      <w:ind w:left="425" w:firstLine="142"/>
    </w:pPr>
    <w:rPr>
      <w:sz w:val="20"/>
    </w:rPr>
  </w:style>
  <w:style w:type="paragraph" w:customStyle="1" w:styleId="DummyStyle">
    <w:name w:val="Dummy_Style"/>
    <w:aliases w:val="_Dummy"/>
    <w:basedOn w:val="Normal"/>
    <w:semiHidden/>
    <w:qFormat/>
    <w:rsid w:val="00424E84"/>
    <w:rPr>
      <w:color w:val="00B050"/>
      <w:sz w:val="22"/>
    </w:rPr>
  </w:style>
  <w:style w:type="paragraph" w:customStyle="1" w:styleId="JuList">
    <w:name w:val="Ju_List"/>
    <w:aliases w:val="_List_1"/>
    <w:basedOn w:val="NormalJustified"/>
    <w:uiPriority w:val="23"/>
    <w:qFormat/>
    <w:rsid w:val="00424E84"/>
    <w:pPr>
      <w:numPr>
        <w:numId w:val="21"/>
      </w:numPr>
      <w:spacing w:before="280" w:after="60"/>
    </w:pPr>
  </w:style>
  <w:style w:type="paragraph" w:customStyle="1" w:styleId="JuLista">
    <w:name w:val="Ju_List_a"/>
    <w:aliases w:val="_List_2"/>
    <w:basedOn w:val="NormalJustified"/>
    <w:uiPriority w:val="23"/>
    <w:rsid w:val="00424E84"/>
    <w:pPr>
      <w:numPr>
        <w:ilvl w:val="1"/>
        <w:numId w:val="21"/>
      </w:numPr>
    </w:pPr>
  </w:style>
  <w:style w:type="paragraph" w:customStyle="1" w:styleId="JuListi">
    <w:name w:val="Ju_List_i"/>
    <w:aliases w:val="_List_3"/>
    <w:basedOn w:val="NormalJustified"/>
    <w:uiPriority w:val="23"/>
    <w:rsid w:val="00424E84"/>
    <w:pPr>
      <w:numPr>
        <w:ilvl w:val="2"/>
        <w:numId w:val="21"/>
      </w:numPr>
    </w:pPr>
  </w:style>
  <w:style w:type="paragraph" w:customStyle="1" w:styleId="JuHArticle">
    <w:name w:val="Ju_H_Article"/>
    <w:aliases w:val="_Title_Quote"/>
    <w:basedOn w:val="Normal"/>
    <w:next w:val="JuQuot"/>
    <w:uiPriority w:val="19"/>
    <w:qFormat/>
    <w:rsid w:val="00424E8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424E8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424E8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424E84"/>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424E84"/>
    <w:pPr>
      <w:numPr>
        <w:numId w:val="15"/>
      </w:numPr>
    </w:pPr>
  </w:style>
  <w:style w:type="paragraph" w:customStyle="1" w:styleId="JuSigned">
    <w:name w:val="Ju_Signed"/>
    <w:aliases w:val="_Signature"/>
    <w:basedOn w:val="Normal"/>
    <w:next w:val="JuPara"/>
    <w:uiPriority w:val="31"/>
    <w:qFormat/>
    <w:rsid w:val="00424E84"/>
    <w:pPr>
      <w:tabs>
        <w:tab w:val="center" w:pos="1418"/>
        <w:tab w:val="center" w:pos="5954"/>
      </w:tabs>
      <w:spacing w:before="720"/>
    </w:pPr>
  </w:style>
  <w:style w:type="paragraph" w:styleId="Title">
    <w:name w:val="Title"/>
    <w:basedOn w:val="Normal"/>
    <w:next w:val="Normal"/>
    <w:link w:val="TitleChar"/>
    <w:uiPriority w:val="98"/>
    <w:semiHidden/>
    <w:qFormat/>
    <w:rsid w:val="00424E8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424E84"/>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424E84"/>
    <w:pPr>
      <w:numPr>
        <w:numId w:val="1"/>
      </w:numPr>
    </w:pPr>
  </w:style>
  <w:style w:type="numbering" w:customStyle="1" w:styleId="ECHRA1StyleNumberedList">
    <w:name w:val="ECHR_A1_Style_Numbered_List"/>
    <w:basedOn w:val="NoList"/>
    <w:rsid w:val="00424E84"/>
    <w:pPr>
      <w:numPr>
        <w:numId w:val="17"/>
      </w:numPr>
    </w:pPr>
  </w:style>
  <w:style w:type="table" w:customStyle="1" w:styleId="ECHRTable2019">
    <w:name w:val="ECHR_Table_2019"/>
    <w:basedOn w:val="TableNormal"/>
    <w:uiPriority w:val="99"/>
    <w:rsid w:val="00424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424E8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424E84"/>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424E84"/>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424E84"/>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424E84"/>
    <w:pPr>
      <w:tabs>
        <w:tab w:val="center" w:pos="4536"/>
        <w:tab w:val="right" w:pos="9072"/>
      </w:tabs>
    </w:pPr>
  </w:style>
  <w:style w:type="character" w:customStyle="1" w:styleId="HeaderChar">
    <w:name w:val="Header Char"/>
    <w:basedOn w:val="DefaultParagraphFont"/>
    <w:link w:val="Header"/>
    <w:uiPriority w:val="98"/>
    <w:semiHidden/>
    <w:rsid w:val="00424E84"/>
    <w:rPr>
      <w:sz w:val="24"/>
      <w:szCs w:val="24"/>
      <w:lang w:val="bg-BG"/>
    </w:rPr>
  </w:style>
  <w:style w:type="character" w:customStyle="1" w:styleId="Heading1Char">
    <w:name w:val="Heading 1 Char"/>
    <w:basedOn w:val="DefaultParagraphFont"/>
    <w:link w:val="Heading1"/>
    <w:uiPriority w:val="98"/>
    <w:semiHidden/>
    <w:rsid w:val="00424E84"/>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424E84"/>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424E84"/>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424E84"/>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424E84"/>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424E84"/>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424E84"/>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424E84"/>
    <w:pPr>
      <w:keepNext/>
      <w:keepLines/>
      <w:spacing w:before="240" w:after="240"/>
      <w:ind w:firstLine="284"/>
    </w:pPr>
  </w:style>
  <w:style w:type="paragraph" w:customStyle="1" w:styleId="JuJudges">
    <w:name w:val="Ju_Judges"/>
    <w:aliases w:val="_Judges"/>
    <w:basedOn w:val="Normal"/>
    <w:uiPriority w:val="32"/>
    <w:qFormat/>
    <w:rsid w:val="00424E84"/>
    <w:pPr>
      <w:tabs>
        <w:tab w:val="left" w:pos="567"/>
        <w:tab w:val="left" w:pos="1134"/>
      </w:tabs>
    </w:pPr>
  </w:style>
  <w:style w:type="character" w:customStyle="1" w:styleId="Heading4Char">
    <w:name w:val="Heading 4 Char"/>
    <w:basedOn w:val="DefaultParagraphFont"/>
    <w:link w:val="Heading4"/>
    <w:uiPriority w:val="98"/>
    <w:semiHidden/>
    <w:rsid w:val="00424E84"/>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424E84"/>
    <w:pPr>
      <w:tabs>
        <w:tab w:val="center" w:pos="6407"/>
      </w:tabs>
      <w:spacing w:before="720"/>
      <w:jc w:val="right"/>
    </w:pPr>
  </w:style>
  <w:style w:type="character" w:customStyle="1" w:styleId="Heading5Char">
    <w:name w:val="Heading 5 Char"/>
    <w:basedOn w:val="DefaultParagraphFont"/>
    <w:link w:val="Heading5"/>
    <w:uiPriority w:val="98"/>
    <w:semiHidden/>
    <w:rsid w:val="00424E84"/>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424E8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424E84"/>
    <w:rPr>
      <w:caps w:val="0"/>
      <w:smallCaps/>
    </w:rPr>
  </w:style>
  <w:style w:type="character" w:styleId="SubtleEmphasis">
    <w:name w:val="Subtle Emphasis"/>
    <w:uiPriority w:val="98"/>
    <w:semiHidden/>
    <w:qFormat/>
    <w:rsid w:val="00424E84"/>
    <w:rPr>
      <w:i/>
      <w:iCs/>
    </w:rPr>
  </w:style>
  <w:style w:type="table" w:customStyle="1" w:styleId="ECHRTable">
    <w:name w:val="ECHR_Table"/>
    <w:basedOn w:val="TableNormal"/>
    <w:rsid w:val="00424E8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24E8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424E84"/>
    <w:rPr>
      <w:b/>
      <w:bCs/>
      <w:i/>
      <w:iCs/>
      <w:spacing w:val="10"/>
      <w:bdr w:val="none" w:sz="0" w:space="0" w:color="auto"/>
      <w:shd w:val="clear" w:color="auto" w:fill="auto"/>
    </w:rPr>
  </w:style>
  <w:style w:type="paragraph" w:styleId="Footer0">
    <w:name w:val="footer"/>
    <w:basedOn w:val="Normal"/>
    <w:link w:val="FooterChar"/>
    <w:uiPriority w:val="98"/>
    <w:semiHidden/>
    <w:rsid w:val="00424E84"/>
    <w:pPr>
      <w:tabs>
        <w:tab w:val="center" w:pos="3686"/>
        <w:tab w:val="right" w:pos="7371"/>
      </w:tabs>
    </w:pPr>
  </w:style>
  <w:style w:type="character" w:customStyle="1" w:styleId="FooterChar">
    <w:name w:val="Footer Char"/>
    <w:basedOn w:val="DefaultParagraphFont"/>
    <w:link w:val="Footer0"/>
    <w:uiPriority w:val="98"/>
    <w:semiHidden/>
    <w:rsid w:val="00424E84"/>
    <w:rPr>
      <w:sz w:val="24"/>
      <w:szCs w:val="24"/>
      <w:lang w:val="bg-BG"/>
    </w:rPr>
  </w:style>
  <w:style w:type="character" w:styleId="FootnoteReference">
    <w:name w:val="footnote reference"/>
    <w:basedOn w:val="DefaultParagraphFont"/>
    <w:uiPriority w:val="98"/>
    <w:semiHidden/>
    <w:rsid w:val="00424E84"/>
    <w:rPr>
      <w:vertAlign w:val="superscript"/>
    </w:rPr>
  </w:style>
  <w:style w:type="paragraph" w:styleId="FootnoteText">
    <w:name w:val="footnote text"/>
    <w:basedOn w:val="NormalJustified"/>
    <w:link w:val="FootnoteTextChar"/>
    <w:uiPriority w:val="98"/>
    <w:semiHidden/>
    <w:rsid w:val="00424E84"/>
    <w:rPr>
      <w:sz w:val="20"/>
      <w:szCs w:val="20"/>
    </w:rPr>
  </w:style>
  <w:style w:type="character" w:customStyle="1" w:styleId="FootnoteTextChar">
    <w:name w:val="Footnote Text Char"/>
    <w:basedOn w:val="DefaultParagraphFont"/>
    <w:link w:val="FootnoteText"/>
    <w:uiPriority w:val="98"/>
    <w:semiHidden/>
    <w:rsid w:val="00424E84"/>
    <w:rPr>
      <w:sz w:val="20"/>
      <w:szCs w:val="20"/>
      <w:lang w:val="bg-BG"/>
    </w:rPr>
  </w:style>
  <w:style w:type="character" w:customStyle="1" w:styleId="Heading6Char">
    <w:name w:val="Heading 6 Char"/>
    <w:basedOn w:val="DefaultParagraphFont"/>
    <w:link w:val="Heading6"/>
    <w:uiPriority w:val="98"/>
    <w:semiHidden/>
    <w:rsid w:val="00424E84"/>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424E84"/>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424E84"/>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424E84"/>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424E84"/>
    <w:rPr>
      <w:color w:val="0072BC" w:themeColor="hyperlink"/>
      <w:u w:val="single"/>
    </w:rPr>
  </w:style>
  <w:style w:type="character" w:styleId="IntenseEmphasis">
    <w:name w:val="Intense Emphasis"/>
    <w:uiPriority w:val="98"/>
    <w:semiHidden/>
    <w:qFormat/>
    <w:rsid w:val="00424E84"/>
    <w:rPr>
      <w:b/>
      <w:bCs/>
    </w:rPr>
  </w:style>
  <w:style w:type="paragraph" w:styleId="IntenseQuote">
    <w:name w:val="Intense Quote"/>
    <w:basedOn w:val="Normal"/>
    <w:next w:val="Normal"/>
    <w:link w:val="IntenseQuoteChar"/>
    <w:uiPriority w:val="98"/>
    <w:semiHidden/>
    <w:qFormat/>
    <w:rsid w:val="00424E8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424E84"/>
    <w:rPr>
      <w:b/>
      <w:bCs/>
      <w:i/>
      <w:iCs/>
      <w:sz w:val="24"/>
      <w:szCs w:val="24"/>
      <w:lang w:val="bg-BG" w:bidi="en-US"/>
    </w:rPr>
  </w:style>
  <w:style w:type="character" w:styleId="IntenseReference">
    <w:name w:val="Intense Reference"/>
    <w:uiPriority w:val="98"/>
    <w:semiHidden/>
    <w:qFormat/>
    <w:rsid w:val="00424E84"/>
    <w:rPr>
      <w:smallCaps/>
      <w:spacing w:val="5"/>
      <w:u w:val="single"/>
    </w:rPr>
  </w:style>
  <w:style w:type="paragraph" w:styleId="ListParagraph">
    <w:name w:val="List Paragraph"/>
    <w:basedOn w:val="Normal"/>
    <w:uiPriority w:val="98"/>
    <w:semiHidden/>
    <w:qFormat/>
    <w:rsid w:val="00424E84"/>
    <w:pPr>
      <w:ind w:left="720"/>
      <w:contextualSpacing/>
    </w:pPr>
  </w:style>
  <w:style w:type="table" w:customStyle="1" w:styleId="LtrTableAddress">
    <w:name w:val="Ltr_Table_Address"/>
    <w:aliases w:val="ECHR_Ltr_Table_Address"/>
    <w:basedOn w:val="TableNormal"/>
    <w:uiPriority w:val="99"/>
    <w:rsid w:val="00424E84"/>
    <w:rPr>
      <w:sz w:val="24"/>
      <w:szCs w:val="24"/>
    </w:rPr>
    <w:tblPr>
      <w:tblInd w:w="5103" w:type="dxa"/>
    </w:tblPr>
  </w:style>
  <w:style w:type="paragraph" w:styleId="Quote">
    <w:name w:val="Quote"/>
    <w:basedOn w:val="Normal"/>
    <w:next w:val="Normal"/>
    <w:link w:val="QuoteChar"/>
    <w:uiPriority w:val="98"/>
    <w:semiHidden/>
    <w:qFormat/>
    <w:rsid w:val="00424E84"/>
    <w:pPr>
      <w:spacing w:before="200"/>
      <w:ind w:left="360" w:right="360"/>
    </w:pPr>
    <w:rPr>
      <w:i/>
      <w:iCs/>
      <w:lang w:bidi="en-US"/>
    </w:rPr>
  </w:style>
  <w:style w:type="character" w:customStyle="1" w:styleId="QuoteChar">
    <w:name w:val="Quote Char"/>
    <w:basedOn w:val="DefaultParagraphFont"/>
    <w:link w:val="Quote"/>
    <w:uiPriority w:val="98"/>
    <w:semiHidden/>
    <w:rsid w:val="00424E84"/>
    <w:rPr>
      <w:i/>
      <w:iCs/>
      <w:sz w:val="24"/>
      <w:szCs w:val="24"/>
      <w:lang w:val="bg-BG" w:bidi="en-US"/>
    </w:rPr>
  </w:style>
  <w:style w:type="character" w:styleId="SubtleReference">
    <w:name w:val="Subtle Reference"/>
    <w:uiPriority w:val="98"/>
    <w:semiHidden/>
    <w:qFormat/>
    <w:rsid w:val="00424E84"/>
    <w:rPr>
      <w:smallCaps/>
    </w:rPr>
  </w:style>
  <w:style w:type="table" w:styleId="TableGrid">
    <w:name w:val="Table Grid"/>
    <w:basedOn w:val="TableNormal"/>
    <w:uiPriority w:val="59"/>
    <w:semiHidden/>
    <w:rsid w:val="00424E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424E8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424E8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424E8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424E8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424E8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24E8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424E8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24E8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24E8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424E8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424E8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424E8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424E8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424E8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424E84"/>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424E84"/>
    <w:pPr>
      <w:numPr>
        <w:numId w:val="2"/>
      </w:numPr>
    </w:pPr>
  </w:style>
  <w:style w:type="paragraph" w:customStyle="1" w:styleId="JuPara">
    <w:name w:val="Ju_Para"/>
    <w:aliases w:val="_Para"/>
    <w:basedOn w:val="NormalJustified"/>
    <w:link w:val="JuParaChar"/>
    <w:uiPriority w:val="4"/>
    <w:qFormat/>
    <w:rsid w:val="00424E84"/>
    <w:pPr>
      <w:ind w:firstLine="284"/>
    </w:pPr>
  </w:style>
  <w:style w:type="numbering" w:styleId="1ai">
    <w:name w:val="Outline List 1"/>
    <w:basedOn w:val="NoList"/>
    <w:uiPriority w:val="99"/>
    <w:semiHidden/>
    <w:unhideWhenUsed/>
    <w:rsid w:val="00424E84"/>
    <w:pPr>
      <w:numPr>
        <w:numId w:val="3"/>
      </w:numPr>
    </w:pPr>
  </w:style>
  <w:style w:type="table" w:customStyle="1" w:styleId="ECHRTableSimpleBox">
    <w:name w:val="ECHR_Table_Simple_Box"/>
    <w:basedOn w:val="TableNormal"/>
    <w:uiPriority w:val="99"/>
    <w:rsid w:val="00424E8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424E8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424E84"/>
    <w:pPr>
      <w:numPr>
        <w:numId w:val="4"/>
      </w:numPr>
    </w:pPr>
  </w:style>
  <w:style w:type="table" w:customStyle="1" w:styleId="ECHRTableForInternalUse">
    <w:name w:val="ECHR_Table_For_Internal_Use"/>
    <w:basedOn w:val="TableNormal"/>
    <w:uiPriority w:val="99"/>
    <w:rsid w:val="00424E8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24E8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424E84"/>
  </w:style>
  <w:style w:type="paragraph" w:styleId="BlockText">
    <w:name w:val="Block Text"/>
    <w:basedOn w:val="Normal"/>
    <w:uiPriority w:val="98"/>
    <w:semiHidden/>
    <w:rsid w:val="00424E8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424E8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24E84"/>
    <w:pPr>
      <w:spacing w:after="120"/>
    </w:pPr>
  </w:style>
  <w:style w:type="character" w:customStyle="1" w:styleId="BodyTextChar">
    <w:name w:val="Body Text Char"/>
    <w:basedOn w:val="DefaultParagraphFont"/>
    <w:link w:val="BodyText"/>
    <w:uiPriority w:val="98"/>
    <w:semiHidden/>
    <w:rsid w:val="00424E84"/>
    <w:rPr>
      <w:sz w:val="24"/>
      <w:szCs w:val="24"/>
      <w:lang w:val="bg-BG"/>
    </w:rPr>
  </w:style>
  <w:style w:type="table" w:customStyle="1" w:styleId="ECHRTableOddBanded">
    <w:name w:val="ECHR_Table_Odd_Banded"/>
    <w:basedOn w:val="TableNormal"/>
    <w:uiPriority w:val="99"/>
    <w:rsid w:val="00424E8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424E84"/>
    <w:pPr>
      <w:spacing w:after="120" w:line="480" w:lineRule="auto"/>
    </w:pPr>
  </w:style>
  <w:style w:type="table" w:customStyle="1" w:styleId="ECHRHeaderTableReduced">
    <w:name w:val="ECHR_Header_Table_Reduced"/>
    <w:basedOn w:val="TableNormal"/>
    <w:uiPriority w:val="99"/>
    <w:rsid w:val="00424E8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424E84"/>
    <w:pPr>
      <w:ind w:firstLine="284"/>
    </w:pPr>
    <w:rPr>
      <w:b/>
    </w:rPr>
  </w:style>
  <w:style w:type="character" w:styleId="PageNumber">
    <w:name w:val="page number"/>
    <w:uiPriority w:val="98"/>
    <w:semiHidden/>
    <w:rsid w:val="00424E84"/>
    <w:rPr>
      <w:sz w:val="18"/>
    </w:rPr>
  </w:style>
  <w:style w:type="paragraph" w:styleId="ListBullet">
    <w:name w:val="List Bullet"/>
    <w:basedOn w:val="Normal"/>
    <w:uiPriority w:val="98"/>
    <w:semiHidden/>
    <w:rsid w:val="00424E84"/>
    <w:pPr>
      <w:numPr>
        <w:numId w:val="5"/>
      </w:numPr>
    </w:pPr>
  </w:style>
  <w:style w:type="paragraph" w:styleId="ListBullet3">
    <w:name w:val="List Bullet 3"/>
    <w:basedOn w:val="Normal"/>
    <w:uiPriority w:val="98"/>
    <w:semiHidden/>
    <w:rsid w:val="00424E84"/>
    <w:pPr>
      <w:numPr>
        <w:numId w:val="7"/>
      </w:numPr>
      <w:contextualSpacing/>
    </w:pPr>
  </w:style>
  <w:style w:type="character" w:customStyle="1" w:styleId="BodyText2Char">
    <w:name w:val="Body Text 2 Char"/>
    <w:basedOn w:val="DefaultParagraphFont"/>
    <w:link w:val="BodyText2"/>
    <w:uiPriority w:val="98"/>
    <w:semiHidden/>
    <w:rsid w:val="00424E84"/>
    <w:rPr>
      <w:sz w:val="24"/>
      <w:szCs w:val="24"/>
      <w:lang w:val="bg-BG"/>
    </w:rPr>
  </w:style>
  <w:style w:type="paragraph" w:styleId="BodyText3">
    <w:name w:val="Body Text 3"/>
    <w:basedOn w:val="Normal"/>
    <w:link w:val="BodyText3Char"/>
    <w:uiPriority w:val="98"/>
    <w:semiHidden/>
    <w:rsid w:val="00424E84"/>
    <w:pPr>
      <w:spacing w:after="120"/>
    </w:pPr>
    <w:rPr>
      <w:sz w:val="16"/>
      <w:szCs w:val="16"/>
    </w:rPr>
  </w:style>
  <w:style w:type="character" w:customStyle="1" w:styleId="BodyText3Char">
    <w:name w:val="Body Text 3 Char"/>
    <w:basedOn w:val="DefaultParagraphFont"/>
    <w:link w:val="BodyText3"/>
    <w:uiPriority w:val="98"/>
    <w:semiHidden/>
    <w:rsid w:val="00424E84"/>
    <w:rPr>
      <w:sz w:val="16"/>
      <w:szCs w:val="16"/>
      <w:lang w:val="bg-BG"/>
    </w:rPr>
  </w:style>
  <w:style w:type="paragraph" w:styleId="BodyTextFirstIndent">
    <w:name w:val="Body Text First Indent"/>
    <w:basedOn w:val="BodyText"/>
    <w:link w:val="BodyTextFirstIndentChar"/>
    <w:uiPriority w:val="98"/>
    <w:semiHidden/>
    <w:rsid w:val="00424E84"/>
    <w:pPr>
      <w:spacing w:after="0"/>
      <w:ind w:firstLine="360"/>
    </w:pPr>
  </w:style>
  <w:style w:type="character" w:customStyle="1" w:styleId="BodyTextFirstIndentChar">
    <w:name w:val="Body Text First Indent Char"/>
    <w:basedOn w:val="BodyTextChar"/>
    <w:link w:val="BodyTextFirstIndent"/>
    <w:uiPriority w:val="98"/>
    <w:semiHidden/>
    <w:rsid w:val="00424E84"/>
    <w:rPr>
      <w:sz w:val="24"/>
      <w:szCs w:val="24"/>
      <w:lang w:val="bg-BG"/>
    </w:rPr>
  </w:style>
  <w:style w:type="paragraph" w:styleId="BodyTextIndent">
    <w:name w:val="Body Text Indent"/>
    <w:basedOn w:val="Normal"/>
    <w:link w:val="BodyTextIndentChar"/>
    <w:uiPriority w:val="98"/>
    <w:semiHidden/>
    <w:rsid w:val="00424E84"/>
    <w:pPr>
      <w:spacing w:after="120"/>
      <w:ind w:left="283"/>
    </w:pPr>
  </w:style>
  <w:style w:type="character" w:customStyle="1" w:styleId="BodyTextIndentChar">
    <w:name w:val="Body Text Indent Char"/>
    <w:basedOn w:val="DefaultParagraphFont"/>
    <w:link w:val="BodyTextIndent"/>
    <w:uiPriority w:val="98"/>
    <w:semiHidden/>
    <w:rsid w:val="00424E84"/>
    <w:rPr>
      <w:sz w:val="24"/>
      <w:szCs w:val="24"/>
      <w:lang w:val="bg-BG"/>
    </w:rPr>
  </w:style>
  <w:style w:type="paragraph" w:styleId="BodyTextFirstIndent2">
    <w:name w:val="Body Text First Indent 2"/>
    <w:basedOn w:val="BodyTextIndent"/>
    <w:link w:val="BodyTextFirstIndent2Char"/>
    <w:uiPriority w:val="98"/>
    <w:semiHidden/>
    <w:rsid w:val="00424E84"/>
    <w:pPr>
      <w:spacing w:after="0"/>
      <w:ind w:left="360" w:firstLine="360"/>
    </w:pPr>
  </w:style>
  <w:style w:type="character" w:customStyle="1" w:styleId="BodyTextFirstIndent2Char">
    <w:name w:val="Body Text First Indent 2 Char"/>
    <w:basedOn w:val="BodyTextIndentChar"/>
    <w:link w:val="BodyTextFirstIndent2"/>
    <w:uiPriority w:val="98"/>
    <w:semiHidden/>
    <w:rsid w:val="00424E84"/>
    <w:rPr>
      <w:sz w:val="24"/>
      <w:szCs w:val="24"/>
      <w:lang w:val="bg-BG"/>
    </w:rPr>
  </w:style>
  <w:style w:type="paragraph" w:styleId="BodyTextIndent2">
    <w:name w:val="Body Text Indent 2"/>
    <w:basedOn w:val="Normal"/>
    <w:link w:val="BodyTextIndent2Char"/>
    <w:uiPriority w:val="98"/>
    <w:semiHidden/>
    <w:rsid w:val="00424E84"/>
    <w:pPr>
      <w:spacing w:after="120" w:line="480" w:lineRule="auto"/>
      <w:ind w:left="283"/>
    </w:pPr>
  </w:style>
  <w:style w:type="character" w:customStyle="1" w:styleId="BodyTextIndent2Char">
    <w:name w:val="Body Text Indent 2 Char"/>
    <w:basedOn w:val="DefaultParagraphFont"/>
    <w:link w:val="BodyTextIndent2"/>
    <w:uiPriority w:val="98"/>
    <w:semiHidden/>
    <w:rsid w:val="00424E84"/>
    <w:rPr>
      <w:sz w:val="24"/>
      <w:szCs w:val="24"/>
      <w:lang w:val="bg-BG"/>
    </w:rPr>
  </w:style>
  <w:style w:type="paragraph" w:styleId="BodyTextIndent3">
    <w:name w:val="Body Text Indent 3"/>
    <w:basedOn w:val="Normal"/>
    <w:link w:val="BodyTextIndent3Char"/>
    <w:uiPriority w:val="98"/>
    <w:semiHidden/>
    <w:rsid w:val="00424E8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424E84"/>
    <w:rPr>
      <w:sz w:val="16"/>
      <w:szCs w:val="16"/>
      <w:lang w:val="bg-BG"/>
    </w:rPr>
  </w:style>
  <w:style w:type="paragraph" w:styleId="Caption">
    <w:name w:val="caption"/>
    <w:basedOn w:val="Normal"/>
    <w:next w:val="Normal"/>
    <w:uiPriority w:val="98"/>
    <w:semiHidden/>
    <w:qFormat/>
    <w:rsid w:val="00424E84"/>
    <w:pPr>
      <w:spacing w:after="200"/>
    </w:pPr>
    <w:rPr>
      <w:b/>
      <w:bCs/>
      <w:color w:val="0072BC" w:themeColor="accent1"/>
      <w:sz w:val="18"/>
      <w:szCs w:val="18"/>
    </w:rPr>
  </w:style>
  <w:style w:type="paragraph" w:styleId="Closing">
    <w:name w:val="Closing"/>
    <w:basedOn w:val="Normal"/>
    <w:link w:val="ClosingChar"/>
    <w:uiPriority w:val="98"/>
    <w:semiHidden/>
    <w:rsid w:val="00424E84"/>
    <w:pPr>
      <w:ind w:left="4252"/>
    </w:pPr>
  </w:style>
  <w:style w:type="character" w:customStyle="1" w:styleId="ClosingChar">
    <w:name w:val="Closing Char"/>
    <w:basedOn w:val="DefaultParagraphFont"/>
    <w:link w:val="Closing"/>
    <w:uiPriority w:val="98"/>
    <w:semiHidden/>
    <w:rsid w:val="00424E84"/>
    <w:rPr>
      <w:sz w:val="24"/>
      <w:szCs w:val="24"/>
      <w:lang w:val="bg-BG"/>
    </w:rPr>
  </w:style>
  <w:style w:type="table" w:styleId="ColorfulGrid">
    <w:name w:val="Colorful Grid"/>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424E8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24E8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424E8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424E8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424E8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424E8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424E8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24E8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424E8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24E8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24E8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424E84"/>
    <w:rPr>
      <w:sz w:val="16"/>
      <w:szCs w:val="16"/>
    </w:rPr>
  </w:style>
  <w:style w:type="paragraph" w:styleId="CommentText">
    <w:name w:val="annotation text"/>
    <w:basedOn w:val="Normal"/>
    <w:link w:val="CommentTextChar"/>
    <w:uiPriority w:val="98"/>
    <w:semiHidden/>
    <w:rsid w:val="00424E84"/>
    <w:rPr>
      <w:sz w:val="20"/>
      <w:szCs w:val="20"/>
    </w:rPr>
  </w:style>
  <w:style w:type="character" w:customStyle="1" w:styleId="CommentTextChar">
    <w:name w:val="Comment Text Char"/>
    <w:basedOn w:val="DefaultParagraphFont"/>
    <w:link w:val="CommentText"/>
    <w:uiPriority w:val="98"/>
    <w:semiHidden/>
    <w:rsid w:val="00424E84"/>
    <w:rPr>
      <w:sz w:val="20"/>
      <w:szCs w:val="20"/>
      <w:lang w:val="bg-BG"/>
    </w:rPr>
  </w:style>
  <w:style w:type="paragraph" w:styleId="CommentSubject">
    <w:name w:val="annotation subject"/>
    <w:basedOn w:val="CommentText"/>
    <w:next w:val="CommentText"/>
    <w:link w:val="CommentSubjectChar"/>
    <w:uiPriority w:val="98"/>
    <w:semiHidden/>
    <w:rsid w:val="00424E84"/>
    <w:rPr>
      <w:b/>
      <w:bCs/>
    </w:rPr>
  </w:style>
  <w:style w:type="character" w:customStyle="1" w:styleId="CommentSubjectChar">
    <w:name w:val="Comment Subject Char"/>
    <w:basedOn w:val="CommentTextChar"/>
    <w:link w:val="CommentSubject"/>
    <w:uiPriority w:val="98"/>
    <w:semiHidden/>
    <w:rsid w:val="00424E84"/>
    <w:rPr>
      <w:b/>
      <w:bCs/>
      <w:sz w:val="20"/>
      <w:szCs w:val="20"/>
      <w:lang w:val="bg-BG"/>
    </w:rPr>
  </w:style>
  <w:style w:type="table" w:styleId="DarkList">
    <w:name w:val="Dark List"/>
    <w:basedOn w:val="TableNormal"/>
    <w:uiPriority w:val="70"/>
    <w:semiHidden/>
    <w:rsid w:val="00424E8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24E8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424E8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424E8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424E8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424E8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424E8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424E84"/>
  </w:style>
  <w:style w:type="character" w:customStyle="1" w:styleId="DateChar">
    <w:name w:val="Date Char"/>
    <w:basedOn w:val="DefaultParagraphFont"/>
    <w:link w:val="Date"/>
    <w:uiPriority w:val="98"/>
    <w:semiHidden/>
    <w:rsid w:val="00424E84"/>
    <w:rPr>
      <w:sz w:val="24"/>
      <w:szCs w:val="24"/>
      <w:lang w:val="bg-BG"/>
    </w:rPr>
  </w:style>
  <w:style w:type="paragraph" w:styleId="DocumentMap">
    <w:name w:val="Document Map"/>
    <w:basedOn w:val="Normal"/>
    <w:link w:val="DocumentMapChar"/>
    <w:uiPriority w:val="98"/>
    <w:semiHidden/>
    <w:rsid w:val="00424E84"/>
    <w:rPr>
      <w:rFonts w:ascii="Tahoma" w:hAnsi="Tahoma" w:cs="Tahoma"/>
      <w:sz w:val="16"/>
      <w:szCs w:val="16"/>
    </w:rPr>
  </w:style>
  <w:style w:type="character" w:customStyle="1" w:styleId="DocumentMapChar">
    <w:name w:val="Document Map Char"/>
    <w:basedOn w:val="DefaultParagraphFont"/>
    <w:link w:val="DocumentMap"/>
    <w:uiPriority w:val="98"/>
    <w:semiHidden/>
    <w:rsid w:val="00424E84"/>
    <w:rPr>
      <w:rFonts w:ascii="Tahoma" w:hAnsi="Tahoma" w:cs="Tahoma"/>
      <w:sz w:val="16"/>
      <w:szCs w:val="16"/>
      <w:lang w:val="bg-BG"/>
    </w:rPr>
  </w:style>
  <w:style w:type="paragraph" w:styleId="E-mailSignature">
    <w:name w:val="E-mail Signature"/>
    <w:basedOn w:val="Normal"/>
    <w:link w:val="E-mailSignatureChar"/>
    <w:uiPriority w:val="98"/>
    <w:semiHidden/>
    <w:rsid w:val="00424E84"/>
  </w:style>
  <w:style w:type="character" w:customStyle="1" w:styleId="E-mailSignatureChar">
    <w:name w:val="E-mail Signature Char"/>
    <w:basedOn w:val="DefaultParagraphFont"/>
    <w:link w:val="E-mailSignature"/>
    <w:uiPriority w:val="98"/>
    <w:semiHidden/>
    <w:rsid w:val="00424E84"/>
    <w:rPr>
      <w:sz w:val="24"/>
      <w:szCs w:val="24"/>
      <w:lang w:val="bg-BG"/>
    </w:rPr>
  </w:style>
  <w:style w:type="character" w:styleId="EndnoteReference">
    <w:name w:val="endnote reference"/>
    <w:basedOn w:val="DefaultParagraphFont"/>
    <w:uiPriority w:val="98"/>
    <w:semiHidden/>
    <w:rsid w:val="00424E84"/>
    <w:rPr>
      <w:vertAlign w:val="superscript"/>
    </w:rPr>
  </w:style>
  <w:style w:type="paragraph" w:styleId="EndnoteText">
    <w:name w:val="endnote text"/>
    <w:basedOn w:val="Normal"/>
    <w:link w:val="EndnoteTextChar"/>
    <w:uiPriority w:val="98"/>
    <w:semiHidden/>
    <w:rsid w:val="00424E84"/>
    <w:rPr>
      <w:sz w:val="20"/>
      <w:szCs w:val="20"/>
    </w:rPr>
  </w:style>
  <w:style w:type="character" w:customStyle="1" w:styleId="EndnoteTextChar">
    <w:name w:val="Endnote Text Char"/>
    <w:basedOn w:val="DefaultParagraphFont"/>
    <w:link w:val="EndnoteText"/>
    <w:uiPriority w:val="98"/>
    <w:semiHidden/>
    <w:rsid w:val="00424E84"/>
    <w:rPr>
      <w:sz w:val="20"/>
      <w:szCs w:val="20"/>
      <w:lang w:val="bg-BG"/>
    </w:rPr>
  </w:style>
  <w:style w:type="paragraph" w:styleId="EnvelopeAddress">
    <w:name w:val="envelope address"/>
    <w:basedOn w:val="Normal"/>
    <w:uiPriority w:val="98"/>
    <w:semiHidden/>
    <w:rsid w:val="00424E8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424E8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424E84"/>
    <w:rPr>
      <w:color w:val="7030A0" w:themeColor="followedHyperlink"/>
      <w:u w:val="single"/>
    </w:rPr>
  </w:style>
  <w:style w:type="character" w:styleId="HTMLAcronym">
    <w:name w:val="HTML Acronym"/>
    <w:basedOn w:val="DefaultParagraphFont"/>
    <w:uiPriority w:val="98"/>
    <w:semiHidden/>
    <w:rsid w:val="00424E84"/>
  </w:style>
  <w:style w:type="paragraph" w:styleId="HTMLAddress">
    <w:name w:val="HTML Address"/>
    <w:basedOn w:val="Normal"/>
    <w:link w:val="HTMLAddressChar"/>
    <w:uiPriority w:val="98"/>
    <w:semiHidden/>
    <w:rsid w:val="00424E84"/>
    <w:rPr>
      <w:i/>
      <w:iCs/>
    </w:rPr>
  </w:style>
  <w:style w:type="character" w:customStyle="1" w:styleId="HTMLAddressChar">
    <w:name w:val="HTML Address Char"/>
    <w:basedOn w:val="DefaultParagraphFont"/>
    <w:link w:val="HTMLAddress"/>
    <w:uiPriority w:val="98"/>
    <w:semiHidden/>
    <w:rsid w:val="00424E84"/>
    <w:rPr>
      <w:i/>
      <w:iCs/>
      <w:sz w:val="24"/>
      <w:szCs w:val="24"/>
      <w:lang w:val="bg-BG"/>
    </w:rPr>
  </w:style>
  <w:style w:type="character" w:styleId="HTMLCite">
    <w:name w:val="HTML Cite"/>
    <w:basedOn w:val="DefaultParagraphFont"/>
    <w:uiPriority w:val="98"/>
    <w:semiHidden/>
    <w:rsid w:val="00424E84"/>
    <w:rPr>
      <w:i/>
      <w:iCs/>
    </w:rPr>
  </w:style>
  <w:style w:type="character" w:styleId="HTMLCode">
    <w:name w:val="HTML Code"/>
    <w:basedOn w:val="DefaultParagraphFont"/>
    <w:uiPriority w:val="98"/>
    <w:semiHidden/>
    <w:rsid w:val="00424E84"/>
    <w:rPr>
      <w:rFonts w:ascii="Consolas" w:hAnsi="Consolas" w:cs="Consolas"/>
      <w:sz w:val="20"/>
      <w:szCs w:val="20"/>
    </w:rPr>
  </w:style>
  <w:style w:type="character" w:styleId="HTMLDefinition">
    <w:name w:val="HTML Definition"/>
    <w:basedOn w:val="DefaultParagraphFont"/>
    <w:uiPriority w:val="98"/>
    <w:semiHidden/>
    <w:rsid w:val="00424E84"/>
    <w:rPr>
      <w:i/>
      <w:iCs/>
    </w:rPr>
  </w:style>
  <w:style w:type="character" w:styleId="HTMLKeyboard">
    <w:name w:val="HTML Keyboard"/>
    <w:basedOn w:val="DefaultParagraphFont"/>
    <w:uiPriority w:val="98"/>
    <w:semiHidden/>
    <w:rsid w:val="00424E84"/>
    <w:rPr>
      <w:rFonts w:ascii="Consolas" w:hAnsi="Consolas" w:cs="Consolas"/>
      <w:sz w:val="20"/>
      <w:szCs w:val="20"/>
    </w:rPr>
  </w:style>
  <w:style w:type="paragraph" w:styleId="HTMLPreformatted">
    <w:name w:val="HTML Preformatted"/>
    <w:basedOn w:val="Normal"/>
    <w:link w:val="HTMLPreformattedChar"/>
    <w:uiPriority w:val="98"/>
    <w:semiHidden/>
    <w:rsid w:val="00424E8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424E84"/>
    <w:rPr>
      <w:rFonts w:ascii="Consolas" w:hAnsi="Consolas" w:cs="Consolas"/>
      <w:sz w:val="20"/>
      <w:szCs w:val="20"/>
      <w:lang w:val="bg-BG"/>
    </w:rPr>
  </w:style>
  <w:style w:type="character" w:styleId="HTMLSample">
    <w:name w:val="HTML Sample"/>
    <w:basedOn w:val="DefaultParagraphFont"/>
    <w:uiPriority w:val="98"/>
    <w:semiHidden/>
    <w:rsid w:val="00424E84"/>
    <w:rPr>
      <w:rFonts w:ascii="Consolas" w:hAnsi="Consolas" w:cs="Consolas"/>
      <w:sz w:val="24"/>
      <w:szCs w:val="24"/>
    </w:rPr>
  </w:style>
  <w:style w:type="character" w:styleId="HTMLTypewriter">
    <w:name w:val="HTML Typewriter"/>
    <w:basedOn w:val="DefaultParagraphFont"/>
    <w:uiPriority w:val="98"/>
    <w:semiHidden/>
    <w:rsid w:val="00424E84"/>
    <w:rPr>
      <w:rFonts w:ascii="Consolas" w:hAnsi="Consolas" w:cs="Consolas"/>
      <w:sz w:val="20"/>
      <w:szCs w:val="20"/>
    </w:rPr>
  </w:style>
  <w:style w:type="character" w:styleId="HTMLVariable">
    <w:name w:val="HTML Variable"/>
    <w:basedOn w:val="DefaultParagraphFont"/>
    <w:uiPriority w:val="98"/>
    <w:semiHidden/>
    <w:rsid w:val="00424E84"/>
    <w:rPr>
      <w:i/>
      <w:iCs/>
    </w:rPr>
  </w:style>
  <w:style w:type="paragraph" w:styleId="Index1">
    <w:name w:val="index 1"/>
    <w:basedOn w:val="Normal"/>
    <w:next w:val="Normal"/>
    <w:autoRedefine/>
    <w:uiPriority w:val="98"/>
    <w:semiHidden/>
    <w:rsid w:val="00424E84"/>
    <w:pPr>
      <w:ind w:left="240" w:hanging="240"/>
    </w:pPr>
  </w:style>
  <w:style w:type="paragraph" w:styleId="Index2">
    <w:name w:val="index 2"/>
    <w:basedOn w:val="Normal"/>
    <w:next w:val="Normal"/>
    <w:autoRedefine/>
    <w:uiPriority w:val="98"/>
    <w:semiHidden/>
    <w:rsid w:val="00424E84"/>
    <w:pPr>
      <w:ind w:left="480" w:hanging="240"/>
    </w:pPr>
  </w:style>
  <w:style w:type="paragraph" w:styleId="Index3">
    <w:name w:val="index 3"/>
    <w:basedOn w:val="Normal"/>
    <w:next w:val="Normal"/>
    <w:autoRedefine/>
    <w:uiPriority w:val="98"/>
    <w:semiHidden/>
    <w:rsid w:val="00424E84"/>
    <w:pPr>
      <w:ind w:left="720" w:hanging="240"/>
    </w:pPr>
  </w:style>
  <w:style w:type="paragraph" w:styleId="Index4">
    <w:name w:val="index 4"/>
    <w:basedOn w:val="Normal"/>
    <w:next w:val="Normal"/>
    <w:autoRedefine/>
    <w:uiPriority w:val="98"/>
    <w:semiHidden/>
    <w:rsid w:val="00424E84"/>
    <w:pPr>
      <w:ind w:left="960" w:hanging="240"/>
    </w:pPr>
  </w:style>
  <w:style w:type="paragraph" w:styleId="Index5">
    <w:name w:val="index 5"/>
    <w:basedOn w:val="Normal"/>
    <w:next w:val="Normal"/>
    <w:autoRedefine/>
    <w:uiPriority w:val="98"/>
    <w:semiHidden/>
    <w:rsid w:val="00424E84"/>
    <w:pPr>
      <w:ind w:left="1200" w:hanging="240"/>
    </w:pPr>
  </w:style>
  <w:style w:type="paragraph" w:styleId="Index6">
    <w:name w:val="index 6"/>
    <w:basedOn w:val="Normal"/>
    <w:next w:val="Normal"/>
    <w:autoRedefine/>
    <w:uiPriority w:val="98"/>
    <w:semiHidden/>
    <w:rsid w:val="00424E84"/>
    <w:pPr>
      <w:ind w:left="1440" w:hanging="240"/>
    </w:pPr>
  </w:style>
  <w:style w:type="paragraph" w:styleId="Index7">
    <w:name w:val="index 7"/>
    <w:basedOn w:val="Normal"/>
    <w:next w:val="Normal"/>
    <w:autoRedefine/>
    <w:uiPriority w:val="98"/>
    <w:semiHidden/>
    <w:rsid w:val="00424E84"/>
    <w:pPr>
      <w:ind w:left="1680" w:hanging="240"/>
    </w:pPr>
  </w:style>
  <w:style w:type="paragraph" w:styleId="Index8">
    <w:name w:val="index 8"/>
    <w:basedOn w:val="Normal"/>
    <w:next w:val="Normal"/>
    <w:autoRedefine/>
    <w:uiPriority w:val="98"/>
    <w:semiHidden/>
    <w:rsid w:val="00424E84"/>
    <w:pPr>
      <w:ind w:left="1920" w:hanging="240"/>
    </w:pPr>
  </w:style>
  <w:style w:type="paragraph" w:styleId="Index9">
    <w:name w:val="index 9"/>
    <w:basedOn w:val="Normal"/>
    <w:next w:val="Normal"/>
    <w:autoRedefine/>
    <w:uiPriority w:val="98"/>
    <w:semiHidden/>
    <w:rsid w:val="00424E84"/>
    <w:pPr>
      <w:ind w:left="2160" w:hanging="240"/>
    </w:pPr>
  </w:style>
  <w:style w:type="paragraph" w:styleId="IndexHeading">
    <w:name w:val="index heading"/>
    <w:basedOn w:val="Normal"/>
    <w:next w:val="Index1"/>
    <w:uiPriority w:val="98"/>
    <w:semiHidden/>
    <w:rsid w:val="00424E84"/>
    <w:rPr>
      <w:rFonts w:asciiTheme="majorHAnsi" w:eastAsiaTheme="majorEastAsia" w:hAnsiTheme="majorHAnsi" w:cstheme="majorBidi"/>
      <w:b/>
      <w:bCs/>
    </w:rPr>
  </w:style>
  <w:style w:type="table" w:styleId="LightGrid">
    <w:name w:val="Light Grid"/>
    <w:basedOn w:val="TableNormal"/>
    <w:uiPriority w:val="62"/>
    <w:semiHidden/>
    <w:rsid w:val="00424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24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424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424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424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424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424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424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24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424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424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424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424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424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424E8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24E8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424E8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424E8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424E8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424E8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424E8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424E84"/>
  </w:style>
  <w:style w:type="paragraph" w:styleId="List">
    <w:name w:val="List"/>
    <w:basedOn w:val="Normal"/>
    <w:uiPriority w:val="98"/>
    <w:semiHidden/>
    <w:rsid w:val="00424E84"/>
    <w:pPr>
      <w:ind w:left="283" w:hanging="283"/>
      <w:contextualSpacing/>
    </w:pPr>
  </w:style>
  <w:style w:type="paragraph" w:styleId="List2">
    <w:name w:val="List 2"/>
    <w:basedOn w:val="Normal"/>
    <w:uiPriority w:val="98"/>
    <w:semiHidden/>
    <w:rsid w:val="00424E84"/>
    <w:pPr>
      <w:ind w:left="566" w:hanging="283"/>
      <w:contextualSpacing/>
    </w:pPr>
  </w:style>
  <w:style w:type="paragraph" w:styleId="List3">
    <w:name w:val="List 3"/>
    <w:basedOn w:val="Normal"/>
    <w:uiPriority w:val="98"/>
    <w:semiHidden/>
    <w:rsid w:val="00424E84"/>
    <w:pPr>
      <w:ind w:left="849" w:hanging="283"/>
      <w:contextualSpacing/>
    </w:pPr>
  </w:style>
  <w:style w:type="paragraph" w:styleId="List4">
    <w:name w:val="List 4"/>
    <w:basedOn w:val="Normal"/>
    <w:uiPriority w:val="98"/>
    <w:semiHidden/>
    <w:rsid w:val="00424E84"/>
    <w:pPr>
      <w:ind w:left="1132" w:hanging="283"/>
      <w:contextualSpacing/>
    </w:pPr>
  </w:style>
  <w:style w:type="paragraph" w:styleId="List5">
    <w:name w:val="List 5"/>
    <w:basedOn w:val="Normal"/>
    <w:uiPriority w:val="98"/>
    <w:semiHidden/>
    <w:rsid w:val="00424E84"/>
    <w:pPr>
      <w:ind w:left="1415" w:hanging="283"/>
      <w:contextualSpacing/>
    </w:pPr>
  </w:style>
  <w:style w:type="paragraph" w:styleId="ListBullet2">
    <w:name w:val="List Bullet 2"/>
    <w:basedOn w:val="Normal"/>
    <w:uiPriority w:val="98"/>
    <w:semiHidden/>
    <w:rsid w:val="00424E84"/>
    <w:pPr>
      <w:numPr>
        <w:numId w:val="6"/>
      </w:numPr>
      <w:contextualSpacing/>
    </w:pPr>
  </w:style>
  <w:style w:type="paragraph" w:styleId="ListBullet4">
    <w:name w:val="List Bullet 4"/>
    <w:basedOn w:val="Normal"/>
    <w:uiPriority w:val="98"/>
    <w:semiHidden/>
    <w:rsid w:val="00424E84"/>
    <w:pPr>
      <w:numPr>
        <w:numId w:val="8"/>
      </w:numPr>
      <w:contextualSpacing/>
    </w:pPr>
  </w:style>
  <w:style w:type="paragraph" w:styleId="ListBullet5">
    <w:name w:val="List Bullet 5"/>
    <w:basedOn w:val="Normal"/>
    <w:uiPriority w:val="98"/>
    <w:semiHidden/>
    <w:rsid w:val="00424E84"/>
    <w:pPr>
      <w:numPr>
        <w:numId w:val="9"/>
      </w:numPr>
      <w:contextualSpacing/>
    </w:pPr>
  </w:style>
  <w:style w:type="paragraph" w:styleId="ListContinue">
    <w:name w:val="List Continue"/>
    <w:basedOn w:val="Normal"/>
    <w:uiPriority w:val="98"/>
    <w:semiHidden/>
    <w:rsid w:val="00424E84"/>
    <w:pPr>
      <w:spacing w:after="120"/>
      <w:ind w:left="283"/>
      <w:contextualSpacing/>
    </w:pPr>
  </w:style>
  <w:style w:type="paragraph" w:styleId="ListContinue2">
    <w:name w:val="List Continue 2"/>
    <w:basedOn w:val="Normal"/>
    <w:uiPriority w:val="98"/>
    <w:semiHidden/>
    <w:rsid w:val="00424E84"/>
    <w:pPr>
      <w:spacing w:after="120"/>
      <w:ind w:left="566"/>
      <w:contextualSpacing/>
    </w:pPr>
  </w:style>
  <w:style w:type="paragraph" w:styleId="ListContinue3">
    <w:name w:val="List Continue 3"/>
    <w:basedOn w:val="Normal"/>
    <w:uiPriority w:val="98"/>
    <w:semiHidden/>
    <w:rsid w:val="00424E84"/>
    <w:pPr>
      <w:spacing w:after="120"/>
      <w:ind w:left="849"/>
      <w:contextualSpacing/>
    </w:pPr>
  </w:style>
  <w:style w:type="paragraph" w:styleId="ListContinue4">
    <w:name w:val="List Continue 4"/>
    <w:basedOn w:val="Normal"/>
    <w:uiPriority w:val="98"/>
    <w:semiHidden/>
    <w:rsid w:val="00424E84"/>
    <w:pPr>
      <w:spacing w:after="120"/>
      <w:ind w:left="1132"/>
      <w:contextualSpacing/>
    </w:pPr>
  </w:style>
  <w:style w:type="paragraph" w:styleId="ListContinue5">
    <w:name w:val="List Continue 5"/>
    <w:basedOn w:val="Normal"/>
    <w:uiPriority w:val="98"/>
    <w:semiHidden/>
    <w:rsid w:val="00424E84"/>
    <w:pPr>
      <w:spacing w:after="120"/>
      <w:ind w:left="1415"/>
      <w:contextualSpacing/>
    </w:pPr>
  </w:style>
  <w:style w:type="paragraph" w:styleId="ListNumber">
    <w:name w:val="List Number"/>
    <w:basedOn w:val="Normal"/>
    <w:uiPriority w:val="98"/>
    <w:semiHidden/>
    <w:rsid w:val="00424E84"/>
    <w:pPr>
      <w:numPr>
        <w:numId w:val="10"/>
      </w:numPr>
      <w:contextualSpacing/>
    </w:pPr>
  </w:style>
  <w:style w:type="paragraph" w:styleId="ListNumber2">
    <w:name w:val="List Number 2"/>
    <w:basedOn w:val="Normal"/>
    <w:uiPriority w:val="98"/>
    <w:semiHidden/>
    <w:rsid w:val="00424E84"/>
    <w:pPr>
      <w:numPr>
        <w:numId w:val="11"/>
      </w:numPr>
      <w:contextualSpacing/>
    </w:pPr>
  </w:style>
  <w:style w:type="paragraph" w:styleId="ListNumber3">
    <w:name w:val="List Number 3"/>
    <w:basedOn w:val="Normal"/>
    <w:uiPriority w:val="98"/>
    <w:semiHidden/>
    <w:rsid w:val="00424E84"/>
    <w:pPr>
      <w:numPr>
        <w:numId w:val="12"/>
      </w:numPr>
      <w:contextualSpacing/>
    </w:pPr>
  </w:style>
  <w:style w:type="paragraph" w:styleId="ListNumber4">
    <w:name w:val="List Number 4"/>
    <w:basedOn w:val="Normal"/>
    <w:uiPriority w:val="98"/>
    <w:semiHidden/>
    <w:rsid w:val="00424E84"/>
    <w:pPr>
      <w:numPr>
        <w:numId w:val="13"/>
      </w:numPr>
      <w:contextualSpacing/>
    </w:pPr>
  </w:style>
  <w:style w:type="paragraph" w:styleId="ListNumber5">
    <w:name w:val="List Number 5"/>
    <w:basedOn w:val="Normal"/>
    <w:uiPriority w:val="98"/>
    <w:semiHidden/>
    <w:rsid w:val="00424E84"/>
    <w:pPr>
      <w:numPr>
        <w:numId w:val="14"/>
      </w:numPr>
      <w:contextualSpacing/>
    </w:pPr>
  </w:style>
  <w:style w:type="paragraph" w:styleId="MacroText">
    <w:name w:val="macro"/>
    <w:link w:val="MacroTextChar"/>
    <w:uiPriority w:val="98"/>
    <w:semiHidden/>
    <w:rsid w:val="00424E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424E84"/>
    <w:rPr>
      <w:rFonts w:ascii="Consolas" w:eastAsiaTheme="minorEastAsia" w:hAnsi="Consolas" w:cs="Consolas"/>
      <w:sz w:val="20"/>
      <w:szCs w:val="20"/>
    </w:rPr>
  </w:style>
  <w:style w:type="table" w:styleId="MediumGrid1">
    <w:name w:val="Medium Grid 1"/>
    <w:basedOn w:val="TableNormal"/>
    <w:uiPriority w:val="67"/>
    <w:semiHidden/>
    <w:rsid w:val="00424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24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424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424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424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424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424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424E8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24E8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424E8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424E8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424E8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424E8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424E8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424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24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24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24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24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24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24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24E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424E8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424E84"/>
    <w:rPr>
      <w:rFonts w:ascii="Times New Roman" w:hAnsi="Times New Roman" w:cs="Times New Roman"/>
    </w:rPr>
  </w:style>
  <w:style w:type="paragraph" w:styleId="NormalIndent">
    <w:name w:val="Normal Indent"/>
    <w:basedOn w:val="Normal"/>
    <w:uiPriority w:val="98"/>
    <w:semiHidden/>
    <w:rsid w:val="00424E84"/>
    <w:pPr>
      <w:ind w:left="720"/>
    </w:pPr>
  </w:style>
  <w:style w:type="paragraph" w:styleId="NoteHeading">
    <w:name w:val="Note Heading"/>
    <w:basedOn w:val="Normal"/>
    <w:next w:val="Normal"/>
    <w:link w:val="NoteHeadingChar"/>
    <w:uiPriority w:val="98"/>
    <w:semiHidden/>
    <w:rsid w:val="00424E84"/>
  </w:style>
  <w:style w:type="character" w:customStyle="1" w:styleId="NoteHeadingChar">
    <w:name w:val="Note Heading Char"/>
    <w:basedOn w:val="DefaultParagraphFont"/>
    <w:link w:val="NoteHeading"/>
    <w:uiPriority w:val="98"/>
    <w:semiHidden/>
    <w:rsid w:val="00424E84"/>
    <w:rPr>
      <w:sz w:val="24"/>
      <w:szCs w:val="24"/>
      <w:lang w:val="bg-BG"/>
    </w:rPr>
  </w:style>
  <w:style w:type="character" w:styleId="PlaceholderText">
    <w:name w:val="Placeholder Text"/>
    <w:basedOn w:val="DefaultParagraphFont"/>
    <w:uiPriority w:val="98"/>
    <w:semiHidden/>
    <w:rsid w:val="00424E8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424E84"/>
    <w:rPr>
      <w:rFonts w:ascii="Consolas" w:hAnsi="Consolas" w:cs="Consolas"/>
      <w:sz w:val="21"/>
      <w:szCs w:val="21"/>
    </w:rPr>
  </w:style>
  <w:style w:type="character" w:customStyle="1" w:styleId="PlainTextChar">
    <w:name w:val="Plain Text Char"/>
    <w:basedOn w:val="DefaultParagraphFont"/>
    <w:link w:val="PlainText"/>
    <w:uiPriority w:val="98"/>
    <w:semiHidden/>
    <w:rsid w:val="00424E84"/>
    <w:rPr>
      <w:rFonts w:ascii="Consolas" w:hAnsi="Consolas" w:cs="Consolas"/>
      <w:sz w:val="21"/>
      <w:szCs w:val="21"/>
      <w:lang w:val="bg-BG"/>
    </w:rPr>
  </w:style>
  <w:style w:type="paragraph" w:styleId="Salutation">
    <w:name w:val="Salutation"/>
    <w:basedOn w:val="Normal"/>
    <w:next w:val="Normal"/>
    <w:link w:val="SalutationChar"/>
    <w:uiPriority w:val="98"/>
    <w:semiHidden/>
    <w:rsid w:val="00424E84"/>
  </w:style>
  <w:style w:type="character" w:customStyle="1" w:styleId="SalutationChar">
    <w:name w:val="Salutation Char"/>
    <w:basedOn w:val="DefaultParagraphFont"/>
    <w:link w:val="Salutation"/>
    <w:uiPriority w:val="98"/>
    <w:semiHidden/>
    <w:rsid w:val="00424E84"/>
    <w:rPr>
      <w:sz w:val="24"/>
      <w:szCs w:val="24"/>
      <w:lang w:val="bg-BG"/>
    </w:rPr>
  </w:style>
  <w:style w:type="paragraph" w:styleId="Signature">
    <w:name w:val="Signature"/>
    <w:basedOn w:val="Normal"/>
    <w:link w:val="SignatureChar"/>
    <w:uiPriority w:val="98"/>
    <w:semiHidden/>
    <w:rsid w:val="00424E84"/>
    <w:pPr>
      <w:ind w:left="4252"/>
    </w:pPr>
  </w:style>
  <w:style w:type="character" w:customStyle="1" w:styleId="SignatureChar">
    <w:name w:val="Signature Char"/>
    <w:basedOn w:val="DefaultParagraphFont"/>
    <w:link w:val="Signature"/>
    <w:uiPriority w:val="98"/>
    <w:semiHidden/>
    <w:rsid w:val="00424E84"/>
    <w:rPr>
      <w:sz w:val="24"/>
      <w:szCs w:val="24"/>
      <w:lang w:val="bg-BG"/>
    </w:rPr>
  </w:style>
  <w:style w:type="table" w:styleId="Table3Deffects1">
    <w:name w:val="Table 3D effects 1"/>
    <w:basedOn w:val="TableNormal"/>
    <w:uiPriority w:val="99"/>
    <w:semiHidden/>
    <w:unhideWhenUsed/>
    <w:rsid w:val="00424E8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4E8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4E8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4E8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4E8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4E8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4E8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4E8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4E8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4E8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4E8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4E8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4E8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4E8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4E8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4E8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4E8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4E8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4E8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4E8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4E8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4E8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24E8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4E8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4E8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4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4E8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4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24E84"/>
    <w:pPr>
      <w:ind w:left="240" w:hanging="240"/>
    </w:pPr>
  </w:style>
  <w:style w:type="paragraph" w:styleId="TableofFigures">
    <w:name w:val="table of figures"/>
    <w:basedOn w:val="Normal"/>
    <w:next w:val="Normal"/>
    <w:uiPriority w:val="98"/>
    <w:semiHidden/>
    <w:rsid w:val="00424E84"/>
  </w:style>
  <w:style w:type="table" w:styleId="TableProfessional">
    <w:name w:val="Table Professional"/>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4E8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4E8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4E8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4E8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4E8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4E8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4E8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4E8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24E8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24E8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24E84"/>
    <w:pPr>
      <w:spacing w:after="100"/>
      <w:ind w:left="1680"/>
    </w:pPr>
  </w:style>
  <w:style w:type="paragraph" w:styleId="TOC9">
    <w:name w:val="toc 9"/>
    <w:basedOn w:val="Normal"/>
    <w:next w:val="Normal"/>
    <w:autoRedefine/>
    <w:uiPriority w:val="98"/>
    <w:semiHidden/>
    <w:rsid w:val="00424E8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424E8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24E8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424E8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424E8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424E84"/>
    <w:pPr>
      <w:numPr>
        <w:numId w:val="18"/>
      </w:numPr>
      <w:spacing w:before="60" w:after="60"/>
    </w:pPr>
  </w:style>
  <w:style w:type="paragraph" w:customStyle="1" w:styleId="ECHRBullet2">
    <w:name w:val="ECHR_Bullet_2"/>
    <w:aliases w:val="_Bul_2"/>
    <w:basedOn w:val="ECHRBullet1"/>
    <w:uiPriority w:val="23"/>
    <w:semiHidden/>
    <w:rsid w:val="00424E84"/>
    <w:pPr>
      <w:numPr>
        <w:ilvl w:val="1"/>
      </w:numPr>
    </w:pPr>
  </w:style>
  <w:style w:type="paragraph" w:customStyle="1" w:styleId="ECHRBullet3">
    <w:name w:val="ECHR_Bullet_3"/>
    <w:aliases w:val="_Bul_3"/>
    <w:basedOn w:val="ECHRBullet2"/>
    <w:uiPriority w:val="23"/>
    <w:semiHidden/>
    <w:rsid w:val="00424E84"/>
    <w:pPr>
      <w:numPr>
        <w:ilvl w:val="2"/>
      </w:numPr>
    </w:pPr>
  </w:style>
  <w:style w:type="paragraph" w:customStyle="1" w:styleId="ECHRBullet4">
    <w:name w:val="ECHR_Bullet_4"/>
    <w:aliases w:val="_Bul_4"/>
    <w:basedOn w:val="ECHRBullet3"/>
    <w:uiPriority w:val="23"/>
    <w:semiHidden/>
    <w:rsid w:val="00424E84"/>
    <w:pPr>
      <w:numPr>
        <w:ilvl w:val="3"/>
      </w:numPr>
    </w:pPr>
  </w:style>
  <w:style w:type="paragraph" w:customStyle="1" w:styleId="ECHRConfidential">
    <w:name w:val="ECHR_Confidential"/>
    <w:aliases w:val="_Confidential"/>
    <w:basedOn w:val="Normal"/>
    <w:next w:val="Normal"/>
    <w:uiPriority w:val="42"/>
    <w:semiHidden/>
    <w:qFormat/>
    <w:rsid w:val="00424E84"/>
    <w:pPr>
      <w:jc w:val="right"/>
    </w:pPr>
    <w:rPr>
      <w:color w:val="C00000"/>
      <w:sz w:val="20"/>
    </w:rPr>
  </w:style>
  <w:style w:type="paragraph" w:customStyle="1" w:styleId="ECHRDecisionBody">
    <w:name w:val="ECHR_Decision_Body"/>
    <w:aliases w:val="_Decision_Body"/>
    <w:basedOn w:val="NormalJustified"/>
    <w:uiPriority w:val="54"/>
    <w:semiHidden/>
    <w:rsid w:val="00424E8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424E8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424E8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424E8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424E84"/>
    <w:pPr>
      <w:jc w:val="right"/>
    </w:pPr>
    <w:rPr>
      <w:sz w:val="20"/>
    </w:rPr>
  </w:style>
  <w:style w:type="paragraph" w:customStyle="1" w:styleId="ECHRHeaderRefIt">
    <w:name w:val="ECHR_Header_Ref_It"/>
    <w:aliases w:val="_Ref_Ital"/>
    <w:basedOn w:val="Normal"/>
    <w:next w:val="ECHRHeaderDate"/>
    <w:uiPriority w:val="43"/>
    <w:semiHidden/>
    <w:qFormat/>
    <w:rsid w:val="00424E84"/>
    <w:pPr>
      <w:jc w:val="right"/>
    </w:pPr>
    <w:rPr>
      <w:i/>
      <w:sz w:val="20"/>
    </w:rPr>
  </w:style>
  <w:style w:type="paragraph" w:customStyle="1" w:styleId="ECHRHeading9">
    <w:name w:val="ECHR_Heading_9"/>
    <w:aliases w:val="_Head_9"/>
    <w:basedOn w:val="Heading9"/>
    <w:uiPriority w:val="17"/>
    <w:semiHidden/>
    <w:rsid w:val="00424E84"/>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424E8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424E84"/>
    <w:pPr>
      <w:numPr>
        <w:numId w:val="19"/>
      </w:numPr>
      <w:spacing w:before="60" w:after="60"/>
    </w:pPr>
  </w:style>
  <w:style w:type="paragraph" w:customStyle="1" w:styleId="ECHRNumberedList2">
    <w:name w:val="ECHR_Numbered_List_2"/>
    <w:aliases w:val="_Num_2"/>
    <w:basedOn w:val="ECHRNumberedList1"/>
    <w:uiPriority w:val="23"/>
    <w:semiHidden/>
    <w:rsid w:val="00424E84"/>
    <w:pPr>
      <w:numPr>
        <w:ilvl w:val="1"/>
      </w:numPr>
    </w:pPr>
  </w:style>
  <w:style w:type="paragraph" w:customStyle="1" w:styleId="ECHRNumberedList3">
    <w:name w:val="ECHR_Numbered_List_3"/>
    <w:aliases w:val="_Num_3"/>
    <w:basedOn w:val="ECHRNumberedList2"/>
    <w:uiPriority w:val="23"/>
    <w:semiHidden/>
    <w:rsid w:val="00424E84"/>
    <w:pPr>
      <w:numPr>
        <w:ilvl w:val="2"/>
      </w:numPr>
    </w:pPr>
  </w:style>
  <w:style w:type="paragraph" w:customStyle="1" w:styleId="ECHRParaHanging">
    <w:name w:val="ECHR_Para_Hanging"/>
    <w:aliases w:val="_Hanging"/>
    <w:basedOn w:val="NormalJustified"/>
    <w:uiPriority w:val="8"/>
    <w:semiHidden/>
    <w:qFormat/>
    <w:rsid w:val="00424E84"/>
    <w:pPr>
      <w:ind w:left="567" w:hanging="567"/>
    </w:pPr>
  </w:style>
  <w:style w:type="paragraph" w:customStyle="1" w:styleId="ECHRParaIndent">
    <w:name w:val="ECHR_Para_Indent"/>
    <w:aliases w:val="_Indent"/>
    <w:basedOn w:val="NormalJustified"/>
    <w:uiPriority w:val="7"/>
    <w:semiHidden/>
    <w:qFormat/>
    <w:rsid w:val="00424E84"/>
    <w:pPr>
      <w:spacing w:before="120" w:after="120"/>
      <w:ind w:left="284"/>
    </w:pPr>
  </w:style>
  <w:style w:type="character" w:customStyle="1" w:styleId="ECHRRed">
    <w:name w:val="ECHR_Red"/>
    <w:aliases w:val="_Red"/>
    <w:basedOn w:val="DefaultParagraphFont"/>
    <w:uiPriority w:val="15"/>
    <w:semiHidden/>
    <w:qFormat/>
    <w:rsid w:val="00424E84"/>
    <w:rPr>
      <w:color w:val="C00000" w:themeColor="accent2"/>
    </w:rPr>
  </w:style>
  <w:style w:type="paragraph" w:customStyle="1" w:styleId="DecList">
    <w:name w:val="Dec_List"/>
    <w:aliases w:val="_List"/>
    <w:basedOn w:val="JuList"/>
    <w:uiPriority w:val="22"/>
    <w:rsid w:val="00424E84"/>
    <w:pPr>
      <w:numPr>
        <w:numId w:val="0"/>
      </w:numPr>
      <w:ind w:left="284"/>
    </w:pPr>
  </w:style>
  <w:style w:type="table" w:customStyle="1" w:styleId="ECHRTable2">
    <w:name w:val="ECHR_Table_2"/>
    <w:basedOn w:val="TableNormal"/>
    <w:uiPriority w:val="99"/>
    <w:rsid w:val="00424E8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24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424E8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424E8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424E8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424E8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424E8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424E8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424E84"/>
    <w:pPr>
      <w:outlineLvl w:val="0"/>
    </w:pPr>
  </w:style>
  <w:style w:type="paragraph" w:customStyle="1" w:styleId="ECHRTitleTOC1">
    <w:name w:val="ECHR_Title_TOC_1"/>
    <w:aliases w:val="_Title_L_TOC"/>
    <w:basedOn w:val="ECHRTitle1"/>
    <w:next w:val="Normal"/>
    <w:uiPriority w:val="27"/>
    <w:semiHidden/>
    <w:qFormat/>
    <w:rsid w:val="00424E84"/>
    <w:pPr>
      <w:outlineLvl w:val="0"/>
    </w:pPr>
  </w:style>
  <w:style w:type="paragraph" w:customStyle="1" w:styleId="ECHRPlaceholder">
    <w:name w:val="ECHR_Placeholder"/>
    <w:aliases w:val="_Placeholder"/>
    <w:basedOn w:val="JuSigned"/>
    <w:uiPriority w:val="31"/>
    <w:rsid w:val="00424E84"/>
    <w:rPr>
      <w:color w:val="FFFFFF"/>
    </w:rPr>
  </w:style>
  <w:style w:type="paragraph" w:customStyle="1" w:styleId="ECHRSpacer">
    <w:name w:val="ECHR_Spacer"/>
    <w:aliases w:val="_Spacer"/>
    <w:basedOn w:val="Normal"/>
    <w:uiPriority w:val="45"/>
    <w:semiHidden/>
    <w:rsid w:val="00424E84"/>
    <w:rPr>
      <w:sz w:val="4"/>
    </w:rPr>
  </w:style>
  <w:style w:type="table" w:customStyle="1" w:styleId="ECHRTableGrey">
    <w:name w:val="ECHR_Table_Grey"/>
    <w:basedOn w:val="TableNormal"/>
    <w:uiPriority w:val="99"/>
    <w:rsid w:val="00424E8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424E84"/>
    <w:rPr>
      <w:color w:val="605E5C"/>
      <w:shd w:val="clear" w:color="auto" w:fill="E1DFDD"/>
    </w:rPr>
  </w:style>
  <w:style w:type="character" w:customStyle="1" w:styleId="JuParaChar">
    <w:name w:val="Ju_Para Char"/>
    <w:aliases w:val="_Para Char"/>
    <w:link w:val="JuPara"/>
    <w:uiPriority w:val="4"/>
    <w:rsid w:val="00685E80"/>
    <w:rPr>
      <w:sz w:val="24"/>
      <w:szCs w:val="24"/>
      <w:lang w:val="bg-BG"/>
    </w:rPr>
  </w:style>
  <w:style w:type="table" w:styleId="GridTable1Light">
    <w:name w:val="Grid Table 1 Light"/>
    <w:basedOn w:val="TableNormal"/>
    <w:uiPriority w:val="46"/>
    <w:semiHidden/>
    <w:rsid w:val="00424E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24E8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24E8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24E84"/>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24E8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24E8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24E8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24E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24E8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424E8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424E84"/>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424E8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424E8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424E8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424E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24E8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424E8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424E8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424E8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424E8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424E8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424E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24E8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424E8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424E8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424E8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424E8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424E8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424E84"/>
    <w:rPr>
      <w:color w:val="2B579A"/>
      <w:shd w:val="clear" w:color="auto" w:fill="E1DFDD"/>
    </w:rPr>
  </w:style>
  <w:style w:type="table" w:styleId="ListTable1Light">
    <w:name w:val="List Table 1 Light"/>
    <w:basedOn w:val="TableNormal"/>
    <w:uiPriority w:val="46"/>
    <w:semiHidden/>
    <w:rsid w:val="00424E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24E8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424E8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424E84"/>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424E8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424E8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424E8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424E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24E8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424E8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424E84"/>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424E8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424E8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424E8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424E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24E8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424E8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424E84"/>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424E8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424E8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424E8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424E84"/>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24E84"/>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24E84"/>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24E84"/>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24E84"/>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24E84"/>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24E84"/>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24E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24E8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424E8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424E84"/>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424E8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424E8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424E8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424E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24E8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24E8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24E84"/>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24E8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24E8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24E8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424E84"/>
    <w:rPr>
      <w:color w:val="2B579A"/>
      <w:shd w:val="clear" w:color="auto" w:fill="E1DFDD"/>
    </w:rPr>
  </w:style>
  <w:style w:type="table" w:styleId="PlainTable1">
    <w:name w:val="Plain Table 1"/>
    <w:basedOn w:val="TableNormal"/>
    <w:uiPriority w:val="41"/>
    <w:semiHidden/>
    <w:rsid w:val="00424E84"/>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424E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24E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24E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424E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424E84"/>
    <w:rPr>
      <w:u w:val="dotted"/>
    </w:rPr>
  </w:style>
  <w:style w:type="character" w:customStyle="1" w:styleId="SmartLink1">
    <w:name w:val="SmartLink1"/>
    <w:basedOn w:val="DefaultParagraphFont"/>
    <w:uiPriority w:val="99"/>
    <w:semiHidden/>
    <w:unhideWhenUsed/>
    <w:rsid w:val="00424E84"/>
    <w:rPr>
      <w:color w:val="0000FF"/>
      <w:u w:val="single"/>
      <w:shd w:val="clear" w:color="auto" w:fill="F3F2F1"/>
    </w:rPr>
  </w:style>
  <w:style w:type="table" w:styleId="TableGridLight">
    <w:name w:val="Grid Table Light"/>
    <w:basedOn w:val="TableNormal"/>
    <w:uiPriority w:val="40"/>
    <w:semiHidden/>
    <w:rsid w:val="00424E84"/>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2425-2290-47E3-9BD9-F72EECB9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2024-04-10T07:12:00Z</dcterms:created>
  <dcterms:modified xsi:type="dcterms:W3CDTF">2024-04-11T10:00:00Z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804829</vt:lpwstr>
  </property>
  <property fmtid="{D5CDD505-2E9C-101B-9397-08002B2CF9AE}" pid="3" name="cstLanguage">
    <vt:i4>2057</vt:i4>
  </property>
  <property fmtid="{D5CDD505-2E9C-101B-9397-08002B2CF9AE}" pid="4" name="RegisteredNo">
    <vt:lpwstr>36250/12</vt:lpwstr>
  </property>
  <property fmtid="{D5CDD505-2E9C-101B-9397-08002B2CF9AE}" pid="5" name="_MarkAsFinal">
    <vt:bool>true</vt:bool>
  </property>
</Properties>
</file>