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91" w:rsidRPr="001E7EB1" w:rsidRDefault="00B32591" w:rsidP="0055370D">
      <w:pPr>
        <w:jc w:val="center"/>
        <w:rPr>
          <w:lang w:val="bg-BG"/>
        </w:rPr>
      </w:pPr>
      <w:bookmarkStart w:id="0" w:name="_GoBack"/>
      <w:bookmarkEnd w:id="0"/>
    </w:p>
    <w:p w:rsidR="00B32591" w:rsidRPr="001E7EB1" w:rsidRDefault="00B32591" w:rsidP="0055370D">
      <w:pPr>
        <w:jc w:val="center"/>
        <w:rPr>
          <w:sz w:val="4"/>
          <w:szCs w:val="4"/>
          <w:lang w:val="bg-BG"/>
        </w:rPr>
      </w:pPr>
    </w:p>
    <w:p w:rsidR="00B32591" w:rsidRPr="001E7EB1" w:rsidRDefault="00972D08" w:rsidP="0055370D">
      <w:pPr>
        <w:pStyle w:val="DecHTitle"/>
        <w:rPr>
          <w:lang w:val="bg-BG"/>
        </w:rPr>
      </w:pPr>
      <w:r w:rsidRPr="001E7EB1">
        <w:rPr>
          <w:lang w:val="bg-BG"/>
        </w:rPr>
        <w:t>ТРЕТИ РАЗДЕЛ</w:t>
      </w:r>
    </w:p>
    <w:p w:rsidR="00B32591" w:rsidRPr="000B7AF6" w:rsidRDefault="00972D08" w:rsidP="0055370D">
      <w:pPr>
        <w:pStyle w:val="DecHTitle"/>
        <w:rPr>
          <w:lang w:val="bg-BG"/>
        </w:rPr>
      </w:pPr>
      <w:r w:rsidRPr="001E7EB1">
        <w:rPr>
          <w:lang w:val="bg-BG"/>
        </w:rPr>
        <w:t>РЕШЕНИЕ</w:t>
      </w:r>
      <w:r w:rsidR="009026AC" w:rsidRPr="001E7EB1">
        <w:rPr>
          <w:lang w:val="bg-BG"/>
        </w:rPr>
        <w:t xml:space="preserve"> ПО ДОПУСТИМОСТ</w:t>
      </w:r>
    </w:p>
    <w:p w:rsidR="00B32591" w:rsidRPr="001E7EB1" w:rsidRDefault="009026AC" w:rsidP="0055370D">
      <w:pPr>
        <w:pStyle w:val="DecHCase"/>
        <w:rPr>
          <w:i/>
          <w:lang w:val="bg-BG"/>
        </w:rPr>
      </w:pPr>
      <w:r w:rsidRPr="001E7EB1">
        <w:rPr>
          <w:lang w:val="bg-BG"/>
        </w:rPr>
        <w:t xml:space="preserve">Жалба </w:t>
      </w:r>
      <w:r w:rsidR="00972D08" w:rsidRPr="001E7EB1">
        <w:rPr>
          <w:lang w:val="bg-BG"/>
        </w:rPr>
        <w:t xml:space="preserve">№ </w:t>
      </w:r>
      <w:r w:rsidR="006267D3" w:rsidRPr="001E7EB1">
        <w:rPr>
          <w:lang w:val="bg-BG"/>
        </w:rPr>
        <w:t xml:space="preserve">50643/20 </w:t>
      </w:r>
      <w:r w:rsidR="006267D3" w:rsidRPr="001E7EB1">
        <w:rPr>
          <w:lang w:val="bg-BG"/>
        </w:rPr>
        <w:br/>
      </w:r>
      <w:r w:rsidR="00972D08" w:rsidRPr="001E7EB1">
        <w:rPr>
          <w:lang w:val="bg-BG"/>
        </w:rPr>
        <w:t xml:space="preserve">НАЦИОНАЛНА ЛОТАРИЯ АД и други </w:t>
      </w:r>
      <w:r w:rsidR="00972D08" w:rsidRPr="001E7EB1">
        <w:rPr>
          <w:lang w:val="bg-BG"/>
        </w:rPr>
        <w:br/>
      </w:r>
      <w:r w:rsidR="006267D3" w:rsidRPr="001E7EB1">
        <w:rPr>
          <w:lang w:val="bg-BG"/>
        </w:rPr>
        <w:t>срещу България</w:t>
      </w:r>
    </w:p>
    <w:p w:rsidR="00B32591" w:rsidRPr="001E7EB1" w:rsidRDefault="00B32591" w:rsidP="0055370D">
      <w:pPr>
        <w:rPr>
          <w:sz w:val="2"/>
          <w:szCs w:val="2"/>
          <w:lang w:val="bg-BG"/>
        </w:rPr>
      </w:pP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t>Европейският съд по правата на човека (Трет</w:t>
      </w:r>
      <w:r w:rsidR="009026AC" w:rsidRPr="001E7EB1">
        <w:rPr>
          <w:lang w:val="bg-BG"/>
        </w:rPr>
        <w:t>а секция</w:t>
      </w:r>
      <w:r w:rsidRPr="001E7EB1">
        <w:rPr>
          <w:lang w:val="bg-BG"/>
        </w:rPr>
        <w:t>), заседаващ на 20 май 2025 г. като комитет в състав:</w:t>
      </w:r>
    </w:p>
    <w:p w:rsidR="00A32E76" w:rsidRPr="001E7EB1" w:rsidRDefault="00972D08" w:rsidP="0055370D">
      <w:pPr>
        <w:pStyle w:val="JuJudges"/>
        <w:rPr>
          <w:iCs/>
          <w:lang w:val="bg-BG"/>
        </w:rPr>
      </w:pPr>
      <w:r w:rsidRPr="001E7EB1">
        <w:rPr>
          <w:lang w:val="bg-BG"/>
        </w:rPr>
        <w:tab/>
      </w:r>
      <w:proofErr w:type="spellStart"/>
      <w:r w:rsidRPr="001E7EB1">
        <w:rPr>
          <w:lang w:val="bg-BG"/>
        </w:rPr>
        <w:t>Peeter</w:t>
      </w:r>
      <w:proofErr w:type="spellEnd"/>
      <w:r w:rsidRPr="001E7EB1">
        <w:rPr>
          <w:lang w:val="bg-BG"/>
        </w:rPr>
        <w:t xml:space="preserve"> </w:t>
      </w:r>
      <w:proofErr w:type="spellStart"/>
      <w:r w:rsidRPr="001E7EB1">
        <w:rPr>
          <w:lang w:val="bg-BG"/>
        </w:rPr>
        <w:t>Roosma</w:t>
      </w:r>
      <w:proofErr w:type="spellEnd"/>
      <w:r w:rsidRPr="001E7EB1">
        <w:rPr>
          <w:lang w:val="bg-BG"/>
        </w:rPr>
        <w:t xml:space="preserve"> </w:t>
      </w:r>
      <w:r w:rsidRPr="001E7EB1">
        <w:rPr>
          <w:i/>
          <w:lang w:val="bg-BG"/>
        </w:rPr>
        <w:t>, председател</w:t>
      </w:r>
      <w:r w:rsidRPr="001E7EB1">
        <w:rPr>
          <w:lang w:val="bg-BG"/>
        </w:rPr>
        <w:t xml:space="preserve">, </w:t>
      </w:r>
      <w:r w:rsidRPr="001E7EB1">
        <w:rPr>
          <w:lang w:val="bg-BG"/>
        </w:rPr>
        <w:br/>
      </w:r>
      <w:r w:rsidRPr="001E7EB1">
        <w:rPr>
          <w:lang w:val="bg-BG"/>
        </w:rPr>
        <w:tab/>
        <w:t xml:space="preserve">Диана Ковачева, </w:t>
      </w:r>
      <w:r w:rsidRPr="001E7EB1">
        <w:rPr>
          <w:lang w:val="bg-BG"/>
        </w:rPr>
        <w:br/>
      </w:r>
      <w:r w:rsidRPr="001E7EB1">
        <w:rPr>
          <w:lang w:val="bg-BG"/>
        </w:rPr>
        <w:tab/>
      </w:r>
      <w:proofErr w:type="spellStart"/>
      <w:r w:rsidRPr="001E7EB1">
        <w:rPr>
          <w:lang w:val="bg-BG"/>
        </w:rPr>
        <w:t>Canòlic</w:t>
      </w:r>
      <w:proofErr w:type="spellEnd"/>
      <w:r w:rsidRPr="001E7EB1">
        <w:rPr>
          <w:lang w:val="bg-BG"/>
        </w:rPr>
        <w:t xml:space="preserve"> </w:t>
      </w:r>
      <w:proofErr w:type="spellStart"/>
      <w:r w:rsidRPr="001E7EB1">
        <w:rPr>
          <w:lang w:val="bg-BG"/>
        </w:rPr>
        <w:t>Mingorance</w:t>
      </w:r>
      <w:proofErr w:type="spellEnd"/>
      <w:r w:rsidRPr="001E7EB1">
        <w:rPr>
          <w:lang w:val="bg-BG"/>
        </w:rPr>
        <w:t xml:space="preserve"> </w:t>
      </w:r>
      <w:proofErr w:type="spellStart"/>
      <w:r w:rsidRPr="001E7EB1">
        <w:rPr>
          <w:lang w:val="bg-BG"/>
        </w:rPr>
        <w:t>Cairat</w:t>
      </w:r>
      <w:proofErr w:type="spellEnd"/>
      <w:r w:rsidRPr="001E7EB1">
        <w:rPr>
          <w:lang w:val="bg-BG"/>
        </w:rPr>
        <w:t xml:space="preserve"> </w:t>
      </w:r>
      <w:r w:rsidRPr="001E7EB1">
        <w:rPr>
          <w:i/>
          <w:lang w:val="bg-BG"/>
        </w:rPr>
        <w:t>, съдии</w:t>
      </w:r>
      <w:r w:rsidRPr="001E7EB1">
        <w:rPr>
          <w:lang w:val="bg-BG"/>
        </w:rPr>
        <w:t xml:space="preserve">, </w:t>
      </w:r>
      <w:r w:rsidRPr="001E7EB1">
        <w:rPr>
          <w:lang w:val="bg-BG"/>
        </w:rPr>
        <w:br/>
        <w:t xml:space="preserve">и Олга </w:t>
      </w:r>
      <w:proofErr w:type="spellStart"/>
      <w:r w:rsidRPr="001E7EB1">
        <w:rPr>
          <w:lang w:val="bg-BG"/>
        </w:rPr>
        <w:t>Чернишова</w:t>
      </w:r>
      <w:proofErr w:type="spellEnd"/>
      <w:r w:rsidRPr="001E7EB1">
        <w:rPr>
          <w:lang w:val="bg-BG"/>
        </w:rPr>
        <w:t xml:space="preserve">, </w:t>
      </w:r>
      <w:r w:rsidRPr="00837AD8">
        <w:rPr>
          <w:i/>
          <w:lang w:val="bg-BG"/>
        </w:rPr>
        <w:t>зам</w:t>
      </w:r>
      <w:r w:rsidR="00837AD8" w:rsidRPr="000B7AF6">
        <w:rPr>
          <w:i/>
          <w:lang w:val="bg-BG"/>
        </w:rPr>
        <w:t>естник секретар</w:t>
      </w:r>
      <w:r w:rsidR="00837AD8">
        <w:rPr>
          <w:lang w:val="bg-BG"/>
        </w:rPr>
        <w:t xml:space="preserve"> </w:t>
      </w:r>
      <w:r w:rsidRPr="001E7EB1">
        <w:rPr>
          <w:i/>
          <w:iCs/>
          <w:lang w:val="bg-BG"/>
        </w:rPr>
        <w:t xml:space="preserve">на секцията </w:t>
      </w:r>
      <w:r w:rsidRPr="001E7EB1">
        <w:rPr>
          <w:i/>
          <w:lang w:val="bg-BG"/>
        </w:rPr>
        <w:t>,</w:t>
      </w: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t xml:space="preserve">Като </w:t>
      </w:r>
      <w:r w:rsidR="009A16B3" w:rsidRPr="001E7EB1">
        <w:rPr>
          <w:lang w:val="bg-BG"/>
        </w:rPr>
        <w:t>взе</w:t>
      </w:r>
      <w:r w:rsidRPr="001E7EB1">
        <w:rPr>
          <w:lang w:val="bg-BG"/>
        </w:rPr>
        <w:t xml:space="preserve"> предвид:</w:t>
      </w: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t xml:space="preserve">жалбата (№ 50643/20) срещу Република България, подадена до Съда по член 34 от Конвенцията за защита на правата на човека и основните свободи („Конвенцията“) на 13 ноември 2020 г. от три български дружества и двама български граждани, чиито съответни данни са </w:t>
      </w:r>
      <w:r w:rsidR="00547A00" w:rsidRPr="001E7EB1">
        <w:rPr>
          <w:lang w:val="bg-BG"/>
        </w:rPr>
        <w:t xml:space="preserve">посочени </w:t>
      </w:r>
      <w:r w:rsidRPr="001E7EB1">
        <w:rPr>
          <w:lang w:val="bg-BG"/>
        </w:rPr>
        <w:t>в приложената таблица („жалбоподателите“);</w:t>
      </w: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t xml:space="preserve">решението за </w:t>
      </w:r>
      <w:r w:rsidR="009013F9" w:rsidRPr="001E7EB1">
        <w:rPr>
          <w:lang w:val="bg-BG"/>
        </w:rPr>
        <w:t>комуникиране на</w:t>
      </w:r>
      <w:r w:rsidR="00CE3765" w:rsidRPr="001E7EB1">
        <w:rPr>
          <w:lang w:val="bg-BG"/>
        </w:rPr>
        <w:t xml:space="preserve"> </w:t>
      </w:r>
      <w:r w:rsidR="00547A00" w:rsidRPr="001E7EB1">
        <w:rPr>
          <w:lang w:val="bg-BG"/>
        </w:rPr>
        <w:t xml:space="preserve">оплакванията </w:t>
      </w:r>
      <w:r w:rsidRPr="001E7EB1">
        <w:rPr>
          <w:lang w:val="bg-BG"/>
        </w:rPr>
        <w:t xml:space="preserve">относно </w:t>
      </w:r>
      <w:proofErr w:type="spellStart"/>
      <w:r w:rsidR="00547A00" w:rsidRPr="000B7AF6">
        <w:rPr>
          <w:i/>
          <w:lang w:val="bg-BG"/>
        </w:rPr>
        <w:t>ex</w:t>
      </w:r>
      <w:proofErr w:type="spellEnd"/>
      <w:r w:rsidR="00547A00" w:rsidRPr="000B7AF6">
        <w:rPr>
          <w:i/>
          <w:lang w:val="bg-BG"/>
        </w:rPr>
        <w:t xml:space="preserve"> </w:t>
      </w:r>
      <w:proofErr w:type="spellStart"/>
      <w:r w:rsidR="00547A00" w:rsidRPr="000B7AF6">
        <w:rPr>
          <w:i/>
          <w:lang w:val="bg-BG"/>
        </w:rPr>
        <w:t>lege</w:t>
      </w:r>
      <w:proofErr w:type="spellEnd"/>
      <w:r w:rsidR="00547A00" w:rsidRPr="001E7EB1">
        <w:rPr>
          <w:lang w:val="bg-BG"/>
        </w:rPr>
        <w:t xml:space="preserve"> отнемането на</w:t>
      </w:r>
      <w:r w:rsidRPr="001E7EB1">
        <w:rPr>
          <w:lang w:val="bg-BG"/>
        </w:rPr>
        <w:t xml:space="preserve"> лицензите за хазарт на двама от жалбоподателите</w:t>
      </w:r>
      <w:r w:rsidR="009013F9" w:rsidRPr="001E7EB1">
        <w:rPr>
          <w:lang w:val="bg-BG"/>
        </w:rPr>
        <w:t xml:space="preserve"> на българското правителство („Правителството“)</w:t>
      </w:r>
      <w:r w:rsidRPr="001E7EB1">
        <w:rPr>
          <w:lang w:val="bg-BG"/>
        </w:rPr>
        <w:t xml:space="preserve">, представлявано от </w:t>
      </w:r>
      <w:r w:rsidR="009013F9" w:rsidRPr="001E7EB1">
        <w:rPr>
          <w:lang w:val="bg-BG"/>
        </w:rPr>
        <w:t xml:space="preserve">неговия </w:t>
      </w:r>
      <w:r w:rsidRPr="001E7EB1">
        <w:rPr>
          <w:lang w:val="bg-BG"/>
        </w:rPr>
        <w:t>агент, г-жа И. Станчева-Чинова от Министерството на правосъдието, и да обяви останалата част от жалбата за недопустима;</w:t>
      </w: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t>становищата на страните;</w:t>
      </w: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t>След като обсъди, реши следното:</w:t>
      </w:r>
    </w:p>
    <w:p w:rsidR="00A32E76" w:rsidRPr="001E7EB1" w:rsidRDefault="00972D08" w:rsidP="0055370D">
      <w:pPr>
        <w:pStyle w:val="JuHHead"/>
        <w:numPr>
          <w:ilvl w:val="0"/>
          <w:numId w:val="0"/>
        </w:numPr>
        <w:rPr>
          <w:lang w:val="bg-BG"/>
        </w:rPr>
      </w:pPr>
      <w:r w:rsidRPr="001E7EB1">
        <w:rPr>
          <w:lang w:val="bg-BG"/>
        </w:rPr>
        <w:t>ПРЕДМЕТ НА ДЕЛОТО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Делото се отнася до законодателни изменения, въведени през февруари 2020 г., </w:t>
      </w:r>
      <w:r w:rsidR="0040158E">
        <w:rPr>
          <w:lang w:val="bg-BG"/>
        </w:rPr>
        <w:t xml:space="preserve">с </w:t>
      </w:r>
      <w:r w:rsidR="00972D08" w:rsidRPr="001E7EB1">
        <w:rPr>
          <w:lang w:val="bg-BG"/>
        </w:rPr>
        <w:t xml:space="preserve">които </w:t>
      </w:r>
      <w:r w:rsidR="0040158E">
        <w:rPr>
          <w:lang w:val="bg-BG"/>
        </w:rPr>
        <w:t xml:space="preserve">се </w:t>
      </w:r>
      <w:r w:rsidR="008A1E09" w:rsidRPr="001E7EB1">
        <w:rPr>
          <w:lang w:val="bg-BG"/>
        </w:rPr>
        <w:t xml:space="preserve">отнемат </w:t>
      </w:r>
      <w:r w:rsidR="00972D08" w:rsidRPr="001E7EB1">
        <w:rPr>
          <w:lang w:val="bg-BG"/>
        </w:rPr>
        <w:t>лицензите за хазарт, притежавани от две компании-жалбоподатели.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2.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Първият и вторият жалбоподател – „Национална лотария“ АД и „Ню </w:t>
      </w:r>
      <w:proofErr w:type="spellStart"/>
      <w:r w:rsidR="00972D08" w:rsidRPr="001E7EB1">
        <w:rPr>
          <w:lang w:val="bg-BG"/>
        </w:rPr>
        <w:t>Геймс</w:t>
      </w:r>
      <w:proofErr w:type="spellEnd"/>
      <w:r w:rsidR="00972D08" w:rsidRPr="001E7EB1">
        <w:rPr>
          <w:lang w:val="bg-BG"/>
        </w:rPr>
        <w:t xml:space="preserve">“ АД – са акционерни дружества, които до началото на 2020 г. </w:t>
      </w:r>
      <w:r w:rsidR="008A1E09" w:rsidRPr="001E7EB1">
        <w:rPr>
          <w:lang w:val="bg-BG"/>
        </w:rPr>
        <w:t xml:space="preserve">са </w:t>
      </w:r>
      <w:r w:rsidR="00972D08" w:rsidRPr="001E7EB1">
        <w:rPr>
          <w:lang w:val="bg-BG"/>
        </w:rPr>
        <w:t>сред водещите участници в хазартния сектор на България. Те притежава</w:t>
      </w:r>
      <w:r w:rsidR="008A1E09" w:rsidRPr="001E7EB1">
        <w:rPr>
          <w:lang w:val="bg-BG"/>
        </w:rPr>
        <w:t>т</w:t>
      </w:r>
      <w:r w:rsidR="00972D08" w:rsidRPr="001E7EB1">
        <w:rPr>
          <w:lang w:val="bg-BG"/>
        </w:rPr>
        <w:t xml:space="preserve"> </w:t>
      </w:r>
      <w:r w:rsidR="008A1E09" w:rsidRPr="001E7EB1">
        <w:rPr>
          <w:lang w:val="bg-BG"/>
        </w:rPr>
        <w:t xml:space="preserve">хазартни </w:t>
      </w:r>
      <w:r w:rsidR="00972D08" w:rsidRPr="001E7EB1">
        <w:rPr>
          <w:lang w:val="bg-BG"/>
        </w:rPr>
        <w:t xml:space="preserve">лицензи за различни лотарийни игри, чийто срок </w:t>
      </w:r>
      <w:r w:rsidR="00972D08" w:rsidRPr="001E7EB1">
        <w:rPr>
          <w:lang w:val="bg-BG"/>
        </w:rPr>
        <w:lastRenderedPageBreak/>
        <w:t>изтича между 2022 г. и 2025 г. Повече информация за „Национална лотария“ АД е налична в решение по друг</w:t>
      </w:r>
      <w:r w:rsidR="00B16408" w:rsidRPr="001E7EB1">
        <w:rPr>
          <w:lang w:val="bg-BG"/>
        </w:rPr>
        <w:t>а жалба</w:t>
      </w:r>
      <w:r w:rsidR="00972D08" w:rsidRPr="001E7EB1">
        <w:rPr>
          <w:lang w:val="bg-BG"/>
        </w:rPr>
        <w:t>, подаден</w:t>
      </w:r>
      <w:r w:rsidR="0040158E">
        <w:rPr>
          <w:lang w:val="bg-BG"/>
        </w:rPr>
        <w:t>а</w:t>
      </w:r>
      <w:r w:rsidR="00972D08" w:rsidRPr="001E7EB1">
        <w:rPr>
          <w:lang w:val="bg-BG"/>
        </w:rPr>
        <w:t xml:space="preserve"> от дружеството – вж. </w:t>
      </w:r>
      <w:r w:rsidR="00972D08" w:rsidRPr="001E7EB1">
        <w:rPr>
          <w:i/>
          <w:iCs/>
          <w:lang w:val="bg-BG"/>
        </w:rPr>
        <w:t xml:space="preserve">„Еврофутбол“ ООД и други срещу България </w:t>
      </w:r>
      <w:r w:rsidR="00972D08" w:rsidRPr="001E7EB1">
        <w:rPr>
          <w:lang w:val="bg-BG"/>
        </w:rPr>
        <w:t>(решение) (№ 1284/21 и 14181/21, 10 декември 2024 г.).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3.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>Останалите трима жалбоподатели са миноритарни акционери в първия и втория жалбоподател.</w:t>
      </w:r>
    </w:p>
    <w:p w:rsidR="00A32E76" w:rsidRPr="001E7EB1" w:rsidRDefault="00967707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bookmarkStart w:id="1" w:name="paragraph00003"/>
      <w:r w:rsidR="0055370D" w:rsidRPr="001E7EB1">
        <w:rPr>
          <w:lang w:val="bg-BG"/>
        </w:rPr>
        <w:t xml:space="preserve">4. </w:t>
      </w:r>
      <w:bookmarkEnd w:id="1"/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В началото на 2020 г. българският парламент </w:t>
      </w:r>
      <w:r w:rsidR="00B16408" w:rsidRPr="001E7EB1">
        <w:rPr>
          <w:lang w:val="bg-BG"/>
        </w:rPr>
        <w:t xml:space="preserve">изменя </w:t>
      </w:r>
      <w:r w:rsidR="00972D08" w:rsidRPr="001E7EB1">
        <w:rPr>
          <w:lang w:val="bg-BG"/>
        </w:rPr>
        <w:t xml:space="preserve">Закона за хазарта от 2012 г., </w:t>
      </w:r>
      <w:r w:rsidR="001E7EB1" w:rsidRPr="001E7EB1">
        <w:rPr>
          <w:lang w:val="bg-BG"/>
        </w:rPr>
        <w:t xml:space="preserve">като </w:t>
      </w:r>
      <w:r w:rsidR="00AC3302">
        <w:rPr>
          <w:lang w:val="bg-BG"/>
        </w:rPr>
        <w:t>постановява</w:t>
      </w:r>
      <w:r w:rsidR="001E7EB1" w:rsidRPr="001E7EB1">
        <w:rPr>
          <w:lang w:val="bg-BG"/>
        </w:rPr>
        <w:t>,</w:t>
      </w:r>
      <w:r w:rsidR="00972D08" w:rsidRPr="001E7EB1">
        <w:rPr>
          <w:lang w:val="bg-BG"/>
        </w:rPr>
        <w:t xml:space="preserve"> че лицензи за лотарийни игри могат да се издават само на държавата и да се провеждат от държавно </w:t>
      </w:r>
      <w:r w:rsidR="0003502F">
        <w:rPr>
          <w:lang w:val="bg-BG"/>
        </w:rPr>
        <w:t>дружество</w:t>
      </w:r>
      <w:r w:rsidR="00972D08" w:rsidRPr="001E7EB1">
        <w:rPr>
          <w:lang w:val="bg-BG"/>
        </w:rPr>
        <w:t xml:space="preserve">. Измененията, които </w:t>
      </w:r>
      <w:r w:rsidR="0003502F">
        <w:rPr>
          <w:lang w:val="bg-BG"/>
        </w:rPr>
        <w:t>влизат</w:t>
      </w:r>
      <w:r w:rsidR="0003502F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в сила на 22 февруари 2020 г., </w:t>
      </w:r>
      <w:r w:rsidR="0003502F">
        <w:rPr>
          <w:lang w:val="bg-BG"/>
        </w:rPr>
        <w:t>довеждат</w:t>
      </w:r>
      <w:r w:rsidR="0003502F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до незабавното и автоматично отнемане на описаните по-горе лицензи за хазарт на първия и втория жалбоподател. Вследствие на това първият и вторият жалбоподател </w:t>
      </w:r>
      <w:r w:rsidR="0003502F">
        <w:rPr>
          <w:lang w:val="bg-BG"/>
        </w:rPr>
        <w:t>са</w:t>
      </w:r>
      <w:r w:rsidR="0003502F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задължени незабавно да прекратят по-голямата част от стопанската си дейност. Вторият жалбоподател в крайна сметка </w:t>
      </w:r>
      <w:r w:rsidR="0003502F">
        <w:rPr>
          <w:lang w:val="bg-BG"/>
        </w:rPr>
        <w:t>е</w:t>
      </w:r>
      <w:r w:rsidR="0003502F" w:rsidRPr="001E7EB1">
        <w:rPr>
          <w:lang w:val="bg-BG"/>
        </w:rPr>
        <w:t xml:space="preserve"> </w:t>
      </w:r>
      <w:r w:rsidR="00972D08" w:rsidRPr="001E7EB1">
        <w:rPr>
          <w:lang w:val="bg-BG"/>
        </w:rPr>
        <w:t>обявен в несъстоятелност.</w:t>
      </w:r>
    </w:p>
    <w:p w:rsidR="00A32E76" w:rsidRPr="001E7EB1" w:rsidRDefault="0055370D" w:rsidP="0055370D">
      <w:pPr>
        <w:pStyle w:val="JuPara"/>
        <w:rPr>
          <w:strike/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5.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Жалбоподателите се оплакват по член 1 от Протокол № 1 от отнемането на </w:t>
      </w:r>
      <w:r w:rsidR="0003502F">
        <w:rPr>
          <w:lang w:val="bg-BG"/>
        </w:rPr>
        <w:t xml:space="preserve">хазартните </w:t>
      </w:r>
      <w:r w:rsidR="00972D08" w:rsidRPr="001E7EB1">
        <w:rPr>
          <w:lang w:val="bg-BG"/>
        </w:rPr>
        <w:t>лицензи на двете дружества и вредите, които това е причинило на бизнеса им. Те твърдят, че оспорваните изменения в Закона за хазарта представлява</w:t>
      </w:r>
      <w:r w:rsidR="0063565A">
        <w:rPr>
          <w:lang w:val="bg-BG"/>
        </w:rPr>
        <w:t>т</w:t>
      </w:r>
      <w:r w:rsidR="00972D08" w:rsidRPr="001E7EB1">
        <w:rPr>
          <w:lang w:val="bg-BG"/>
        </w:rPr>
        <w:t xml:space="preserve"> „цялостна национализация на лотарийния сектор“, която е незаконна и не преследва легитимна цел в обществен интерес, и във връзка с която не им е предложено обезщетение.</w:t>
      </w:r>
    </w:p>
    <w:p w:rsidR="00A32E76" w:rsidRPr="001E7EB1" w:rsidRDefault="00972D08" w:rsidP="0055370D">
      <w:pPr>
        <w:pStyle w:val="JuHHead"/>
        <w:keepNext w:val="0"/>
        <w:keepLines w:val="0"/>
        <w:numPr>
          <w:ilvl w:val="0"/>
          <w:numId w:val="21"/>
        </w:numPr>
        <w:ind w:left="360" w:hanging="360"/>
        <w:rPr>
          <w:lang w:val="bg-BG"/>
        </w:rPr>
      </w:pPr>
      <w:r w:rsidRPr="001E7EB1">
        <w:rPr>
          <w:lang w:val="bg-BG"/>
        </w:rPr>
        <w:t xml:space="preserve">ОЦЕНКА НА </w:t>
      </w:r>
      <w:r w:rsidR="00D67E1B">
        <w:rPr>
          <w:lang w:val="bg-BG"/>
        </w:rPr>
        <w:t>съда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6.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Относно третия, четвъртия и петия жалбоподател (виж приложената таблица), Съдът установява, че те не могат да твърдят, че са „жертви“ на твърдяното по делото нарушение, което е засегнало пряко първия и втория жалбоподател – дружествата, притежаващи лицензи за хазарт преди измененията от февруари 2020 г. В това отношение Съдът се позовава на своите констатации относно други акционери в </w:t>
      </w:r>
      <w:r w:rsidR="00411215">
        <w:rPr>
          <w:lang w:val="bg-BG"/>
        </w:rPr>
        <w:t>„</w:t>
      </w:r>
      <w:r w:rsidR="00972D08" w:rsidRPr="001E7EB1">
        <w:rPr>
          <w:lang w:val="bg-BG"/>
        </w:rPr>
        <w:t>Национална лотария</w:t>
      </w:r>
      <w:r w:rsidR="00411215">
        <w:rPr>
          <w:lang w:val="bg-BG"/>
        </w:rPr>
        <w:t>“</w:t>
      </w:r>
      <w:r w:rsidR="00972D08" w:rsidRPr="001E7EB1">
        <w:rPr>
          <w:lang w:val="bg-BG"/>
        </w:rPr>
        <w:t xml:space="preserve"> АД по делото „ </w:t>
      </w:r>
      <w:r w:rsidR="00972D08" w:rsidRPr="001E7EB1">
        <w:rPr>
          <w:i/>
          <w:iCs/>
          <w:lang w:val="bg-BG"/>
        </w:rPr>
        <w:t xml:space="preserve">Еврофутбол“ ООД и други </w:t>
      </w:r>
      <w:r w:rsidR="00972D08" w:rsidRPr="001E7EB1">
        <w:rPr>
          <w:lang w:val="bg-BG"/>
        </w:rPr>
        <w:t>(цитирано по-горе, §§ 56-63).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7.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Съответно, оплакванията на тези жалбоподатели са несъвместими </w:t>
      </w:r>
      <w:proofErr w:type="spellStart"/>
      <w:r w:rsidR="00972D08" w:rsidRPr="001E7EB1">
        <w:rPr>
          <w:i/>
          <w:iCs/>
          <w:lang w:val="bg-BG"/>
        </w:rPr>
        <w:t>ratione</w:t>
      </w:r>
      <w:proofErr w:type="spellEnd"/>
      <w:r w:rsidR="00972D08" w:rsidRPr="001E7EB1">
        <w:rPr>
          <w:i/>
          <w:iCs/>
          <w:lang w:val="bg-BG"/>
        </w:rPr>
        <w:t xml:space="preserve"> </w:t>
      </w:r>
      <w:r w:rsidR="00411215">
        <w:rPr>
          <w:i/>
          <w:iCs/>
          <w:lang w:val="en-GB"/>
        </w:rPr>
        <w:t>personae</w:t>
      </w:r>
      <w:r w:rsidR="00411215" w:rsidRPr="001E7EB1">
        <w:rPr>
          <w:i/>
          <w:iCs/>
          <w:lang w:val="bg-BG"/>
        </w:rPr>
        <w:t xml:space="preserve"> </w:t>
      </w:r>
      <w:r w:rsidR="00972D08" w:rsidRPr="001E7EB1">
        <w:rPr>
          <w:lang w:val="bg-BG"/>
        </w:rPr>
        <w:t>с разпоредбите на Конвенцията по смисъла на член 35 § 3 (а) и трябва да бъдат отхвърлени в съответствие с член 35 § 4.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8.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Що се отнася до първия и втория жалбоподател, през март 2025 г. </w:t>
      </w:r>
      <w:r w:rsidR="00411215">
        <w:rPr>
          <w:lang w:val="bg-BG"/>
        </w:rPr>
        <w:t>П</w:t>
      </w:r>
      <w:r w:rsidR="00972D08" w:rsidRPr="001E7EB1">
        <w:rPr>
          <w:lang w:val="bg-BG"/>
        </w:rPr>
        <w:t xml:space="preserve">равителството повдигна възражение </w:t>
      </w:r>
      <w:r w:rsidR="00411215">
        <w:rPr>
          <w:lang w:val="bg-BG"/>
        </w:rPr>
        <w:t>за</w:t>
      </w:r>
      <w:r w:rsidR="00411215" w:rsidRPr="001E7EB1">
        <w:rPr>
          <w:lang w:val="bg-BG"/>
        </w:rPr>
        <w:t xml:space="preserve"> </w:t>
      </w:r>
      <w:r w:rsidR="00972D08" w:rsidRPr="001E7EB1">
        <w:rPr>
          <w:lang w:val="bg-BG"/>
        </w:rPr>
        <w:t>неизчерпване на вътрешноправните средства за защита. Възражението се основава</w:t>
      </w:r>
      <w:r w:rsidR="00411215">
        <w:rPr>
          <w:lang w:val="bg-BG"/>
        </w:rPr>
        <w:t xml:space="preserve"> </w:t>
      </w:r>
      <w:r w:rsidR="00972D08" w:rsidRPr="001E7EB1">
        <w:rPr>
          <w:lang w:val="bg-BG"/>
        </w:rPr>
        <w:t xml:space="preserve">на факта, че през февруари 2025 г. двете </w:t>
      </w:r>
      <w:r w:rsidR="00411215">
        <w:rPr>
          <w:lang w:val="bg-BG"/>
        </w:rPr>
        <w:t>дружества завеждат</w:t>
      </w:r>
      <w:r w:rsidR="00972D08" w:rsidRPr="001E7EB1">
        <w:rPr>
          <w:lang w:val="bg-BG"/>
        </w:rPr>
        <w:t xml:space="preserve"> искове за непозволено увреждане срещу </w:t>
      </w:r>
      <w:r w:rsidR="00B94176">
        <w:rPr>
          <w:lang w:val="bg-BG"/>
        </w:rPr>
        <w:t>Народното събрание</w:t>
      </w:r>
      <w:r w:rsidR="00972D08" w:rsidRPr="001E7EB1">
        <w:rPr>
          <w:lang w:val="bg-BG"/>
        </w:rPr>
        <w:t>, като претендира</w:t>
      </w:r>
      <w:r w:rsidR="00B94176">
        <w:rPr>
          <w:lang w:val="bg-BG"/>
        </w:rPr>
        <w:t>т</w:t>
      </w:r>
      <w:r w:rsidR="00972D08" w:rsidRPr="001E7EB1">
        <w:rPr>
          <w:lang w:val="bg-BG"/>
        </w:rPr>
        <w:t xml:space="preserve"> обезщетение за вреди, свързани с измененията на Закона за хазарта от февруари 2020 г., за които </w:t>
      </w:r>
      <w:r w:rsidR="00B94176">
        <w:rPr>
          <w:lang w:val="bg-BG"/>
        </w:rPr>
        <w:t>твърдят</w:t>
      </w:r>
      <w:r w:rsidR="00972D08" w:rsidRPr="001E7EB1">
        <w:rPr>
          <w:lang w:val="bg-BG"/>
        </w:rPr>
        <w:t>, че нарушават правото на Европейския съюз.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lastRenderedPageBreak/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9.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Първият и вторият жалбоподател обаче настоятелно призовават Съда да не отхвърля жалбите им на това основание. Те твърдят, че вътрешното право не им позволява да заведат дело срещу </w:t>
      </w:r>
      <w:r w:rsidR="00B94176">
        <w:rPr>
          <w:lang w:val="bg-BG"/>
        </w:rPr>
        <w:t xml:space="preserve">Народното </w:t>
      </w:r>
      <w:proofErr w:type="spellStart"/>
      <w:r w:rsidR="00B94176">
        <w:rPr>
          <w:lang w:val="bg-BG"/>
        </w:rPr>
        <w:t>събръние</w:t>
      </w:r>
      <w:proofErr w:type="spellEnd"/>
      <w:r w:rsidR="00B94176" w:rsidRPr="001E7EB1">
        <w:rPr>
          <w:lang w:val="bg-BG"/>
        </w:rPr>
        <w:t xml:space="preserve"> </w:t>
      </w:r>
      <w:r w:rsidR="00972D08" w:rsidRPr="001E7EB1">
        <w:rPr>
          <w:lang w:val="bg-BG"/>
        </w:rPr>
        <w:t>за нарушени</w:t>
      </w:r>
      <w:r w:rsidR="00B94176">
        <w:rPr>
          <w:lang w:val="bg-BG"/>
        </w:rPr>
        <w:t>е</w:t>
      </w:r>
      <w:r w:rsidR="00972D08" w:rsidRPr="001E7EB1">
        <w:rPr>
          <w:lang w:val="bg-BG"/>
        </w:rPr>
        <w:t xml:space="preserve"> на Конвенцията и че исковете им за непозволено увреждане са заведени „за всеки случай“ и за да се спази петгодишният</w:t>
      </w:r>
      <w:r w:rsidR="00B94176">
        <w:rPr>
          <w:lang w:val="bg-BG"/>
        </w:rPr>
        <w:t xml:space="preserve"> давностен</w:t>
      </w:r>
      <w:r w:rsidR="00972D08" w:rsidRPr="001E7EB1">
        <w:rPr>
          <w:lang w:val="bg-BG"/>
        </w:rPr>
        <w:t xml:space="preserve"> срок, </w:t>
      </w:r>
      <w:r w:rsidR="00B94176">
        <w:rPr>
          <w:lang w:val="bg-BG"/>
        </w:rPr>
        <w:t>заложен в</w:t>
      </w:r>
      <w:r w:rsidR="00972D08" w:rsidRPr="001E7EB1">
        <w:rPr>
          <w:lang w:val="bg-BG"/>
        </w:rPr>
        <w:t xml:space="preserve"> вътрешното право. В действителност </w:t>
      </w:r>
      <w:r w:rsidR="00B94176">
        <w:rPr>
          <w:lang w:val="bg-BG"/>
        </w:rPr>
        <w:t>националното</w:t>
      </w:r>
      <w:r w:rsidR="00B94176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право не предлага адекватни средства за защита, тъй като оплакванията им произтичат пряко от акт на </w:t>
      </w:r>
      <w:r w:rsidR="00B94176">
        <w:rPr>
          <w:lang w:val="bg-BG"/>
        </w:rPr>
        <w:t>Народното събрание</w:t>
      </w:r>
      <w:r w:rsidR="00972D08" w:rsidRPr="001E7EB1">
        <w:rPr>
          <w:lang w:val="bg-BG"/>
        </w:rPr>
        <w:t>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10.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Съдът не е длъжен да се произнася по възражението на </w:t>
      </w:r>
      <w:r w:rsidR="00B94176">
        <w:rPr>
          <w:lang w:val="bg-BG"/>
        </w:rPr>
        <w:t>П</w:t>
      </w:r>
      <w:r w:rsidR="00972D08" w:rsidRPr="001E7EB1">
        <w:rPr>
          <w:lang w:val="bg-BG"/>
        </w:rPr>
        <w:t xml:space="preserve">равителството. За целите на анализа по-долу, той е готов да приеме, че първият и вторият жалбоподател </w:t>
      </w:r>
      <w:r w:rsidR="001D790C">
        <w:rPr>
          <w:lang w:val="bg-BG"/>
        </w:rPr>
        <w:t>правилно твърдят</w:t>
      </w:r>
      <w:r w:rsidR="00972D08" w:rsidRPr="001E7EB1">
        <w:rPr>
          <w:lang w:val="bg-BG"/>
        </w:rPr>
        <w:t>, че вътрешното право не предоставя ефективни средства за защита по техните оплаквания.</w:t>
      </w:r>
    </w:p>
    <w:p w:rsidR="00A32E76" w:rsidRPr="001E7EB1" w:rsidRDefault="00967707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bookmarkStart w:id="2" w:name="paragraph00010"/>
      <w:r w:rsidR="0055370D" w:rsidRPr="001E7EB1">
        <w:rPr>
          <w:lang w:val="bg-BG"/>
        </w:rPr>
        <w:t xml:space="preserve">11. </w:t>
      </w:r>
      <w:bookmarkEnd w:id="2"/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Както бе споменато по-рано, оплакванията на жалбоподателите произтичат пряко от законодателен акт на българския парламент, а именно измененията в Закона за хазарта, които </w:t>
      </w:r>
      <w:r w:rsidR="001D790C">
        <w:rPr>
          <w:lang w:val="bg-BG"/>
        </w:rPr>
        <w:t>влизат</w:t>
      </w:r>
      <w:r w:rsidR="001D790C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в сила на 22 февруари 2020 г. (вж. параграф </w:t>
      </w:r>
      <w:r w:rsidR="00972D08"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REF paragraph00003 \h  \* CharFormat </w:instrText>
      </w:r>
      <w:r w:rsidR="00972D08" w:rsidRPr="001E7EB1">
        <w:rPr>
          <w:lang w:val="bg-BG"/>
        </w:rPr>
      </w:r>
      <w:r w:rsidR="00972D08" w:rsidRPr="001E7EB1">
        <w:rPr>
          <w:lang w:val="bg-BG"/>
        </w:rPr>
        <w:fldChar w:fldCharType="separate"/>
      </w:r>
      <w:r w:rsidR="0055370D" w:rsidRPr="001E7EB1">
        <w:rPr>
          <w:lang w:val="bg-BG"/>
        </w:rPr>
        <w:t xml:space="preserve">4 </w:t>
      </w:r>
      <w:r w:rsidR="00972D08" w:rsidRPr="001E7EB1">
        <w:rPr>
          <w:lang w:val="bg-BG"/>
        </w:rPr>
        <w:fldChar w:fldCharType="end"/>
      </w:r>
      <w:r w:rsidR="00972D08" w:rsidRPr="001E7EB1">
        <w:rPr>
          <w:lang w:val="bg-BG"/>
        </w:rPr>
        <w:t>по-горе).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12. </w:t>
      </w:r>
      <w:r w:rsidRPr="001E7EB1">
        <w:rPr>
          <w:lang w:val="bg-BG"/>
        </w:rPr>
        <w:fldChar w:fldCharType="end"/>
      </w:r>
      <w:r w:rsidR="001D790C">
        <w:rPr>
          <w:lang w:val="bg-BG"/>
        </w:rPr>
        <w:t>Жалбата</w:t>
      </w:r>
      <w:r w:rsidR="001D790C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е подадена на 13 ноември 2020 г., повече от шест месеца след датата, на която твърдяното нарушение на правата на жалбоподателите е окончателно установено. Следователно възниква въпросът относно съответствието на </w:t>
      </w:r>
      <w:r w:rsidR="00A5422F">
        <w:rPr>
          <w:lang w:val="bg-BG"/>
        </w:rPr>
        <w:t>жалбата</w:t>
      </w:r>
      <w:r w:rsidR="00A5422F" w:rsidRPr="001E7EB1">
        <w:rPr>
          <w:lang w:val="bg-BG"/>
        </w:rPr>
        <w:t xml:space="preserve"> </w:t>
      </w:r>
      <w:r w:rsidR="00972D08" w:rsidRPr="001E7EB1">
        <w:rPr>
          <w:lang w:val="bg-BG"/>
        </w:rPr>
        <w:t>с шестмесечния срок, предвиден в член 35 § 1 от Конвенцията, както е формулиран преди влизането в сила на Протокол № 15.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13.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По делото </w:t>
      </w:r>
      <w:r w:rsidR="00972D08" w:rsidRPr="001E7EB1">
        <w:rPr>
          <w:i/>
          <w:iCs/>
          <w:lang w:val="bg-BG"/>
        </w:rPr>
        <w:t>Саакашвили срещу Грузия (решение</w:t>
      </w:r>
      <w:r w:rsidR="00A5422F">
        <w:rPr>
          <w:i/>
          <w:iCs/>
          <w:lang w:val="bg-BG"/>
        </w:rPr>
        <w:t xml:space="preserve"> по допустимост</w:t>
      </w:r>
      <w:r w:rsidR="00972D08" w:rsidRPr="001E7EB1">
        <w:rPr>
          <w:i/>
          <w:iCs/>
          <w:lang w:val="bg-BG"/>
        </w:rPr>
        <w:t xml:space="preserve">), № 6232/20 и 22394/20, </w:t>
      </w:r>
      <w:r w:rsidR="00972D08" w:rsidRPr="001E7EB1">
        <w:rPr>
          <w:lang w:val="bg-BG"/>
        </w:rPr>
        <w:t>§ 49, 1 март 2022 г.), Съдът отбеляза следното:</w:t>
      </w:r>
    </w:p>
    <w:p w:rsidR="00A32E76" w:rsidRPr="001E7EB1" w:rsidRDefault="00972D08" w:rsidP="00A5422F">
      <w:pPr>
        <w:pStyle w:val="JuQuot"/>
        <w:ind w:left="0" w:firstLine="0"/>
        <w:rPr>
          <w:lang w:val="bg-BG"/>
        </w:rPr>
      </w:pPr>
      <w:r w:rsidRPr="001E7EB1">
        <w:rPr>
          <w:lang w:val="bg-BG"/>
        </w:rPr>
        <w:t xml:space="preserve">„[На] 11 март 2020 г. Световната здравна организация обяви извънредна ситуация в общественото здравеопазване от международно значение – най-висока степен на тревога – във връзка с глобалното огнище на ново инфекциозно и предимно респираторно заболяване (впоследствие наречено COVID-19), причинено от </w:t>
      </w:r>
      <w:proofErr w:type="spellStart"/>
      <w:r w:rsidRPr="001E7EB1">
        <w:rPr>
          <w:lang w:val="bg-BG"/>
        </w:rPr>
        <w:t>коронавируса</w:t>
      </w:r>
      <w:proofErr w:type="spellEnd"/>
      <w:r w:rsidRPr="001E7EB1">
        <w:rPr>
          <w:lang w:val="bg-BG"/>
        </w:rPr>
        <w:t xml:space="preserve"> SARS-CoV-2 (...). В светлината на тези развития, на 16 март и 9 април 2020 г. председателят на Съда обяви редица </w:t>
      </w:r>
      <w:r w:rsidR="00FB0F4B">
        <w:rPr>
          <w:lang w:val="bg-BG"/>
        </w:rPr>
        <w:t>извънредни</w:t>
      </w:r>
      <w:r w:rsidR="00FB0F4B" w:rsidRPr="001E7EB1">
        <w:rPr>
          <w:lang w:val="bg-BG"/>
        </w:rPr>
        <w:t xml:space="preserve"> </w:t>
      </w:r>
      <w:r w:rsidRPr="001E7EB1">
        <w:rPr>
          <w:lang w:val="bg-BG"/>
        </w:rPr>
        <w:t xml:space="preserve">мерки, които да позволят на жалбоподателите, </w:t>
      </w:r>
      <w:proofErr w:type="spellStart"/>
      <w:r w:rsidR="00FB0F4B">
        <w:rPr>
          <w:lang w:val="bg-BG"/>
        </w:rPr>
        <w:t>В</w:t>
      </w:r>
      <w:r w:rsidRPr="001E7EB1">
        <w:rPr>
          <w:lang w:val="bg-BG"/>
        </w:rPr>
        <w:t>исокодоговарящите</w:t>
      </w:r>
      <w:proofErr w:type="spellEnd"/>
      <w:r w:rsidRPr="001E7EB1">
        <w:rPr>
          <w:lang w:val="bg-BG"/>
        </w:rPr>
        <w:t xml:space="preserve"> страни и Съда да се справят с трудностите, породени от глобалната пандемия и широко разпространената карантина. </w:t>
      </w:r>
      <w:bookmarkStart w:id="3" w:name="_ftnref1"/>
      <w:bookmarkEnd w:id="3"/>
      <w:r w:rsidRPr="001E7EB1">
        <w:rPr>
          <w:lang w:val="bg-BG"/>
        </w:rPr>
        <w:t xml:space="preserve">Един от ефектите от тези мерки, които бяха решени от председателя при упражняване на неговата компетентност да ръководи работата и администрацията на Съда съгласно правило 9 от Правилника на Съда, беше, че </w:t>
      </w:r>
      <w:r w:rsidR="00FB0F4B">
        <w:rPr>
          <w:lang w:val="bg-BG"/>
        </w:rPr>
        <w:t>Регистратурата</w:t>
      </w:r>
      <w:r w:rsidR="00FB0F4B" w:rsidRPr="001E7EB1">
        <w:rPr>
          <w:lang w:val="bg-BG"/>
        </w:rPr>
        <w:t xml:space="preserve"> </w:t>
      </w:r>
      <w:r w:rsidRPr="001E7EB1">
        <w:rPr>
          <w:lang w:val="bg-BG"/>
        </w:rPr>
        <w:t xml:space="preserve">на Съда, при регистриране на </w:t>
      </w:r>
      <w:proofErr w:type="spellStart"/>
      <w:r w:rsidRPr="001E7EB1">
        <w:rPr>
          <w:lang w:val="bg-BG"/>
        </w:rPr>
        <w:t>новополучени</w:t>
      </w:r>
      <w:proofErr w:type="spellEnd"/>
      <w:r w:rsidRPr="001E7EB1">
        <w:rPr>
          <w:lang w:val="bg-BG"/>
        </w:rPr>
        <w:t xml:space="preserve"> </w:t>
      </w:r>
      <w:r w:rsidR="00FB0F4B">
        <w:rPr>
          <w:lang w:val="bg-BG"/>
        </w:rPr>
        <w:t>жалби</w:t>
      </w:r>
      <w:r w:rsidR="00FB0F4B" w:rsidRPr="001E7EB1">
        <w:rPr>
          <w:lang w:val="bg-BG"/>
        </w:rPr>
        <w:t xml:space="preserve"> </w:t>
      </w:r>
      <w:r w:rsidRPr="001E7EB1">
        <w:rPr>
          <w:lang w:val="bg-BG"/>
        </w:rPr>
        <w:t>и без да се засяга каквото и да е последващо съдебно решение по въпроса, добавя общо три месеца към метода за изчисляване на шестмесе</w:t>
      </w:r>
      <w:r w:rsidR="00EF4498">
        <w:rPr>
          <w:lang w:val="bg-BG"/>
        </w:rPr>
        <w:t>чното правило по</w:t>
      </w:r>
      <w:r w:rsidRPr="001E7EB1">
        <w:rPr>
          <w:lang w:val="bg-BG"/>
        </w:rPr>
        <w:t xml:space="preserve"> член 35 § 1 от Конвенцията, когато календарен шестмесечен </w:t>
      </w:r>
      <w:r w:rsidR="00B33642">
        <w:rPr>
          <w:lang w:val="bg-BG"/>
        </w:rPr>
        <w:t>срок</w:t>
      </w:r>
      <w:r w:rsidR="00B33642" w:rsidRPr="001E7EB1">
        <w:rPr>
          <w:lang w:val="bg-BG"/>
        </w:rPr>
        <w:t xml:space="preserve"> </w:t>
      </w:r>
      <w:r w:rsidR="00FA4AAB">
        <w:rPr>
          <w:lang w:val="bg-BG"/>
        </w:rPr>
        <w:t xml:space="preserve">е </w:t>
      </w:r>
      <w:r w:rsidRPr="001E7EB1">
        <w:rPr>
          <w:lang w:val="bg-BG"/>
        </w:rPr>
        <w:t>започн</w:t>
      </w:r>
      <w:r w:rsidR="00FA4AAB">
        <w:rPr>
          <w:lang w:val="bg-BG"/>
        </w:rPr>
        <w:t>ал</w:t>
      </w:r>
      <w:r w:rsidRPr="001E7EB1">
        <w:rPr>
          <w:lang w:val="bg-BG"/>
        </w:rPr>
        <w:t xml:space="preserve"> да тече или, </w:t>
      </w:r>
      <w:r w:rsidR="00FA4AAB">
        <w:rPr>
          <w:lang w:val="bg-BG"/>
        </w:rPr>
        <w:t>обратното</w:t>
      </w:r>
      <w:r w:rsidRPr="001E7EB1">
        <w:rPr>
          <w:lang w:val="bg-BG"/>
        </w:rPr>
        <w:t>, е предстояло да изтече по всяко време между 16 март и 15 юни 2020 г.“</w:t>
      </w:r>
    </w:p>
    <w:p w:rsidR="00A32E76" w:rsidRPr="001E7EB1" w:rsidRDefault="00972D08" w:rsidP="00FA4AAB">
      <w:pPr>
        <w:pStyle w:val="JuPara"/>
        <w:ind w:firstLine="0"/>
        <w:rPr>
          <w:lang w:val="bg-BG"/>
        </w:rPr>
      </w:pPr>
      <w:r w:rsidRPr="001E7EB1">
        <w:rPr>
          <w:lang w:val="bg-BG"/>
        </w:rPr>
        <w:t>След това Съдът заключ</w:t>
      </w:r>
      <w:r w:rsidR="00FA4AAB">
        <w:rPr>
          <w:lang w:val="bg-BG"/>
        </w:rPr>
        <w:t>ава</w:t>
      </w:r>
      <w:r w:rsidRPr="001E7EB1">
        <w:rPr>
          <w:lang w:val="bg-BG"/>
        </w:rPr>
        <w:t xml:space="preserve"> (§ 58 от решението), че:</w:t>
      </w:r>
    </w:p>
    <w:p w:rsidR="00A32E76" w:rsidRPr="001E7EB1" w:rsidRDefault="00972D08" w:rsidP="00FA4AAB">
      <w:pPr>
        <w:pStyle w:val="JuQuot"/>
        <w:ind w:left="0" w:firstLine="0"/>
        <w:rPr>
          <w:lang w:val="bg-BG"/>
        </w:rPr>
      </w:pPr>
      <w:r w:rsidRPr="001E7EB1">
        <w:rPr>
          <w:lang w:val="bg-BG"/>
        </w:rPr>
        <w:t xml:space="preserve">„От това следва, че ако календарен шестмесечен </w:t>
      </w:r>
      <w:r w:rsidR="00B33642">
        <w:rPr>
          <w:lang w:val="bg-BG"/>
        </w:rPr>
        <w:t>срок</w:t>
      </w:r>
      <w:r w:rsidR="00B33642" w:rsidRPr="001E7EB1">
        <w:rPr>
          <w:lang w:val="bg-BG"/>
        </w:rPr>
        <w:t xml:space="preserve"> </w:t>
      </w:r>
      <w:r w:rsidRPr="001E7EB1">
        <w:rPr>
          <w:lang w:val="bg-BG"/>
        </w:rPr>
        <w:t xml:space="preserve">е започнал да тече или е трябвало да изтече през срока, посочен в решенията на председателя на съда (от 16 март до 15 юни 2020 г. включително), </w:t>
      </w:r>
      <w:r w:rsidR="00B33642">
        <w:rPr>
          <w:lang w:val="bg-BG"/>
        </w:rPr>
        <w:t>шестмесечното правило</w:t>
      </w:r>
      <w:r w:rsidRPr="001E7EB1">
        <w:rPr>
          <w:lang w:val="bg-BG"/>
        </w:rPr>
        <w:t xml:space="preserve"> по член 35 § 1 от Конвенцията следва по изключение да се счита за спряно за общо три календарни месеца.“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lastRenderedPageBreak/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14.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>Съдът изясн</w:t>
      </w:r>
      <w:r w:rsidR="00AF19F5">
        <w:rPr>
          <w:lang w:val="bg-BG"/>
        </w:rPr>
        <w:t>ява</w:t>
      </w:r>
      <w:r w:rsidR="00972D08" w:rsidRPr="001E7EB1">
        <w:rPr>
          <w:lang w:val="bg-BG"/>
        </w:rPr>
        <w:t xml:space="preserve"> как горните констатации се прилагат към </w:t>
      </w:r>
      <w:r w:rsidR="00AF19F5">
        <w:rPr>
          <w:lang w:val="bg-BG"/>
        </w:rPr>
        <w:t>случаи</w:t>
      </w:r>
      <w:r w:rsidR="00AF19F5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като настоящия по делото </w:t>
      </w:r>
      <w:bookmarkStart w:id="4" w:name="_cl42462THECOURTSASSESSMENT"/>
      <w:proofErr w:type="spellStart"/>
      <w:r w:rsidR="00972D08" w:rsidRPr="001E7EB1">
        <w:rPr>
          <w:i/>
          <w:iCs/>
          <w:lang w:val="bg-BG"/>
        </w:rPr>
        <w:t>Kitanovska</w:t>
      </w:r>
      <w:proofErr w:type="spellEnd"/>
      <w:r w:rsidR="00972D08" w:rsidRPr="001E7EB1">
        <w:rPr>
          <w:i/>
          <w:iCs/>
          <w:lang w:val="bg-BG"/>
        </w:rPr>
        <w:t xml:space="preserve"> </w:t>
      </w:r>
      <w:proofErr w:type="spellStart"/>
      <w:r w:rsidR="00972D08" w:rsidRPr="001E7EB1">
        <w:rPr>
          <w:i/>
          <w:iCs/>
          <w:lang w:val="bg-BG"/>
        </w:rPr>
        <w:t>and</w:t>
      </w:r>
      <w:proofErr w:type="spellEnd"/>
      <w:r w:rsidR="00972D08" w:rsidRPr="001E7EB1">
        <w:rPr>
          <w:i/>
          <w:iCs/>
          <w:lang w:val="bg-BG"/>
        </w:rPr>
        <w:t xml:space="preserve"> </w:t>
      </w:r>
      <w:proofErr w:type="spellStart"/>
      <w:r w:rsidR="00972D08" w:rsidRPr="001E7EB1">
        <w:rPr>
          <w:i/>
          <w:iCs/>
          <w:lang w:val="bg-BG"/>
        </w:rPr>
        <w:t>Barbulovski</w:t>
      </w:r>
      <w:proofErr w:type="spellEnd"/>
      <w:r w:rsidR="00972D08" w:rsidRPr="001E7EB1">
        <w:rPr>
          <w:i/>
          <w:iCs/>
          <w:lang w:val="bg-BG"/>
        </w:rPr>
        <w:t xml:space="preserve"> срещу Северна Македония </w:t>
      </w:r>
      <w:bookmarkEnd w:id="4"/>
      <w:r w:rsidR="00972D08" w:rsidRPr="001E7EB1">
        <w:rPr>
          <w:lang w:val="bg-BG"/>
        </w:rPr>
        <w:t xml:space="preserve">(№ 53030/19, § 40, 9 май 2023 г.) и </w:t>
      </w:r>
      <w:proofErr w:type="spellStart"/>
      <w:r w:rsidR="00972D08" w:rsidRPr="001E7EB1">
        <w:rPr>
          <w:i/>
          <w:iCs/>
          <w:lang w:val="bg-BG"/>
        </w:rPr>
        <w:t>Masse</w:t>
      </w:r>
      <w:proofErr w:type="spellEnd"/>
      <w:r w:rsidR="00972D08" w:rsidRPr="001E7EB1">
        <w:rPr>
          <w:i/>
          <w:iCs/>
          <w:lang w:val="bg-BG"/>
        </w:rPr>
        <w:t xml:space="preserve"> срещу Франция </w:t>
      </w:r>
      <w:r w:rsidR="00972D08" w:rsidRPr="001E7EB1">
        <w:rPr>
          <w:lang w:val="bg-BG"/>
        </w:rPr>
        <w:t>((</w:t>
      </w:r>
      <w:proofErr w:type="spellStart"/>
      <w:r w:rsidR="00972D08" w:rsidRPr="001E7EB1">
        <w:rPr>
          <w:lang w:val="bg-BG"/>
        </w:rPr>
        <w:t>реш</w:t>
      </w:r>
      <w:proofErr w:type="spellEnd"/>
      <w:r w:rsidR="00972D08" w:rsidRPr="001E7EB1">
        <w:rPr>
          <w:lang w:val="bg-BG"/>
        </w:rPr>
        <w:t>.), № 47506/20, §§ 29-32, 25 март 2025 г.). Той уточн</w:t>
      </w:r>
      <w:r w:rsidR="00145DB9">
        <w:rPr>
          <w:lang w:val="bg-BG"/>
        </w:rPr>
        <w:t>ява</w:t>
      </w:r>
      <w:r w:rsidR="00972D08" w:rsidRPr="001E7EB1">
        <w:rPr>
          <w:lang w:val="bg-BG"/>
        </w:rPr>
        <w:t xml:space="preserve">, че </w:t>
      </w:r>
      <w:r w:rsidR="00145DB9">
        <w:rPr>
          <w:lang w:val="bg-BG"/>
        </w:rPr>
        <w:t>извънредното</w:t>
      </w:r>
      <w:r w:rsidR="00145DB9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удължаване на шестмесечния срок по член 35 § 1 от Конвенцията не се прилага, когато съответният </w:t>
      </w:r>
      <w:r w:rsidR="00145DB9">
        <w:rPr>
          <w:lang w:val="bg-BG"/>
        </w:rPr>
        <w:t>срок</w:t>
      </w:r>
      <w:r w:rsidR="00145DB9" w:rsidRPr="001E7EB1">
        <w:rPr>
          <w:lang w:val="bg-BG"/>
        </w:rPr>
        <w:t xml:space="preserve"> </w:t>
      </w:r>
      <w:r w:rsidR="00972D08" w:rsidRPr="001E7EB1">
        <w:rPr>
          <w:lang w:val="bg-BG"/>
        </w:rPr>
        <w:t>не е започнал</w:t>
      </w:r>
      <w:r w:rsidR="00145DB9">
        <w:rPr>
          <w:lang w:val="bg-BG"/>
        </w:rPr>
        <w:t xml:space="preserve"> или </w:t>
      </w:r>
      <w:r w:rsidR="00972D08" w:rsidRPr="001E7EB1">
        <w:rPr>
          <w:lang w:val="bg-BG"/>
        </w:rPr>
        <w:t xml:space="preserve">е изтекъл </w:t>
      </w:r>
      <w:r w:rsidR="00145DB9">
        <w:rPr>
          <w:lang w:val="bg-BG"/>
        </w:rPr>
        <w:t>във</w:t>
      </w:r>
      <w:r w:rsidR="00972D08" w:rsidRPr="001E7EB1">
        <w:rPr>
          <w:lang w:val="bg-BG"/>
        </w:rPr>
        <w:t xml:space="preserve"> времевата рамка между 16 март и 15 юни 2020 г. Съдът обясн</w:t>
      </w:r>
      <w:r w:rsidR="00145DB9">
        <w:rPr>
          <w:lang w:val="bg-BG"/>
        </w:rPr>
        <w:t>ява</w:t>
      </w:r>
      <w:r w:rsidR="00972D08" w:rsidRPr="001E7EB1">
        <w:rPr>
          <w:lang w:val="bg-BG"/>
        </w:rPr>
        <w:t xml:space="preserve">, че такъв подход служи на интересите на правната сигурност, предвидимостта и равенството на страните пред закона (вж. </w:t>
      </w:r>
      <w:proofErr w:type="spellStart"/>
      <w:r w:rsidR="00972D08" w:rsidRPr="001E7EB1">
        <w:rPr>
          <w:i/>
          <w:iCs/>
          <w:lang w:val="bg-BG"/>
        </w:rPr>
        <w:t>Masse</w:t>
      </w:r>
      <w:proofErr w:type="spellEnd"/>
      <w:r w:rsidR="00972D08" w:rsidRPr="001E7EB1">
        <w:rPr>
          <w:i/>
          <w:iCs/>
          <w:lang w:val="bg-BG"/>
        </w:rPr>
        <w:t xml:space="preserve"> </w:t>
      </w:r>
      <w:r w:rsidR="00972D08" w:rsidRPr="001E7EB1">
        <w:rPr>
          <w:lang w:val="bg-BG"/>
        </w:rPr>
        <w:t>, цитирано по-горе, § 29).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15.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Съдът не намира причина да се отклони от подхода, установен в цитираните по-горе дела. Следователно той заключава, че </w:t>
      </w:r>
      <w:r w:rsidR="009E69CB">
        <w:rPr>
          <w:lang w:val="bg-BG"/>
        </w:rPr>
        <w:t>извънредното</w:t>
      </w:r>
      <w:r w:rsidR="009E69CB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удължаване на шестмесечния срок по член 35 § 1 от Конвенцията не </w:t>
      </w:r>
      <w:r w:rsidR="009E69CB">
        <w:rPr>
          <w:lang w:val="bg-BG"/>
        </w:rPr>
        <w:t>с</w:t>
      </w:r>
      <w:r w:rsidR="00972D08" w:rsidRPr="001E7EB1">
        <w:rPr>
          <w:lang w:val="bg-BG"/>
        </w:rPr>
        <w:t xml:space="preserve">е приложимо </w:t>
      </w:r>
      <w:r w:rsidR="009E69CB">
        <w:rPr>
          <w:lang w:val="bg-BG"/>
        </w:rPr>
        <w:t>в ситуацията</w:t>
      </w:r>
      <w:r w:rsidR="00972D08" w:rsidRPr="001E7EB1">
        <w:rPr>
          <w:lang w:val="bg-BG"/>
        </w:rPr>
        <w:t xml:space="preserve"> на първия и втория жалбоподател.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16.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В настоящия случай, както е отбелязано по-горе, съответният </w:t>
      </w:r>
      <w:r w:rsidR="009E69CB">
        <w:rPr>
          <w:lang w:val="bg-BG"/>
        </w:rPr>
        <w:t>срок започва</w:t>
      </w:r>
      <w:r w:rsidR="00972D08" w:rsidRPr="001E7EB1">
        <w:rPr>
          <w:lang w:val="bg-BG"/>
        </w:rPr>
        <w:t xml:space="preserve"> на 22 февруари 2020 г. (вж. параграф </w:t>
      </w:r>
      <w:r w:rsidR="00972D08"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REF paragraph00010 \h  \* CharFormat </w:instrText>
      </w:r>
      <w:r w:rsidR="00972D08" w:rsidRPr="001E7EB1">
        <w:rPr>
          <w:lang w:val="bg-BG"/>
        </w:rPr>
      </w:r>
      <w:r w:rsidR="00972D08"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11 </w:t>
      </w:r>
      <w:r w:rsidR="00972D08"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по-горе). </w:t>
      </w:r>
      <w:r w:rsidR="009E69CB">
        <w:rPr>
          <w:lang w:val="bg-BG"/>
        </w:rPr>
        <w:t>Жалбата</w:t>
      </w:r>
      <w:r w:rsidR="009E69CB" w:rsidRPr="001E7EB1">
        <w:rPr>
          <w:lang w:val="bg-BG"/>
        </w:rPr>
        <w:t xml:space="preserve"> </w:t>
      </w:r>
      <w:r w:rsidR="00972D08" w:rsidRPr="001E7EB1">
        <w:rPr>
          <w:lang w:val="bg-BG"/>
        </w:rPr>
        <w:t xml:space="preserve">е подадена на 13 ноември 2020 г., </w:t>
      </w:r>
      <w:r w:rsidR="00AC79CA">
        <w:rPr>
          <w:lang w:val="bg-BG"/>
        </w:rPr>
        <w:t>тоест</w:t>
      </w:r>
      <w:r w:rsidR="00972D08" w:rsidRPr="001E7EB1">
        <w:rPr>
          <w:lang w:val="bg-BG"/>
        </w:rPr>
        <w:t xml:space="preserve"> повече от шест месеца по-късно.</w:t>
      </w:r>
    </w:p>
    <w:p w:rsidR="00A32E76" w:rsidRPr="001E7EB1" w:rsidRDefault="0055370D" w:rsidP="0055370D">
      <w:pPr>
        <w:pStyle w:val="JuPara"/>
        <w:rPr>
          <w:lang w:val="bg-BG"/>
        </w:rPr>
      </w:pPr>
      <w:r w:rsidRPr="001E7EB1">
        <w:rPr>
          <w:lang w:val="bg-BG"/>
        </w:rPr>
        <w:fldChar w:fldCharType="begin"/>
      </w:r>
      <w:r w:rsidR="00972D08" w:rsidRPr="001E7EB1">
        <w:rPr>
          <w:lang w:val="bg-BG"/>
        </w:rPr>
        <w:instrText xml:space="preserve"> SEQ level0 \*arabic \* MERGEFORMAT </w:instrText>
      </w:r>
      <w:r w:rsidRPr="001E7EB1">
        <w:rPr>
          <w:lang w:val="bg-BG"/>
        </w:rPr>
        <w:fldChar w:fldCharType="separate"/>
      </w:r>
      <w:r w:rsidRPr="001E7EB1">
        <w:rPr>
          <w:lang w:val="bg-BG"/>
        </w:rPr>
        <w:t xml:space="preserve">17. </w:t>
      </w:r>
      <w:r w:rsidRPr="001E7EB1">
        <w:rPr>
          <w:lang w:val="bg-BG"/>
        </w:rPr>
        <w:fldChar w:fldCharType="end"/>
      </w:r>
      <w:r w:rsidR="00972D08" w:rsidRPr="001E7EB1">
        <w:rPr>
          <w:lang w:val="bg-BG"/>
        </w:rPr>
        <w:t xml:space="preserve">Съответно, </w:t>
      </w:r>
      <w:r w:rsidR="00AC79CA">
        <w:rPr>
          <w:lang w:val="bg-BG"/>
        </w:rPr>
        <w:t>оплакванията</w:t>
      </w:r>
      <w:r w:rsidR="00AC79CA" w:rsidRPr="001E7EB1">
        <w:rPr>
          <w:lang w:val="bg-BG"/>
        </w:rPr>
        <w:t xml:space="preserve"> </w:t>
      </w:r>
      <w:r w:rsidR="00972D08" w:rsidRPr="001E7EB1">
        <w:rPr>
          <w:lang w:val="bg-BG"/>
        </w:rPr>
        <w:t>на първия и втория жалбоподател са подадени след изтичане на срока и трябва да бъдат отхвърлени в съответствие с член 35 §§ 1 и 4 от Конвенцията.</w:t>
      </w:r>
    </w:p>
    <w:p w:rsidR="00A32E76" w:rsidRPr="001E7EB1" w:rsidRDefault="00972D08" w:rsidP="0055370D">
      <w:pPr>
        <w:pStyle w:val="JuParaLast"/>
        <w:rPr>
          <w:lang w:val="bg-BG"/>
        </w:rPr>
      </w:pPr>
      <w:r w:rsidRPr="001E7EB1">
        <w:rPr>
          <w:lang w:val="bg-BG"/>
        </w:rPr>
        <w:t>Поради тези причини, Съдът единодушно,</w:t>
      </w:r>
    </w:p>
    <w:p w:rsidR="00A32E76" w:rsidRPr="001E7EB1" w:rsidRDefault="00972D08" w:rsidP="0055370D">
      <w:pPr>
        <w:pStyle w:val="DecList"/>
        <w:rPr>
          <w:lang w:val="bg-BG"/>
        </w:rPr>
      </w:pPr>
      <w:r w:rsidRPr="001E7EB1">
        <w:rPr>
          <w:i/>
          <w:lang w:val="bg-BG"/>
        </w:rPr>
        <w:t xml:space="preserve">Обявява </w:t>
      </w:r>
      <w:r w:rsidRPr="001E7EB1">
        <w:rPr>
          <w:lang w:val="bg-BG"/>
        </w:rPr>
        <w:t>молбата за недопустима.</w:t>
      </w:r>
    </w:p>
    <w:p w:rsidR="00BD1692" w:rsidRPr="001E7EB1" w:rsidRDefault="00972D08" w:rsidP="0055370D">
      <w:pPr>
        <w:pStyle w:val="JuParaLast"/>
        <w:rPr>
          <w:sz w:val="14"/>
          <w:lang w:val="bg-BG"/>
        </w:rPr>
      </w:pPr>
      <w:r w:rsidRPr="001E7EB1">
        <w:rPr>
          <w:lang w:val="bg-BG"/>
        </w:rPr>
        <w:t xml:space="preserve">Съставено на английски език и </w:t>
      </w:r>
      <w:proofErr w:type="spellStart"/>
      <w:r w:rsidRPr="001E7EB1">
        <w:rPr>
          <w:lang w:val="bg-BG"/>
        </w:rPr>
        <w:t>нотифицирано</w:t>
      </w:r>
      <w:proofErr w:type="spellEnd"/>
      <w:r w:rsidRPr="001E7EB1">
        <w:rPr>
          <w:lang w:val="bg-BG"/>
        </w:rPr>
        <w:t xml:space="preserve"> писмено на </w:t>
      </w:r>
      <w:r w:rsidR="00A32E76" w:rsidRPr="001E7EB1">
        <w:rPr>
          <w:lang w:val="bg-BG"/>
        </w:rPr>
        <w:t xml:space="preserve">12 юни 2025 </w:t>
      </w:r>
      <w:r w:rsidRPr="001E7EB1">
        <w:rPr>
          <w:lang w:val="bg-BG"/>
        </w:rPr>
        <w:t>г.</w:t>
      </w:r>
    </w:p>
    <w:p w:rsidR="00BD1692" w:rsidRPr="001E7EB1" w:rsidRDefault="00972D08" w:rsidP="0055370D">
      <w:pPr>
        <w:pStyle w:val="ECHRPlaceholder"/>
        <w:rPr>
          <w:lang w:val="bg-BG"/>
        </w:rPr>
      </w:pPr>
      <w:r w:rsidRPr="001E7EB1">
        <w:rPr>
          <w:lang w:val="bg-BG"/>
        </w:rPr>
        <w:tab/>
      </w:r>
    </w:p>
    <w:p w:rsidR="00B32591" w:rsidRPr="001E7EB1" w:rsidRDefault="00972D08" w:rsidP="0055370D">
      <w:pPr>
        <w:pStyle w:val="JuSigned"/>
        <w:rPr>
          <w:lang w:val="bg-BG"/>
        </w:rPr>
      </w:pPr>
      <w:r w:rsidRPr="001E7EB1">
        <w:rPr>
          <w:lang w:val="bg-BG"/>
        </w:rPr>
        <w:tab/>
      </w:r>
      <w:proofErr w:type="spellStart"/>
      <w:r w:rsidR="00436176" w:rsidRPr="001E7EB1">
        <w:rPr>
          <w:rFonts w:eastAsia="PMingLiU"/>
          <w:lang w:val="bg-BG"/>
        </w:rPr>
        <w:t>Olga</w:t>
      </w:r>
      <w:proofErr w:type="spellEnd"/>
      <w:r w:rsidR="00436176" w:rsidRPr="001E7EB1">
        <w:rPr>
          <w:rFonts w:eastAsia="PMingLiU"/>
          <w:lang w:val="bg-BG"/>
        </w:rPr>
        <w:t xml:space="preserve"> </w:t>
      </w:r>
      <w:proofErr w:type="spellStart"/>
      <w:r w:rsidR="00436176" w:rsidRPr="001E7EB1">
        <w:rPr>
          <w:rFonts w:eastAsia="PMingLiU"/>
          <w:lang w:val="bg-BG"/>
        </w:rPr>
        <w:t>Chernishova</w:t>
      </w:r>
      <w:proofErr w:type="spellEnd"/>
      <w:r w:rsidR="00436176" w:rsidRPr="001E7EB1">
        <w:rPr>
          <w:rFonts w:eastAsia="PMingLiU"/>
          <w:lang w:val="bg-BG"/>
        </w:rPr>
        <w:t xml:space="preserve"> </w:t>
      </w:r>
      <w:r w:rsidR="001D1233" w:rsidRPr="001E7EB1">
        <w:rPr>
          <w:lang w:val="bg-BG"/>
        </w:rPr>
        <w:tab/>
      </w:r>
      <w:r w:rsidR="00A5530A" w:rsidRPr="001E7EB1">
        <w:rPr>
          <w:lang w:val="bg-BG"/>
        </w:rPr>
        <w:t xml:space="preserve">Питър </w:t>
      </w:r>
      <w:proofErr w:type="spellStart"/>
      <w:r w:rsidR="00A5530A" w:rsidRPr="001E7EB1">
        <w:rPr>
          <w:lang w:val="bg-BG"/>
        </w:rPr>
        <w:t>Русма</w:t>
      </w:r>
      <w:proofErr w:type="spellEnd"/>
      <w:r w:rsidR="00A32E76" w:rsidRPr="001E7EB1">
        <w:rPr>
          <w:lang w:val="bg-BG"/>
        </w:rPr>
        <w:t xml:space="preserve"> </w:t>
      </w:r>
      <w:r w:rsidR="001D1233" w:rsidRPr="001E7EB1">
        <w:rPr>
          <w:lang w:val="bg-BG"/>
        </w:rPr>
        <w:br/>
      </w:r>
      <w:r w:rsidR="001D1233" w:rsidRPr="001E7EB1">
        <w:rPr>
          <w:lang w:val="bg-BG"/>
        </w:rPr>
        <w:tab/>
      </w:r>
      <w:r w:rsidR="00436176" w:rsidRPr="001E7EB1">
        <w:rPr>
          <w:lang w:val="bg-BG"/>
        </w:rPr>
        <w:t xml:space="preserve">Заместник секретар на секция </w:t>
      </w:r>
      <w:r w:rsidR="006267D3" w:rsidRPr="001E7EB1">
        <w:rPr>
          <w:lang w:val="bg-BG"/>
        </w:rPr>
        <w:tab/>
        <w:t>Председател</w:t>
      </w:r>
    </w:p>
    <w:p w:rsidR="00A32E76" w:rsidRPr="001E7EB1" w:rsidRDefault="00972D08" w:rsidP="0055370D">
      <w:pPr>
        <w:pStyle w:val="JuPara"/>
        <w:rPr>
          <w:lang w:val="bg-BG"/>
        </w:rPr>
      </w:pPr>
      <w:r w:rsidRPr="001E7EB1">
        <w:rPr>
          <w:lang w:val="bg-BG"/>
        </w:rPr>
        <w:br w:type="page"/>
      </w:r>
    </w:p>
    <w:p w:rsidR="00B32591" w:rsidRPr="001E7EB1" w:rsidRDefault="00972D08" w:rsidP="0055370D">
      <w:pPr>
        <w:pStyle w:val="JuHHead"/>
        <w:jc w:val="center"/>
        <w:rPr>
          <w:lang w:val="bg-BG"/>
        </w:rPr>
      </w:pPr>
      <w:r w:rsidRPr="001E7EB1">
        <w:rPr>
          <w:lang w:val="bg-BG"/>
        </w:rPr>
        <w:lastRenderedPageBreak/>
        <w:t>Приложение</w:t>
      </w:r>
    </w:p>
    <w:p w:rsidR="00A32E76" w:rsidRPr="001E7EB1" w:rsidRDefault="00972D08" w:rsidP="0055370D">
      <w:pPr>
        <w:pStyle w:val="DecHCase"/>
        <w:keepNext w:val="0"/>
        <w:keepLines w:val="0"/>
        <w:jc w:val="left"/>
        <w:rPr>
          <w:rFonts w:ascii="Times New Roman" w:hAnsi="Times New Roman" w:cs="Times New Roman"/>
          <w:lang w:val="bg-BG"/>
        </w:rPr>
      </w:pPr>
      <w:r w:rsidRPr="001E7EB1">
        <w:rPr>
          <w:rFonts w:ascii="Times New Roman" w:hAnsi="Times New Roman" w:cs="Times New Roman"/>
          <w:lang w:val="bg-BG"/>
        </w:rPr>
        <w:t>Списък на кандидатите:</w:t>
      </w:r>
    </w:p>
    <w:tbl>
      <w:tblPr>
        <w:tblStyle w:val="ECHRListTable"/>
        <w:tblW w:w="6174" w:type="pct"/>
        <w:tblInd w:w="-714" w:type="dxa"/>
        <w:tblLook w:val="0420" w:firstRow="1" w:lastRow="0" w:firstColumn="0" w:lastColumn="0" w:noHBand="0" w:noVBand="1"/>
      </w:tblPr>
      <w:tblGrid>
        <w:gridCol w:w="570"/>
        <w:gridCol w:w="2323"/>
        <w:gridCol w:w="2568"/>
        <w:gridCol w:w="1597"/>
        <w:gridCol w:w="2015"/>
      </w:tblGrid>
      <w:tr w:rsidR="00140274" w:rsidRPr="001E7EB1" w:rsidTr="00140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5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Не.</w:t>
            </w:r>
          </w:p>
        </w:tc>
        <w:tc>
          <w:tcPr>
            <w:tcW w:w="1717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Име на кандидата</w:t>
            </w:r>
          </w:p>
        </w:tc>
        <w:tc>
          <w:tcPr>
            <w:tcW w:w="990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Година на раждане/регистрация</w:t>
            </w:r>
          </w:p>
        </w:tc>
        <w:tc>
          <w:tcPr>
            <w:tcW w:w="64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Място на пребиваване</w:t>
            </w:r>
          </w:p>
        </w:tc>
        <w:tc>
          <w:tcPr>
            <w:tcW w:w="132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Представлявано от</w:t>
            </w:r>
          </w:p>
        </w:tc>
      </w:tr>
      <w:tr w:rsidR="00140274" w:rsidRPr="001E7EB1" w:rsidTr="00140274">
        <w:tc>
          <w:tcPr>
            <w:tcW w:w="315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1.</w:t>
            </w:r>
          </w:p>
        </w:tc>
        <w:tc>
          <w:tcPr>
            <w:tcW w:w="1717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НАЦИОНАЛНА ЛОТАРИЯ</w:t>
            </w:r>
            <w:r w:rsidR="00AC79CA">
              <w:rPr>
                <w:rFonts w:eastAsia="Times New Roman"/>
                <w:lang w:val="bg-BG"/>
              </w:rPr>
              <w:t xml:space="preserve"> АД</w:t>
            </w:r>
          </w:p>
        </w:tc>
        <w:tc>
          <w:tcPr>
            <w:tcW w:w="990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2016 г.</w:t>
            </w:r>
          </w:p>
        </w:tc>
        <w:tc>
          <w:tcPr>
            <w:tcW w:w="64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София</w:t>
            </w:r>
          </w:p>
        </w:tc>
        <w:tc>
          <w:tcPr>
            <w:tcW w:w="132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 xml:space="preserve">М. </w:t>
            </w:r>
            <w:proofErr w:type="spellStart"/>
            <w:r w:rsidRPr="001E7EB1">
              <w:rPr>
                <w:rFonts w:eastAsia="Times New Roman"/>
                <w:lang w:val="bg-BG"/>
              </w:rPr>
              <w:t>Екимджиев</w:t>
            </w:r>
            <w:proofErr w:type="spellEnd"/>
          </w:p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К. Бончева</w:t>
            </w:r>
          </w:p>
        </w:tc>
      </w:tr>
      <w:tr w:rsidR="00140274" w:rsidRPr="001E7EB1" w:rsidTr="00140274">
        <w:tc>
          <w:tcPr>
            <w:tcW w:w="315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2.</w:t>
            </w:r>
          </w:p>
        </w:tc>
        <w:tc>
          <w:tcPr>
            <w:tcW w:w="1717" w:type="pct"/>
          </w:tcPr>
          <w:p w:rsidR="00A32E76" w:rsidRPr="001E7EB1" w:rsidRDefault="00AC79CA" w:rsidP="0055370D">
            <w:pPr>
              <w:jc w:val="center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НЮ ГЕЙМС АД</w:t>
            </w:r>
          </w:p>
        </w:tc>
        <w:tc>
          <w:tcPr>
            <w:tcW w:w="990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2015 г.</w:t>
            </w:r>
          </w:p>
        </w:tc>
        <w:tc>
          <w:tcPr>
            <w:tcW w:w="64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София</w:t>
            </w:r>
          </w:p>
        </w:tc>
        <w:tc>
          <w:tcPr>
            <w:tcW w:w="132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Т. Найденов (попечител)</w:t>
            </w:r>
          </w:p>
        </w:tc>
      </w:tr>
      <w:tr w:rsidR="00140274" w:rsidRPr="001E7EB1" w:rsidTr="00140274">
        <w:tc>
          <w:tcPr>
            <w:tcW w:w="315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3.</w:t>
            </w:r>
          </w:p>
        </w:tc>
        <w:tc>
          <w:tcPr>
            <w:tcW w:w="1717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ЛОТОБГ ООД</w:t>
            </w:r>
          </w:p>
        </w:tc>
        <w:tc>
          <w:tcPr>
            <w:tcW w:w="990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2013 г.</w:t>
            </w:r>
          </w:p>
        </w:tc>
        <w:tc>
          <w:tcPr>
            <w:tcW w:w="64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София</w:t>
            </w:r>
          </w:p>
        </w:tc>
        <w:tc>
          <w:tcPr>
            <w:tcW w:w="132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Н. Димитров</w:t>
            </w:r>
          </w:p>
          <w:p w:rsidR="00E6253F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П. Русинов</w:t>
            </w:r>
          </w:p>
        </w:tc>
      </w:tr>
      <w:tr w:rsidR="00140274" w:rsidRPr="001E7EB1" w:rsidTr="00140274">
        <w:tc>
          <w:tcPr>
            <w:tcW w:w="315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4.</w:t>
            </w:r>
          </w:p>
        </w:tc>
        <w:tc>
          <w:tcPr>
            <w:tcW w:w="1717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Димитър Денчев ГАНЕВ</w:t>
            </w:r>
          </w:p>
        </w:tc>
        <w:tc>
          <w:tcPr>
            <w:tcW w:w="990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1976 г.</w:t>
            </w:r>
          </w:p>
        </w:tc>
        <w:tc>
          <w:tcPr>
            <w:tcW w:w="64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София</w:t>
            </w:r>
          </w:p>
        </w:tc>
        <w:tc>
          <w:tcPr>
            <w:tcW w:w="1329" w:type="pct"/>
          </w:tcPr>
          <w:p w:rsidR="00E6253F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Н. Димитров</w:t>
            </w:r>
          </w:p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П. Русинов</w:t>
            </w:r>
          </w:p>
        </w:tc>
      </w:tr>
      <w:tr w:rsidR="00140274" w:rsidRPr="001E7EB1" w:rsidTr="00140274">
        <w:tc>
          <w:tcPr>
            <w:tcW w:w="315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5.</w:t>
            </w:r>
          </w:p>
        </w:tc>
        <w:tc>
          <w:tcPr>
            <w:tcW w:w="1717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Милен Денчев ГАНЕВ</w:t>
            </w:r>
          </w:p>
        </w:tc>
        <w:tc>
          <w:tcPr>
            <w:tcW w:w="990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1980 г.</w:t>
            </w:r>
          </w:p>
        </w:tc>
        <w:tc>
          <w:tcPr>
            <w:tcW w:w="649" w:type="pct"/>
          </w:tcPr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София</w:t>
            </w:r>
          </w:p>
        </w:tc>
        <w:tc>
          <w:tcPr>
            <w:tcW w:w="1329" w:type="pct"/>
          </w:tcPr>
          <w:p w:rsidR="00E6253F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Н. Димитров</w:t>
            </w:r>
          </w:p>
          <w:p w:rsidR="00A32E76" w:rsidRPr="001E7EB1" w:rsidRDefault="00972D08" w:rsidP="0055370D">
            <w:pPr>
              <w:jc w:val="center"/>
              <w:rPr>
                <w:rFonts w:eastAsia="Times New Roman"/>
                <w:lang w:val="bg-BG"/>
              </w:rPr>
            </w:pPr>
            <w:r w:rsidRPr="001E7EB1">
              <w:rPr>
                <w:rFonts w:eastAsia="Times New Roman"/>
                <w:lang w:val="bg-BG"/>
              </w:rPr>
              <w:t>П. Русинов</w:t>
            </w:r>
          </w:p>
        </w:tc>
      </w:tr>
    </w:tbl>
    <w:p w:rsidR="00CB3BD9" w:rsidRPr="001E7EB1" w:rsidRDefault="00CB3BD9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55370D">
      <w:pPr>
        <w:jc w:val="center"/>
        <w:rPr>
          <w:lang w:val="bg-BG"/>
        </w:rPr>
      </w:pPr>
    </w:p>
    <w:p w:rsidR="000A22A2" w:rsidRPr="001E7EB1" w:rsidRDefault="000A22A2" w:rsidP="000B7AF6">
      <w:pPr>
        <w:rPr>
          <w:i/>
          <w:lang w:val="bg-BG"/>
        </w:rPr>
      </w:pPr>
    </w:p>
    <w:sectPr w:rsidR="000A22A2" w:rsidRPr="001E7EB1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CC" w:rsidRDefault="00276DCC">
      <w:r>
        <w:separator/>
      </w:r>
    </w:p>
  </w:endnote>
  <w:endnote w:type="continuationSeparator" w:id="0">
    <w:p w:rsidR="00276DCC" w:rsidRDefault="0027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32E76" w:rsidRDefault="00972D08" w:rsidP="000D61E7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9F116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32E76" w:rsidRDefault="00972D08" w:rsidP="000D61E7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9F116E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76" w:rsidRPr="00150BFA" w:rsidRDefault="00972D08" w:rsidP="0020718E">
    <w:pPr>
      <w:jc w:val="center"/>
    </w:pPr>
    <w:r w:rsidRPr="00A32E76">
      <w:rPr>
        <w:noProof/>
        <w:lang w:val="bg-BG" w:eastAsia="bg-BG"/>
      </w:rPr>
      <w:drawing>
        <wp:inline distT="0" distB="0" distL="0" distR="0">
          <wp:extent cx="771525" cy="619125"/>
          <wp:effectExtent l="0" t="0" r="9525" b="9525"/>
          <wp:docPr id="21" name="Picture 21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591" w:rsidRPr="00A32E76" w:rsidRDefault="00B32591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CC" w:rsidRDefault="00276DCC">
      <w:r>
        <w:separator/>
      </w:r>
    </w:p>
  </w:footnote>
  <w:footnote w:type="continuationSeparator" w:id="0">
    <w:p w:rsidR="00276DCC" w:rsidRDefault="00276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32E76" w:rsidRDefault="00972D08" w:rsidP="0076040F">
    <w:pPr>
      <w:pStyle w:val="JuHeader"/>
    </w:pPr>
    <w:r>
      <w:t>РЕШЕНИЕ ПО ДЕЛОТО НАЦИОНАЛНА ЛОТАРИЯ АД И ДРУГИ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91" w:rsidRPr="00A32E76" w:rsidRDefault="00972D08" w:rsidP="000D61E7">
    <w:pPr>
      <w:pStyle w:val="JuHeader"/>
    </w:pPr>
    <w:r>
      <w:t>РЕШЕНИЕ ПО ДЕЛОТО НАЦИОНАЛНА ЛОТАРИЯ АД И ДРУГИ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76" w:rsidRPr="00A45145" w:rsidRDefault="00972D08" w:rsidP="00A45145">
    <w:pPr>
      <w:jc w:val="center"/>
    </w:pPr>
    <w:r>
      <w:rPr>
        <w:noProof/>
        <w:lang w:val="bg-BG" w:eastAsia="bg-BG"/>
      </w:rPr>
      <w:drawing>
        <wp:inline distT="0" distB="0" distL="0" distR="0">
          <wp:extent cx="2962275" cy="1219200"/>
          <wp:effectExtent l="0" t="0" r="9525" b="0"/>
          <wp:docPr id="17" name="Picture 1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591" w:rsidRPr="00A32E76" w:rsidRDefault="00B32591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97621A70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79ECDF2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FE0031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7E77E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70E1F2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6F89F1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92AFC8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0667D7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F98677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3"/>
    <w:docVar w:name="SignForeName" w:val="0"/>
    <w:docVar w:name="SndCaseNumber" w:val="Error!Nodocumentvariablesupplied."/>
  </w:docVars>
  <w:rsids>
    <w:rsidRoot w:val="00A32E76"/>
    <w:rsid w:val="0003502F"/>
    <w:rsid w:val="00095FD8"/>
    <w:rsid w:val="000A22A2"/>
    <w:rsid w:val="000B1FA9"/>
    <w:rsid w:val="000B7AF6"/>
    <w:rsid w:val="000C0F9A"/>
    <w:rsid w:val="000D61E7"/>
    <w:rsid w:val="000E3A89"/>
    <w:rsid w:val="00132029"/>
    <w:rsid w:val="00140274"/>
    <w:rsid w:val="00144EBC"/>
    <w:rsid w:val="00145DB9"/>
    <w:rsid w:val="00150BFA"/>
    <w:rsid w:val="001D1233"/>
    <w:rsid w:val="001D790C"/>
    <w:rsid w:val="001E7EB1"/>
    <w:rsid w:val="0020718E"/>
    <w:rsid w:val="00223591"/>
    <w:rsid w:val="002629A3"/>
    <w:rsid w:val="00276DCC"/>
    <w:rsid w:val="002A7443"/>
    <w:rsid w:val="002E2C77"/>
    <w:rsid w:val="00307231"/>
    <w:rsid w:val="00310000"/>
    <w:rsid w:val="003638A8"/>
    <w:rsid w:val="0037430B"/>
    <w:rsid w:val="003B50D7"/>
    <w:rsid w:val="003C67F5"/>
    <w:rsid w:val="003E3C60"/>
    <w:rsid w:val="0040158E"/>
    <w:rsid w:val="00411215"/>
    <w:rsid w:val="00436176"/>
    <w:rsid w:val="0044179A"/>
    <w:rsid w:val="00452087"/>
    <w:rsid w:val="00464268"/>
    <w:rsid w:val="004A4C71"/>
    <w:rsid w:val="004B4E73"/>
    <w:rsid w:val="0050756E"/>
    <w:rsid w:val="005457A5"/>
    <w:rsid w:val="00547A00"/>
    <w:rsid w:val="0055370D"/>
    <w:rsid w:val="005E56C2"/>
    <w:rsid w:val="005F11CB"/>
    <w:rsid w:val="00625CE3"/>
    <w:rsid w:val="006262FA"/>
    <w:rsid w:val="006267D3"/>
    <w:rsid w:val="006300E9"/>
    <w:rsid w:val="0063565A"/>
    <w:rsid w:val="00653EF4"/>
    <w:rsid w:val="00656B81"/>
    <w:rsid w:val="006B226E"/>
    <w:rsid w:val="006D4D63"/>
    <w:rsid w:val="006E123B"/>
    <w:rsid w:val="00726601"/>
    <w:rsid w:val="0076040F"/>
    <w:rsid w:val="007907C0"/>
    <w:rsid w:val="007A74FC"/>
    <w:rsid w:val="007B2364"/>
    <w:rsid w:val="00812D10"/>
    <w:rsid w:val="00831ADC"/>
    <w:rsid w:val="00837AD8"/>
    <w:rsid w:val="008A1E09"/>
    <w:rsid w:val="008D10E4"/>
    <w:rsid w:val="008F0A92"/>
    <w:rsid w:val="008F7189"/>
    <w:rsid w:val="009013F9"/>
    <w:rsid w:val="009026AC"/>
    <w:rsid w:val="00946398"/>
    <w:rsid w:val="00956B2A"/>
    <w:rsid w:val="0096293E"/>
    <w:rsid w:val="009656DE"/>
    <w:rsid w:val="00967707"/>
    <w:rsid w:val="00972D08"/>
    <w:rsid w:val="009A16B3"/>
    <w:rsid w:val="009B6F49"/>
    <w:rsid w:val="009C21E8"/>
    <w:rsid w:val="009E01FB"/>
    <w:rsid w:val="009E69CB"/>
    <w:rsid w:val="009F116E"/>
    <w:rsid w:val="00A32E76"/>
    <w:rsid w:val="00A40439"/>
    <w:rsid w:val="00A45145"/>
    <w:rsid w:val="00A5422F"/>
    <w:rsid w:val="00A5530A"/>
    <w:rsid w:val="00A751AB"/>
    <w:rsid w:val="00AA5AEE"/>
    <w:rsid w:val="00AC3302"/>
    <w:rsid w:val="00AC58E5"/>
    <w:rsid w:val="00AC79CA"/>
    <w:rsid w:val="00AF19F5"/>
    <w:rsid w:val="00B140D3"/>
    <w:rsid w:val="00B16408"/>
    <w:rsid w:val="00B32591"/>
    <w:rsid w:val="00B33642"/>
    <w:rsid w:val="00B94176"/>
    <w:rsid w:val="00BD1692"/>
    <w:rsid w:val="00C42C12"/>
    <w:rsid w:val="00C8038F"/>
    <w:rsid w:val="00CB3BD9"/>
    <w:rsid w:val="00CE3765"/>
    <w:rsid w:val="00D415D6"/>
    <w:rsid w:val="00D67E1B"/>
    <w:rsid w:val="00DB6354"/>
    <w:rsid w:val="00E5464B"/>
    <w:rsid w:val="00E6253F"/>
    <w:rsid w:val="00E6339A"/>
    <w:rsid w:val="00EA1004"/>
    <w:rsid w:val="00EE38CA"/>
    <w:rsid w:val="00EF4498"/>
    <w:rsid w:val="00F0534F"/>
    <w:rsid w:val="00F23B7A"/>
    <w:rsid w:val="00F24AB9"/>
    <w:rsid w:val="00F644D1"/>
    <w:rsid w:val="00FA4AAB"/>
    <w:rsid w:val="00FB0F4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B30E09-C3DF-4F80-B4BB-E4FC531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44E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44EB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44EB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44EB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44EB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44EB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44EB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44EB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44EB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44EB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44EB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144EBC"/>
    <w:pPr>
      <w:ind w:firstLine="284"/>
    </w:pPr>
  </w:style>
  <w:style w:type="character" w:styleId="PageNumber">
    <w:name w:val="page number"/>
    <w:uiPriority w:val="98"/>
    <w:semiHidden/>
    <w:rsid w:val="00144EB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4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44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44EBC"/>
    <w:rPr>
      <w:sz w:val="20"/>
      <w:szCs w:val="20"/>
      <w:lang w:val="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44EB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44EB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44EB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44EB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4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44EBC"/>
    <w:rPr>
      <w:sz w:val="24"/>
      <w:szCs w:val="24"/>
      <w:lang w:val="bg"/>
    </w:rPr>
  </w:style>
  <w:style w:type="paragraph" w:styleId="BalloonText">
    <w:name w:val="Balloon Text"/>
    <w:basedOn w:val="Normal"/>
    <w:link w:val="BalloonText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44EBC"/>
    <w:rPr>
      <w:rFonts w:ascii="Tahoma" w:hAnsi="Tahoma" w:cs="Tahoma"/>
      <w:sz w:val="16"/>
      <w:szCs w:val="16"/>
      <w:lang w:val="bg"/>
    </w:rPr>
  </w:style>
  <w:style w:type="paragraph" w:customStyle="1" w:styleId="DummyStyle">
    <w:name w:val="Dummy_Style"/>
    <w:aliases w:val="_Dummy"/>
    <w:basedOn w:val="Normal"/>
    <w:semiHidden/>
    <w:qFormat/>
    <w:rsid w:val="00144EB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44EB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44EB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44EB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44EB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44EB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144EB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44EB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44EB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144EB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44EB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44EB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44EB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44EB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44EB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44EB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44EB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44EBC"/>
    <w:rPr>
      <w:rFonts w:asciiTheme="majorHAnsi" w:eastAsiaTheme="majorEastAsia" w:hAnsiTheme="majorHAnsi" w:cstheme="majorBidi"/>
      <w:b/>
      <w:bCs/>
      <w:color w:val="333333"/>
      <w:sz w:val="28"/>
      <w:szCs w:val="28"/>
      <w:lang w:val="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44EB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44EBC"/>
    <w:rPr>
      <w:rFonts w:asciiTheme="majorHAnsi" w:eastAsiaTheme="majorEastAsia" w:hAnsiTheme="majorHAnsi" w:cstheme="majorBidi"/>
      <w:b/>
      <w:bCs/>
      <w:color w:val="4D4D4D"/>
      <w:sz w:val="26"/>
      <w:szCs w:val="26"/>
      <w:lang w:val="bg"/>
    </w:rPr>
  </w:style>
  <w:style w:type="paragraph" w:customStyle="1" w:styleId="JuH1">
    <w:name w:val="Ju_H_1."/>
    <w:aliases w:val="_Head_4"/>
    <w:basedOn w:val="Heading4"/>
    <w:next w:val="JuPara"/>
    <w:uiPriority w:val="17"/>
    <w:rsid w:val="00144EB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44EBC"/>
    <w:rPr>
      <w:rFonts w:asciiTheme="majorHAnsi" w:eastAsiaTheme="majorEastAsia" w:hAnsiTheme="majorHAnsi" w:cstheme="majorBidi"/>
      <w:b/>
      <w:bCs/>
      <w:color w:val="5F5F5F"/>
      <w:lang w:val="bg"/>
    </w:rPr>
  </w:style>
  <w:style w:type="paragraph" w:customStyle="1" w:styleId="JuHa0">
    <w:name w:val="Ju_H_a"/>
    <w:aliases w:val="_Head_5"/>
    <w:basedOn w:val="Heading5"/>
    <w:next w:val="JuPara"/>
    <w:uiPriority w:val="17"/>
    <w:rsid w:val="00144EB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77777"/>
      <w:lang w:val="bg"/>
    </w:rPr>
  </w:style>
  <w:style w:type="paragraph" w:customStyle="1" w:styleId="JuHi">
    <w:name w:val="Ju_H_i"/>
    <w:aliases w:val="_Head_6"/>
    <w:basedOn w:val="Heading6"/>
    <w:next w:val="JuPara"/>
    <w:uiPriority w:val="17"/>
    <w:rsid w:val="00144EB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44EBC"/>
    <w:rPr>
      <w:rFonts w:asciiTheme="majorHAnsi" w:eastAsiaTheme="majorEastAsia" w:hAnsiTheme="majorHAnsi" w:cstheme="majorBidi"/>
      <w:b/>
      <w:bCs/>
      <w:color w:val="808080"/>
      <w:lang w:val="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44EB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44EB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44EBC"/>
    <w:rPr>
      <w:rFonts w:asciiTheme="majorHAnsi" w:eastAsiaTheme="majorEastAsia" w:hAnsiTheme="majorHAnsi" w:cstheme="majorBidi"/>
      <w:i/>
      <w:iCs/>
      <w:lang w:val="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44EB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44EB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44EB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44EB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44EB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144EB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144EB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44EB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44EB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44EBC"/>
    <w:rPr>
      <w:rFonts w:asciiTheme="majorHAnsi" w:eastAsiaTheme="majorEastAsia" w:hAnsiTheme="majorHAnsi" w:cstheme="majorBidi"/>
      <w:sz w:val="20"/>
      <w:szCs w:val="20"/>
      <w:lang w:val="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44EBC"/>
    <w:rPr>
      <w:rFonts w:asciiTheme="majorHAnsi" w:eastAsiaTheme="majorEastAsia" w:hAnsiTheme="majorHAnsi" w:cstheme="majorBidi"/>
      <w:i/>
      <w:iCs/>
      <w:spacing w:val="5"/>
      <w:sz w:val="20"/>
      <w:szCs w:val="20"/>
      <w:lang w:val="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44EB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44EBC"/>
    <w:rPr>
      <w:rFonts w:asciiTheme="majorHAnsi" w:eastAsiaTheme="majorEastAsia" w:hAnsiTheme="majorHAnsi" w:cstheme="majorBidi"/>
      <w:spacing w:val="5"/>
      <w:sz w:val="52"/>
      <w:szCs w:val="52"/>
      <w:lang w:val="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44EB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44EBC"/>
    <w:rPr>
      <w:rFonts w:asciiTheme="majorHAnsi" w:eastAsiaTheme="majorEastAsia" w:hAnsiTheme="majorHAnsi" w:cstheme="majorBidi"/>
      <w:i/>
      <w:iCs/>
      <w:spacing w:val="13"/>
      <w:sz w:val="24"/>
      <w:szCs w:val="24"/>
      <w:lang w:val="bg" w:bidi="en-US"/>
    </w:rPr>
  </w:style>
  <w:style w:type="character" w:styleId="Strong">
    <w:name w:val="Strong"/>
    <w:uiPriority w:val="98"/>
    <w:semiHidden/>
    <w:qFormat/>
    <w:rsid w:val="00144EBC"/>
    <w:rPr>
      <w:b/>
      <w:bCs/>
    </w:rPr>
  </w:style>
  <w:style w:type="character" w:styleId="Emphasis">
    <w:name w:val="Emphasis"/>
    <w:uiPriority w:val="98"/>
    <w:semiHidden/>
    <w:qFormat/>
    <w:rsid w:val="00144E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44EB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44EBC"/>
    <w:rPr>
      <w:sz w:val="24"/>
      <w:szCs w:val="24"/>
      <w:lang w:val="bg"/>
    </w:rPr>
  </w:style>
  <w:style w:type="paragraph" w:styleId="ListParagraph">
    <w:name w:val="List Paragraph"/>
    <w:basedOn w:val="Normal"/>
    <w:uiPriority w:val="98"/>
    <w:semiHidden/>
    <w:qFormat/>
    <w:rsid w:val="00144E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44EB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44EBC"/>
    <w:rPr>
      <w:i/>
      <w:iCs/>
      <w:sz w:val="24"/>
      <w:szCs w:val="24"/>
      <w:lang w:val="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44E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44EBC"/>
    <w:rPr>
      <w:b/>
      <w:bCs/>
      <w:i/>
      <w:iCs/>
      <w:sz w:val="24"/>
      <w:szCs w:val="24"/>
      <w:lang w:val="bg" w:bidi="en-US"/>
    </w:rPr>
  </w:style>
  <w:style w:type="character" w:styleId="SubtleEmphasis">
    <w:name w:val="Subtle Emphasis"/>
    <w:uiPriority w:val="98"/>
    <w:semiHidden/>
    <w:qFormat/>
    <w:rsid w:val="00144EBC"/>
    <w:rPr>
      <w:i/>
      <w:iCs/>
    </w:rPr>
  </w:style>
  <w:style w:type="character" w:styleId="IntenseEmphasis">
    <w:name w:val="Intense Emphasis"/>
    <w:uiPriority w:val="98"/>
    <w:semiHidden/>
    <w:qFormat/>
    <w:rsid w:val="00144EBC"/>
    <w:rPr>
      <w:b/>
      <w:bCs/>
    </w:rPr>
  </w:style>
  <w:style w:type="character" w:styleId="SubtleReference">
    <w:name w:val="Subtle Reference"/>
    <w:uiPriority w:val="98"/>
    <w:semiHidden/>
    <w:qFormat/>
    <w:rsid w:val="00144EBC"/>
    <w:rPr>
      <w:smallCaps/>
    </w:rPr>
  </w:style>
  <w:style w:type="character" w:styleId="IntenseReference">
    <w:name w:val="Intense Reference"/>
    <w:uiPriority w:val="98"/>
    <w:semiHidden/>
    <w:qFormat/>
    <w:rsid w:val="00144EB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44EB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44EB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44EB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44EB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44EBC"/>
  </w:style>
  <w:style w:type="paragraph" w:styleId="BlockText">
    <w:name w:val="Block Text"/>
    <w:basedOn w:val="Normal"/>
    <w:uiPriority w:val="98"/>
    <w:semiHidden/>
    <w:rsid w:val="00144EB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44E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44EBC"/>
    <w:rPr>
      <w:sz w:val="24"/>
      <w:szCs w:val="24"/>
      <w:lang w:val="bg"/>
    </w:rPr>
  </w:style>
  <w:style w:type="paragraph" w:styleId="BodyText2">
    <w:name w:val="Body Text 2"/>
    <w:basedOn w:val="Normal"/>
    <w:link w:val="BodyText2Char"/>
    <w:uiPriority w:val="98"/>
    <w:semiHidden/>
    <w:rsid w:val="00144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44EBC"/>
    <w:rPr>
      <w:sz w:val="24"/>
      <w:szCs w:val="24"/>
      <w:lang w:val="bg"/>
    </w:rPr>
  </w:style>
  <w:style w:type="paragraph" w:styleId="BodyText3">
    <w:name w:val="Body Text 3"/>
    <w:basedOn w:val="Normal"/>
    <w:link w:val="BodyText3Char"/>
    <w:uiPriority w:val="98"/>
    <w:semiHidden/>
    <w:rsid w:val="00144E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44EBC"/>
    <w:rPr>
      <w:sz w:val="16"/>
      <w:szCs w:val="16"/>
      <w:lang w:val="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44E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44EBC"/>
    <w:rPr>
      <w:sz w:val="24"/>
      <w:szCs w:val="24"/>
      <w:lang w:val="bg"/>
    </w:rPr>
  </w:style>
  <w:style w:type="paragraph" w:styleId="BodyTextIndent">
    <w:name w:val="Body Text Indent"/>
    <w:basedOn w:val="Normal"/>
    <w:link w:val="BodyTextIndentChar"/>
    <w:uiPriority w:val="98"/>
    <w:semiHidden/>
    <w:rsid w:val="00144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44EBC"/>
    <w:rPr>
      <w:sz w:val="24"/>
      <w:szCs w:val="24"/>
      <w:lang w:val="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44E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44EBC"/>
    <w:rPr>
      <w:sz w:val="24"/>
      <w:szCs w:val="24"/>
      <w:lang w:val="bg"/>
    </w:rPr>
  </w:style>
  <w:style w:type="paragraph" w:styleId="BodyTextIndent2">
    <w:name w:val="Body Text Indent 2"/>
    <w:basedOn w:val="Normal"/>
    <w:link w:val="BodyTextIndent2Char"/>
    <w:uiPriority w:val="98"/>
    <w:semiHidden/>
    <w:rsid w:val="00144E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44EBC"/>
    <w:rPr>
      <w:sz w:val="24"/>
      <w:szCs w:val="24"/>
      <w:lang w:val="bg"/>
    </w:rPr>
  </w:style>
  <w:style w:type="paragraph" w:styleId="BodyTextIndent3">
    <w:name w:val="Body Text Indent 3"/>
    <w:basedOn w:val="Normal"/>
    <w:link w:val="BodyTextIndent3Char"/>
    <w:uiPriority w:val="98"/>
    <w:semiHidden/>
    <w:rsid w:val="00144E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44EBC"/>
    <w:rPr>
      <w:sz w:val="16"/>
      <w:szCs w:val="16"/>
      <w:lang w:val="bg"/>
    </w:rPr>
  </w:style>
  <w:style w:type="paragraph" w:styleId="Caption">
    <w:name w:val="caption"/>
    <w:basedOn w:val="Normal"/>
    <w:next w:val="Normal"/>
    <w:uiPriority w:val="98"/>
    <w:semiHidden/>
    <w:qFormat/>
    <w:rsid w:val="00144EB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44E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44EBC"/>
    <w:rPr>
      <w:sz w:val="24"/>
      <w:szCs w:val="24"/>
      <w:lang w:val="bg"/>
    </w:rPr>
  </w:style>
  <w:style w:type="table" w:styleId="ColorfulGrid">
    <w:name w:val="Colorful Grid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4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44EBC"/>
    <w:rPr>
      <w:b/>
      <w:bCs/>
      <w:sz w:val="20"/>
      <w:szCs w:val="20"/>
      <w:lang w:val="bg"/>
    </w:rPr>
  </w:style>
  <w:style w:type="table" w:styleId="DarkList">
    <w:name w:val="Dark List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44EBC"/>
  </w:style>
  <w:style w:type="character" w:customStyle="1" w:styleId="DateChar">
    <w:name w:val="Date Char"/>
    <w:basedOn w:val="DefaultParagraphFont"/>
    <w:link w:val="Date"/>
    <w:uiPriority w:val="98"/>
    <w:semiHidden/>
    <w:rsid w:val="00144EBC"/>
    <w:rPr>
      <w:sz w:val="24"/>
      <w:szCs w:val="24"/>
      <w:lang w:val="bg"/>
    </w:rPr>
  </w:style>
  <w:style w:type="paragraph" w:styleId="DocumentMap">
    <w:name w:val="Document Map"/>
    <w:basedOn w:val="Normal"/>
    <w:link w:val="DocumentMap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44EBC"/>
    <w:rPr>
      <w:rFonts w:ascii="Tahoma" w:hAnsi="Tahoma" w:cs="Tahoma"/>
      <w:sz w:val="16"/>
      <w:szCs w:val="16"/>
      <w:lang w:val="bg"/>
    </w:rPr>
  </w:style>
  <w:style w:type="paragraph" w:styleId="E-mailSignature">
    <w:name w:val="E-mail Signature"/>
    <w:basedOn w:val="Normal"/>
    <w:link w:val="E-mailSignatureChar"/>
    <w:uiPriority w:val="98"/>
    <w:semiHidden/>
    <w:rsid w:val="00144EB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44EBC"/>
    <w:rPr>
      <w:sz w:val="24"/>
      <w:szCs w:val="24"/>
      <w:lang w:val="bg"/>
    </w:rPr>
  </w:style>
  <w:style w:type="character" w:styleId="EndnoteReference">
    <w:name w:val="endnote reference"/>
    <w:basedOn w:val="DefaultParagraphFont"/>
    <w:uiPriority w:val="98"/>
    <w:semiHidden/>
    <w:rsid w:val="00144EB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44E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44EBC"/>
    <w:rPr>
      <w:sz w:val="20"/>
      <w:szCs w:val="20"/>
      <w:lang w:val="bg"/>
    </w:rPr>
  </w:style>
  <w:style w:type="paragraph" w:styleId="EnvelopeAddress">
    <w:name w:val="envelope address"/>
    <w:basedOn w:val="Normal"/>
    <w:uiPriority w:val="98"/>
    <w:semiHidden/>
    <w:rsid w:val="00144EB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44E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44EB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44EB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144E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44EBC"/>
    <w:rPr>
      <w:sz w:val="20"/>
      <w:szCs w:val="20"/>
      <w:lang w:val="bg"/>
    </w:rPr>
  </w:style>
  <w:style w:type="character" w:styleId="HTMLAcronym">
    <w:name w:val="HTML Acronym"/>
    <w:basedOn w:val="DefaultParagraphFont"/>
    <w:uiPriority w:val="98"/>
    <w:semiHidden/>
    <w:rsid w:val="00144EBC"/>
  </w:style>
  <w:style w:type="paragraph" w:styleId="HTMLAddress">
    <w:name w:val="HTML Address"/>
    <w:basedOn w:val="Normal"/>
    <w:link w:val="HTMLAddressChar"/>
    <w:uiPriority w:val="98"/>
    <w:semiHidden/>
    <w:rsid w:val="00144E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44EBC"/>
    <w:rPr>
      <w:i/>
      <w:iCs/>
      <w:sz w:val="24"/>
      <w:szCs w:val="24"/>
      <w:lang w:val="bg"/>
    </w:rPr>
  </w:style>
  <w:style w:type="character" w:styleId="HTMLCite">
    <w:name w:val="HTML Cite"/>
    <w:basedOn w:val="DefaultParagraphFont"/>
    <w:uiPriority w:val="98"/>
    <w:semiHidden/>
    <w:rsid w:val="00144EBC"/>
    <w:rPr>
      <w:i/>
      <w:iCs/>
    </w:rPr>
  </w:style>
  <w:style w:type="character" w:styleId="HTMLCode">
    <w:name w:val="HTML Code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44EB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44EBC"/>
    <w:rPr>
      <w:rFonts w:ascii="Consolas" w:hAnsi="Consolas" w:cs="Consolas"/>
      <w:sz w:val="20"/>
      <w:szCs w:val="20"/>
      <w:lang w:val="bg"/>
    </w:rPr>
  </w:style>
  <w:style w:type="character" w:styleId="HTMLSample">
    <w:name w:val="HTML Sample"/>
    <w:basedOn w:val="DefaultParagraphFont"/>
    <w:uiPriority w:val="98"/>
    <w:semiHidden/>
    <w:rsid w:val="00144EB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44EBC"/>
    <w:rPr>
      <w:i/>
      <w:iCs/>
    </w:rPr>
  </w:style>
  <w:style w:type="character" w:styleId="Hyperlink">
    <w:name w:val="Hyperlink"/>
    <w:basedOn w:val="DefaultParagraphFont"/>
    <w:uiPriority w:val="98"/>
    <w:rsid w:val="00144EB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44EB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44EB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44EB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44EB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44EB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44EB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44EB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44EB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44EB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44EB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44EB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44EB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44EB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44EB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44EB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44EB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44EB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44EBC"/>
  </w:style>
  <w:style w:type="paragraph" w:styleId="List">
    <w:name w:val="List"/>
    <w:basedOn w:val="Normal"/>
    <w:uiPriority w:val="98"/>
    <w:semiHidden/>
    <w:rsid w:val="00144EB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44EB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44EB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44EB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44EB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44EB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144EB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144EB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144EB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144EB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144E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44E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44E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44E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44E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44EB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144EB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144EB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144EB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144EB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144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44EB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44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44EBC"/>
    <w:rPr>
      <w:rFonts w:asciiTheme="majorHAnsi" w:eastAsiaTheme="majorEastAsia" w:hAnsiTheme="majorHAnsi" w:cstheme="majorBidi"/>
      <w:sz w:val="24"/>
      <w:szCs w:val="24"/>
      <w:shd w:val="pct20" w:color="auto" w:fill="auto"/>
      <w:lang w:val="bg"/>
    </w:rPr>
  </w:style>
  <w:style w:type="paragraph" w:styleId="NormalWeb">
    <w:name w:val="Normal (Web)"/>
    <w:basedOn w:val="Normal"/>
    <w:uiPriority w:val="98"/>
    <w:semiHidden/>
    <w:rsid w:val="00144EB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44EBC"/>
    <w:pPr>
      <w:ind w:left="720"/>
    </w:pPr>
  </w:style>
  <w:style w:type="table" w:customStyle="1" w:styleId="ECHRTableNoLines">
    <w:name w:val="ECHR_Table_No_Lines"/>
    <w:basedOn w:val="TableNormal"/>
    <w:uiPriority w:val="99"/>
    <w:rsid w:val="00144EB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44EB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44EB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44E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44EBC"/>
    <w:rPr>
      <w:rFonts w:ascii="Consolas" w:hAnsi="Consolas" w:cs="Consolas"/>
      <w:sz w:val="21"/>
      <w:szCs w:val="21"/>
      <w:lang w:val="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44EB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44EBC"/>
    <w:rPr>
      <w:sz w:val="24"/>
      <w:szCs w:val="24"/>
      <w:lang w:val="bg"/>
    </w:rPr>
  </w:style>
  <w:style w:type="paragraph" w:styleId="Signature">
    <w:name w:val="Signature"/>
    <w:basedOn w:val="Normal"/>
    <w:link w:val="SignatureChar"/>
    <w:uiPriority w:val="98"/>
    <w:semiHidden/>
    <w:rsid w:val="00144E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44EBC"/>
    <w:rPr>
      <w:sz w:val="24"/>
      <w:szCs w:val="24"/>
      <w:lang w:val="bg"/>
    </w:rPr>
  </w:style>
  <w:style w:type="table" w:styleId="Table3Deffects1">
    <w:name w:val="Table 3D effects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EB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EB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44E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44EB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44EBC"/>
  </w:style>
  <w:style w:type="table" w:styleId="TableProfessional">
    <w:name w:val="Table Professional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44EB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44E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44EB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44EB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44EBC"/>
    <w:rPr>
      <w:sz w:val="24"/>
      <w:szCs w:val="24"/>
      <w:lang w:val="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44EB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44EB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144EBC"/>
    <w:pPr>
      <w:ind w:firstLine="284"/>
      <w:jc w:val="both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44EB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44EBC"/>
    <w:rPr>
      <w:sz w:val="24"/>
      <w:szCs w:val="24"/>
      <w:lang w:val="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44EB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44EB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44EB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44EB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44EB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44EB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44EB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44EB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44EBC"/>
    <w:rPr>
      <w:rFonts w:ascii="Arial" w:hAnsi="Arial"/>
      <w:i/>
      <w:color w:val="002856"/>
      <w:sz w:val="32"/>
      <w:szCs w:val="24"/>
      <w:lang w:val="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44EB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44EB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44EB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44EB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44EB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144EB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44EB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44EB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144EBC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144EBC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44EB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44EB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44EB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44EB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44EB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44EB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44EB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44EB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44EB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44EB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44EB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44EBC"/>
    <w:rPr>
      <w:sz w:val="4"/>
    </w:rPr>
  </w:style>
  <w:style w:type="table" w:customStyle="1" w:styleId="ECHRTableGrey">
    <w:name w:val="ECHR_Table_Grey"/>
    <w:basedOn w:val="TableNormal"/>
    <w:uiPriority w:val="99"/>
    <w:rsid w:val="00144EB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44EB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BD9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A32E76"/>
    <w:rPr>
      <w:sz w:val="24"/>
      <w:szCs w:val="24"/>
      <w:lang w:val="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D11D-E63D-4568-8AA9-8DB818B0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>Iva Stancheva</dc:creator>
  <cp:lastModifiedBy>Silvina Sobadzhieva</cp:lastModifiedBy>
  <cp:revision>4</cp:revision>
  <dcterms:created xsi:type="dcterms:W3CDTF">2026-06-09T07:29:00Z</dcterms:created>
  <dcterms:modified xsi:type="dcterms:W3CDTF">2026-06-10T09:02:00Z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1594152</vt:lpwstr>
  </property>
  <property fmtid="{D5CDD505-2E9C-101B-9397-08002B2CF9AE}" pid="3" name="cstLanguage">
    <vt:i4>2057</vt:i4>
  </property>
  <property fmtid="{D5CDD505-2E9C-101B-9397-08002B2CF9AE}" pid="4" name="RegisteredNo">
    <vt:lpwstr>50643/20</vt:lpwstr>
  </property>
  <property fmtid="{D5CDD505-2E9C-101B-9397-08002B2CF9AE}" pid="5" name="_MarkAsFinal">
    <vt:bool>true</vt:bool>
  </property>
</Properties>
</file>