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4DE" w:rsidRDefault="00735B47" w:rsidP="00A73E27">
      <w:pPr>
        <w:tabs>
          <w:tab w:val="left" w:pos="5529"/>
        </w:tabs>
        <w:jc w:val="center"/>
      </w:pPr>
      <w:bookmarkStart w:id="0" w:name="_GoBack"/>
      <w:bookmarkEnd w:id="0"/>
      <w:r w:rsidRPr="009764DE">
        <w:rPr>
          <w:noProof/>
          <w:lang w:val="en-US" w:eastAsia="en-US"/>
        </w:rPr>
        <w:drawing>
          <wp:inline distT="0" distB="0" distL="0" distR="0">
            <wp:extent cx="2962275" cy="1219200"/>
            <wp:effectExtent l="0" t="0" r="0" b="0"/>
            <wp:docPr id="1" name="Picture 1" descr="R:\1_Graphics&amp;Web\Court_Graphic_Charter\2013\ECHR_Stationery\Documents_and_Letters\Cover_Pages_And_Docs\White_600_dpi\ECHR_CoverpageCS61_ECHR_Coverpage_Header_Bla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:\1_Graphics&amp;Web\Court_Graphic_Charter\2013\ECHR_Stationery\Documents_and_Letters\Cover_Pages_And_Docs\White_600_dpi\ECHR_CoverpageCS61_ECHR_Coverpage_Header_Black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64DE" w:rsidRDefault="009764DE" w:rsidP="00A73E27">
      <w:pPr>
        <w:tabs>
          <w:tab w:val="left" w:pos="5529"/>
        </w:tabs>
        <w:jc w:val="center"/>
      </w:pPr>
    </w:p>
    <w:p w:rsidR="009764DE" w:rsidRDefault="009764DE" w:rsidP="00A73E27">
      <w:pPr>
        <w:tabs>
          <w:tab w:val="left" w:pos="5529"/>
        </w:tabs>
        <w:jc w:val="center"/>
      </w:pPr>
    </w:p>
    <w:p w:rsidR="009764DE" w:rsidRDefault="009764DE" w:rsidP="00A73E27">
      <w:pPr>
        <w:tabs>
          <w:tab w:val="left" w:pos="5529"/>
        </w:tabs>
        <w:jc w:val="center"/>
      </w:pPr>
    </w:p>
    <w:p w:rsidR="009764DE" w:rsidRDefault="009764DE" w:rsidP="00A73E27">
      <w:pPr>
        <w:tabs>
          <w:tab w:val="left" w:pos="5529"/>
        </w:tabs>
        <w:jc w:val="center"/>
      </w:pPr>
    </w:p>
    <w:p w:rsidR="009764DE" w:rsidRDefault="009764DE" w:rsidP="00A73E27">
      <w:pPr>
        <w:tabs>
          <w:tab w:val="left" w:pos="5529"/>
        </w:tabs>
        <w:jc w:val="center"/>
      </w:pPr>
    </w:p>
    <w:p w:rsidR="009764DE" w:rsidRDefault="009764DE" w:rsidP="00A73E27">
      <w:pPr>
        <w:tabs>
          <w:tab w:val="left" w:pos="5529"/>
        </w:tabs>
        <w:jc w:val="center"/>
      </w:pPr>
    </w:p>
    <w:p w:rsidR="00A73E27" w:rsidRPr="00A466A4" w:rsidRDefault="00A73E27" w:rsidP="00A73E27">
      <w:pPr>
        <w:tabs>
          <w:tab w:val="left" w:pos="5529"/>
        </w:tabs>
        <w:jc w:val="center"/>
      </w:pPr>
      <w:r w:rsidRPr="00A466A4">
        <w:t>ПЕТО ОТДЕЛЕНИЕ</w:t>
      </w:r>
    </w:p>
    <w:p w:rsidR="00A73E27" w:rsidRDefault="00A73E27" w:rsidP="00A73E27">
      <w:pPr>
        <w:jc w:val="center"/>
      </w:pPr>
    </w:p>
    <w:p w:rsidR="009764DE" w:rsidRDefault="009764DE" w:rsidP="00A73E27">
      <w:pPr>
        <w:jc w:val="center"/>
      </w:pPr>
    </w:p>
    <w:p w:rsidR="009764DE" w:rsidRDefault="009764DE" w:rsidP="00A73E27">
      <w:pPr>
        <w:jc w:val="center"/>
      </w:pPr>
    </w:p>
    <w:p w:rsidR="009764DE" w:rsidRDefault="009764DE" w:rsidP="00A73E27">
      <w:pPr>
        <w:jc w:val="center"/>
      </w:pPr>
    </w:p>
    <w:p w:rsidR="009764DE" w:rsidRDefault="009764DE" w:rsidP="00A73E27">
      <w:pPr>
        <w:jc w:val="center"/>
      </w:pPr>
    </w:p>
    <w:p w:rsidR="009764DE" w:rsidRPr="00A466A4" w:rsidRDefault="009764DE" w:rsidP="00A73E27">
      <w:pPr>
        <w:jc w:val="center"/>
      </w:pPr>
    </w:p>
    <w:p w:rsidR="00A73E27" w:rsidRPr="00A466A4" w:rsidRDefault="00A73E27" w:rsidP="00A73E27">
      <w:pPr>
        <w:jc w:val="center"/>
        <w:rPr>
          <w:b/>
        </w:rPr>
      </w:pPr>
      <w:bookmarkStart w:id="1" w:name="To"/>
      <w:r w:rsidRPr="00A466A4">
        <w:rPr>
          <w:b/>
        </w:rPr>
        <w:t xml:space="preserve">ДЕЛО </w:t>
      </w:r>
      <w:bookmarkEnd w:id="1"/>
      <w:r w:rsidRPr="00A466A4">
        <w:rPr>
          <w:b/>
        </w:rPr>
        <w:t>ИФАНДИЕВ СРЕЩУ БЪЛГАРИЯ</w:t>
      </w:r>
    </w:p>
    <w:p w:rsidR="00A73E27" w:rsidRPr="00A466A4" w:rsidRDefault="00A73E27" w:rsidP="00A73E27">
      <w:pPr>
        <w:jc w:val="center"/>
        <w:rPr>
          <w:b/>
        </w:rPr>
      </w:pPr>
    </w:p>
    <w:p w:rsidR="00A73E27" w:rsidRPr="00A466A4" w:rsidRDefault="00A73E27" w:rsidP="00A73E27">
      <w:pPr>
        <w:jc w:val="center"/>
        <w:rPr>
          <w:i/>
        </w:rPr>
      </w:pPr>
      <w:r w:rsidRPr="00A466A4">
        <w:rPr>
          <w:i/>
        </w:rPr>
        <w:t xml:space="preserve">(Жалба </w:t>
      </w:r>
      <w:r w:rsidRPr="00A466A4">
        <w:rPr>
          <w:i/>
          <w:cs/>
        </w:rPr>
        <w:t xml:space="preserve">№ </w:t>
      </w:r>
      <w:r w:rsidRPr="00A466A4">
        <w:rPr>
          <w:i/>
        </w:rPr>
        <w:t>14904/11)</w:t>
      </w:r>
    </w:p>
    <w:p w:rsidR="00A73E27" w:rsidRPr="00A466A4" w:rsidRDefault="00A73E27" w:rsidP="00A73E27">
      <w:pPr>
        <w:jc w:val="center"/>
        <w:rPr>
          <w:i/>
        </w:rPr>
      </w:pPr>
    </w:p>
    <w:p w:rsidR="00A73E27" w:rsidRDefault="00A73E27" w:rsidP="00A73E27">
      <w:pPr>
        <w:jc w:val="center"/>
      </w:pPr>
    </w:p>
    <w:p w:rsidR="009764DE" w:rsidRDefault="009764DE" w:rsidP="00A73E27">
      <w:pPr>
        <w:jc w:val="center"/>
      </w:pPr>
    </w:p>
    <w:p w:rsidR="009764DE" w:rsidRDefault="009764DE" w:rsidP="00A73E27">
      <w:pPr>
        <w:jc w:val="center"/>
      </w:pPr>
    </w:p>
    <w:p w:rsidR="009764DE" w:rsidRDefault="009764DE" w:rsidP="00A73E27">
      <w:pPr>
        <w:jc w:val="center"/>
      </w:pPr>
    </w:p>
    <w:p w:rsidR="009764DE" w:rsidRDefault="009764DE" w:rsidP="00A73E27">
      <w:pPr>
        <w:jc w:val="center"/>
      </w:pPr>
    </w:p>
    <w:p w:rsidR="009764DE" w:rsidRDefault="009764DE" w:rsidP="00A73E27">
      <w:pPr>
        <w:jc w:val="center"/>
      </w:pPr>
    </w:p>
    <w:p w:rsidR="009764DE" w:rsidRDefault="009764DE" w:rsidP="00A73E27">
      <w:pPr>
        <w:jc w:val="center"/>
      </w:pPr>
    </w:p>
    <w:p w:rsidR="009764DE" w:rsidRDefault="009764DE" w:rsidP="00A73E27">
      <w:pPr>
        <w:jc w:val="center"/>
      </w:pPr>
    </w:p>
    <w:p w:rsidR="009764DE" w:rsidRDefault="009764DE" w:rsidP="00A73E27">
      <w:pPr>
        <w:jc w:val="center"/>
      </w:pPr>
    </w:p>
    <w:p w:rsidR="009764DE" w:rsidRPr="00A466A4" w:rsidRDefault="009764DE" w:rsidP="00A73E27">
      <w:pPr>
        <w:jc w:val="center"/>
      </w:pPr>
    </w:p>
    <w:p w:rsidR="00A73E27" w:rsidRPr="00A466A4" w:rsidRDefault="00A73E27" w:rsidP="00A73E27">
      <w:pPr>
        <w:jc w:val="center"/>
        <w:outlineLvl w:val="0"/>
      </w:pPr>
      <w:r w:rsidRPr="00A466A4">
        <w:t>РЕШЕНИЕ</w:t>
      </w:r>
    </w:p>
    <w:p w:rsidR="00A73E27" w:rsidRDefault="00A73E27" w:rsidP="00A73E27">
      <w:pPr>
        <w:jc w:val="center"/>
      </w:pPr>
    </w:p>
    <w:p w:rsidR="009764DE" w:rsidRPr="00A466A4" w:rsidRDefault="009764DE" w:rsidP="00A73E27">
      <w:pPr>
        <w:jc w:val="center"/>
      </w:pPr>
    </w:p>
    <w:p w:rsidR="00A73E27" w:rsidRPr="00A466A4" w:rsidRDefault="00A73E27" w:rsidP="00A73E27">
      <w:pPr>
        <w:jc w:val="center"/>
        <w:outlineLvl w:val="0"/>
      </w:pPr>
      <w:r w:rsidRPr="00A466A4">
        <w:t>СТРАСБУРГ</w:t>
      </w:r>
    </w:p>
    <w:p w:rsidR="00A73E27" w:rsidRDefault="00A73E27" w:rsidP="00A73E27">
      <w:pPr>
        <w:jc w:val="center"/>
      </w:pPr>
    </w:p>
    <w:p w:rsidR="009764DE" w:rsidRPr="00A466A4" w:rsidRDefault="009764DE" w:rsidP="00A73E27">
      <w:pPr>
        <w:jc w:val="center"/>
      </w:pPr>
    </w:p>
    <w:p w:rsidR="00A73E27" w:rsidRPr="00A466A4" w:rsidRDefault="00A73E27" w:rsidP="00A73E27">
      <w:pPr>
        <w:jc w:val="center"/>
      </w:pPr>
      <w:r w:rsidRPr="00A466A4">
        <w:t>18 април 2019 г.</w:t>
      </w:r>
    </w:p>
    <w:p w:rsidR="00A73E27" w:rsidRDefault="00A73E27" w:rsidP="00A73E27">
      <w:pPr>
        <w:jc w:val="center"/>
      </w:pPr>
    </w:p>
    <w:p w:rsidR="009764DE" w:rsidRDefault="009764DE" w:rsidP="00A73E27">
      <w:pPr>
        <w:jc w:val="center"/>
      </w:pPr>
    </w:p>
    <w:p w:rsidR="009764DE" w:rsidRPr="00A466A4" w:rsidRDefault="009764DE" w:rsidP="009764DE"/>
    <w:p w:rsidR="00A73E27" w:rsidRPr="00A466A4" w:rsidRDefault="00A73E27" w:rsidP="00A73E27">
      <w:pPr>
        <w:jc w:val="center"/>
      </w:pPr>
    </w:p>
    <w:p w:rsidR="00A73E27" w:rsidRPr="00A466A4" w:rsidRDefault="00A73E27" w:rsidP="00A73E27">
      <w:pPr>
        <w:jc w:val="center"/>
      </w:pPr>
    </w:p>
    <w:p w:rsidR="00A73E27" w:rsidRPr="00A466A4" w:rsidRDefault="00A73E27" w:rsidP="00A73E27">
      <w:pPr>
        <w:rPr>
          <w:i/>
          <w:sz w:val="22"/>
        </w:rPr>
      </w:pPr>
      <w:r w:rsidRPr="00A466A4">
        <w:rPr>
          <w:i/>
          <w:sz w:val="22"/>
        </w:rPr>
        <w:t>Настоящото решение е окончателно, но може да бъде предмет на редакционни промени.</w:t>
      </w:r>
    </w:p>
    <w:p w:rsidR="00980F03" w:rsidRDefault="00980F03" w:rsidP="00A73E27">
      <w:pPr>
        <w:pStyle w:val="JuCase"/>
      </w:pPr>
    </w:p>
    <w:p w:rsidR="009764DE" w:rsidRDefault="00735B47" w:rsidP="009764DE">
      <w:pPr>
        <w:pStyle w:val="ECHRPara"/>
        <w:ind w:firstLine="0"/>
        <w:jc w:val="center"/>
        <w:rPr>
          <w:noProof/>
          <w:lang w:val="en-US" w:eastAsia="en-US"/>
        </w:rPr>
      </w:pPr>
      <w:r w:rsidRPr="009764DE">
        <w:rPr>
          <w:noProof/>
          <w:lang w:val="en-US" w:eastAsia="en-US"/>
        </w:rPr>
        <w:drawing>
          <wp:inline distT="0" distB="0" distL="0" distR="0">
            <wp:extent cx="771525" cy="619125"/>
            <wp:effectExtent l="0" t="0" r="0" b="0"/>
            <wp:docPr id="3" name="Picture 3" descr="R:\1_Graphics&amp;Web\Court_Graphic_Charter\2013\ECHR_Stationery\Documents_and_Letters\Cover_Pages_And_Docs\White_600_dpi\ECHR_CoverpageCS61_ECHR_Coverpage_Footer_COE_Bla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:\1_Graphics&amp;Web\Court_Graphic_Charter\2013\ECHR_Stationery\Documents_and_Letters\Cover_Pages_And_Docs\White_600_dpi\ECHR_CoverpageCS61_ECHR_Coverpage_Footer_COE_Black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E27" w:rsidRPr="00A466A4" w:rsidRDefault="009764DE" w:rsidP="009764DE">
      <w:pPr>
        <w:pStyle w:val="ECHRPara"/>
        <w:ind w:firstLine="0"/>
      </w:pPr>
      <w:r>
        <w:rPr>
          <w:noProof/>
          <w:lang w:val="en-US" w:eastAsia="en-US"/>
        </w:rPr>
        <w:br w:type="page"/>
      </w:r>
      <w:r w:rsidR="00A73E27" w:rsidRPr="00A466A4">
        <w:lastRenderedPageBreak/>
        <w:t>По делото Ифандиев срещу България,</w:t>
      </w:r>
    </w:p>
    <w:p w:rsidR="00A73E27" w:rsidRPr="00A466A4" w:rsidRDefault="00A73E27" w:rsidP="00A73E27">
      <w:pPr>
        <w:pStyle w:val="ECHRPara"/>
      </w:pPr>
      <w:r w:rsidRPr="00A466A4">
        <w:t xml:space="preserve">Европейският съд по правата на човека (Пето отделение), заседаващ като комитет, </w:t>
      </w:r>
      <w:r w:rsidR="00A81595" w:rsidRPr="00A466A4">
        <w:t>в състав</w:t>
      </w:r>
      <w:r w:rsidRPr="00A466A4">
        <w:t>:</w:t>
      </w:r>
    </w:p>
    <w:p w:rsidR="00A73E27" w:rsidRPr="00A466A4" w:rsidRDefault="00A73E27" w:rsidP="00A73E27">
      <w:pPr>
        <w:pStyle w:val="ECHRDecisionBody"/>
      </w:pPr>
      <w:r w:rsidRPr="00A466A4">
        <w:tab/>
        <w:t>Гана Юдкивска (Ganna Yudkivska),</w:t>
      </w:r>
      <w:r w:rsidRPr="00A466A4">
        <w:rPr>
          <w:i/>
        </w:rPr>
        <w:t xml:space="preserve"> председател,</w:t>
      </w:r>
      <w:r w:rsidRPr="00A466A4">
        <w:br/>
      </w:r>
      <w:r w:rsidRPr="00A466A4">
        <w:tab/>
        <w:t>Шифра О</w:t>
      </w:r>
      <w:r w:rsidRPr="00A466A4">
        <w:rPr>
          <w:cs/>
        </w:rPr>
        <w:t>’</w:t>
      </w:r>
      <w:r w:rsidRPr="00A466A4">
        <w:t>Лиъри (Síofra O</w:t>
      </w:r>
      <w:r w:rsidRPr="00A466A4">
        <w:rPr>
          <w:cs/>
        </w:rPr>
        <w:t>’</w:t>
      </w:r>
      <w:r w:rsidRPr="00A466A4">
        <w:t>Leary),</w:t>
      </w:r>
      <w:r w:rsidRPr="00A466A4">
        <w:br/>
      </w:r>
      <w:r w:rsidRPr="00A466A4">
        <w:tab/>
        <w:t>Ладо Чантурия (Lado Chanturia),</w:t>
      </w:r>
      <w:r w:rsidRPr="00A466A4">
        <w:rPr>
          <w:i/>
        </w:rPr>
        <w:t xml:space="preserve"> съдии,</w:t>
      </w:r>
      <w:r w:rsidRPr="00A466A4">
        <w:br/>
        <w:t>и Милан Бла</w:t>
      </w:r>
      <w:r w:rsidR="00C3068E" w:rsidRPr="00A466A4">
        <w:t>с</w:t>
      </w:r>
      <w:r w:rsidRPr="00A466A4">
        <w:t xml:space="preserve">ко (Milan Blaško), </w:t>
      </w:r>
      <w:r w:rsidRPr="00A466A4">
        <w:rPr>
          <w:i/>
        </w:rPr>
        <w:t>заместник-секретар на отделението,</w:t>
      </w:r>
    </w:p>
    <w:p w:rsidR="00A73E27" w:rsidRPr="00A466A4" w:rsidRDefault="00A73E27" w:rsidP="00A73E27">
      <w:pPr>
        <w:pStyle w:val="ECHRPara"/>
      </w:pPr>
      <w:r w:rsidRPr="00A466A4">
        <w:t>След закрито заседание, проведено на 26 март 2019 г.,</w:t>
      </w:r>
    </w:p>
    <w:p w:rsidR="00A73E27" w:rsidRPr="00A466A4" w:rsidRDefault="00A73E27" w:rsidP="00A73E27">
      <w:pPr>
        <w:pStyle w:val="ECHRPara"/>
      </w:pPr>
      <w:r w:rsidRPr="00A466A4">
        <w:t>Постановява следното решение, прието на същата дата:</w:t>
      </w:r>
    </w:p>
    <w:p w:rsidR="00A73E27" w:rsidRPr="00A466A4" w:rsidRDefault="00A73E27" w:rsidP="00A73E27">
      <w:pPr>
        <w:pStyle w:val="ECHRTitle1"/>
      </w:pPr>
      <w:r w:rsidRPr="00A466A4">
        <w:t>ПРОЦЕДУРА</w:t>
      </w:r>
    </w:p>
    <w:p w:rsidR="00A73E27" w:rsidRPr="00A466A4" w:rsidRDefault="00A73E27" w:rsidP="00A73E27">
      <w:pPr>
        <w:pStyle w:val="ECHRPara"/>
      </w:pPr>
      <w:r w:rsidRPr="00A466A4">
        <w:t>1.  Делото е образувано по жалба (</w:t>
      </w:r>
      <w:r w:rsidRPr="00A466A4">
        <w:rPr>
          <w:cs/>
        </w:rPr>
        <w:t xml:space="preserve">№ </w:t>
      </w:r>
      <w:r w:rsidRPr="00A466A4">
        <w:t>14904/11) срещу Република България, подадена в Съда на основание чл. 34 от Конвенцията за защита на правата на човека и основните свободи (</w:t>
      </w:r>
      <w:r w:rsidRPr="00A466A4">
        <w:rPr>
          <w:cs/>
        </w:rPr>
        <w:t>”</w:t>
      </w:r>
      <w:r w:rsidRPr="00A466A4">
        <w:t>Конвенцията</w:t>
      </w:r>
      <w:r w:rsidRPr="00A466A4">
        <w:rPr>
          <w:cs/>
        </w:rPr>
        <w:t>”</w:t>
      </w:r>
      <w:r w:rsidRPr="00A466A4">
        <w:t>) от български граждани</w:t>
      </w:r>
      <w:r w:rsidR="00A81595" w:rsidRPr="00A466A4">
        <w:t>н</w:t>
      </w:r>
      <w:r w:rsidRPr="00A466A4">
        <w:t>, г-н Георги Менелаев Ифандиев (</w:t>
      </w:r>
      <w:r w:rsidRPr="00A466A4">
        <w:rPr>
          <w:cs/>
        </w:rPr>
        <w:t>”</w:t>
      </w:r>
      <w:r w:rsidRPr="00A466A4">
        <w:t>жалбоподателя</w:t>
      </w:r>
      <w:r w:rsidRPr="00A466A4">
        <w:rPr>
          <w:cs/>
        </w:rPr>
        <w:t>”</w:t>
      </w:r>
      <w:r w:rsidRPr="00A466A4">
        <w:t>), на 15 февруари 2011 г.</w:t>
      </w:r>
    </w:p>
    <w:p w:rsidR="00A73E27" w:rsidRPr="00A466A4" w:rsidRDefault="00A73E27" w:rsidP="00A73E27">
      <w:pPr>
        <w:pStyle w:val="ECHRPara"/>
      </w:pPr>
      <w:r w:rsidRPr="00A466A4">
        <w:t>2.  Жалбоподателят се представлява от г-жа Е. Стоева, адвокат, практикуващ в София. Българското правителство (</w:t>
      </w:r>
      <w:r w:rsidRPr="00A466A4">
        <w:rPr>
          <w:cs/>
        </w:rPr>
        <w:t>„</w:t>
      </w:r>
      <w:r w:rsidRPr="00A466A4">
        <w:t>Правителството</w:t>
      </w:r>
      <w:r w:rsidRPr="00A466A4">
        <w:rPr>
          <w:cs/>
        </w:rPr>
        <w:t>”</w:t>
      </w:r>
      <w:r w:rsidRPr="00A466A4">
        <w:t>) се представлява от правителствения агент г-жа И. Станчева-Чинова от Министерство на правосъдието.</w:t>
      </w:r>
    </w:p>
    <w:p w:rsidR="00A73E27" w:rsidRPr="00A466A4" w:rsidRDefault="00A73E27" w:rsidP="00A73E27">
      <w:pPr>
        <w:pStyle w:val="ECHRPara"/>
      </w:pPr>
      <w:r w:rsidRPr="00A466A4">
        <w:t>3.  На 22 януари 2018 г. оплакването отн</w:t>
      </w:r>
      <w:r w:rsidR="00574A79" w:rsidRPr="00A466A4">
        <w:t>осно</w:t>
      </w:r>
      <w:r w:rsidRPr="00A466A4">
        <w:t xml:space="preserve"> правото на </w:t>
      </w:r>
      <w:r w:rsidR="00574A79" w:rsidRPr="00A466A4">
        <w:t xml:space="preserve">жалбоподателя на </w:t>
      </w:r>
      <w:r w:rsidRPr="00A466A4">
        <w:t xml:space="preserve">свобода на изразяване е </w:t>
      </w:r>
      <w:r w:rsidR="007170B8" w:rsidRPr="00A466A4">
        <w:t xml:space="preserve">предоставено </w:t>
      </w:r>
      <w:r w:rsidRPr="00A466A4">
        <w:t xml:space="preserve">на Правителството, а останалата част от жалбата е обявена за недопустима съгласно </w:t>
      </w:r>
      <w:r w:rsidR="00A81595" w:rsidRPr="00A466A4">
        <w:t>п</w:t>
      </w:r>
      <w:r w:rsidRPr="00A466A4">
        <w:t>равило 54 § 3 от Правилника на Съда.</w:t>
      </w:r>
    </w:p>
    <w:p w:rsidR="00A73E27" w:rsidRPr="00A466A4" w:rsidRDefault="00A73E27" w:rsidP="00A73E27">
      <w:pPr>
        <w:pStyle w:val="ECHRTitle1"/>
      </w:pPr>
      <w:r w:rsidRPr="00A466A4">
        <w:t>ФАКТИТЕ</w:t>
      </w:r>
    </w:p>
    <w:p w:rsidR="00A73E27" w:rsidRPr="00A466A4" w:rsidRDefault="00A73E27" w:rsidP="00A73E27">
      <w:pPr>
        <w:pStyle w:val="ECHRHeading1"/>
      </w:pPr>
      <w:r w:rsidRPr="00A466A4">
        <w:t>I.  ОБСТОЯТЕЛСТВА ПО ДЕЛОТО</w:t>
      </w:r>
    </w:p>
    <w:p w:rsidR="00A73E27" w:rsidRPr="00A466A4" w:rsidRDefault="00A73E27" w:rsidP="00A73E27">
      <w:pPr>
        <w:pStyle w:val="ECHRPara"/>
      </w:pPr>
      <w:r w:rsidRPr="00A466A4">
        <w:t>4.  Жалбоподателят е роден през 1950 г. и живее в София. Той е журналист и писател.</w:t>
      </w:r>
    </w:p>
    <w:p w:rsidR="00A73E27" w:rsidRPr="00A466A4" w:rsidRDefault="00A73E27" w:rsidP="00A73E27">
      <w:pPr>
        <w:pStyle w:val="ECHRPara"/>
      </w:pPr>
      <w:r w:rsidRPr="00A466A4">
        <w:t xml:space="preserve">5.  К.Т., популярна фигура </w:t>
      </w:r>
      <w:r w:rsidR="00A81595" w:rsidRPr="00A466A4">
        <w:t xml:space="preserve">от </w:t>
      </w:r>
      <w:r w:rsidRPr="00A466A4">
        <w:t xml:space="preserve">българската политика, </w:t>
      </w:r>
      <w:r w:rsidR="00B7222D" w:rsidRPr="00A466A4">
        <w:t>в продължение на</w:t>
      </w:r>
      <w:r w:rsidR="007170B8" w:rsidRPr="00A466A4">
        <w:t xml:space="preserve"> много години </w:t>
      </w:r>
      <w:r w:rsidRPr="00A466A4">
        <w:t xml:space="preserve">е </w:t>
      </w:r>
      <w:r w:rsidR="00B7222D" w:rsidRPr="00A466A4">
        <w:t xml:space="preserve">ръководител </w:t>
      </w:r>
      <w:r w:rsidRPr="00A466A4">
        <w:t xml:space="preserve">на профсъюз. </w:t>
      </w:r>
      <w:r w:rsidR="00B7222D" w:rsidRPr="00A466A4">
        <w:t>В допълнение</w:t>
      </w:r>
      <w:r w:rsidRPr="00A466A4">
        <w:t xml:space="preserve"> той е бил член на управителните органи на Международната конфедерация на свободните профсъюзи и Европейската конфедерация на профсъюзите. С</w:t>
      </w:r>
      <w:r w:rsidR="00574A79" w:rsidRPr="00A466A4">
        <w:t>ъгласно</w:t>
      </w:r>
      <w:r w:rsidRPr="00A466A4">
        <w:t xml:space="preserve"> информаци</w:t>
      </w:r>
      <w:r w:rsidR="00574A79" w:rsidRPr="00A466A4">
        <w:t>я</w:t>
      </w:r>
      <w:r w:rsidRPr="00A466A4">
        <w:t xml:space="preserve">, предоставена от Правителството, профсъюзът, оглавяван преди от К.Т., е вторият по големина в България, с  около 150 000 </w:t>
      </w:r>
      <w:r w:rsidR="00574A79" w:rsidRPr="00A466A4">
        <w:t>члена</w:t>
      </w:r>
      <w:r w:rsidRPr="00A466A4">
        <w:t>.</w:t>
      </w:r>
    </w:p>
    <w:p w:rsidR="00A73E27" w:rsidRPr="00A466A4" w:rsidRDefault="00A73E27" w:rsidP="00A73E27">
      <w:pPr>
        <w:pStyle w:val="ECHRHeading2"/>
      </w:pPr>
      <w:r w:rsidRPr="00A466A4">
        <w:t>Б. Книгата на жалбоподателя</w:t>
      </w:r>
    </w:p>
    <w:p w:rsidR="00A73E27" w:rsidRPr="00A466A4" w:rsidRDefault="00A73E27" w:rsidP="00A73E27">
      <w:pPr>
        <w:pStyle w:val="ECHRPara"/>
      </w:pPr>
      <w:r w:rsidRPr="00A466A4">
        <w:t xml:space="preserve">6.  През 2003 г. жалбоподателят публикува книга, наречена </w:t>
      </w:r>
      <w:r w:rsidRPr="00A466A4">
        <w:rPr>
          <w:cs/>
        </w:rPr>
        <w:t>„</w:t>
      </w:r>
      <w:r w:rsidRPr="00A466A4">
        <w:t>Сянката на Цион</w:t>
      </w:r>
      <w:r w:rsidRPr="00A466A4">
        <w:rPr>
          <w:cs/>
        </w:rPr>
        <w:t>“</w:t>
      </w:r>
      <w:r w:rsidRPr="00A466A4">
        <w:t>, която се занимава с юдаизма, ционизма, масонството и тяхното влияние върху световната история.</w:t>
      </w:r>
    </w:p>
    <w:p w:rsidR="00A73E27" w:rsidRPr="00A466A4" w:rsidRDefault="00A73E27" w:rsidP="00A73E27">
      <w:pPr>
        <w:pStyle w:val="ECHRPara"/>
      </w:pPr>
      <w:r w:rsidRPr="00A466A4">
        <w:t xml:space="preserve">7.  На стр. 69-70 книгата съдържа абзац, в който се сравняват комунистите и нацистите с масоните, заявявайки, че на принципа на масоните нацистите са </w:t>
      </w:r>
      <w:r w:rsidRPr="00A466A4">
        <w:rPr>
          <w:cs/>
        </w:rPr>
        <w:t>„</w:t>
      </w:r>
      <w:r w:rsidRPr="00A466A4">
        <w:t>мечтали да усъвършенстват човека</w:t>
      </w:r>
      <w:r w:rsidRPr="00A466A4">
        <w:rPr>
          <w:cs/>
        </w:rPr>
        <w:t>“</w:t>
      </w:r>
      <w:r w:rsidRPr="00A466A4">
        <w:t xml:space="preserve">, а също и че комунистите </w:t>
      </w:r>
      <w:r w:rsidRPr="00A466A4">
        <w:rPr>
          <w:cs/>
        </w:rPr>
        <w:t>„</w:t>
      </w:r>
      <w:r w:rsidRPr="00A466A4">
        <w:t>правят това на практика</w:t>
      </w:r>
      <w:r w:rsidRPr="00A466A4">
        <w:rPr>
          <w:cs/>
        </w:rPr>
        <w:t>“</w:t>
      </w:r>
      <w:r w:rsidRPr="00A466A4">
        <w:t>, включително в България. След това текстът продължава:</w:t>
      </w:r>
    </w:p>
    <w:p w:rsidR="00A73E27" w:rsidRPr="00A466A4" w:rsidRDefault="00A73E27" w:rsidP="007D224A">
      <w:pPr>
        <w:pStyle w:val="ECHRParaQuote"/>
        <w:ind w:left="0" w:firstLine="0"/>
      </w:pPr>
      <w:r w:rsidRPr="00A466A4">
        <w:rPr>
          <w:cs/>
        </w:rPr>
        <w:t>„</w:t>
      </w:r>
      <w:r w:rsidRPr="00A466A4">
        <w:t xml:space="preserve">Пък и след </w:t>
      </w:r>
      <w:r w:rsidRPr="00A466A4">
        <w:rPr>
          <w:cs/>
        </w:rPr>
        <w:t>„</w:t>
      </w:r>
      <w:r w:rsidRPr="00A466A4">
        <w:t>демократичните промени</w:t>
      </w:r>
      <w:r w:rsidRPr="00A466A4">
        <w:rPr>
          <w:cs/>
        </w:rPr>
        <w:t xml:space="preserve">” </w:t>
      </w:r>
      <w:r w:rsidRPr="00A466A4">
        <w:t>кои станаха масони? Все комунисти и свързани с техните мрачни тайни служби лица.</w:t>
      </w:r>
      <w:r w:rsidRPr="00A466A4">
        <w:rPr>
          <w:cs/>
        </w:rPr>
        <w:t>”</w:t>
      </w:r>
    </w:p>
    <w:p w:rsidR="00A73E27" w:rsidRPr="00A466A4" w:rsidRDefault="00A73E27" w:rsidP="00A73E27">
      <w:pPr>
        <w:pStyle w:val="ECHRPara"/>
      </w:pPr>
      <w:r w:rsidRPr="00A466A4">
        <w:lastRenderedPageBreak/>
        <w:t xml:space="preserve">След това </w:t>
      </w:r>
      <w:r w:rsidR="00CB5741" w:rsidRPr="00A466A4">
        <w:t xml:space="preserve">се </w:t>
      </w:r>
      <w:r w:rsidRPr="00A466A4">
        <w:t>избро</w:t>
      </w:r>
      <w:r w:rsidR="00CB5741" w:rsidRPr="00A466A4">
        <w:t>яват</w:t>
      </w:r>
      <w:r w:rsidRPr="00A466A4">
        <w:t xml:space="preserve"> имената на няколко лица, включително </w:t>
      </w:r>
      <w:r w:rsidR="00CB5741" w:rsidRPr="00A466A4">
        <w:t xml:space="preserve">на </w:t>
      </w:r>
      <w:r w:rsidRPr="00A466A4">
        <w:rPr>
          <w:cs/>
        </w:rPr>
        <w:t>„</w:t>
      </w:r>
      <w:r w:rsidRPr="00A466A4">
        <w:t>псевдосиндикалист</w:t>
      </w:r>
      <w:r w:rsidR="00CB5741" w:rsidRPr="00A466A4">
        <w:t>а</w:t>
      </w:r>
      <w:r w:rsidRPr="00A466A4">
        <w:rPr>
          <w:cs/>
        </w:rPr>
        <w:t xml:space="preserve">“ </w:t>
      </w:r>
      <w:r w:rsidRPr="00A466A4">
        <w:t>К.Т. Списъкът завършва с препратка към бележка под линия, която цитира статия от друг автор от 2002 г., публикувана в списание.</w:t>
      </w:r>
    </w:p>
    <w:p w:rsidR="00A73E27" w:rsidRPr="00A466A4" w:rsidRDefault="00A73E27" w:rsidP="00A73E27">
      <w:pPr>
        <w:pStyle w:val="ECHRHeading2"/>
      </w:pPr>
      <w:r w:rsidRPr="00A466A4">
        <w:t>Б. Деликтното производство, заведено от К. Т.</w:t>
      </w:r>
    </w:p>
    <w:p w:rsidR="00A73E27" w:rsidRPr="00A466A4" w:rsidRDefault="00A73E27" w:rsidP="00A73E27">
      <w:pPr>
        <w:pStyle w:val="ECHRPara"/>
      </w:pPr>
      <w:r w:rsidRPr="00A466A4">
        <w:t xml:space="preserve">8.  На 28 септември 2005 г. К.Т. предявява деликтен иск срещу жалбоподателя като посочва, че твърденията, съдържащи се в книгата, а именно, че той е масон, комунист, свързан с бившите тайни служби и </w:t>
      </w:r>
      <w:r w:rsidRPr="00A466A4">
        <w:rPr>
          <w:cs/>
        </w:rPr>
        <w:t>„</w:t>
      </w:r>
      <w:r w:rsidRPr="00A466A4">
        <w:t>псевдосиндикалист</w:t>
      </w:r>
      <w:r w:rsidRPr="00A466A4">
        <w:rPr>
          <w:cs/>
        </w:rPr>
        <w:t>“</w:t>
      </w:r>
      <w:r w:rsidRPr="00A466A4">
        <w:t>, са неверни и клеветнически. Той заявява, че е ревностен християнин, което означава, че не може да бъде масон, тъй като Църквата осъ</w:t>
      </w:r>
      <w:r w:rsidR="00787EF9" w:rsidRPr="00A466A4">
        <w:t>жда</w:t>
      </w:r>
      <w:r w:rsidRPr="00A466A4">
        <w:t xml:space="preserve"> масонството, че никога не е бил член на Българската комунистическа партия или на младежката комунистическа организация и че не е бил свързан с комунистическите тайни служби, а напротив, през целия си живот се бори за правата на човека и демокрацията. К.Т. </w:t>
      </w:r>
      <w:r w:rsidR="00574A79" w:rsidRPr="00A466A4">
        <w:t>твърди</w:t>
      </w:r>
      <w:r w:rsidRPr="00A466A4">
        <w:t>, че твърденията на жалбоподателя са го унизили и о</w:t>
      </w:r>
      <w:r w:rsidR="00574A79" w:rsidRPr="00A466A4">
        <w:t>клеветили</w:t>
      </w:r>
      <w:r w:rsidRPr="00A466A4">
        <w:t>, представяйки го като неморален и безскрупулен човек, и че има</w:t>
      </w:r>
      <w:r w:rsidR="00787EF9" w:rsidRPr="00A466A4">
        <w:t>т</w:t>
      </w:r>
      <w:r w:rsidRPr="00A466A4">
        <w:t xml:space="preserve"> за цел да </w:t>
      </w:r>
      <w:r w:rsidR="00787EF9" w:rsidRPr="00A466A4">
        <w:t>уронят доброто му име</w:t>
      </w:r>
      <w:r w:rsidRPr="00A466A4">
        <w:t xml:space="preserve"> на национално и международно ниво.</w:t>
      </w:r>
    </w:p>
    <w:p w:rsidR="00A73E27" w:rsidRPr="00A466A4" w:rsidRDefault="00A73E27" w:rsidP="00A73E27">
      <w:pPr>
        <w:pStyle w:val="ECHRPara"/>
      </w:pPr>
      <w:r w:rsidRPr="00A466A4">
        <w:t xml:space="preserve">9.  Жалбоподателят възразява срещу иска. Той заявява, че когато нарича К.Т. масон, той се позовава на по-ранни публикации на други автори, една от които е изрично цитирана в бележка под линия към спорния абзац. Освен това, К.Т. сам заявява в интервю за вестник, че е член на Малтийския орден. Що се отнася до твърдението, че К.Т. е свързан с комунистическите тайни служби, жалбоподателят възнамерява да докаже това чрез свидетелски показания. Освен това той посочва, че К.Т. сам </w:t>
      </w:r>
      <w:r w:rsidR="00787EF9" w:rsidRPr="00A466A4">
        <w:t>с</w:t>
      </w:r>
      <w:r w:rsidRPr="00A466A4">
        <w:t xml:space="preserve">е хвали, че е свързан с водещи фигури на комунистическия режим. Жалбоподателят твърди, че във всеки случай изразите, срещу които е оплакването, не са обидни или </w:t>
      </w:r>
      <w:r w:rsidR="00574A79" w:rsidRPr="00A466A4">
        <w:t>клеветнически</w:t>
      </w:r>
      <w:r w:rsidRPr="00A466A4">
        <w:t>, и че К.Т. не доказ</w:t>
      </w:r>
      <w:r w:rsidR="00787EF9" w:rsidRPr="00A466A4">
        <w:t>в</w:t>
      </w:r>
      <w:r w:rsidRPr="00A466A4">
        <w:t>а, че в действителност е претърпял неимуществени вреди в резултат на тях.</w:t>
      </w:r>
    </w:p>
    <w:p w:rsidR="00A73E27" w:rsidRPr="00A466A4" w:rsidRDefault="00A73E27" w:rsidP="00A73E27">
      <w:pPr>
        <w:pStyle w:val="ECHRPara"/>
      </w:pPr>
      <w:r w:rsidRPr="00A466A4">
        <w:t xml:space="preserve">10.  Жалбоподателят </w:t>
      </w:r>
      <w:r w:rsidR="004C2A81" w:rsidRPr="00A466A4">
        <w:t xml:space="preserve">е </w:t>
      </w:r>
      <w:r w:rsidRPr="00A466A4">
        <w:t>представлява</w:t>
      </w:r>
      <w:r w:rsidR="004C2A81" w:rsidRPr="00A466A4">
        <w:t>н</w:t>
      </w:r>
      <w:r w:rsidRPr="00A466A4">
        <w:t xml:space="preserve"> процесуално през цялото последвало производство.</w:t>
      </w:r>
    </w:p>
    <w:p w:rsidR="00A73E27" w:rsidRPr="00A466A4" w:rsidRDefault="00A73E27" w:rsidP="00A73E27">
      <w:pPr>
        <w:pStyle w:val="ECHRPara"/>
      </w:pPr>
      <w:r w:rsidRPr="00A466A4">
        <w:t xml:space="preserve">11.  С решение от 10 юли 2008 г. Софийски градски съд (наричан по-долу </w:t>
      </w:r>
      <w:r w:rsidRPr="00A466A4">
        <w:rPr>
          <w:cs/>
        </w:rPr>
        <w:t>„</w:t>
      </w:r>
      <w:r w:rsidRPr="00A466A4">
        <w:t>СГС</w:t>
      </w:r>
      <w:r w:rsidRPr="00A466A4">
        <w:rPr>
          <w:cs/>
        </w:rPr>
        <w:t>“</w:t>
      </w:r>
      <w:r w:rsidRPr="00A466A4">
        <w:t xml:space="preserve">) уважава иска и </w:t>
      </w:r>
      <w:r w:rsidR="00787EF9" w:rsidRPr="00A466A4">
        <w:t>осъжда</w:t>
      </w:r>
      <w:r w:rsidRPr="00A466A4">
        <w:t xml:space="preserve"> жалбоподателя да плати на K.T. 15 000 </w:t>
      </w:r>
      <w:r w:rsidR="00787EF9" w:rsidRPr="00A466A4">
        <w:t>лв.</w:t>
      </w:r>
      <w:r w:rsidRPr="00A466A4">
        <w:t xml:space="preserve"> (равностойността на 7670 евро) за неимуществени вреди, плюс лихва за забава от 28 септември 2005 г.</w:t>
      </w:r>
    </w:p>
    <w:p w:rsidR="00A73E27" w:rsidRPr="00A466A4" w:rsidRDefault="00A73E27" w:rsidP="00A73E27">
      <w:pPr>
        <w:pStyle w:val="ECHRPara"/>
      </w:pPr>
      <w:r w:rsidRPr="00A466A4">
        <w:t xml:space="preserve">12.  СГС се позовава на правото на жалбоподателя на свобода на изразяване по чл. 10 от Конвенцията, но </w:t>
      </w:r>
      <w:r w:rsidR="00787EF9" w:rsidRPr="00A466A4">
        <w:t>счита</w:t>
      </w:r>
      <w:r w:rsidRPr="00A466A4">
        <w:t xml:space="preserve">, че в случая той </w:t>
      </w:r>
      <w:r w:rsidR="008D1BA9" w:rsidRPr="00A466A4">
        <w:t xml:space="preserve">е </w:t>
      </w:r>
      <w:r w:rsidRPr="00A466A4">
        <w:t>надхвърл</w:t>
      </w:r>
      <w:r w:rsidR="008D1BA9" w:rsidRPr="00A466A4">
        <w:t>ил</w:t>
      </w:r>
      <w:r w:rsidRPr="00A466A4">
        <w:t xml:space="preserve"> границите на приемливата критика. </w:t>
      </w:r>
      <w:r w:rsidR="008D1BA9" w:rsidRPr="00A466A4">
        <w:t xml:space="preserve">СГС </w:t>
      </w:r>
      <w:r w:rsidRPr="00A466A4">
        <w:t>анализира твърденията, направени от него, и заключ</w:t>
      </w:r>
      <w:r w:rsidR="00787EF9" w:rsidRPr="00A466A4">
        <w:t>ва</w:t>
      </w:r>
      <w:r w:rsidRPr="00A466A4">
        <w:t xml:space="preserve">, че те са неверни. Що се отнася до това, че жалбоподателят описва K.T. като масон, това е опровергано от факта, че К.Т. </w:t>
      </w:r>
      <w:r w:rsidR="004332A5" w:rsidRPr="00A466A4">
        <w:t xml:space="preserve">е </w:t>
      </w:r>
      <w:r w:rsidRPr="00A466A4">
        <w:t>ревностен православен християнин, а за Църквата е известно, че отхвърля масонството. Що се отнася до принадлежността на К.Т. към комунистическите тайни служби, това твърдение е опровергано от официалн</w:t>
      </w:r>
      <w:r w:rsidR="008D1BA9" w:rsidRPr="00A466A4">
        <w:t>ото</w:t>
      </w:r>
      <w:r w:rsidRPr="00A466A4">
        <w:t xml:space="preserve"> </w:t>
      </w:r>
      <w:r w:rsidR="008D1BA9" w:rsidRPr="00A466A4">
        <w:t xml:space="preserve">удостоверение </w:t>
      </w:r>
      <w:r w:rsidRPr="00A466A4">
        <w:t xml:space="preserve">на специализирания орган, занимаващ се с архивите на тези служби, и от свидетелите, </w:t>
      </w:r>
      <w:r w:rsidR="004332A5" w:rsidRPr="00A466A4">
        <w:t xml:space="preserve">които са </w:t>
      </w:r>
      <w:r w:rsidRPr="00A466A4">
        <w:t>доведени от жалбоподателя да докажат</w:t>
      </w:r>
      <w:r w:rsidR="004332A5" w:rsidRPr="00A466A4">
        <w:t xml:space="preserve"> твърдението му</w:t>
      </w:r>
      <w:r w:rsidRPr="00A466A4">
        <w:t xml:space="preserve">, </w:t>
      </w:r>
      <w:r w:rsidR="00574A79" w:rsidRPr="00A466A4">
        <w:t xml:space="preserve">които са </w:t>
      </w:r>
      <w:r w:rsidRPr="00A466A4">
        <w:t>неубедителн</w:t>
      </w:r>
      <w:r w:rsidR="00574A79" w:rsidRPr="00A466A4">
        <w:t>и</w:t>
      </w:r>
      <w:r w:rsidRPr="00A466A4">
        <w:t xml:space="preserve">. Накрая, изразът </w:t>
      </w:r>
      <w:r w:rsidRPr="00A466A4">
        <w:rPr>
          <w:cs/>
        </w:rPr>
        <w:t>„</w:t>
      </w:r>
      <w:r w:rsidRPr="00A466A4">
        <w:t>псевдосиндикалист</w:t>
      </w:r>
      <w:r w:rsidRPr="00A466A4">
        <w:rPr>
          <w:cs/>
        </w:rPr>
        <w:t xml:space="preserve">“ </w:t>
      </w:r>
      <w:r w:rsidRPr="00A466A4">
        <w:t>представлява неоправдана обида, насочена единствено към дискредитиране на К.Т.</w:t>
      </w:r>
    </w:p>
    <w:p w:rsidR="00A73E27" w:rsidRPr="00A466A4" w:rsidRDefault="00A73E27" w:rsidP="00A73E27">
      <w:pPr>
        <w:pStyle w:val="ECHRPara"/>
      </w:pPr>
      <w:r w:rsidRPr="00A466A4">
        <w:t xml:space="preserve">13.  СГС посочва още, че обида е </w:t>
      </w:r>
      <w:r w:rsidRPr="00A466A4">
        <w:rPr>
          <w:cs/>
        </w:rPr>
        <w:t>„</w:t>
      </w:r>
      <w:r w:rsidRPr="00A466A4">
        <w:t>субективно понятие</w:t>
      </w:r>
      <w:r w:rsidRPr="00A466A4">
        <w:rPr>
          <w:cs/>
        </w:rPr>
        <w:t>“</w:t>
      </w:r>
      <w:r w:rsidRPr="00A466A4">
        <w:t xml:space="preserve">, което означава, че ако К.Т. се чувства обиден от твърденията на жалбоподателя, това е достатъчно. По-конкретно, като православен християнин, за него е </w:t>
      </w:r>
      <w:r w:rsidRPr="00A466A4">
        <w:rPr>
          <w:cs/>
        </w:rPr>
        <w:t>“</w:t>
      </w:r>
      <w:r w:rsidRPr="00A466A4">
        <w:t>логично</w:t>
      </w:r>
      <w:r w:rsidRPr="00A466A4">
        <w:rPr>
          <w:cs/>
        </w:rPr>
        <w:t xml:space="preserve">” </w:t>
      </w:r>
      <w:r w:rsidRPr="00A466A4">
        <w:t xml:space="preserve">да се чувства обиден от твърденията </w:t>
      </w:r>
      <w:r w:rsidR="004332A5" w:rsidRPr="00A466A4">
        <w:t xml:space="preserve">за </w:t>
      </w:r>
      <w:r w:rsidRPr="00A466A4">
        <w:t>масонството.</w:t>
      </w:r>
    </w:p>
    <w:p w:rsidR="00A73E27" w:rsidRPr="00A466A4" w:rsidRDefault="00A73E27" w:rsidP="00A73E27">
      <w:pPr>
        <w:pStyle w:val="ECHRPara"/>
      </w:pPr>
      <w:r w:rsidRPr="00A466A4">
        <w:t>14.  </w:t>
      </w:r>
      <w:r w:rsidR="004332A5" w:rsidRPr="00A466A4">
        <w:t>Н</w:t>
      </w:r>
      <w:r w:rsidRPr="00A466A4">
        <w:t xml:space="preserve">акрая, като обосновава размера на </w:t>
      </w:r>
      <w:r w:rsidR="001A7C52" w:rsidRPr="00A466A4">
        <w:t xml:space="preserve">присъденото </w:t>
      </w:r>
      <w:r w:rsidRPr="00A466A4">
        <w:t xml:space="preserve">обезщетение за вреди, СГС отбелязва, че публикацията на жалбоподателя </w:t>
      </w:r>
      <w:r w:rsidRPr="00A466A4">
        <w:rPr>
          <w:cs/>
        </w:rPr>
        <w:t>„</w:t>
      </w:r>
      <w:r w:rsidRPr="00A466A4">
        <w:t>тежко засяга</w:t>
      </w:r>
      <w:r w:rsidRPr="00A466A4">
        <w:rPr>
          <w:cs/>
        </w:rPr>
        <w:t xml:space="preserve">“ </w:t>
      </w:r>
      <w:r w:rsidRPr="00A466A4">
        <w:t xml:space="preserve">честта и достойнството на К.Т. и го опозорява както </w:t>
      </w:r>
      <w:r w:rsidRPr="00A466A4">
        <w:rPr>
          <w:cs/>
        </w:rPr>
        <w:t>„</w:t>
      </w:r>
      <w:r w:rsidRPr="00A466A4">
        <w:t>в цялата синдикална общност в България</w:t>
      </w:r>
      <w:r w:rsidRPr="00A466A4">
        <w:rPr>
          <w:cs/>
        </w:rPr>
        <w:t>“</w:t>
      </w:r>
      <w:r w:rsidRPr="00A466A4">
        <w:t xml:space="preserve">, така и в международен план. Страданието, претърпяно от К.Т., освен това </w:t>
      </w:r>
      <w:r w:rsidR="001A7C52" w:rsidRPr="00A466A4">
        <w:t xml:space="preserve">е </w:t>
      </w:r>
      <w:r w:rsidRPr="00A466A4">
        <w:t>вло</w:t>
      </w:r>
      <w:r w:rsidR="001A7C52" w:rsidRPr="00A466A4">
        <w:t>шило</w:t>
      </w:r>
      <w:r w:rsidRPr="00A466A4">
        <w:t xml:space="preserve"> здравословните му проблеми, водейки до неговата хоспитализация.</w:t>
      </w:r>
    </w:p>
    <w:p w:rsidR="00A73E27" w:rsidRPr="00A466A4" w:rsidRDefault="00A73E27" w:rsidP="00A73E27">
      <w:pPr>
        <w:pStyle w:val="ECHRPara"/>
      </w:pPr>
      <w:r w:rsidRPr="00A466A4">
        <w:lastRenderedPageBreak/>
        <w:t>15.  При обжалване от страна на жалбоподателя на 23 октомври 2009 г. решението на СГС е потвърдено от Апелативен съд - София. Той подкрепя мотивите на предходната съдебна инстанция, като добавя следното: дори и K.T. да е казал, че е член на Малтийския орден, жалбоподателят не доказ</w:t>
      </w:r>
      <w:r w:rsidR="0059111A" w:rsidRPr="00A466A4">
        <w:t>ва</w:t>
      </w:r>
      <w:r w:rsidRPr="00A466A4">
        <w:t xml:space="preserve">, че това е </w:t>
      </w:r>
      <w:r w:rsidR="003A0134" w:rsidRPr="00A466A4">
        <w:t>еднакво с</w:t>
      </w:r>
      <w:r w:rsidRPr="00A466A4">
        <w:t xml:space="preserve"> масонството; няма значение </w:t>
      </w:r>
      <w:r w:rsidR="003A0134" w:rsidRPr="00A466A4">
        <w:t xml:space="preserve">че </w:t>
      </w:r>
      <w:r w:rsidRPr="00A466A4">
        <w:t>твърденията</w:t>
      </w:r>
      <w:r w:rsidR="003A0134" w:rsidRPr="00A466A4">
        <w:t>, направени от</w:t>
      </w:r>
      <w:r w:rsidRPr="00A466A4">
        <w:t xml:space="preserve"> жалбоподателя</w:t>
      </w:r>
      <w:r w:rsidR="003A0134" w:rsidRPr="00A466A4">
        <w:t>,</w:t>
      </w:r>
      <w:r w:rsidRPr="00A466A4">
        <w:t xml:space="preserve"> вече са направени в по-ранни публикации, тъй като това не ги прави </w:t>
      </w:r>
      <w:r w:rsidRPr="00A466A4">
        <w:rPr>
          <w:cs/>
        </w:rPr>
        <w:t>„</w:t>
      </w:r>
      <w:r w:rsidRPr="00A466A4">
        <w:t xml:space="preserve">по-малко </w:t>
      </w:r>
      <w:r w:rsidR="00574A79" w:rsidRPr="00A466A4">
        <w:t xml:space="preserve">клеветнически </w:t>
      </w:r>
      <w:r w:rsidRPr="00A466A4">
        <w:t>или по-верни</w:t>
      </w:r>
      <w:r w:rsidRPr="00A466A4">
        <w:rPr>
          <w:cs/>
        </w:rPr>
        <w:t>“</w:t>
      </w:r>
      <w:r w:rsidRPr="00A466A4">
        <w:t>; фактът, че К.Т. е публична личност, оправдава по-висока сума за обезщетение като тази, присъдена от СГС.</w:t>
      </w:r>
    </w:p>
    <w:p w:rsidR="00A73E27" w:rsidRPr="00A466A4" w:rsidRDefault="00A73E27" w:rsidP="00A73E27">
      <w:pPr>
        <w:pStyle w:val="ECHRPara"/>
      </w:pPr>
      <w:r w:rsidRPr="00A466A4">
        <w:t>16.  Жалбоподателят подава касационна жалба. В окончателно решение от 17 август 2010 г. Върховният касационен съд отказва да приеме жалбата за разглеждане. По-конкретно</w:t>
      </w:r>
      <w:r w:rsidR="003A0134" w:rsidRPr="00A466A4">
        <w:t>,</w:t>
      </w:r>
      <w:r w:rsidRPr="00A466A4">
        <w:t xml:space="preserve"> той потвърждава, че дали дадено твърдение се смята за обидно зависи от начина, по който то </w:t>
      </w:r>
      <w:r w:rsidR="0059111A" w:rsidRPr="00A466A4">
        <w:t>с</w:t>
      </w:r>
      <w:r w:rsidRPr="00A466A4">
        <w:t>е възприе</w:t>
      </w:r>
      <w:r w:rsidR="0059111A" w:rsidRPr="00A466A4">
        <w:t>ма</w:t>
      </w:r>
      <w:r w:rsidRPr="00A466A4">
        <w:t xml:space="preserve"> от адресата и неговия социален кръг, дори ако това не съответства на </w:t>
      </w:r>
      <w:r w:rsidRPr="00A466A4">
        <w:rPr>
          <w:cs/>
        </w:rPr>
        <w:t>„</w:t>
      </w:r>
      <w:r w:rsidRPr="00A466A4">
        <w:t>общото разбиране на фактите</w:t>
      </w:r>
      <w:r w:rsidRPr="00A466A4">
        <w:rPr>
          <w:cs/>
        </w:rPr>
        <w:t>“</w:t>
      </w:r>
      <w:r w:rsidRPr="00A466A4">
        <w:t>.</w:t>
      </w:r>
    </w:p>
    <w:p w:rsidR="00A73E27" w:rsidRPr="00A466A4" w:rsidRDefault="00A73E27" w:rsidP="00A73E27">
      <w:pPr>
        <w:pStyle w:val="ECHRPara"/>
      </w:pPr>
      <w:r w:rsidRPr="00A466A4">
        <w:t xml:space="preserve">17.  К.Т. впоследствие завежда изпълнително производство. През октомври 2011 г. съдия-изпълнител изчислява, че общата сума, дължима от жалбоподателя, включително основното </w:t>
      </w:r>
      <w:r w:rsidR="00DD1558" w:rsidRPr="00A466A4">
        <w:t xml:space="preserve">обезщетение </w:t>
      </w:r>
      <w:r w:rsidRPr="00A466A4">
        <w:t>в размер на 15 000 лв. (вж. параграф 11 по-горе), начислената към този момент лихва за забава и разходите и разноските, възлиза на 31 549 лв. (16 100 евро). Изпълнителното производство е прекратено през 2016 г., когато К.Т. се отказва</w:t>
      </w:r>
      <w:r w:rsidR="0059111A" w:rsidRPr="00A466A4">
        <w:t xml:space="preserve"> от</w:t>
      </w:r>
      <w:r w:rsidRPr="00A466A4">
        <w:t xml:space="preserve"> опитите си да получи плащане, като взетата от жалбоподателя сума е едва 4,55 лв. (2,32 евро).</w:t>
      </w:r>
    </w:p>
    <w:p w:rsidR="00A73E27" w:rsidRPr="00A466A4" w:rsidRDefault="00A73E27" w:rsidP="00A73E27">
      <w:pPr>
        <w:pStyle w:val="ECHRHeading2"/>
      </w:pPr>
      <w:r w:rsidRPr="00A466A4">
        <w:t>В. Публикацията на жалбоподателя във връзка с настоящото производство</w:t>
      </w:r>
    </w:p>
    <w:p w:rsidR="00A73E27" w:rsidRPr="00A466A4" w:rsidRDefault="00A73E27" w:rsidP="00A73E27">
      <w:pPr>
        <w:pStyle w:val="ECHRPara"/>
      </w:pPr>
      <w:r w:rsidRPr="00A466A4">
        <w:t xml:space="preserve">18.  След съобщаването на настоящата жалба, на 23 май 2018 г. Правителството представя становището си, което е </w:t>
      </w:r>
      <w:r w:rsidR="009B4593" w:rsidRPr="00A466A4">
        <w:t>из</w:t>
      </w:r>
      <w:r w:rsidRPr="00A466A4">
        <w:t>пратено на жалбоподателя.</w:t>
      </w:r>
    </w:p>
    <w:p w:rsidR="00A73E27" w:rsidRPr="00A466A4" w:rsidRDefault="00A73E27" w:rsidP="00A73E27">
      <w:pPr>
        <w:pStyle w:val="ECHRPara"/>
      </w:pPr>
      <w:r w:rsidRPr="00A466A4">
        <w:t>19.  На 30 юни 2018 г. жалбоподателят публикува коментар по това становище в личния си блог. Що се отнася до Правителството и защитената от него позиция, той пише по-конкретно следното:</w:t>
      </w:r>
    </w:p>
    <w:p w:rsidR="00A73E27" w:rsidRPr="00A466A4" w:rsidRDefault="00A73E27" w:rsidP="00A73E27">
      <w:pPr>
        <w:pStyle w:val="ECHRParaQuote"/>
      </w:pPr>
      <w:r w:rsidRPr="00A466A4">
        <w:rPr>
          <w:cs/>
        </w:rPr>
        <w:t>„</w:t>
      </w:r>
      <w:r w:rsidRPr="00A466A4">
        <w:t>За да се справя с човешките права, сред които свободата, включително на словото и изразяването, но и на образованието, всяка личност следва да учи, да трупа ерудиция. Заклеймяването, соченето с пръст, произнасянето на обиди, лепенето на етикети, няма нищо общо с това. Тези примитивни похвати са далеч от всяка ерудиция, която би накарала съответната личност да се замисли, да провери, и едва тогава да се произнесе. Уви, становището, изготвено от правителствения агент ..., не убеждава ерудирания читател, че имаме работа с такъв случай.</w:t>
      </w:r>
      <w:r w:rsidRPr="00A466A4">
        <w:rPr>
          <w:cs/>
        </w:rPr>
        <w:t>”</w:t>
      </w:r>
    </w:p>
    <w:p w:rsidR="00A73E27" w:rsidRPr="00A466A4" w:rsidRDefault="00A73E27" w:rsidP="00A73E27">
      <w:pPr>
        <w:pStyle w:val="ECHRParaQuote"/>
      </w:pPr>
      <w:r w:rsidRPr="00A466A4">
        <w:rPr>
          <w:cs/>
        </w:rPr>
        <w:t>„</w:t>
      </w:r>
      <w:r w:rsidRPr="00A466A4">
        <w:t>Вместо [да коментира по делото], правителственият агент прави обзор на много други неща. Като в не малко от случаите използва лъжи и си служи с клевети и обидни квалификации.</w:t>
      </w:r>
      <w:r w:rsidRPr="00A466A4">
        <w:rPr>
          <w:cs/>
        </w:rPr>
        <w:t>”</w:t>
      </w:r>
    </w:p>
    <w:p w:rsidR="00A73E27" w:rsidRPr="00A466A4" w:rsidRDefault="00A73E27" w:rsidP="00A73E27">
      <w:pPr>
        <w:pStyle w:val="ECHRParaQuote"/>
      </w:pPr>
      <w:r w:rsidRPr="00A466A4">
        <w:rPr>
          <w:cs/>
        </w:rPr>
        <w:t>„</w:t>
      </w:r>
      <w:r w:rsidRPr="00A466A4">
        <w:t>За мен беше жалко и представляваше голяма загуба на време, че поради обстоятелствата се наложи да се занимавам с толкова много и тъй недодялани, груби лъжи и изопачения. Които е още по-тъжно, че произлизат от правителството на страна, членуваща в Европейския съюз.  Нека срамът бъде за ръководството в Брюксел.</w:t>
      </w:r>
      <w:r w:rsidRPr="00A466A4">
        <w:rPr>
          <w:cs/>
        </w:rPr>
        <w:t>”</w:t>
      </w:r>
    </w:p>
    <w:p w:rsidR="00A73E27" w:rsidRPr="00A466A4" w:rsidRDefault="00A73E27" w:rsidP="00A73E27">
      <w:pPr>
        <w:pStyle w:val="ECHRPara"/>
      </w:pPr>
      <w:r w:rsidRPr="00A466A4">
        <w:t xml:space="preserve">20.  Жалбоподателят също така коментира Съда, наричайки бившия български съдия С. Ботушарова </w:t>
      </w:r>
      <w:r w:rsidRPr="00A466A4">
        <w:rPr>
          <w:cs/>
        </w:rPr>
        <w:t>„</w:t>
      </w:r>
      <w:r w:rsidRPr="00A466A4">
        <w:t>комунистка</w:t>
      </w:r>
      <w:r w:rsidRPr="00A466A4">
        <w:rPr>
          <w:cs/>
        </w:rPr>
        <w:t xml:space="preserve">” </w:t>
      </w:r>
      <w:r w:rsidRPr="00A466A4">
        <w:t xml:space="preserve">и </w:t>
      </w:r>
      <w:r w:rsidRPr="00A466A4">
        <w:rPr>
          <w:cs/>
        </w:rPr>
        <w:t>„</w:t>
      </w:r>
      <w:r w:rsidRPr="00A466A4">
        <w:t>московчанка</w:t>
      </w:r>
      <w:r w:rsidRPr="00A466A4">
        <w:rPr>
          <w:cs/>
        </w:rPr>
        <w:t>”</w:t>
      </w:r>
      <w:r w:rsidRPr="00A466A4">
        <w:t xml:space="preserve">, следващия съдия З. Калайджиева </w:t>
      </w:r>
      <w:r w:rsidR="00DC13DA" w:rsidRPr="00A466A4">
        <w:t xml:space="preserve">- </w:t>
      </w:r>
      <w:r w:rsidRPr="00A466A4">
        <w:t xml:space="preserve">агент на бившите служби за сигурност, а настоящият български съдия - </w:t>
      </w:r>
      <w:r w:rsidRPr="00A466A4">
        <w:rPr>
          <w:cs/>
        </w:rPr>
        <w:t>„</w:t>
      </w:r>
      <w:r w:rsidRPr="00A466A4">
        <w:t>комунистическо отроче</w:t>
      </w:r>
      <w:r w:rsidRPr="00A466A4">
        <w:rPr>
          <w:cs/>
        </w:rPr>
        <w:t>”</w:t>
      </w:r>
      <w:r w:rsidRPr="00A466A4">
        <w:t>. Той пише още:</w:t>
      </w:r>
    </w:p>
    <w:p w:rsidR="00A73E27" w:rsidRPr="00A466A4" w:rsidRDefault="00A73E27" w:rsidP="00A73E27">
      <w:pPr>
        <w:pStyle w:val="ECHRParaQuote"/>
      </w:pPr>
      <w:r w:rsidRPr="00A466A4">
        <w:rPr>
          <w:cs/>
        </w:rPr>
        <w:t>„</w:t>
      </w:r>
      <w:r w:rsidRPr="00A466A4">
        <w:t xml:space="preserve">Ще речете: Защо се обръщам към този ваш съд? Ами, за да извървя целия път и да изпия горчивата чаша до дъно. И за пореден път убедително да докажа, че светът е комунистически. Не допускам и за миг, че болшевизираните масови идиоти с промито съзнание, в чиито чутури кънтят неизстреляните залпове на крайцера </w:t>
      </w:r>
      <w:r w:rsidRPr="00A466A4">
        <w:rPr>
          <w:cs/>
        </w:rPr>
        <w:t>„</w:t>
      </w:r>
      <w:r w:rsidRPr="00A466A4">
        <w:t>Аврора</w:t>
      </w:r>
      <w:r w:rsidRPr="00A466A4">
        <w:rPr>
          <w:cs/>
        </w:rPr>
        <w:t>“</w:t>
      </w:r>
      <w:r w:rsidRPr="00A466A4">
        <w:t>, и техните изродени наследници, могат изобщо някога да проумеят това.</w:t>
      </w:r>
      <w:r w:rsidRPr="00A466A4">
        <w:rPr>
          <w:cs/>
        </w:rPr>
        <w:t>”</w:t>
      </w:r>
    </w:p>
    <w:p w:rsidR="00A73E27" w:rsidRPr="00A466A4" w:rsidRDefault="00A73E27" w:rsidP="00A73E27">
      <w:pPr>
        <w:pStyle w:val="ECHRHeading1"/>
      </w:pPr>
      <w:r w:rsidRPr="00A466A4">
        <w:lastRenderedPageBreak/>
        <w:t>II.  ПРИЛОЖИМО ВЪТРЕШНО ПРАВО</w:t>
      </w:r>
    </w:p>
    <w:p w:rsidR="00A73E27" w:rsidRPr="00A466A4" w:rsidRDefault="00A73E27" w:rsidP="00A73E27">
      <w:pPr>
        <w:pStyle w:val="ECHRPara"/>
      </w:pPr>
      <w:r w:rsidRPr="00A466A4">
        <w:t xml:space="preserve">21.  Приложимото </w:t>
      </w:r>
      <w:r w:rsidR="00574A79" w:rsidRPr="00A466A4">
        <w:t>национално законодателство</w:t>
      </w:r>
      <w:r w:rsidRPr="00A466A4">
        <w:t xml:space="preserve"> е обобщено в </w:t>
      </w:r>
      <w:r w:rsidRPr="00A466A4">
        <w:rPr>
          <w:i/>
        </w:rPr>
        <w:t>Йорданова и Тошев срещу България</w:t>
      </w:r>
      <w:r w:rsidRPr="00A466A4">
        <w:t xml:space="preserve"> (</w:t>
      </w:r>
      <w:r w:rsidRPr="00A466A4">
        <w:rPr>
          <w:cs/>
        </w:rPr>
        <w:t xml:space="preserve">№ </w:t>
      </w:r>
      <w:r w:rsidRPr="00A466A4">
        <w:t>5126/05, §§ 23-24, 2 октомври 2012 г.).</w:t>
      </w:r>
    </w:p>
    <w:p w:rsidR="00A73E27" w:rsidRPr="00A466A4" w:rsidRDefault="00F93EA7" w:rsidP="00A73E27">
      <w:pPr>
        <w:pStyle w:val="ECHRTitle1"/>
      </w:pPr>
      <w:r w:rsidRPr="00A466A4">
        <w:t>ПРАВОТО</w:t>
      </w:r>
    </w:p>
    <w:p w:rsidR="00A73E27" w:rsidRPr="00A466A4" w:rsidRDefault="00A73E27" w:rsidP="00A73E27">
      <w:pPr>
        <w:pStyle w:val="ECHRHeading1"/>
      </w:pPr>
      <w:r w:rsidRPr="00A466A4">
        <w:t>I. ПРЕДВАРИТЕЛЕН ВЪПРОС</w:t>
      </w:r>
    </w:p>
    <w:p w:rsidR="00A73E27" w:rsidRPr="00A466A4" w:rsidRDefault="00A73E27" w:rsidP="00A73E27">
      <w:pPr>
        <w:pStyle w:val="ECHRPara"/>
      </w:pPr>
      <w:r w:rsidRPr="00A466A4">
        <w:t xml:space="preserve">22.  Правителството настоява Съдът да отхвърли настоящата жалба на основание чл. 17 от Конвенцията, като </w:t>
      </w:r>
      <w:r w:rsidR="00F93EA7" w:rsidRPr="00A466A4">
        <w:t>счита</w:t>
      </w:r>
      <w:r w:rsidRPr="00A466A4">
        <w:t xml:space="preserve">, че книгата на жалбоподателя </w:t>
      </w:r>
      <w:r w:rsidRPr="00A466A4">
        <w:rPr>
          <w:cs/>
        </w:rPr>
        <w:t>„</w:t>
      </w:r>
      <w:r w:rsidRPr="00A466A4">
        <w:t>Сянката на Цион</w:t>
      </w:r>
      <w:r w:rsidRPr="00A466A4">
        <w:rPr>
          <w:cs/>
        </w:rPr>
        <w:t xml:space="preserve">“ </w:t>
      </w:r>
      <w:r w:rsidRPr="00A466A4">
        <w:t>и други материали, които той публикува, проповядват антисемитизъм. То твърди, че изявленията на жалбоподателя, които са предмет на настоящата жалба, трябва да се разглеждат в общия контекст на неговите писания.</w:t>
      </w:r>
    </w:p>
    <w:p w:rsidR="00A73E27" w:rsidRPr="00A466A4" w:rsidRDefault="00A73E27" w:rsidP="00A73E27">
      <w:pPr>
        <w:pStyle w:val="ECHRPara"/>
      </w:pPr>
      <w:r w:rsidRPr="00A466A4">
        <w:t xml:space="preserve">23.  Жалбоподателят възразява като изтъква, че всички други изразени от него мнения не са относими към делото, което се отнася до деликтното производство, заведено от K.T. във връзка с твърденията за него, съдържащи се в книгата </w:t>
      </w:r>
      <w:r w:rsidRPr="00A466A4">
        <w:rPr>
          <w:cs/>
        </w:rPr>
        <w:t>„</w:t>
      </w:r>
      <w:r w:rsidRPr="00A466A4">
        <w:t>Сянката на Цион</w:t>
      </w:r>
      <w:r w:rsidRPr="00A466A4">
        <w:rPr>
          <w:cs/>
        </w:rPr>
        <w:t>“</w:t>
      </w:r>
      <w:r w:rsidRPr="00A466A4">
        <w:t>.</w:t>
      </w:r>
    </w:p>
    <w:p w:rsidR="00A73E27" w:rsidRPr="00A466A4" w:rsidRDefault="00A73E27" w:rsidP="00A73E27">
      <w:pPr>
        <w:pStyle w:val="ECHRPara"/>
      </w:pPr>
      <w:r w:rsidRPr="00A466A4">
        <w:t xml:space="preserve">24.  Целта на чл. 17, доколкото се отнася до групи или физически лица, е да се направи невъзможно </w:t>
      </w:r>
      <w:r w:rsidR="00806318" w:rsidRPr="00A466A4">
        <w:t xml:space="preserve">за тях </w:t>
      </w:r>
      <w:r w:rsidRPr="00A466A4">
        <w:t xml:space="preserve">да извлекат от Конвенцията право да се занимават с каквато и да е дейност или да извършват действия, насочени към унищожаване на правата и свободите, заложени в Конвенцията (вж. </w:t>
      </w:r>
      <w:r w:rsidRPr="00A466A4">
        <w:rPr>
          <w:i/>
        </w:rPr>
        <w:t>Paksas v. Lithuania</w:t>
      </w:r>
      <w:r w:rsidRPr="00A466A4">
        <w:t xml:space="preserve"> [GC], </w:t>
      </w:r>
      <w:r w:rsidRPr="00A466A4">
        <w:rPr>
          <w:cs/>
        </w:rPr>
        <w:t xml:space="preserve">№ </w:t>
      </w:r>
      <w:r w:rsidRPr="00A466A4">
        <w:t xml:space="preserve">34932/04, § 87, ЕСПЧ 2011 г. (откъси)). В случаи, засягащи чл. 10 от Конвенцията, тази разпоредба следва да се използва, ако е ясно, че оспорваните изявления се стремят да отклонят този член от неговата реална цел, като използват правото на свобода на изразяване за цели, които са в явно противоречие с ценностите на Конвенция (вж. </w:t>
      </w:r>
      <w:r w:rsidRPr="00A466A4">
        <w:rPr>
          <w:i/>
        </w:rPr>
        <w:t xml:space="preserve">Perinçek v. Switzerland </w:t>
      </w:r>
      <w:r w:rsidRPr="00A466A4">
        <w:t xml:space="preserve">[GC], </w:t>
      </w:r>
      <w:r w:rsidRPr="00A466A4">
        <w:rPr>
          <w:cs/>
        </w:rPr>
        <w:t xml:space="preserve">№ </w:t>
      </w:r>
      <w:r w:rsidRPr="00A466A4">
        <w:t>27510/08, § 114, ЕСПЧ 2015 г. (откъси)).</w:t>
      </w:r>
    </w:p>
    <w:p w:rsidR="00A73E27" w:rsidRPr="00A466A4" w:rsidRDefault="00A73E27" w:rsidP="00A73E27">
      <w:pPr>
        <w:pStyle w:val="ECHRPara"/>
      </w:pPr>
      <w:r w:rsidRPr="00A466A4">
        <w:t xml:space="preserve">25.  Обръщайки се към настоящия случай, като </w:t>
      </w:r>
      <w:r w:rsidR="00F93EA7" w:rsidRPr="00A466A4">
        <w:t>взе</w:t>
      </w:r>
      <w:r w:rsidRPr="00A466A4">
        <w:t xml:space="preserve">ма предвид, че твърденията на Правителството по чл. 17 не се отнасят до </w:t>
      </w:r>
      <w:r w:rsidRPr="00A466A4">
        <w:rPr>
          <w:cs/>
        </w:rPr>
        <w:t>„</w:t>
      </w:r>
      <w:r w:rsidRPr="00A466A4">
        <w:t>оспорваните изявления</w:t>
      </w:r>
      <w:r w:rsidRPr="00A466A4">
        <w:rPr>
          <w:cs/>
        </w:rPr>
        <w:t>“</w:t>
      </w:r>
      <w:r w:rsidRPr="00A466A4">
        <w:t>, а именно до тези относно K.T., които водят до отговорността на жалбоподателя за вреди, Съдът не вижда основание да прилага чл. 17 от Конвенцията.</w:t>
      </w:r>
    </w:p>
    <w:p w:rsidR="00A73E27" w:rsidRPr="00A466A4" w:rsidRDefault="00A73E27" w:rsidP="00A73E27">
      <w:pPr>
        <w:pStyle w:val="ECHRHeading1"/>
      </w:pPr>
      <w:r w:rsidRPr="00A466A4">
        <w:t>II.  ТВЪРДЯНО НАРУШЕНИЕ НА ЧЛ. 10 ОТ КОНВЕНЦИЯТА</w:t>
      </w:r>
    </w:p>
    <w:p w:rsidR="00A73E27" w:rsidRPr="00A466A4" w:rsidRDefault="00A73E27" w:rsidP="00A73E27">
      <w:pPr>
        <w:pStyle w:val="ECHRPara"/>
      </w:pPr>
      <w:r w:rsidRPr="00A466A4">
        <w:t>26.  Жалбоподателят се оплаква от нарушение на правото му на свобода на изразяване, гарантирано по чл. 10 от Конвенцията, който гласи:</w:t>
      </w:r>
    </w:p>
    <w:p w:rsidR="00A73E27" w:rsidRPr="00A466A4" w:rsidRDefault="00A73E27" w:rsidP="00A73E27">
      <w:pPr>
        <w:pStyle w:val="ECHRParaQuote"/>
      </w:pPr>
      <w:r w:rsidRPr="00A466A4">
        <w:rPr>
          <w:cs/>
        </w:rPr>
        <w:t>“</w:t>
      </w:r>
      <w:r w:rsidRPr="00A466A4">
        <w:t>1.  Βсеки има право на свобода на изразяването на мнения. Това право включва свободата на всеки да отстоява своето мнение и да получава и да разпространява информация и идеи без намеса на държавните власти и независимо от държавните граници. Този член не забранява държавите да подлагат на разрешителен режим радиокомпаниите, телевизионните компании и производителите на кинематографична продукция.</w:t>
      </w:r>
    </w:p>
    <w:p w:rsidR="00A73E27" w:rsidRPr="00A466A4" w:rsidRDefault="00A73E27" w:rsidP="00A73E27">
      <w:pPr>
        <w:pStyle w:val="ECHRParaQuote"/>
      </w:pPr>
      <w:r w:rsidRPr="00A466A4">
        <w:t>2.  Упражняването на тези свободи, доколкото е съпроводено със задължения и отговорности, може да бъде обусловено от процедури, условия, ограничения или санкции, които са предвидени от закона и са необходими в едно демократично общество в интерес на националната и обществената сигурност и на териториалната цялост, за предотвратяването на безредици или престъпления, за защитата на здравето и морала, както и на репутацията или правата на другите, за предотвратяване разкриването на информация, получена доверително, или за гарантиране авторитета и безпристрастността на правосъдието.</w:t>
      </w:r>
      <w:r w:rsidRPr="00A466A4">
        <w:rPr>
          <w:cs/>
        </w:rPr>
        <w:t>”</w:t>
      </w:r>
    </w:p>
    <w:p w:rsidR="00A73E27" w:rsidRPr="00A466A4" w:rsidRDefault="00A73E27" w:rsidP="00A73E27">
      <w:pPr>
        <w:pStyle w:val="ECHRHeading2"/>
      </w:pPr>
      <w:r w:rsidRPr="00A466A4">
        <w:lastRenderedPageBreak/>
        <w:t>A.  Допустимост</w:t>
      </w:r>
    </w:p>
    <w:p w:rsidR="00A73E27" w:rsidRPr="00A466A4" w:rsidRDefault="00A73E27" w:rsidP="00A73E27">
      <w:pPr>
        <w:pStyle w:val="ECHRPara"/>
      </w:pPr>
      <w:r w:rsidRPr="00A466A4">
        <w:t xml:space="preserve">27.  Съдът отбелязва, че </w:t>
      </w:r>
      <w:r w:rsidR="00033DF2" w:rsidRPr="00A466A4">
        <w:t xml:space="preserve">националните </w:t>
      </w:r>
      <w:r w:rsidRPr="00A466A4">
        <w:t>решения, в които жалбоподателят е намерен за отговорен да заплати обезщетение на K.T.</w:t>
      </w:r>
      <w:r w:rsidR="00033DF2" w:rsidRPr="00A466A4">
        <w:t>,</w:t>
      </w:r>
      <w:r w:rsidRPr="00A466A4">
        <w:t xml:space="preserve"> представляват намеса в правото му на свобода на изразяване. Съответно чл. 10 от Конвенцията е приложим към случая.</w:t>
      </w:r>
    </w:p>
    <w:p w:rsidR="00A73E27" w:rsidRPr="00A466A4" w:rsidRDefault="00A73E27" w:rsidP="00A73E27">
      <w:pPr>
        <w:pStyle w:val="ECHRHeading3"/>
      </w:pPr>
      <w:r w:rsidRPr="00A466A4">
        <w:t>1.  Злоупотреба с правото на индивидуална жалба</w:t>
      </w:r>
    </w:p>
    <w:p w:rsidR="00A73E27" w:rsidRPr="00A466A4" w:rsidRDefault="00A73E27" w:rsidP="00A73E27">
      <w:pPr>
        <w:pStyle w:val="ECHRPara"/>
      </w:pPr>
      <w:r w:rsidRPr="00A466A4">
        <w:t xml:space="preserve">28.  Позовавайки се на езика, </w:t>
      </w:r>
      <w:r w:rsidR="00C869F3" w:rsidRPr="00A466A4">
        <w:t xml:space="preserve">който </w:t>
      </w:r>
      <w:r w:rsidRPr="00A466A4">
        <w:t xml:space="preserve"> жалбоподателя</w:t>
      </w:r>
      <w:r w:rsidR="00C869F3" w:rsidRPr="00A466A4">
        <w:t>т използва</w:t>
      </w:r>
      <w:r w:rsidRPr="00A466A4">
        <w:t>, за да коментира настоящото производство (вж. параграфи 19-20 по-горе), Правителството призовава Съда да отхвърли жалбата като недопустима в съответствие с чл. 35 § 3 (a) от Конвенцията на основание злоупотреба с правото на индивидуална жалба.</w:t>
      </w:r>
    </w:p>
    <w:p w:rsidR="00A73E27" w:rsidRPr="00A466A4" w:rsidRDefault="00A73E27" w:rsidP="00A73E27">
      <w:pPr>
        <w:pStyle w:val="ECHRPara"/>
      </w:pPr>
      <w:r w:rsidRPr="00A466A4">
        <w:t xml:space="preserve">29.  Съдът е приел, че постоянното използване на обиден или провокативен език от страна на жалбоподател може да се </w:t>
      </w:r>
      <w:r w:rsidR="00C869F3" w:rsidRPr="00A466A4">
        <w:t xml:space="preserve">счита </w:t>
      </w:r>
      <w:r w:rsidRPr="00A466A4">
        <w:t>за злоупотреба с правото на индивидуалн</w:t>
      </w:r>
      <w:r w:rsidR="00C869F3" w:rsidRPr="00A466A4">
        <w:t>а</w:t>
      </w:r>
      <w:r w:rsidRPr="00A466A4">
        <w:t xml:space="preserve"> жалба (вж. например </w:t>
      </w:r>
      <w:r w:rsidRPr="00A466A4">
        <w:rPr>
          <w:i/>
        </w:rPr>
        <w:t xml:space="preserve">Manoussos v. the Czech Republic and Germany </w:t>
      </w:r>
      <w:r w:rsidRPr="00A466A4">
        <w:t xml:space="preserve">(решение за допустимост), </w:t>
      </w:r>
      <w:r w:rsidRPr="00A466A4">
        <w:rPr>
          <w:cs/>
        </w:rPr>
        <w:t xml:space="preserve">№ </w:t>
      </w:r>
      <w:r w:rsidRPr="00A466A4">
        <w:t>46468/99, 9 юли 2002 г.). Той обаче уточнява, че не може да се твърди, че жалбоподател наруш</w:t>
      </w:r>
      <w:r w:rsidR="00C869F3" w:rsidRPr="00A466A4">
        <w:t>ава</w:t>
      </w:r>
      <w:r w:rsidRPr="00A466A4">
        <w:t xml:space="preserve"> правото на индивидуална молба като използва преувеличения или провокативни изрази при обсъждане на съдебното производство, освен ако тези изявления не се правят редовно и или подлагат на съмнение безпристрастността на Съда, или представляват неоправдана атака срещу правителствен</w:t>
      </w:r>
      <w:r w:rsidR="00D875F4" w:rsidRPr="00A466A4">
        <w:t>ите</w:t>
      </w:r>
      <w:r w:rsidRPr="00A466A4">
        <w:t xml:space="preserve"> аген</w:t>
      </w:r>
      <w:r w:rsidR="00D875F4" w:rsidRPr="00A466A4">
        <w:t>ти</w:t>
      </w:r>
      <w:r w:rsidRPr="00A466A4">
        <w:t>, отговаря</w:t>
      </w:r>
      <w:r w:rsidR="00EE5646" w:rsidRPr="00A466A4">
        <w:t>щи</w:t>
      </w:r>
      <w:r w:rsidRPr="00A466A4">
        <w:t xml:space="preserve"> в производството, или по друг начин прави </w:t>
      </w:r>
      <w:r w:rsidR="00EE5646" w:rsidRPr="00A466A4">
        <w:t xml:space="preserve">нетърпимо </w:t>
      </w:r>
      <w:r w:rsidRPr="00A466A4">
        <w:t xml:space="preserve">за Съда да разглежда жалбата (вж. </w:t>
      </w:r>
      <w:r w:rsidRPr="00A466A4">
        <w:rPr>
          <w:i/>
        </w:rPr>
        <w:t>Georgian Labour Party v. Georgia</w:t>
      </w:r>
      <w:r w:rsidRPr="00A466A4">
        <w:t xml:space="preserve"> (решение за допустимост), </w:t>
      </w:r>
      <w:r w:rsidRPr="00A466A4">
        <w:rPr>
          <w:cs/>
        </w:rPr>
        <w:t xml:space="preserve">№ </w:t>
      </w:r>
      <w:r w:rsidRPr="00A466A4">
        <w:t>9103/04, 22 май 2007 г.).</w:t>
      </w:r>
    </w:p>
    <w:p w:rsidR="00A73E27" w:rsidRPr="00A466A4" w:rsidRDefault="00A73E27" w:rsidP="00A73E27">
      <w:pPr>
        <w:pStyle w:val="ECHRPara"/>
      </w:pPr>
      <w:r w:rsidRPr="00A466A4">
        <w:t>30.  Що се отнася до настоящото дело</w:t>
      </w:r>
      <w:r w:rsidR="00EE5646" w:rsidRPr="00A466A4">
        <w:t>,</w:t>
      </w:r>
      <w:r w:rsidRPr="00A466A4">
        <w:t xml:space="preserve"> Съдът отбелязва, че изразите, използвани от жалбоподателя и цитирани в параграфи 19 и 20 по-горе, наистина са преувеличени и провокативни. Те могат да се разглеждат и като неуважителни както за Съда, така и за минали и настоящи отделни съдии. При все това, оценявани като цяло, тези изявления не са такива, че да направят </w:t>
      </w:r>
      <w:r w:rsidR="00EE5646" w:rsidRPr="00A466A4">
        <w:t xml:space="preserve">нетърпимо </w:t>
      </w:r>
      <w:r w:rsidRPr="00A466A4">
        <w:t xml:space="preserve">за Съда да разгледа жалбата. </w:t>
      </w:r>
      <w:r w:rsidR="00C869F3" w:rsidRPr="00A466A4">
        <w:t>Също така</w:t>
      </w:r>
      <w:r w:rsidR="00EE5646" w:rsidRPr="00A466A4">
        <w:t>,</w:t>
      </w:r>
      <w:r w:rsidR="00C869F3" w:rsidRPr="00A466A4">
        <w:t xml:space="preserve"> не се демонстрира</w:t>
      </w:r>
      <w:r w:rsidRPr="00A466A4">
        <w:t xml:space="preserve">, че такива изрази </w:t>
      </w:r>
      <w:r w:rsidR="00C869F3" w:rsidRPr="00A466A4">
        <w:t>се използват</w:t>
      </w:r>
      <w:r w:rsidRPr="00A466A4">
        <w:t xml:space="preserve"> редовно. Накрая, следва да се отбележи, че те не са направени в </w:t>
      </w:r>
      <w:r w:rsidR="00AA41C3" w:rsidRPr="00A466A4">
        <w:t xml:space="preserve">становищата </w:t>
      </w:r>
      <w:r w:rsidRPr="00A466A4">
        <w:t>на жалбоподателя и не може да се каже, че жалбоподателят действително поставя под въпрос безпристрастността на Съда.</w:t>
      </w:r>
    </w:p>
    <w:p w:rsidR="00A73E27" w:rsidRPr="00A466A4" w:rsidRDefault="00A73E27" w:rsidP="00A73E27">
      <w:pPr>
        <w:pStyle w:val="ECHRPara"/>
      </w:pPr>
      <w:r w:rsidRPr="00A466A4">
        <w:t xml:space="preserve">31.  При тези обстоятелства Съдът намира, че няма достатъчно основания настоящата жалба да се отхвърли като злоупотреба с правото на индивидуална жалба. </w:t>
      </w:r>
      <w:r w:rsidR="00C869F3" w:rsidRPr="00A466A4">
        <w:t>Следователно</w:t>
      </w:r>
      <w:r w:rsidRPr="00A466A4">
        <w:t xml:space="preserve"> той отхвърля възражението на Правителството, като отбелязва обаче, че това не означава, че поведението на жалбоподателя във връзка с настоящото производство не трябва да има последици (вж. параграф 54 по-долу).</w:t>
      </w:r>
    </w:p>
    <w:p w:rsidR="00A73E27" w:rsidRPr="00A466A4" w:rsidRDefault="00A73E27" w:rsidP="00A73E27">
      <w:pPr>
        <w:pStyle w:val="ECHRHeading3"/>
      </w:pPr>
      <w:r w:rsidRPr="00A466A4">
        <w:t>2.  Липса на значителна вреда</w:t>
      </w:r>
    </w:p>
    <w:p w:rsidR="00A73E27" w:rsidRPr="00A466A4" w:rsidRDefault="00A73E27" w:rsidP="00A73E27">
      <w:pPr>
        <w:pStyle w:val="ECHRPara"/>
      </w:pPr>
      <w:r w:rsidRPr="00A466A4">
        <w:t xml:space="preserve">32.  На последно място Правителството </w:t>
      </w:r>
      <w:r w:rsidR="00C869F3" w:rsidRPr="00A466A4">
        <w:t>счита</w:t>
      </w:r>
      <w:r w:rsidRPr="00A466A4">
        <w:t>, че жалбоподателят не е претърпял значителна вреда в резултат на твърдяното нарушение на неговите права, тъй като той пла</w:t>
      </w:r>
      <w:r w:rsidR="00C869F3" w:rsidRPr="00A466A4">
        <w:t>ща</w:t>
      </w:r>
      <w:r w:rsidRPr="00A466A4">
        <w:t xml:space="preserve"> на K.T. едва 4,55 лв. На това основание Правителството приканва Съда да отхвърли жалбата като недопустима по чл. 35 § 3 (b) от Конвенцията.</w:t>
      </w:r>
    </w:p>
    <w:p w:rsidR="00A73E27" w:rsidRPr="00A466A4" w:rsidRDefault="00A73E27" w:rsidP="00A73E27">
      <w:pPr>
        <w:pStyle w:val="ECHRPara"/>
      </w:pPr>
      <w:r w:rsidRPr="00A466A4">
        <w:t>33.  Жалбоподателят посочва, че макар K.T. да се отказ</w:t>
      </w:r>
      <w:r w:rsidR="00C869F3" w:rsidRPr="00A466A4">
        <w:t>в</w:t>
      </w:r>
      <w:r w:rsidRPr="00A466A4">
        <w:t xml:space="preserve">а от изпълнителното производство, няма </w:t>
      </w:r>
      <w:r w:rsidR="00C869F3" w:rsidRPr="00A466A4">
        <w:t>пречка</w:t>
      </w:r>
      <w:r w:rsidRPr="00A466A4">
        <w:t xml:space="preserve"> да заведе ново производство. Освен това делото не се отнася само до платените пари, а най-вече до нарушението на правото на жалбоподателя на свобода на изразяване. На последно място жалбоподателят </w:t>
      </w:r>
      <w:r w:rsidR="00C869F3" w:rsidRPr="00A466A4">
        <w:t>счита</w:t>
      </w:r>
      <w:r w:rsidRPr="00A466A4">
        <w:t xml:space="preserve">, че е претърпял имуществена загуба по друг начин в резултат на производството срещу него, по-конкретно </w:t>
      </w:r>
      <w:r w:rsidR="00AA41C3" w:rsidRPr="00A466A4">
        <w:t>поради</w:t>
      </w:r>
      <w:r w:rsidRPr="00A466A4">
        <w:t xml:space="preserve"> разходи</w:t>
      </w:r>
      <w:r w:rsidR="00AA41C3" w:rsidRPr="00A466A4">
        <w:t>те</w:t>
      </w:r>
      <w:r w:rsidRPr="00A466A4">
        <w:t xml:space="preserve"> за процесуално представителство.</w:t>
      </w:r>
    </w:p>
    <w:p w:rsidR="00A73E27" w:rsidRPr="00A466A4" w:rsidRDefault="00A73E27" w:rsidP="00A73E27">
      <w:pPr>
        <w:pStyle w:val="ECHRPara"/>
      </w:pPr>
      <w:r w:rsidRPr="00A466A4">
        <w:t xml:space="preserve">34.  Съдът отбелязва, че наистина жалбоподателят е платил само около 2 евро от много по-високата сума, която е осъден да плати на K.T. (вж. параграф 17 по-горе). Той няма да разглежда аргумента на жалбоподателя, че е претърпял допълнителна имуществена загуба, тъй като неговите претенции в това отношение ще бъдат разгледани </w:t>
      </w:r>
      <w:r w:rsidRPr="00A466A4">
        <w:lastRenderedPageBreak/>
        <w:t>по-късно (вж. параграф 59 по-долу). Достатъчно е да се отбележи, че Правителството не доказ</w:t>
      </w:r>
      <w:r w:rsidR="00C869F3" w:rsidRPr="00A466A4">
        <w:t>ва</w:t>
      </w:r>
      <w:r w:rsidRPr="00A466A4">
        <w:t xml:space="preserve">, че дългът на жалбоподателя е отпаднал по давност, и жалбоподателят очевидно все още е </w:t>
      </w:r>
      <w:r w:rsidR="00AA41C3" w:rsidRPr="00A466A4">
        <w:t>за</w:t>
      </w:r>
      <w:r w:rsidRPr="00A466A4">
        <w:t>д</w:t>
      </w:r>
      <w:r w:rsidR="00AA41C3" w:rsidRPr="00A466A4">
        <w:t>ъл</w:t>
      </w:r>
      <w:r w:rsidRPr="00A466A4">
        <w:t xml:space="preserve">жен да го заплати. Освен това Съдът отбелязва субективното възприятие на жалбоподателя за важността на делото (той </w:t>
      </w:r>
      <w:r w:rsidR="00F234A0" w:rsidRPr="00A466A4">
        <w:t xml:space="preserve">продължава </w:t>
      </w:r>
      <w:r w:rsidR="00C869F3" w:rsidRPr="00A466A4">
        <w:t xml:space="preserve">националното </w:t>
      </w:r>
      <w:r w:rsidRPr="00A466A4">
        <w:t>производство до края му, коментира го подробно в блога си) и за това какво е заложено, а именно правото на свобода на изразяване на писател и журналист.</w:t>
      </w:r>
    </w:p>
    <w:p w:rsidR="00A73E27" w:rsidRPr="00A466A4" w:rsidRDefault="00A73E27" w:rsidP="00A73E27">
      <w:pPr>
        <w:pStyle w:val="ECHRPara"/>
      </w:pPr>
      <w:r w:rsidRPr="00A466A4">
        <w:t xml:space="preserve">35.  Предвид гореизложеното и принципите, установени в неговата практика (вж. </w:t>
      </w:r>
      <w:r w:rsidRPr="00A466A4">
        <w:rPr>
          <w:i/>
        </w:rPr>
        <w:t>Sylka v. Poland</w:t>
      </w:r>
      <w:r w:rsidRPr="00A466A4">
        <w:t xml:space="preserve"> (решение за допустимост), </w:t>
      </w:r>
      <w:r w:rsidRPr="00A466A4">
        <w:rPr>
          <w:cs/>
        </w:rPr>
        <w:t xml:space="preserve">№ </w:t>
      </w:r>
      <w:r w:rsidRPr="00A466A4">
        <w:t xml:space="preserve">19219/07, §§ 27-28, 3 юни 2014 г.), Съдът </w:t>
      </w:r>
      <w:r w:rsidR="007937EA" w:rsidRPr="00A466A4">
        <w:t>счита</w:t>
      </w:r>
      <w:r w:rsidRPr="00A466A4">
        <w:t xml:space="preserve">, че изискванията на чл. 35 § 3 (b) от Конвенцията не са изпълнени, тъй като не може да се твърди, че жалбоподателят не е претърпял значителна вреда в резултат на твърдяното нарушение на неговите права (вж. </w:t>
      </w:r>
      <w:r w:rsidRPr="00A466A4">
        <w:rPr>
          <w:i/>
        </w:rPr>
        <w:t>mutatis mutandis</w:t>
      </w:r>
      <w:r w:rsidRPr="00A466A4">
        <w:t xml:space="preserve">, </w:t>
      </w:r>
      <w:r w:rsidRPr="00A466A4">
        <w:rPr>
          <w:i/>
        </w:rPr>
        <w:t>Eon v. France</w:t>
      </w:r>
      <w:r w:rsidRPr="00A466A4">
        <w:t xml:space="preserve">, </w:t>
      </w:r>
      <w:r w:rsidRPr="00A466A4">
        <w:rPr>
          <w:cs/>
        </w:rPr>
        <w:t xml:space="preserve">№ </w:t>
      </w:r>
      <w:r w:rsidRPr="00A466A4">
        <w:t>26118/10, §§ 30-36, 14 март 2013 г.). Следователно възражението на Правителството следва да бъде отхвърлено.</w:t>
      </w:r>
    </w:p>
    <w:p w:rsidR="00A73E27" w:rsidRPr="00A466A4" w:rsidRDefault="00A73E27" w:rsidP="00A73E27">
      <w:pPr>
        <w:pStyle w:val="ECHRHeading3"/>
      </w:pPr>
      <w:r w:rsidRPr="00A466A4">
        <w:t>3.  Заключение по отношение на допустимостта</w:t>
      </w:r>
    </w:p>
    <w:p w:rsidR="00A73E27" w:rsidRPr="00A466A4" w:rsidRDefault="00A73E27" w:rsidP="00A73E27">
      <w:pPr>
        <w:pStyle w:val="ECHRPara"/>
      </w:pPr>
      <w:r w:rsidRPr="00A466A4">
        <w:t xml:space="preserve">36.  Съдът освен това отбелязва, че жалбата не е явно необоснована по смисъла на чл. 35 § 3 (а) от Конвенцията. Той отбелязва още, че </w:t>
      </w:r>
      <w:r w:rsidR="007937EA" w:rsidRPr="00A466A4">
        <w:t xml:space="preserve">тя </w:t>
      </w:r>
      <w:r w:rsidRPr="00A466A4">
        <w:t>не е недопустим</w:t>
      </w:r>
      <w:r w:rsidR="007937EA" w:rsidRPr="00A466A4">
        <w:t>а</w:t>
      </w:r>
      <w:r w:rsidRPr="00A466A4">
        <w:t xml:space="preserve"> на други основания. Следователно т</w:t>
      </w:r>
      <w:r w:rsidR="00F234A0" w:rsidRPr="00A466A4">
        <w:t xml:space="preserve">я </w:t>
      </w:r>
      <w:r w:rsidR="007937EA" w:rsidRPr="00A466A4">
        <w:t>е</w:t>
      </w:r>
      <w:r w:rsidRPr="00A466A4">
        <w:t xml:space="preserve"> допустим</w:t>
      </w:r>
      <w:r w:rsidR="007937EA" w:rsidRPr="00A466A4">
        <w:t>а</w:t>
      </w:r>
      <w:r w:rsidRPr="00A466A4">
        <w:t>.</w:t>
      </w:r>
    </w:p>
    <w:p w:rsidR="00A73E27" w:rsidRPr="00A466A4" w:rsidRDefault="00A73E27" w:rsidP="00A73E27">
      <w:pPr>
        <w:pStyle w:val="ECHRHeading2"/>
      </w:pPr>
      <w:r w:rsidRPr="00A466A4">
        <w:t xml:space="preserve">Б. </w:t>
      </w:r>
      <w:r w:rsidR="001C1556" w:rsidRPr="00A466A4">
        <w:t>По същество</w:t>
      </w:r>
    </w:p>
    <w:p w:rsidR="00A73E27" w:rsidRPr="00A466A4" w:rsidRDefault="00A73E27" w:rsidP="00A73E27">
      <w:pPr>
        <w:pStyle w:val="ECHRHeading3"/>
      </w:pPr>
      <w:r w:rsidRPr="00A466A4">
        <w:t>1.  Аргументи на страните</w:t>
      </w:r>
    </w:p>
    <w:p w:rsidR="00A73E27" w:rsidRPr="00A466A4" w:rsidRDefault="00A73E27" w:rsidP="00A73E27">
      <w:pPr>
        <w:pStyle w:val="ECHRPara"/>
      </w:pPr>
      <w:r w:rsidRPr="00A466A4">
        <w:t xml:space="preserve">37.  Правителството посочва, че намесата в правата на жалбоподателя е законосъобразна и има за цел да защити правата и репутацията на K.T. Освен това тя е </w:t>
      </w:r>
      <w:r w:rsidRPr="00A466A4">
        <w:rPr>
          <w:cs/>
        </w:rPr>
        <w:t>„</w:t>
      </w:r>
      <w:r w:rsidRPr="00A466A4">
        <w:t>необходима в едно демократично общество</w:t>
      </w:r>
      <w:r w:rsidRPr="00A466A4">
        <w:rPr>
          <w:cs/>
        </w:rPr>
        <w:t xml:space="preserve">“ </w:t>
      </w:r>
      <w:r w:rsidRPr="00A466A4">
        <w:t xml:space="preserve">по смисъла на член 10 § 2 от Конвенцията поради следните причини: статията, изрично цитирана от жалбоподателя, когато прави </w:t>
      </w:r>
      <w:r w:rsidR="001C1556" w:rsidRPr="00A466A4">
        <w:t xml:space="preserve">спорното </w:t>
      </w:r>
      <w:r w:rsidRPr="00A466A4">
        <w:t>си изявление за масонството, само предполага свързаността на K.T. с масонския орден; що се отнася до връзките на К.Т. с бившите тайни служби, твърдението на жалбоподателя е опровергано от официални документи; горепосоченото означава, че жалбоподателят очевидно е направил неверни твърдения, без наистина да се опита да ги провери; освен това той не е поискал предварителното мнение на К.Т.; националните съдилища изл</w:t>
      </w:r>
      <w:r w:rsidR="001C1556" w:rsidRPr="00A466A4">
        <w:t>агат</w:t>
      </w:r>
      <w:r w:rsidRPr="00A466A4">
        <w:t xml:space="preserve"> достатъчно аргументи при установяването на неверността на твърденията на жалбоподателя и на претърпените от К.Т. </w:t>
      </w:r>
      <w:r w:rsidR="001C1556" w:rsidRPr="00A466A4">
        <w:t xml:space="preserve">вреди </w:t>
      </w:r>
      <w:r w:rsidRPr="00A466A4">
        <w:t xml:space="preserve">в резултат на това; освен това те са направили </w:t>
      </w:r>
      <w:r w:rsidR="00CC0265" w:rsidRPr="00A466A4">
        <w:t>преценка за баланс</w:t>
      </w:r>
      <w:r w:rsidRPr="00A466A4">
        <w:t xml:space="preserve">, вземайки предвид правото на жалбоподателя на свобода на изразяване; жалбоподателят не е </w:t>
      </w:r>
      <w:r w:rsidR="00CC0265" w:rsidRPr="00A466A4">
        <w:t xml:space="preserve">наказателно </w:t>
      </w:r>
      <w:r w:rsidRPr="00A466A4">
        <w:t xml:space="preserve">преследван за извършване на престъплението обида или клевета, а е подведен само под гражданска отговорност; и накрая, </w:t>
      </w:r>
      <w:r w:rsidR="001C1556" w:rsidRPr="00A466A4">
        <w:t xml:space="preserve">националното </w:t>
      </w:r>
      <w:r w:rsidRPr="00A466A4">
        <w:t xml:space="preserve">производство е било състезателно и жалбоподателят е </w:t>
      </w:r>
      <w:r w:rsidR="00CC0265" w:rsidRPr="00A466A4">
        <w:t xml:space="preserve">ползвал </w:t>
      </w:r>
      <w:r w:rsidR="001C1556" w:rsidRPr="00A466A4">
        <w:t xml:space="preserve">процесуално </w:t>
      </w:r>
      <w:r w:rsidRPr="00A466A4">
        <w:t>представ</w:t>
      </w:r>
      <w:r w:rsidR="00CC0265" w:rsidRPr="00A466A4">
        <w:t>ителство</w:t>
      </w:r>
      <w:r w:rsidRPr="00A466A4">
        <w:t>.</w:t>
      </w:r>
    </w:p>
    <w:p w:rsidR="00A73E27" w:rsidRPr="00A466A4" w:rsidRDefault="00A73E27" w:rsidP="00A73E27">
      <w:pPr>
        <w:pStyle w:val="ECHRPara"/>
      </w:pPr>
      <w:r w:rsidRPr="00A466A4">
        <w:t>38.  Жалбоподателят заявява, че никога не е наричал K.T. комунист, че оспорваните му изявления не са обидни и че те все пак остават верни. Той представя копия на две статии от списания, една от които е цитираната в неговата книга, които според него доказват истинността на твърденията му. Жалбоподателят твърди, че националните съдилища не анализира</w:t>
      </w:r>
      <w:r w:rsidR="00911FA3" w:rsidRPr="00A466A4">
        <w:t>т</w:t>
      </w:r>
      <w:r w:rsidRPr="00A466A4">
        <w:t xml:space="preserve"> правилно необходимостта </w:t>
      </w:r>
      <w:r w:rsidR="00911FA3" w:rsidRPr="00A466A4">
        <w:t xml:space="preserve">от </w:t>
      </w:r>
      <w:r w:rsidRPr="00A466A4">
        <w:t>намеса в неговите права и че обезщетението за вреди, което е осъден да плати, е прекомерно високо.</w:t>
      </w:r>
    </w:p>
    <w:p w:rsidR="00A73E27" w:rsidRPr="00A466A4" w:rsidRDefault="00A73E27" w:rsidP="00A73E27">
      <w:pPr>
        <w:pStyle w:val="ECHRHeading3"/>
      </w:pPr>
      <w:r w:rsidRPr="00A466A4">
        <w:t>2.  Преценка</w:t>
      </w:r>
      <w:r w:rsidR="00911FA3" w:rsidRPr="00A466A4">
        <w:t>та</w:t>
      </w:r>
      <w:r w:rsidRPr="00A466A4">
        <w:t xml:space="preserve"> на Съда</w:t>
      </w:r>
    </w:p>
    <w:p w:rsidR="00A73E27" w:rsidRPr="00A466A4" w:rsidRDefault="00A73E27" w:rsidP="00A73E27">
      <w:pPr>
        <w:pStyle w:val="ECHRPara"/>
      </w:pPr>
      <w:r w:rsidRPr="00A466A4">
        <w:t xml:space="preserve">39.  Съдът отбелязва, че намесата в правата на жалбоподателя е </w:t>
      </w:r>
      <w:r w:rsidRPr="00A466A4">
        <w:rPr>
          <w:cs/>
        </w:rPr>
        <w:t>„</w:t>
      </w:r>
      <w:r w:rsidRPr="00A466A4">
        <w:t>предвидена в закона</w:t>
      </w:r>
      <w:r w:rsidRPr="00A466A4">
        <w:rPr>
          <w:cs/>
        </w:rPr>
        <w:t>“</w:t>
      </w:r>
      <w:r w:rsidRPr="00A466A4">
        <w:t xml:space="preserve">, а именно чл. 45 от Закона за задълженията и договорите (вж. </w:t>
      </w:r>
      <w:r w:rsidRPr="00A466A4">
        <w:rPr>
          <w:i/>
        </w:rPr>
        <w:t>Йорданова и Тошев срещу България</w:t>
      </w:r>
      <w:r w:rsidRPr="00A466A4">
        <w:t xml:space="preserve">, </w:t>
      </w:r>
      <w:r w:rsidRPr="00A466A4">
        <w:rPr>
          <w:cs/>
        </w:rPr>
        <w:t xml:space="preserve">№ </w:t>
      </w:r>
      <w:r w:rsidRPr="00A466A4">
        <w:t>5126/05, §§ 24 и 40, 2 октомври 2012 г.). Освен това тя преследва легитимна цел, а именно защитата на правата и репутацията на K.T.</w:t>
      </w:r>
    </w:p>
    <w:p w:rsidR="00A73E27" w:rsidRPr="00A466A4" w:rsidRDefault="00A73E27" w:rsidP="00A73E27">
      <w:pPr>
        <w:pStyle w:val="ECHRPara"/>
      </w:pPr>
      <w:r w:rsidRPr="00A466A4">
        <w:lastRenderedPageBreak/>
        <w:t xml:space="preserve">40.  Основният въпрос е дали намесата е </w:t>
      </w:r>
      <w:r w:rsidRPr="00A466A4">
        <w:rPr>
          <w:cs/>
        </w:rPr>
        <w:t>„</w:t>
      </w:r>
      <w:r w:rsidRPr="00A466A4">
        <w:t>необходима в едно демократично общество</w:t>
      </w:r>
      <w:r w:rsidRPr="00A466A4">
        <w:rPr>
          <w:cs/>
        </w:rPr>
        <w:t>”</w:t>
      </w:r>
      <w:r w:rsidRPr="00A466A4">
        <w:t xml:space="preserve">, тоест дали съответства на належаща социална нужда, дали е пропорционална на преследваната легитимна цел и дали мотивите, дадени от националните власти, са уместни и достатъчни (вж. </w:t>
      </w:r>
      <w:r w:rsidRPr="00A466A4">
        <w:rPr>
          <w:i/>
        </w:rPr>
        <w:t>Janowski v. Poland</w:t>
      </w:r>
      <w:r w:rsidRPr="00A466A4">
        <w:t xml:space="preserve"> [GC], </w:t>
      </w:r>
      <w:r w:rsidRPr="00A466A4">
        <w:rPr>
          <w:cs/>
        </w:rPr>
        <w:t xml:space="preserve">№ </w:t>
      </w:r>
      <w:r w:rsidRPr="00A466A4">
        <w:t>25716/94, § 30, ЕСПЧ 1999I).</w:t>
      </w:r>
    </w:p>
    <w:p w:rsidR="00A73E27" w:rsidRPr="00A466A4" w:rsidRDefault="00A73E27" w:rsidP="00A73E27">
      <w:pPr>
        <w:pStyle w:val="ECHRPara"/>
      </w:pPr>
      <w:r w:rsidRPr="00A466A4">
        <w:t>41.  Жалбоподателят е подведен под гражданска отговорност за това, че прави две факти</w:t>
      </w:r>
      <w:r w:rsidR="00901018" w:rsidRPr="00A466A4">
        <w:t xml:space="preserve">чески </w:t>
      </w:r>
      <w:r w:rsidR="00987C8A" w:rsidRPr="00A466A4">
        <w:t xml:space="preserve">твърдения </w:t>
      </w:r>
      <w:r w:rsidRPr="00A466A4">
        <w:t xml:space="preserve">- че K.T. е масон и че е комунист, свързан с бившите тайни служби. Страните представят тезите си </w:t>
      </w:r>
      <w:r w:rsidRPr="00A466A4">
        <w:rPr>
          <w:cs/>
        </w:rPr>
        <w:t xml:space="preserve">– </w:t>
      </w:r>
      <w:r w:rsidRPr="00A466A4">
        <w:t xml:space="preserve">Правителството оспорва истинността на тези </w:t>
      </w:r>
      <w:r w:rsidR="00987C8A" w:rsidRPr="00A466A4">
        <w:t>твърдения</w:t>
      </w:r>
      <w:r w:rsidRPr="00A466A4">
        <w:t xml:space="preserve">, а жалбоподателят </w:t>
      </w:r>
      <w:r w:rsidR="00987C8A" w:rsidRPr="00A466A4">
        <w:t>ги преповтаря</w:t>
      </w:r>
      <w:r w:rsidRPr="00A466A4">
        <w:t xml:space="preserve"> (вж. параграфи 37-38 по-горе). Съдът обаче не вижда причина да оспорва добре обоснованите заключения на националните съдилища относно неверността на спорните изявления (вж. параграфи 12 и 15 по-горе). Следователно той приема, че жалбоподателят прави неверни факти</w:t>
      </w:r>
      <w:r w:rsidR="002E3843" w:rsidRPr="00A466A4">
        <w:t xml:space="preserve">чески </w:t>
      </w:r>
      <w:r w:rsidR="00987C8A" w:rsidRPr="00A466A4">
        <w:t>твърдения</w:t>
      </w:r>
      <w:r w:rsidRPr="00A466A4">
        <w:t>.</w:t>
      </w:r>
    </w:p>
    <w:p w:rsidR="00A73E27" w:rsidRPr="00A466A4" w:rsidRDefault="00A73E27" w:rsidP="00A73E27">
      <w:pPr>
        <w:pStyle w:val="ECHRPara"/>
      </w:pPr>
      <w:r w:rsidRPr="00A466A4">
        <w:t>42.  </w:t>
      </w:r>
      <w:r w:rsidR="005D763B" w:rsidRPr="00A466A4">
        <w:t>О</w:t>
      </w:r>
      <w:r w:rsidRPr="00A466A4">
        <w:t xml:space="preserve">тговорността на жалбоподателя се основава </w:t>
      </w:r>
      <w:r w:rsidR="005D763B" w:rsidRPr="00A466A4">
        <w:t xml:space="preserve">и </w:t>
      </w:r>
      <w:r w:rsidRPr="00A466A4">
        <w:t xml:space="preserve">на това, че нарича K.T. </w:t>
      </w:r>
      <w:r w:rsidRPr="00A466A4">
        <w:rPr>
          <w:cs/>
        </w:rPr>
        <w:t>„</w:t>
      </w:r>
      <w:r w:rsidRPr="00A466A4">
        <w:t>псевдосиндикалист</w:t>
      </w:r>
      <w:r w:rsidRPr="00A466A4">
        <w:rPr>
          <w:cs/>
        </w:rPr>
        <w:t xml:space="preserve">“ – </w:t>
      </w:r>
      <w:r w:rsidR="005D763B" w:rsidRPr="00A466A4">
        <w:t>оценъчно съждение</w:t>
      </w:r>
      <w:r w:rsidRPr="00A466A4">
        <w:t>, ко</w:t>
      </w:r>
      <w:r w:rsidR="005D763B" w:rsidRPr="00A466A4">
        <w:t>е</w:t>
      </w:r>
      <w:r w:rsidRPr="00A466A4">
        <w:t>то националните съдилища разглеждат като неоправдана обида с цел дискредитиране на К.Т. (вж. параграф 12 по-горе).</w:t>
      </w:r>
    </w:p>
    <w:p w:rsidR="00A73E27" w:rsidRPr="00A466A4" w:rsidRDefault="00A73E27" w:rsidP="00A73E27">
      <w:pPr>
        <w:pStyle w:val="ECHRPara"/>
      </w:pPr>
      <w:r w:rsidRPr="00A466A4">
        <w:t>43.  Задачата на Съда е да провери дали спорните изявления са такива, че да оправдаят отговорността на жалбоподателя за вреди, както е постановена от националните съдилища.</w:t>
      </w:r>
    </w:p>
    <w:p w:rsidR="00A73E27" w:rsidRPr="00A466A4" w:rsidRDefault="00A73E27" w:rsidP="00A73E27">
      <w:pPr>
        <w:pStyle w:val="ECHRPara"/>
      </w:pPr>
      <w:r w:rsidRPr="00A466A4">
        <w:t>44.  Съдът отбелязва, че изявленията по-горе, макар и неприемливи, не са особено скандални, шокиращи или клеветнически. Националните съдилища смятат, че квалификацията на K.T. като масон е обидна за него, защото той е вярващ православен християнин, но не заключва</w:t>
      </w:r>
      <w:r w:rsidR="00627546" w:rsidRPr="00A466A4">
        <w:t>т</w:t>
      </w:r>
      <w:r w:rsidRPr="00A466A4">
        <w:t>, че тя по принцип носи със себе си особено негативно значение (вж. параграфи 12-13 и 16 по-горе). Що се отнася до твърдението, че К.Т. е свързан с комунистическите тайни служби, отбеляз</w:t>
      </w:r>
      <w:r w:rsidR="00627546" w:rsidRPr="00A466A4">
        <w:t>ва се</w:t>
      </w:r>
      <w:r w:rsidRPr="00A466A4">
        <w:t xml:space="preserve">, че в българския контекст такава свързаност не  носи </w:t>
      </w:r>
      <w:r w:rsidR="00627546" w:rsidRPr="00A466A4">
        <w:t xml:space="preserve">задължително </w:t>
      </w:r>
      <w:r w:rsidRPr="00A466A4">
        <w:t xml:space="preserve">социална стигма (вж. </w:t>
      </w:r>
      <w:r w:rsidRPr="00A466A4">
        <w:rPr>
          <w:i/>
        </w:rPr>
        <w:t>Анчев срещу България</w:t>
      </w:r>
      <w:r w:rsidRPr="00A466A4">
        <w:t xml:space="preserve"> (решение за допустимост), </w:t>
      </w:r>
      <w:r w:rsidRPr="00A466A4">
        <w:rPr>
          <w:cs/>
        </w:rPr>
        <w:t xml:space="preserve">№ </w:t>
      </w:r>
      <w:r w:rsidRPr="00A466A4">
        <w:t xml:space="preserve">38334/08 и  68242/16, 5 декември 2017 г.). На последно място Съдът не </w:t>
      </w:r>
      <w:r w:rsidR="00627546" w:rsidRPr="00A466A4">
        <w:t>счита</w:t>
      </w:r>
      <w:r w:rsidRPr="00A466A4">
        <w:t xml:space="preserve">, че квалификацията на K.T. като </w:t>
      </w:r>
      <w:r w:rsidRPr="00A466A4">
        <w:rPr>
          <w:cs/>
        </w:rPr>
        <w:t>„</w:t>
      </w:r>
      <w:r w:rsidRPr="00A466A4">
        <w:t>псевдосиндикалист</w:t>
      </w:r>
      <w:r w:rsidRPr="00A466A4">
        <w:rPr>
          <w:cs/>
        </w:rPr>
        <w:t xml:space="preserve">“ </w:t>
      </w:r>
      <w:r w:rsidRPr="00A466A4">
        <w:t>е прекомерно скандална или обидна, надминаваща нивото на критика, която би трябвало да понесе една публична личност.</w:t>
      </w:r>
    </w:p>
    <w:p w:rsidR="00A73E27" w:rsidRPr="00A466A4" w:rsidRDefault="00A73E27" w:rsidP="00A73E27">
      <w:pPr>
        <w:pStyle w:val="ECHRPara"/>
      </w:pPr>
      <w:r w:rsidRPr="00A466A4">
        <w:t xml:space="preserve">45.  Съдът </w:t>
      </w:r>
      <w:r w:rsidR="00627546" w:rsidRPr="00A466A4">
        <w:t>припомня</w:t>
      </w:r>
      <w:r w:rsidRPr="00A466A4">
        <w:t xml:space="preserve">, че свободата на изразяване е приложима не само към информация и идеи, които се възприемат благосклонно или са считани за безобидни или се гледат с безразличие, но също така и към тези, които обиждат, шокират или смущават (вж. например </w:t>
      </w:r>
      <w:r w:rsidRPr="00A466A4">
        <w:rPr>
          <w:i/>
        </w:rPr>
        <w:t>Hertel v. Switzerland</w:t>
      </w:r>
      <w:r w:rsidRPr="00A466A4">
        <w:t xml:space="preserve">, 25 август 1998 г., § 46, </w:t>
      </w:r>
      <w:r w:rsidRPr="00A466A4">
        <w:rPr>
          <w:i/>
        </w:rPr>
        <w:t xml:space="preserve">Доклади за решения и определения </w:t>
      </w:r>
      <w:r w:rsidRPr="00A466A4">
        <w:t xml:space="preserve">1998VI). Освен това K.T. </w:t>
      </w:r>
      <w:r w:rsidRPr="00A466A4">
        <w:rPr>
          <w:cs/>
        </w:rPr>
        <w:t xml:space="preserve">– </w:t>
      </w:r>
      <w:r w:rsidR="005D763B" w:rsidRPr="00A466A4">
        <w:t xml:space="preserve">ръководител </w:t>
      </w:r>
      <w:r w:rsidRPr="00A466A4">
        <w:t xml:space="preserve">на национален профсъюз и политическа фигура (вж. параграф 5 по-горе) </w:t>
      </w:r>
      <w:r w:rsidRPr="00A466A4">
        <w:rPr>
          <w:cs/>
        </w:rPr>
        <w:t xml:space="preserve">– </w:t>
      </w:r>
      <w:r w:rsidRPr="00A466A4">
        <w:t xml:space="preserve">трябва да се счита за </w:t>
      </w:r>
      <w:r w:rsidR="00E90A00" w:rsidRPr="00A466A4">
        <w:t xml:space="preserve">публичен </w:t>
      </w:r>
      <w:r w:rsidRPr="00A466A4">
        <w:t xml:space="preserve">служител. Съдът е приел, че границите на приемливата критика са по-широки по отношение на </w:t>
      </w:r>
      <w:r w:rsidR="00E90A00" w:rsidRPr="00A466A4">
        <w:t>публични фигури</w:t>
      </w:r>
      <w:r w:rsidRPr="00A466A4">
        <w:t xml:space="preserve">, отколкото по отношение на частно лице, и че макар </w:t>
      </w:r>
      <w:r w:rsidR="00E90A00" w:rsidRPr="00A466A4">
        <w:t xml:space="preserve">публичен </w:t>
      </w:r>
      <w:r w:rsidRPr="00A466A4">
        <w:t>служител със сигурност да има правото да защитава репутацията си, изискванията на тази защита трябва да бъдат претеглени спрямо интерес</w:t>
      </w:r>
      <w:r w:rsidR="00E90A00" w:rsidRPr="00A466A4">
        <w:t>а от</w:t>
      </w:r>
      <w:r w:rsidRPr="00A466A4">
        <w:t xml:space="preserve"> откритото обсъждане на политически и социални въпроси, тъй като изключенията от свободата на изразяване трябва да се тълкуват </w:t>
      </w:r>
      <w:r w:rsidR="00627546" w:rsidRPr="00A466A4">
        <w:t xml:space="preserve">тясно </w:t>
      </w:r>
      <w:r w:rsidRPr="00A466A4">
        <w:t xml:space="preserve">(вж. например </w:t>
      </w:r>
      <w:r w:rsidRPr="00A466A4">
        <w:rPr>
          <w:i/>
        </w:rPr>
        <w:t>Janowski</w:t>
      </w:r>
      <w:r w:rsidRPr="00A466A4">
        <w:t>, цитирано по-горе, § 33).</w:t>
      </w:r>
    </w:p>
    <w:p w:rsidR="00A73E27" w:rsidRPr="00A466A4" w:rsidRDefault="00A73E27" w:rsidP="00A73E27">
      <w:pPr>
        <w:pStyle w:val="ECHRPara"/>
      </w:pPr>
      <w:r w:rsidRPr="00A466A4">
        <w:t>46.  Въпреки казаното по-горе Съдът е готов да приеме, че отговорността на жалбоподателя за изявленията, направени от него относно K.T.</w:t>
      </w:r>
      <w:r w:rsidR="00627546" w:rsidRPr="00A466A4">
        <w:t>,</w:t>
      </w:r>
      <w:r w:rsidRPr="00A466A4">
        <w:t xml:space="preserve"> може да е изпълнила </w:t>
      </w:r>
      <w:r w:rsidRPr="00A466A4">
        <w:rPr>
          <w:cs/>
        </w:rPr>
        <w:t>„</w:t>
      </w:r>
      <w:r w:rsidRPr="00A466A4">
        <w:t>належаща социална нужда</w:t>
      </w:r>
      <w:r w:rsidRPr="00A466A4">
        <w:rPr>
          <w:cs/>
        </w:rPr>
        <w:t>“</w:t>
      </w:r>
      <w:r w:rsidRPr="00A466A4">
        <w:t xml:space="preserve">, както се изисква от неговата практика (вж. параграф 40 по-горе). От решаващо значение за </w:t>
      </w:r>
      <w:r w:rsidR="00627546" w:rsidRPr="00A466A4">
        <w:t xml:space="preserve">него </w:t>
      </w:r>
      <w:r w:rsidRPr="00A466A4">
        <w:t>са следните съображения.</w:t>
      </w:r>
    </w:p>
    <w:p w:rsidR="00A73E27" w:rsidRPr="00A466A4" w:rsidRDefault="00A73E27" w:rsidP="00A73E27">
      <w:pPr>
        <w:pStyle w:val="ECHRPara"/>
      </w:pPr>
      <w:r w:rsidRPr="00A466A4">
        <w:t xml:space="preserve">47.  Естеството и тежестта на наложената санкция са фактори, които трябва да се вземат предвид при оценката на пропорционалността на намесата в свободата на изразяване (вж. </w:t>
      </w:r>
      <w:r w:rsidRPr="00A466A4">
        <w:rPr>
          <w:i/>
        </w:rPr>
        <w:t>Cumpănă and Mazăre v. Romania</w:t>
      </w:r>
      <w:r w:rsidRPr="00A466A4">
        <w:t xml:space="preserve">, </w:t>
      </w:r>
      <w:r w:rsidRPr="00A466A4">
        <w:rPr>
          <w:cs/>
        </w:rPr>
        <w:t xml:space="preserve">№ </w:t>
      </w:r>
      <w:r w:rsidRPr="00A466A4">
        <w:t xml:space="preserve">33348/96, § 111, 10 юни 2003 г. и </w:t>
      </w:r>
      <w:r w:rsidRPr="00A466A4">
        <w:rPr>
          <w:i/>
        </w:rPr>
        <w:t>Румяна Иванова срещу България</w:t>
      </w:r>
      <w:r w:rsidRPr="00A466A4">
        <w:t xml:space="preserve">, </w:t>
      </w:r>
      <w:r w:rsidRPr="00A466A4">
        <w:rPr>
          <w:cs/>
        </w:rPr>
        <w:t xml:space="preserve">№ </w:t>
      </w:r>
      <w:r w:rsidRPr="00A466A4">
        <w:t xml:space="preserve">36207/03, § 69, 14 февруари 2008 г.). В конкретния случай жалбоподателят е осъден да заплати обезщетение, което </w:t>
      </w:r>
      <w:r w:rsidR="00481E34" w:rsidRPr="00A466A4">
        <w:t xml:space="preserve">към </w:t>
      </w:r>
      <w:r w:rsidRPr="00A466A4">
        <w:t xml:space="preserve">октомври 2011 г., заедно с натрупаните лихви и съответните разходи и разноски, възлиза на повече от 16 000 евро (вж. параграф 17 по-горе). Както вече </w:t>
      </w:r>
      <w:r w:rsidR="00627546" w:rsidRPr="00A466A4">
        <w:t xml:space="preserve">е </w:t>
      </w:r>
      <w:r w:rsidRPr="00A466A4">
        <w:t xml:space="preserve">отбелязано (вж. параграф 34 по-горе), </w:t>
      </w:r>
      <w:r w:rsidRPr="00A466A4">
        <w:lastRenderedPageBreak/>
        <w:t xml:space="preserve">макар че жалбоподателят </w:t>
      </w:r>
      <w:r w:rsidR="00627546" w:rsidRPr="00A466A4">
        <w:t>плаща</w:t>
      </w:r>
      <w:r w:rsidRPr="00A466A4">
        <w:t xml:space="preserve"> само незначителна част от тази сума, не </w:t>
      </w:r>
      <w:r w:rsidR="00627546" w:rsidRPr="00A466A4">
        <w:t>с</w:t>
      </w:r>
      <w:r w:rsidRPr="00A466A4">
        <w:t>е доказ</w:t>
      </w:r>
      <w:r w:rsidR="00627546" w:rsidRPr="00A466A4">
        <w:t>ва</w:t>
      </w:r>
      <w:r w:rsidRPr="00A466A4">
        <w:t xml:space="preserve">, че той не може </w:t>
      </w:r>
      <w:r w:rsidR="00627546" w:rsidRPr="00A466A4">
        <w:t xml:space="preserve">все още </w:t>
      </w:r>
      <w:r w:rsidRPr="00A466A4">
        <w:t xml:space="preserve">да бъде </w:t>
      </w:r>
      <w:r w:rsidR="00481E34" w:rsidRPr="00A466A4">
        <w:t>държан отговорен</w:t>
      </w:r>
      <w:r w:rsidRPr="00A466A4">
        <w:t xml:space="preserve"> за останалата част. Освен това в случаите, свързани със свобода на изразяване на писатели и по-конкретно на журналисти, Съдът отдава голямо значение на възпиращия ефект на оспорваната намеса (вж. например </w:t>
      </w:r>
      <w:r w:rsidRPr="00A466A4">
        <w:rPr>
          <w:i/>
        </w:rPr>
        <w:t>Cumpănă and Mazăre</w:t>
      </w:r>
      <w:r w:rsidRPr="00A466A4">
        <w:t>, цитирано по-горе, §§ 114-16).</w:t>
      </w:r>
    </w:p>
    <w:p w:rsidR="00A73E27" w:rsidRPr="00A466A4" w:rsidRDefault="00A73E27" w:rsidP="00A73E27">
      <w:pPr>
        <w:pStyle w:val="ECHRPara"/>
      </w:pPr>
      <w:r w:rsidRPr="00A466A4">
        <w:t>48.  Съдът не е уведомен за финансовото състояние на жалбоподателя по времето, когато е осъден да заплати обезщетение на K.T. Той обаче отбелязва, че дължимата от него сума е равна на около сто и седемнадесет минимални месечни заплати (270 лева (138 евро) в съответния момент).</w:t>
      </w:r>
    </w:p>
    <w:p w:rsidR="00A73E27" w:rsidRPr="00A466A4" w:rsidRDefault="00A73E27" w:rsidP="00A73E27">
      <w:pPr>
        <w:pStyle w:val="ECHRPara"/>
      </w:pPr>
      <w:r w:rsidRPr="00A466A4">
        <w:t xml:space="preserve">49.  Съдът </w:t>
      </w:r>
      <w:r w:rsidRPr="00A466A4">
        <w:rPr>
          <w:u w:val="single"/>
        </w:rPr>
        <w:t>констатира</w:t>
      </w:r>
      <w:r w:rsidRPr="00A466A4">
        <w:t xml:space="preserve">, че подобна санкция е явна прекомерна (вж. например </w:t>
      </w:r>
      <w:r w:rsidRPr="00A466A4">
        <w:rPr>
          <w:i/>
        </w:rPr>
        <w:t>Божков срещу България</w:t>
      </w:r>
      <w:r w:rsidRPr="00A466A4">
        <w:t xml:space="preserve">, </w:t>
      </w:r>
      <w:r w:rsidRPr="00A466A4">
        <w:rPr>
          <w:cs/>
        </w:rPr>
        <w:t xml:space="preserve">№ </w:t>
      </w:r>
      <w:r w:rsidRPr="00A466A4">
        <w:t xml:space="preserve">3316/04, § 55, 19 април 2011 г., където сумата, която жалбоподателят е трябвало да плати и която е намерена за </w:t>
      </w:r>
      <w:r w:rsidR="00C33BB6" w:rsidRPr="00A466A4">
        <w:t xml:space="preserve">непропорционално </w:t>
      </w:r>
      <w:r w:rsidRPr="00A466A4">
        <w:t>висока, се равнява на петдесет и седем минимални месечни заплати). Националните съдилища обосновават това, като приемат по-конкретно, че причиненото от публикацията на жалбоподателя страдание влош</w:t>
      </w:r>
      <w:r w:rsidR="00C33BB6" w:rsidRPr="00A466A4">
        <w:t>ава</w:t>
      </w:r>
      <w:r w:rsidRPr="00A466A4">
        <w:t xml:space="preserve"> здравословните проблеми на К. Т., и като посочват факта, че той е публична личност (вж. параграфи 14-15 по-горе). За Съда обаче тези съображения не обосновават в достатъчна степен размера на обезщетението, присъдено при обстоятелствата по случая. Ето защо той смята, че независимо дали намесата на националните власти в правото на жалбоподателя на свобода на изразяване е оправдана по принцип, за да се защити доброто име и репутация на KT, санкция като тази, наложена на жалбоподателя, е явно непропорционална на преследваната легитимна цел.</w:t>
      </w:r>
    </w:p>
    <w:p w:rsidR="00A73E27" w:rsidRPr="00A466A4" w:rsidRDefault="00A73E27" w:rsidP="00A73E27">
      <w:pPr>
        <w:pStyle w:val="ECHRPara"/>
      </w:pPr>
      <w:r w:rsidRPr="00A466A4">
        <w:t>50.  Следователно е налице нарушение на чл. 10 от Конвенцията.</w:t>
      </w:r>
    </w:p>
    <w:p w:rsidR="00A73E27" w:rsidRPr="00A466A4" w:rsidRDefault="00A73E27" w:rsidP="00A73E27">
      <w:pPr>
        <w:pStyle w:val="ECHRHeading1"/>
      </w:pPr>
      <w:r w:rsidRPr="00A466A4">
        <w:t>III.  ПРИЛОЖЕНИЕ НА ЧЛ. 41 ОТ КОНВЕНЦИЯТА</w:t>
      </w:r>
    </w:p>
    <w:p w:rsidR="00A73E27" w:rsidRPr="00A466A4" w:rsidRDefault="00A73E27" w:rsidP="00A73E27">
      <w:pPr>
        <w:pStyle w:val="ECHRPara"/>
      </w:pPr>
      <w:r w:rsidRPr="00A466A4">
        <w:t>51.  Чл. 41 от Конвенцията гласи:</w:t>
      </w:r>
    </w:p>
    <w:p w:rsidR="00A73E27" w:rsidRPr="00A466A4" w:rsidRDefault="00A73E27" w:rsidP="00A73E27">
      <w:pPr>
        <w:pStyle w:val="ECHRParaQuote"/>
        <w:keepNext/>
        <w:keepLines/>
      </w:pPr>
      <w:r w:rsidRPr="00A466A4">
        <w:rPr>
          <w:cs/>
        </w:rPr>
        <w:t>“</w:t>
      </w:r>
      <w:r w:rsidRPr="00A466A4">
        <w:t>Ако Съдът установи нарушение на Конвенцията или на Протоколите към нея и ако вътрешното право на съответната Високодоговаряща страна допуска само частично обезщетение, Съдът, ако е необходимо, постановява предоставянето на справедливо обезщетение на потърпевшата страна.</w:t>
      </w:r>
      <w:r w:rsidRPr="00A466A4">
        <w:rPr>
          <w:cs/>
        </w:rPr>
        <w:t>”</w:t>
      </w:r>
    </w:p>
    <w:p w:rsidR="00A73E27" w:rsidRPr="00A466A4" w:rsidRDefault="00A73E27" w:rsidP="00A73E27">
      <w:pPr>
        <w:pStyle w:val="ECHRHeading2"/>
      </w:pPr>
      <w:r w:rsidRPr="00A466A4">
        <w:t>А. Обезщетение за вреди</w:t>
      </w:r>
    </w:p>
    <w:p w:rsidR="00A73E27" w:rsidRPr="00A466A4" w:rsidRDefault="00A73E27" w:rsidP="00A73E27">
      <w:pPr>
        <w:pStyle w:val="ECHRPara"/>
      </w:pPr>
      <w:r w:rsidRPr="00A466A4">
        <w:t>52.  По отношение на имуществени</w:t>
      </w:r>
      <w:r w:rsidR="00A466A4" w:rsidRPr="00A466A4">
        <w:t>те</w:t>
      </w:r>
      <w:r w:rsidRPr="00A466A4">
        <w:t xml:space="preserve"> вреди жалбоподателят претендира: 1) 4,55 лв. (2,32 евро), които той действително пла</w:t>
      </w:r>
      <w:r w:rsidR="00C33BB6" w:rsidRPr="00A466A4">
        <w:t>ща</w:t>
      </w:r>
      <w:r w:rsidRPr="00A466A4">
        <w:t xml:space="preserve"> на К.Т.; 2) 9000 евро, представляващи обезщетение за пропуснат доход; жалбоподателят твърди, че това е резултат от факта, че националните съдилища </w:t>
      </w:r>
      <w:r w:rsidR="00C33BB6" w:rsidRPr="00A466A4">
        <w:t xml:space="preserve">го осъждат </w:t>
      </w:r>
      <w:r w:rsidRPr="00A466A4">
        <w:t>да заплати обезщетение на K.T., тъй като впоследствие, за да избегне изземването на активи, той приема неплатен</w:t>
      </w:r>
      <w:r w:rsidR="00C33BB6" w:rsidRPr="00A466A4">
        <w:t>и</w:t>
      </w:r>
      <w:r w:rsidRPr="00A466A4">
        <w:t xml:space="preserve"> работ</w:t>
      </w:r>
      <w:r w:rsidR="00C33BB6" w:rsidRPr="00A466A4">
        <w:t>и</w:t>
      </w:r>
      <w:r w:rsidRPr="00A466A4">
        <w:t xml:space="preserve">; и 3) 14 400 евро </w:t>
      </w:r>
      <w:r w:rsidR="00A466A4" w:rsidRPr="00A466A4">
        <w:t>за компенсация</w:t>
      </w:r>
      <w:r w:rsidRPr="00A466A4">
        <w:t xml:space="preserve"> на намалената пенсия, която жалбоподателят понастоящем получава и ще получава до 74-годишна възраст в резултат на недостатъчните му доходи в годините, предхождащи пенсионирането му, поради гореспоменатите причини. Жалбоподателят претендира допълнително 10 000 лв. (5100 евро) </w:t>
      </w:r>
      <w:r w:rsidR="00BB47E4">
        <w:t>за</w:t>
      </w:r>
      <w:r w:rsidRPr="00A466A4">
        <w:t xml:space="preserve"> неимуществени вреди.</w:t>
      </w:r>
    </w:p>
    <w:p w:rsidR="00A73E27" w:rsidRPr="00A466A4" w:rsidRDefault="00A73E27" w:rsidP="00A73E27">
      <w:pPr>
        <w:pStyle w:val="ECHRPara"/>
      </w:pPr>
      <w:r w:rsidRPr="00A466A4">
        <w:t>53.  Правителството оспорва претенциите, описани в точки 2) и 3) в горния параграф, като ги смята за произволни и посочва, че всякакви загуби като твърдените от жалбоподателя не са пряк и непосредствен резултат от евентуално нарушение на неговите права.</w:t>
      </w:r>
    </w:p>
    <w:p w:rsidR="00A73E27" w:rsidRPr="00A466A4" w:rsidRDefault="00A73E27" w:rsidP="00A73E27">
      <w:pPr>
        <w:pStyle w:val="ECHRPara"/>
      </w:pPr>
      <w:r w:rsidRPr="00A466A4">
        <w:t xml:space="preserve">54.  Отбелязвайки, че първата претенция на жалбоподателя </w:t>
      </w:r>
      <w:r w:rsidR="00C33BB6" w:rsidRPr="00A466A4">
        <w:t>по отношение на</w:t>
      </w:r>
      <w:r w:rsidRPr="00A466A4">
        <w:t xml:space="preserve"> имуществени вреди се отнася до символична сума, както и че не може да се установи причинно-следствена връзка между констатираното в случая нарушение и останалите твърдени имуществени вреди, Съдът отхвърля всички претенции. Освен това, </w:t>
      </w:r>
      <w:r w:rsidR="00BB47E4">
        <w:t>с оглед</w:t>
      </w:r>
      <w:r w:rsidR="00BB47E4" w:rsidRPr="00A466A4">
        <w:t xml:space="preserve"> </w:t>
      </w:r>
      <w:r w:rsidRPr="00A466A4">
        <w:t xml:space="preserve">обстоятелствата по делото и като </w:t>
      </w:r>
      <w:r w:rsidR="00C33BB6" w:rsidRPr="00A466A4">
        <w:t>взе</w:t>
      </w:r>
      <w:r w:rsidRPr="00A466A4">
        <w:t>ма предвид поведение</w:t>
      </w:r>
      <w:r w:rsidR="00C33BB6" w:rsidRPr="00A466A4">
        <w:t>то</w:t>
      </w:r>
      <w:r w:rsidRPr="00A466A4">
        <w:t xml:space="preserve"> на самия жалбоподател (вж. </w:t>
      </w:r>
      <w:r w:rsidRPr="00A466A4">
        <w:lastRenderedPageBreak/>
        <w:t xml:space="preserve">параграфи 19-20 и 31 по-горе), той </w:t>
      </w:r>
      <w:r w:rsidR="00C33BB6" w:rsidRPr="00A466A4">
        <w:t>счита</w:t>
      </w:r>
      <w:r w:rsidRPr="00A466A4">
        <w:t>, че констатацията за нарушение на чл. 10 от Конвенцията сама по себе си представлява достатъчно справедливо обезщетение по отношение на неимуществени</w:t>
      </w:r>
      <w:r w:rsidR="00BB47E4">
        <w:t>те</w:t>
      </w:r>
      <w:r w:rsidRPr="00A466A4">
        <w:t xml:space="preserve"> вреди.</w:t>
      </w:r>
    </w:p>
    <w:p w:rsidR="00A73E27" w:rsidRPr="00A466A4" w:rsidRDefault="00A73E27" w:rsidP="00A73E27">
      <w:pPr>
        <w:pStyle w:val="ECHRHeading2"/>
      </w:pPr>
      <w:r w:rsidRPr="00A466A4">
        <w:t>Б. Разходи и разноски</w:t>
      </w:r>
    </w:p>
    <w:p w:rsidR="00A73E27" w:rsidRPr="00A466A4" w:rsidRDefault="00A73E27" w:rsidP="00A73E27">
      <w:pPr>
        <w:pStyle w:val="ECHRPara"/>
      </w:pPr>
      <w:r w:rsidRPr="00A466A4">
        <w:t>55.  Жалбоподателят претендира 3000 лв. (1530 евро) за процесуално</w:t>
      </w:r>
      <w:r w:rsidR="00BB47E4">
        <w:t xml:space="preserve">то му </w:t>
      </w:r>
      <w:r w:rsidRPr="00A466A4">
        <w:t>представителство пред три съдебни инстанции в</w:t>
      </w:r>
      <w:r w:rsidR="00C33BB6" w:rsidRPr="00A466A4">
        <w:t xml:space="preserve"> националното</w:t>
      </w:r>
      <w:r w:rsidRPr="00A466A4">
        <w:t xml:space="preserve"> производство. В подкрепа на тази претенция той представя договори със своя представител, в които се определя размера на възнаграждението. Жалбоподателят претендира още 354 </w:t>
      </w:r>
      <w:r w:rsidR="00C33BB6" w:rsidRPr="00A466A4">
        <w:t xml:space="preserve">лв. </w:t>
      </w:r>
      <w:r w:rsidRPr="00A466A4">
        <w:t>(180 евро), платени за съдебни такси в</w:t>
      </w:r>
      <w:r w:rsidR="00234848" w:rsidRPr="00A466A4">
        <w:t xml:space="preserve"> националното</w:t>
      </w:r>
      <w:r w:rsidRPr="00A466A4">
        <w:t xml:space="preserve"> производство, като представя съответните фактури. Той претендира допълнително 500 лв. (255 евро) за процесуално представителство в изпълнителното производство, заведено от К.Т., като представя договор от 2016 г., и 40,30 лв. (21 евро) за заверени копия на документи. За производството пред Съда жалбоподателят претендира 1000 лв. (510 евро) за процесуално представителство. В подкрепа на тази претенция той представя фактура и договор със своя процесуален представител от 20 март 2018 г., в който се посочва, че тя ще му помогне </w:t>
      </w:r>
      <w:r w:rsidRPr="00A466A4">
        <w:rPr>
          <w:cs/>
        </w:rPr>
        <w:t>“</w:t>
      </w:r>
      <w:r w:rsidRPr="00A466A4">
        <w:t>при подготовката на първоначална жалба</w:t>
      </w:r>
      <w:r w:rsidRPr="00A466A4">
        <w:rPr>
          <w:cs/>
        </w:rPr>
        <w:t xml:space="preserve">” </w:t>
      </w:r>
      <w:r w:rsidRPr="00A466A4">
        <w:t>и за неговото становище и претенции за справедливо обезщетение след съобщението.</w:t>
      </w:r>
    </w:p>
    <w:p w:rsidR="00A73E27" w:rsidRPr="00A466A4" w:rsidRDefault="00A73E27" w:rsidP="00A73E27">
      <w:pPr>
        <w:pStyle w:val="ECHRPara"/>
      </w:pPr>
      <w:r w:rsidRPr="00A466A4">
        <w:t xml:space="preserve">56.  Правителството оспорва претенциите. То твърди по-конкретно, що се отнася до претенциите за разходи в настоящото производство, че е </w:t>
      </w:r>
      <w:r w:rsidRPr="00A466A4">
        <w:rPr>
          <w:cs/>
        </w:rPr>
        <w:t>„</w:t>
      </w:r>
      <w:r w:rsidRPr="00A466A4">
        <w:t>очевидно</w:t>
      </w:r>
      <w:r w:rsidRPr="00A466A4">
        <w:rPr>
          <w:cs/>
        </w:rPr>
        <w:t>“</w:t>
      </w:r>
      <w:r w:rsidRPr="00A466A4">
        <w:t>, че тезите на жалбоподателя са подготвени от самия него, като се има предвид сходното съдържание и стил на публикацията в неговия блог, части от която са цитирани в параграфи 19-20 по-горе.</w:t>
      </w:r>
    </w:p>
    <w:p w:rsidR="00A73E27" w:rsidRPr="00A466A4" w:rsidRDefault="00A73E27" w:rsidP="00A73E27">
      <w:pPr>
        <w:pStyle w:val="ECHRPara"/>
      </w:pPr>
      <w:r w:rsidRPr="00A466A4">
        <w:t>57.  С</w:t>
      </w:r>
      <w:r w:rsidR="00234848" w:rsidRPr="00A466A4">
        <w:t xml:space="preserve">ъгласно съдебната </w:t>
      </w:r>
      <w:r w:rsidRPr="00A466A4">
        <w:t>практика на Съда жалбоподател има право на възстановяване на разходи и разноски само доколкото е доказано, че те са били действително и необходимо направени и са в разумен размер.</w:t>
      </w:r>
    </w:p>
    <w:p w:rsidR="00A73E27" w:rsidRPr="00A466A4" w:rsidRDefault="00A73E27" w:rsidP="00A73E27">
      <w:pPr>
        <w:pStyle w:val="ECHRPara"/>
      </w:pPr>
      <w:r w:rsidRPr="00A466A4">
        <w:t xml:space="preserve">58.  Като взема предвид документите, с които разполага, и горните критерии, Съдът присъжда на жалбоподателя разноските, направени за процесуално представителство и съдебни такси в рамките на </w:t>
      </w:r>
      <w:r w:rsidR="00234848" w:rsidRPr="00A466A4">
        <w:t xml:space="preserve">националното </w:t>
      </w:r>
      <w:r w:rsidRPr="00A466A4">
        <w:t xml:space="preserve">съдебно производство, възлизащи общо на 1710 евро. Той отбелязва, че жалбоподателят е представляван процесуално през цялото това производство (вж. параграф 10 по-горе) и няма причина да оспорва сумата, която той твърди, че е платил, която изглежда разумна. Съдът отхвърля останалите претенции по отношение на </w:t>
      </w:r>
      <w:r w:rsidR="00234848" w:rsidRPr="00A466A4">
        <w:t xml:space="preserve">националното </w:t>
      </w:r>
      <w:r w:rsidRPr="00A466A4">
        <w:t>производство, тъй като те не са свързани с нарушението, констатирано по делото. Що се отнася до настоящото производство, като отбелязва, че жалбоподателят не е бил представляван при подаването на първоначалната си жалба и че съответно част от претендираните разходи не са били действително направени, Съдът му присъжда 400 евро. Въпреки че признава някои прилики между стила на тезите на жалбоподателя след съобщението и този в блога му, цитиран в параграфи 19-20 по-горе, Съдът не вижда причина да се съмнява, че жалбоподателят действително е подпомаган от адвокат при подготовката на тезите си. Общата сума, присъдена по настоящата позиция, следователно е 2110 евро.</w:t>
      </w:r>
    </w:p>
    <w:p w:rsidR="00A73E27" w:rsidRPr="00A466A4" w:rsidRDefault="00A73E27" w:rsidP="00A73E27">
      <w:pPr>
        <w:pStyle w:val="ECHRHeading2"/>
      </w:pPr>
      <w:r w:rsidRPr="00A466A4">
        <w:t>В. Лихва за забава</w:t>
      </w:r>
    </w:p>
    <w:p w:rsidR="00A73E27" w:rsidRPr="00A466A4" w:rsidRDefault="00A73E27" w:rsidP="00A73E27">
      <w:pPr>
        <w:pStyle w:val="ECHRPara"/>
      </w:pPr>
      <w:r w:rsidRPr="00A466A4">
        <w:t>59.  Съдът смята за уместно лихвата за забава да бъде обвързана с пределната ставка по заеми на Европейската централна банка, към която се добавят три процентни пункта.</w:t>
      </w:r>
    </w:p>
    <w:p w:rsidR="00A73E27" w:rsidRPr="00A466A4" w:rsidRDefault="00A73E27" w:rsidP="00A73E27">
      <w:pPr>
        <w:pStyle w:val="ECHRTitle1"/>
      </w:pPr>
      <w:r w:rsidRPr="00A466A4">
        <w:lastRenderedPageBreak/>
        <w:t>ПО ТЕЗИ СЪОБРАЖЕНИЯ СЪДЪТ ЕДИНОДУШНО</w:t>
      </w:r>
    </w:p>
    <w:p w:rsidR="00A73E27" w:rsidRPr="00A466A4" w:rsidRDefault="00A73E27" w:rsidP="00A73E27">
      <w:pPr>
        <w:pStyle w:val="JuList"/>
      </w:pPr>
      <w:r w:rsidRPr="00A466A4">
        <w:t>1.  </w:t>
      </w:r>
      <w:r w:rsidRPr="00A466A4">
        <w:rPr>
          <w:i/>
        </w:rPr>
        <w:t>Обявява</w:t>
      </w:r>
      <w:r w:rsidRPr="00A466A4">
        <w:t xml:space="preserve"> жалбата за допустима;</w:t>
      </w:r>
    </w:p>
    <w:p w:rsidR="00A73E27" w:rsidRPr="00A466A4" w:rsidRDefault="00A73E27" w:rsidP="00A73E27">
      <w:pPr>
        <w:pStyle w:val="JuList"/>
        <w:ind w:left="0" w:firstLine="0"/>
      </w:pPr>
    </w:p>
    <w:p w:rsidR="00A73E27" w:rsidRPr="00A466A4" w:rsidRDefault="00A73E27" w:rsidP="00A73E27">
      <w:pPr>
        <w:pStyle w:val="JuList"/>
      </w:pPr>
      <w:r w:rsidRPr="00A466A4">
        <w:t>2.  </w:t>
      </w:r>
      <w:r w:rsidRPr="00A466A4">
        <w:rPr>
          <w:i/>
        </w:rPr>
        <w:t>Приема</w:t>
      </w:r>
      <w:r w:rsidRPr="00A466A4">
        <w:t>, че е налице нарушение на чл. 10 от Конвенцията;</w:t>
      </w:r>
    </w:p>
    <w:p w:rsidR="00A73E27" w:rsidRPr="00A466A4" w:rsidRDefault="00A73E27" w:rsidP="00A73E27">
      <w:pPr>
        <w:pStyle w:val="JuList"/>
      </w:pPr>
    </w:p>
    <w:p w:rsidR="00A73E27" w:rsidRPr="00A466A4" w:rsidRDefault="00A73E27" w:rsidP="00A73E27">
      <w:pPr>
        <w:pStyle w:val="JuList"/>
        <w:keepNext/>
        <w:keepLines/>
      </w:pPr>
      <w:r w:rsidRPr="00A466A4">
        <w:t>3.  </w:t>
      </w:r>
      <w:r w:rsidRPr="00A466A4">
        <w:rPr>
          <w:i/>
        </w:rPr>
        <w:t>Приема,</w:t>
      </w:r>
    </w:p>
    <w:p w:rsidR="00A73E27" w:rsidRPr="00A466A4" w:rsidRDefault="00A73E27" w:rsidP="00A73E27">
      <w:pPr>
        <w:pStyle w:val="JuLista"/>
      </w:pPr>
      <w:r w:rsidRPr="00A466A4">
        <w:t>(а) че държавата-ответник трябва да заплати на жалбоподател</w:t>
      </w:r>
      <w:r w:rsidR="00234848" w:rsidRPr="00A466A4">
        <w:t>я</w:t>
      </w:r>
      <w:r w:rsidRPr="00A466A4">
        <w:t xml:space="preserve"> в срок от три месеца 2110 евро (две хиляди сто и десет евро), плюс всякакви данъци, които биха могли да</w:t>
      </w:r>
      <w:r w:rsidR="00234848" w:rsidRPr="00A466A4">
        <w:t xml:space="preserve"> му</w:t>
      </w:r>
      <w:r w:rsidRPr="00A466A4">
        <w:t xml:space="preserve"> се начислят, които да </w:t>
      </w:r>
      <w:r w:rsidR="00234848" w:rsidRPr="00A466A4">
        <w:t xml:space="preserve">се </w:t>
      </w:r>
      <w:r w:rsidR="00803589">
        <w:t>обменят</w:t>
      </w:r>
      <w:r w:rsidR="00803589" w:rsidRPr="00A466A4">
        <w:t xml:space="preserve"> </w:t>
      </w:r>
      <w:r w:rsidRPr="00A466A4">
        <w:t xml:space="preserve">в български лева </w:t>
      </w:r>
      <w:r w:rsidR="00234848" w:rsidRPr="00A466A4">
        <w:t xml:space="preserve">по </w:t>
      </w:r>
      <w:r w:rsidRPr="00A466A4">
        <w:t xml:space="preserve">курса, </w:t>
      </w:r>
      <w:r w:rsidR="00234848" w:rsidRPr="00A466A4">
        <w:t>валиден към датата</w:t>
      </w:r>
      <w:r w:rsidRPr="00A466A4">
        <w:t xml:space="preserve"> на плащането;</w:t>
      </w:r>
    </w:p>
    <w:p w:rsidR="00A73E27" w:rsidRPr="00A466A4" w:rsidRDefault="00A73E27" w:rsidP="00A73E27">
      <w:pPr>
        <w:pStyle w:val="JuLista"/>
      </w:pPr>
      <w:r w:rsidRPr="00A466A4">
        <w:t xml:space="preserve">(б) че от изтичането на </w:t>
      </w:r>
      <w:r w:rsidR="00234848" w:rsidRPr="00A466A4">
        <w:t>горес</w:t>
      </w:r>
      <w:r w:rsidRPr="00A466A4">
        <w:t xml:space="preserve">поменатия тримесечен срок до плащането се дължи проста лихва върху горепосочената сума в размер, равен на пределната ставка по заеми на Европейската централна банка </w:t>
      </w:r>
      <w:r w:rsidR="00234848" w:rsidRPr="00A466A4">
        <w:t>за срока</w:t>
      </w:r>
      <w:r w:rsidRPr="00A466A4">
        <w:t xml:space="preserve"> на забава, към която се добавят три процентни пункта;</w:t>
      </w:r>
    </w:p>
    <w:p w:rsidR="00A73E27" w:rsidRPr="00A466A4" w:rsidRDefault="00A73E27" w:rsidP="00A73E27">
      <w:pPr>
        <w:pStyle w:val="JuList"/>
      </w:pPr>
    </w:p>
    <w:p w:rsidR="00A73E27" w:rsidRPr="00A466A4" w:rsidRDefault="00A73E27" w:rsidP="00803589">
      <w:pPr>
        <w:pStyle w:val="JuList"/>
      </w:pPr>
      <w:r w:rsidRPr="00A466A4">
        <w:t>4.  </w:t>
      </w:r>
      <w:r w:rsidRPr="00A466A4">
        <w:rPr>
          <w:i/>
        </w:rPr>
        <w:t>Отхвърля</w:t>
      </w:r>
      <w:r w:rsidRPr="00A466A4">
        <w:t xml:space="preserve"> останалата част от </w:t>
      </w:r>
      <w:r w:rsidR="00234848" w:rsidRPr="00A466A4">
        <w:t xml:space="preserve">претенцията </w:t>
      </w:r>
      <w:r w:rsidRPr="00A466A4">
        <w:t>на жалбоподателя за справедливо обезщетение.</w:t>
      </w:r>
    </w:p>
    <w:p w:rsidR="00803589" w:rsidRDefault="00803589" w:rsidP="00803589">
      <w:pPr>
        <w:pStyle w:val="JuParaLast"/>
        <w:spacing w:before="0"/>
      </w:pPr>
    </w:p>
    <w:p w:rsidR="00A73E27" w:rsidRPr="00A466A4" w:rsidRDefault="00A73E27" w:rsidP="00803589">
      <w:pPr>
        <w:pStyle w:val="JuParaLast"/>
        <w:spacing w:before="0"/>
      </w:pPr>
      <w:r w:rsidRPr="00A466A4">
        <w:t xml:space="preserve">Изготвено на английски език и оповестено писмено на 18 април 2019 г., в съответствие с </w:t>
      </w:r>
      <w:r w:rsidR="00234848" w:rsidRPr="00A466A4">
        <w:t>п</w:t>
      </w:r>
      <w:r w:rsidRPr="00A466A4">
        <w:t>равило 77 §§ 2 и 3 от Правилника на Съда.</w:t>
      </w:r>
    </w:p>
    <w:p w:rsidR="00803589" w:rsidRDefault="00A73E27" w:rsidP="00803589">
      <w:pPr>
        <w:pStyle w:val="JuSigned"/>
        <w:spacing w:before="0"/>
      </w:pPr>
      <w:r w:rsidRPr="00A466A4">
        <w:tab/>
      </w:r>
    </w:p>
    <w:p w:rsidR="00A73E27" w:rsidRPr="00A466A4" w:rsidRDefault="00A73E27" w:rsidP="00803589">
      <w:pPr>
        <w:pStyle w:val="JuSigned"/>
        <w:spacing w:before="0"/>
      </w:pPr>
      <w:r w:rsidRPr="00A466A4">
        <w:t>Милан Бла</w:t>
      </w:r>
      <w:r w:rsidR="00234848" w:rsidRPr="00A466A4">
        <w:t>с</w:t>
      </w:r>
      <w:r w:rsidRPr="00A466A4">
        <w:t>ко</w:t>
      </w:r>
      <w:r w:rsidRPr="00A466A4">
        <w:tab/>
        <w:t>Гана Юдкивска</w:t>
      </w:r>
      <w:r w:rsidRPr="00A466A4">
        <w:br/>
      </w:r>
      <w:r w:rsidRPr="00A466A4">
        <w:tab/>
      </w:r>
      <w:r w:rsidR="00234848" w:rsidRPr="00A466A4">
        <w:t>з</w:t>
      </w:r>
      <w:r w:rsidRPr="00A466A4">
        <w:t>аместник-секретар</w:t>
      </w:r>
      <w:r w:rsidRPr="00A466A4">
        <w:tab/>
      </w:r>
      <w:r w:rsidR="00234848" w:rsidRPr="00A466A4">
        <w:t>п</w:t>
      </w:r>
      <w:r w:rsidRPr="00A466A4">
        <w:t>редседател</w:t>
      </w:r>
    </w:p>
    <w:sectPr w:rsidR="00A73E27" w:rsidRPr="00A466A4" w:rsidSect="00735B4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pgSz w:w="11906" w:h="16838" w:code="9"/>
      <w:pgMar w:top="1418" w:right="1416" w:bottom="1135" w:left="1418" w:header="993" w:footer="720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0982" w:rsidRPr="00085457" w:rsidRDefault="00480982" w:rsidP="00A73E27">
      <w:r>
        <w:separator/>
      </w:r>
    </w:p>
  </w:endnote>
  <w:endnote w:type="continuationSeparator" w:id="0">
    <w:p w:rsidR="00480982" w:rsidRPr="00085457" w:rsidRDefault="00480982" w:rsidP="00A73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879" w:rsidRDefault="00D4787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879" w:rsidRDefault="00D4787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879" w:rsidRDefault="00D478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0982" w:rsidRPr="00085457" w:rsidRDefault="00480982" w:rsidP="00A73E27">
      <w:r>
        <w:separator/>
      </w:r>
    </w:p>
  </w:footnote>
  <w:footnote w:type="continuationSeparator" w:id="0">
    <w:p w:rsidR="00480982" w:rsidRPr="00085457" w:rsidRDefault="00480982" w:rsidP="00A73E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1E" w:rsidRPr="009764DE" w:rsidRDefault="00EE6F1E">
    <w:pPr>
      <w:pStyle w:val="Header"/>
      <w:jc w:val="right"/>
      <w:rPr>
        <w:sz w:val="18"/>
        <w:szCs w:val="18"/>
      </w:rPr>
    </w:pPr>
    <w:r w:rsidRPr="009764DE">
      <w:rPr>
        <w:sz w:val="18"/>
        <w:szCs w:val="18"/>
      </w:rPr>
      <w:fldChar w:fldCharType="begin"/>
    </w:r>
    <w:r w:rsidRPr="009764DE">
      <w:rPr>
        <w:sz w:val="18"/>
        <w:szCs w:val="18"/>
      </w:rPr>
      <w:instrText xml:space="preserve"> PAGE   \* MERGEFORMAT </w:instrText>
    </w:r>
    <w:r w:rsidRPr="009764DE">
      <w:rPr>
        <w:sz w:val="18"/>
        <w:szCs w:val="18"/>
      </w:rPr>
      <w:fldChar w:fldCharType="separate"/>
    </w:r>
    <w:r w:rsidR="00D47879">
      <w:rPr>
        <w:noProof/>
        <w:sz w:val="18"/>
        <w:szCs w:val="18"/>
      </w:rPr>
      <w:t>10</w:t>
    </w:r>
    <w:r w:rsidRPr="009764DE">
      <w:rPr>
        <w:noProof/>
        <w:sz w:val="18"/>
        <w:szCs w:val="18"/>
      </w:rPr>
      <w:fldChar w:fldCharType="end"/>
    </w:r>
  </w:p>
  <w:p w:rsidR="00A73E27" w:rsidRPr="004D0EC7" w:rsidRDefault="00A73E27" w:rsidP="00A73E27">
    <w:pPr>
      <w:pStyle w:val="ECHR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3E27" w:rsidRPr="00735B47" w:rsidRDefault="00735B47" w:rsidP="00735B47">
    <w:pPr>
      <w:pStyle w:val="Header"/>
      <w:jc w:val="left"/>
      <w:rPr>
        <w:color w:val="000000" w:themeColor="text1"/>
        <w:sz w:val="18"/>
        <w:szCs w:val="24"/>
      </w:rPr>
    </w:pPr>
    <w:r>
      <w:rPr>
        <w:color w:val="000000" w:themeColor="text1"/>
        <w:sz w:val="18"/>
        <w:szCs w:val="24"/>
      </w:rPr>
      <w:tab/>
      <w:t>Решение ИФАНДИЕВ с/у БЪЛГАРИЯ</w:t>
    </w:r>
    <w:r>
      <w:rPr>
        <w:color w:val="000000" w:themeColor="text1"/>
        <w:sz w:val="18"/>
        <w:szCs w:val="24"/>
      </w:rPr>
      <w:tab/>
    </w:r>
    <w:r w:rsidRPr="00735B47">
      <w:rPr>
        <w:color w:val="000000" w:themeColor="text1"/>
        <w:sz w:val="18"/>
        <w:szCs w:val="24"/>
      </w:rPr>
      <w:fldChar w:fldCharType="begin"/>
    </w:r>
    <w:r w:rsidRPr="00735B47">
      <w:rPr>
        <w:color w:val="000000" w:themeColor="text1"/>
        <w:sz w:val="18"/>
        <w:szCs w:val="24"/>
      </w:rPr>
      <w:instrText xml:space="preserve"> PAGE   \* MERGEFORMAT </w:instrText>
    </w:r>
    <w:r w:rsidRPr="00735B47">
      <w:rPr>
        <w:color w:val="000000" w:themeColor="text1"/>
        <w:sz w:val="18"/>
        <w:szCs w:val="24"/>
      </w:rPr>
      <w:fldChar w:fldCharType="separate"/>
    </w:r>
    <w:r w:rsidR="00C63BC8">
      <w:rPr>
        <w:noProof/>
        <w:color w:val="000000" w:themeColor="text1"/>
        <w:sz w:val="18"/>
        <w:szCs w:val="24"/>
      </w:rPr>
      <w:t>7</w:t>
    </w:r>
    <w:r w:rsidRPr="00735B47">
      <w:rPr>
        <w:color w:val="000000" w:themeColor="text1"/>
        <w:sz w:val="18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879" w:rsidRDefault="00D4787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C641157"/>
    <w:multiLevelType w:val="multilevel"/>
    <w:tmpl w:val="9B34AC6C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0" w15:restartNumberingAfterBreak="0">
    <w:nsid w:val="1AA96CEA"/>
    <w:multiLevelType w:val="multilevel"/>
    <w:tmpl w:val="040C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1D27094A"/>
    <w:multiLevelType w:val="multilevel"/>
    <w:tmpl w:val="040C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88D47DE"/>
    <w:multiLevelType w:val="multilevel"/>
    <w:tmpl w:val="8012C870"/>
    <w:lvl w:ilvl="0">
      <w:start w:val="1"/>
      <w:numFmt w:val="decimal"/>
      <w:lvlText w:val="%1."/>
      <w:lvlJc w:val="left"/>
      <w:pPr>
        <w:ind w:left="992" w:hanging="425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0B939E1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67FD1241"/>
    <w:multiLevelType w:val="hybridMultilevel"/>
    <w:tmpl w:val="F6D86CC2"/>
    <w:lvl w:ilvl="0" w:tplc="DA2E9DB2">
      <w:start w:val="1"/>
      <w:numFmt w:val="bullet"/>
      <w:pStyle w:val="ListBullet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3B8273EE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CDC234DC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2F0E8C36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92BA7F52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D18A23EA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3E28E7C8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9762F168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A694FF5C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7C970851"/>
    <w:multiLevelType w:val="multilevel"/>
    <w:tmpl w:val="F842BC8C"/>
    <w:lvl w:ilvl="0">
      <w:start w:val="1"/>
      <w:numFmt w:val="bullet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/>
      </w:rPr>
    </w:lvl>
    <w:lvl w:ilvl="1">
      <w:start w:val="1"/>
      <w:numFmt w:val="bullet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/>
      </w:rPr>
    </w:lvl>
    <w:lvl w:ilvl="3">
      <w:start w:val="1"/>
      <w:numFmt w:val="bullet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num w:numId="1">
    <w:abstractNumId w:val="12"/>
  </w:num>
  <w:num w:numId="2">
    <w:abstractNumId w:val="16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</w:num>
  <w:num w:numId="5">
    <w:abstractNumId w:val="9"/>
  </w:num>
  <w:num w:numId="6">
    <w:abstractNumId w:val="16"/>
  </w:num>
  <w:num w:numId="7">
    <w:abstractNumId w:val="9"/>
  </w:num>
  <w:num w:numId="8">
    <w:abstractNumId w:val="6"/>
  </w:num>
  <w:num w:numId="9">
    <w:abstractNumId w:val="14"/>
  </w:num>
  <w:num w:numId="10">
    <w:abstractNumId w:val="13"/>
  </w:num>
  <w:num w:numId="11">
    <w:abstractNumId w:val="11"/>
  </w:num>
  <w:num w:numId="12">
    <w:abstractNumId w:val="10"/>
  </w:num>
  <w:num w:numId="13">
    <w:abstractNumId w:val="7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15"/>
  </w:num>
  <w:num w:numId="22">
    <w:abstractNumId w:val="15"/>
  </w:num>
  <w:num w:numId="23">
    <w:abstractNumId w:val="15"/>
  </w:num>
  <w:num w:numId="24">
    <w:abstractNumId w:val="15"/>
  </w:num>
  <w:num w:numId="25">
    <w:abstractNumId w:val="1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licationsApp" w:val="1"/>
    <w:docVar w:name="EMM" w:val="0"/>
    <w:docVar w:name="NBEMMDOC" w:val="0"/>
  </w:docVars>
  <w:rsids>
    <w:rsidRoot w:val="0044682D"/>
    <w:rsid w:val="00033DF2"/>
    <w:rsid w:val="00154C15"/>
    <w:rsid w:val="00193BB8"/>
    <w:rsid w:val="001A7C52"/>
    <w:rsid w:val="001B1F12"/>
    <w:rsid w:val="001C1556"/>
    <w:rsid w:val="001C758C"/>
    <w:rsid w:val="00234848"/>
    <w:rsid w:val="0027649E"/>
    <w:rsid w:val="002E3843"/>
    <w:rsid w:val="003A0134"/>
    <w:rsid w:val="004332A5"/>
    <w:rsid w:val="0044682D"/>
    <w:rsid w:val="00480982"/>
    <w:rsid w:val="00481E34"/>
    <w:rsid w:val="004C2A81"/>
    <w:rsid w:val="00574A79"/>
    <w:rsid w:val="0059111A"/>
    <w:rsid w:val="005D763B"/>
    <w:rsid w:val="00627546"/>
    <w:rsid w:val="00634790"/>
    <w:rsid w:val="0069319E"/>
    <w:rsid w:val="006A0AFC"/>
    <w:rsid w:val="007170B8"/>
    <w:rsid w:val="00735B47"/>
    <w:rsid w:val="00787EF9"/>
    <w:rsid w:val="007937EA"/>
    <w:rsid w:val="007D224A"/>
    <w:rsid w:val="00803589"/>
    <w:rsid w:val="00806318"/>
    <w:rsid w:val="008768B1"/>
    <w:rsid w:val="008D1BA9"/>
    <w:rsid w:val="00901018"/>
    <w:rsid w:val="00911FA3"/>
    <w:rsid w:val="00930336"/>
    <w:rsid w:val="009764DE"/>
    <w:rsid w:val="00980F03"/>
    <w:rsid w:val="00987C8A"/>
    <w:rsid w:val="009B4593"/>
    <w:rsid w:val="009C4D37"/>
    <w:rsid w:val="009E3D5A"/>
    <w:rsid w:val="00A466A4"/>
    <w:rsid w:val="00A73E27"/>
    <w:rsid w:val="00A81595"/>
    <w:rsid w:val="00AA41C3"/>
    <w:rsid w:val="00B61299"/>
    <w:rsid w:val="00B7222D"/>
    <w:rsid w:val="00BB47E4"/>
    <w:rsid w:val="00C3068E"/>
    <w:rsid w:val="00C33BB6"/>
    <w:rsid w:val="00C63BC8"/>
    <w:rsid w:val="00C869F3"/>
    <w:rsid w:val="00CB5741"/>
    <w:rsid w:val="00CC0265"/>
    <w:rsid w:val="00D47879"/>
    <w:rsid w:val="00D875F4"/>
    <w:rsid w:val="00D973F3"/>
    <w:rsid w:val="00DA18E8"/>
    <w:rsid w:val="00DC13DA"/>
    <w:rsid w:val="00DD1558"/>
    <w:rsid w:val="00E72AC9"/>
    <w:rsid w:val="00E90A00"/>
    <w:rsid w:val="00ED2C1C"/>
    <w:rsid w:val="00EE5225"/>
    <w:rsid w:val="00EE5646"/>
    <w:rsid w:val="00EE6F1E"/>
    <w:rsid w:val="00F234A0"/>
    <w:rsid w:val="00F93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57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rsid w:val="00F0202E"/>
    <w:pPr>
      <w:jc w:val="both"/>
    </w:pPr>
    <w:rPr>
      <w:rFonts w:eastAsia="MS Mincho"/>
      <w:sz w:val="24"/>
      <w:szCs w:val="22"/>
      <w:lang w:val="bg-BG" w:eastAsia="bg-BG"/>
    </w:rPr>
  </w:style>
  <w:style w:type="paragraph" w:styleId="Heading1">
    <w:name w:val="heading 1"/>
    <w:basedOn w:val="Normal"/>
    <w:next w:val="Normal"/>
    <w:link w:val="Heading1Char"/>
    <w:uiPriority w:val="99"/>
    <w:semiHidden/>
    <w:rsid w:val="00F0202E"/>
    <w:pPr>
      <w:spacing w:before="480"/>
      <w:contextualSpacing/>
      <w:outlineLvl w:val="0"/>
    </w:pPr>
    <w:rPr>
      <w:rFonts w:eastAsia="MS Gothic"/>
      <w:b/>
      <w:bCs/>
      <w:color w:val="33333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semiHidden/>
    <w:rsid w:val="00F0202E"/>
    <w:pPr>
      <w:spacing w:before="200"/>
      <w:outlineLvl w:val="1"/>
    </w:pPr>
    <w:rPr>
      <w:rFonts w:eastAsia="MS Gothic"/>
      <w:b/>
      <w:bCs/>
      <w:color w:val="4D4D4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semiHidden/>
    <w:rsid w:val="00F0202E"/>
    <w:pPr>
      <w:spacing w:before="200" w:line="271" w:lineRule="auto"/>
      <w:outlineLvl w:val="2"/>
    </w:pPr>
    <w:rPr>
      <w:rFonts w:eastAsia="MS Gothic"/>
      <w:b/>
      <w:bCs/>
      <w:color w:val="5F5F5F"/>
    </w:rPr>
  </w:style>
  <w:style w:type="paragraph" w:styleId="Heading4">
    <w:name w:val="heading 4"/>
    <w:basedOn w:val="Normal"/>
    <w:next w:val="Normal"/>
    <w:link w:val="Heading4Char"/>
    <w:uiPriority w:val="99"/>
    <w:semiHidden/>
    <w:rsid w:val="00F0202E"/>
    <w:pPr>
      <w:spacing w:before="200"/>
      <w:outlineLvl w:val="3"/>
    </w:pPr>
    <w:rPr>
      <w:rFonts w:eastAsia="MS Gothic"/>
      <w:b/>
      <w:bCs/>
      <w:i/>
      <w:iCs/>
      <w:color w:val="777777"/>
    </w:rPr>
  </w:style>
  <w:style w:type="paragraph" w:styleId="Heading5">
    <w:name w:val="heading 5"/>
    <w:basedOn w:val="Normal"/>
    <w:next w:val="Normal"/>
    <w:link w:val="Heading5Char"/>
    <w:uiPriority w:val="99"/>
    <w:semiHidden/>
    <w:qFormat/>
    <w:rsid w:val="00F0202E"/>
    <w:pPr>
      <w:spacing w:before="200"/>
      <w:outlineLvl w:val="4"/>
    </w:pPr>
    <w:rPr>
      <w:rFonts w:eastAsia="MS Gothic"/>
      <w:b/>
      <w:bCs/>
      <w:color w:val="808080"/>
      <w:sz w:val="22"/>
    </w:rPr>
  </w:style>
  <w:style w:type="paragraph" w:styleId="Heading6">
    <w:name w:val="heading 6"/>
    <w:basedOn w:val="Normal"/>
    <w:next w:val="Normal"/>
    <w:link w:val="Heading6Char"/>
    <w:uiPriority w:val="99"/>
    <w:semiHidden/>
    <w:rsid w:val="00F0202E"/>
    <w:pPr>
      <w:spacing w:line="271" w:lineRule="auto"/>
      <w:outlineLvl w:val="5"/>
    </w:pPr>
    <w:rPr>
      <w:rFonts w:eastAsia="MS Gothic"/>
      <w:b/>
      <w:bCs/>
      <w:i/>
      <w:iCs/>
      <w:color w:val="7F7F7F"/>
      <w:lang w:bidi="en-US"/>
    </w:rPr>
  </w:style>
  <w:style w:type="paragraph" w:styleId="Heading7">
    <w:name w:val="heading 7"/>
    <w:basedOn w:val="Normal"/>
    <w:next w:val="Normal"/>
    <w:link w:val="Heading7Char"/>
    <w:uiPriority w:val="99"/>
    <w:semiHidden/>
    <w:qFormat/>
    <w:rsid w:val="00F0202E"/>
    <w:pPr>
      <w:outlineLvl w:val="6"/>
    </w:pPr>
    <w:rPr>
      <w:rFonts w:eastAsia="MS Gothic"/>
      <w:i/>
      <w:iCs/>
      <w:sz w:val="22"/>
      <w:lang w:bidi="en-US"/>
    </w:rPr>
  </w:style>
  <w:style w:type="paragraph" w:styleId="Heading8">
    <w:name w:val="heading 8"/>
    <w:basedOn w:val="Normal"/>
    <w:next w:val="Normal"/>
    <w:link w:val="Heading8Char"/>
    <w:uiPriority w:val="99"/>
    <w:semiHidden/>
    <w:qFormat/>
    <w:rsid w:val="00F0202E"/>
    <w:pPr>
      <w:outlineLvl w:val="7"/>
    </w:pPr>
    <w:rPr>
      <w:rFonts w:eastAsia="MS Gothic"/>
      <w:sz w:val="20"/>
      <w:szCs w:val="20"/>
      <w:lang w:bidi="en-US"/>
    </w:rPr>
  </w:style>
  <w:style w:type="paragraph" w:styleId="Heading9">
    <w:name w:val="heading 9"/>
    <w:basedOn w:val="Normal"/>
    <w:next w:val="Normal"/>
    <w:link w:val="Heading9Char"/>
    <w:uiPriority w:val="99"/>
    <w:semiHidden/>
    <w:qFormat/>
    <w:rsid w:val="00F0202E"/>
    <w:pPr>
      <w:outlineLvl w:val="8"/>
    </w:pPr>
    <w:rPr>
      <w:rFonts w:eastAsia="MS Gothic"/>
      <w:i/>
      <w:iCs/>
      <w:spacing w:val="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F020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0202E"/>
    <w:rPr>
      <w:rFonts w:ascii="Tahoma" w:eastAsia="MS Mincho" w:hAnsi="Tahoma" w:cs="Tahoma"/>
      <w:sz w:val="16"/>
      <w:szCs w:val="16"/>
      <w:lang w:val="bg-BG" w:eastAsia="bg-BG"/>
    </w:rPr>
  </w:style>
  <w:style w:type="character" w:styleId="BookTitle">
    <w:name w:val="Book Title"/>
    <w:uiPriority w:val="99"/>
    <w:semiHidden/>
    <w:qFormat/>
    <w:rsid w:val="00F0202E"/>
    <w:rPr>
      <w:i/>
      <w:iCs/>
      <w:smallCaps/>
      <w:spacing w:val="5"/>
      <w:lang w:val="bg-BG" w:eastAsia="bg-BG"/>
    </w:rPr>
  </w:style>
  <w:style w:type="paragraph" w:customStyle="1" w:styleId="ECHRHeader">
    <w:name w:val="ECHR_Header"/>
    <w:aliases w:val="Ju_Header"/>
    <w:basedOn w:val="Header"/>
    <w:uiPriority w:val="4"/>
    <w:qFormat/>
    <w:rsid w:val="00F0202E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DecHTitle">
    <w:name w:val="Dec_H_Title"/>
    <w:basedOn w:val="ECHRTitleCentre1"/>
    <w:uiPriority w:val="7"/>
    <w:semiHidden/>
    <w:qFormat/>
    <w:rsid w:val="00F0202E"/>
  </w:style>
  <w:style w:type="character" w:styleId="Strong">
    <w:name w:val="Strong"/>
    <w:uiPriority w:val="99"/>
    <w:semiHidden/>
    <w:qFormat/>
    <w:rsid w:val="00F0202E"/>
    <w:rPr>
      <w:b/>
      <w:bCs/>
      <w:lang w:val="bg-BG" w:eastAsia="bg-BG"/>
    </w:rPr>
  </w:style>
  <w:style w:type="paragraph" w:styleId="NoSpacing">
    <w:name w:val="No Spacing"/>
    <w:basedOn w:val="Normal"/>
    <w:link w:val="NoSpacingChar"/>
    <w:semiHidden/>
    <w:qFormat/>
    <w:rsid w:val="00F0202E"/>
    <w:rPr>
      <w:sz w:val="22"/>
    </w:rPr>
  </w:style>
  <w:style w:type="character" w:customStyle="1" w:styleId="NoSpacingChar">
    <w:name w:val="No Spacing Char"/>
    <w:link w:val="NoSpacing"/>
    <w:semiHidden/>
    <w:rsid w:val="00F0202E"/>
    <w:rPr>
      <w:rFonts w:eastAsia="MS Mincho"/>
      <w:lang w:val="bg-BG" w:eastAsia="bg-BG"/>
    </w:rPr>
  </w:style>
  <w:style w:type="paragraph" w:customStyle="1" w:styleId="ECHRParaQuote">
    <w:name w:val="ECHR_Para_Quote"/>
    <w:aliases w:val="Ju_Quot"/>
    <w:basedOn w:val="Normal"/>
    <w:uiPriority w:val="14"/>
    <w:qFormat/>
    <w:rsid w:val="00F0202E"/>
    <w:pPr>
      <w:spacing w:before="120" w:after="120"/>
      <w:ind w:left="425" w:firstLine="142"/>
    </w:pPr>
    <w:rPr>
      <w:sz w:val="20"/>
    </w:rPr>
  </w:style>
  <w:style w:type="paragraph" w:customStyle="1" w:styleId="DecList">
    <w:name w:val="Dec_List"/>
    <w:basedOn w:val="Normal"/>
    <w:uiPriority w:val="9"/>
    <w:semiHidden/>
    <w:qFormat/>
    <w:rsid w:val="00F0202E"/>
    <w:pPr>
      <w:spacing w:before="240"/>
      <w:ind w:left="284"/>
    </w:pPr>
  </w:style>
  <w:style w:type="paragraph" w:customStyle="1" w:styleId="DummyStyle">
    <w:name w:val="Dummy_Style"/>
    <w:basedOn w:val="Normal"/>
    <w:semiHidden/>
    <w:qFormat/>
    <w:rsid w:val="00F0202E"/>
    <w:rPr>
      <w:color w:val="00B050"/>
    </w:rPr>
  </w:style>
  <w:style w:type="paragraph" w:customStyle="1" w:styleId="JuAppQuestion">
    <w:name w:val="Ju_App_Question"/>
    <w:basedOn w:val="Normal"/>
    <w:uiPriority w:val="5"/>
    <w:semiHidden/>
    <w:qFormat/>
    <w:rsid w:val="00F0202E"/>
    <w:pPr>
      <w:numPr>
        <w:numId w:val="25"/>
      </w:numPr>
      <w:jc w:val="left"/>
    </w:pPr>
    <w:rPr>
      <w:b/>
    </w:rPr>
  </w:style>
  <w:style w:type="paragraph" w:customStyle="1" w:styleId="JuCourt">
    <w:name w:val="Ju_Court"/>
    <w:basedOn w:val="Normal"/>
    <w:next w:val="Normal"/>
    <w:uiPriority w:val="16"/>
    <w:qFormat/>
    <w:rsid w:val="00F0202E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ECHRTitleCentre3">
    <w:name w:val="ECHR_Title_Centre_3"/>
    <w:aliases w:val="Ju_H_Article"/>
    <w:basedOn w:val="Normal"/>
    <w:next w:val="ECHRParaQuote"/>
    <w:uiPriority w:val="27"/>
    <w:qFormat/>
    <w:rsid w:val="00F0202E"/>
    <w:pPr>
      <w:keepNext/>
      <w:keepLines/>
      <w:spacing w:before="240" w:after="120"/>
      <w:jc w:val="center"/>
      <w:outlineLvl w:val="3"/>
    </w:pPr>
    <w:rPr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"/>
    <w:next w:val="OpiPara"/>
    <w:uiPriority w:val="39"/>
    <w:qFormat/>
    <w:rsid w:val="00F0202E"/>
    <w:pPr>
      <w:keepNext/>
      <w:keepLines/>
      <w:spacing w:after="240"/>
      <w:jc w:val="center"/>
      <w:outlineLvl w:val="0"/>
    </w:pPr>
    <w:rPr>
      <w:sz w:val="28"/>
    </w:rPr>
  </w:style>
  <w:style w:type="paragraph" w:customStyle="1" w:styleId="JuInitialled">
    <w:name w:val="Ju_Initialled"/>
    <w:basedOn w:val="Normal"/>
    <w:uiPriority w:val="31"/>
    <w:qFormat/>
    <w:rsid w:val="00F0202E"/>
    <w:pPr>
      <w:tabs>
        <w:tab w:val="center" w:pos="6407"/>
      </w:tabs>
      <w:spacing w:before="720"/>
      <w:jc w:val="right"/>
    </w:pPr>
  </w:style>
  <w:style w:type="paragraph" w:customStyle="1" w:styleId="ECHRTitle1">
    <w:name w:val="ECHR_Title_1"/>
    <w:aliases w:val="Ju_H_Head"/>
    <w:basedOn w:val="Normal"/>
    <w:next w:val="ECHRPara"/>
    <w:uiPriority w:val="18"/>
    <w:qFormat/>
    <w:rsid w:val="00F0202E"/>
    <w:pPr>
      <w:keepNext/>
      <w:keepLines/>
      <w:spacing w:before="720" w:after="240"/>
      <w:outlineLvl w:val="0"/>
    </w:pPr>
    <w:rPr>
      <w:sz w:val="28"/>
    </w:rPr>
  </w:style>
  <w:style w:type="paragraph" w:customStyle="1" w:styleId="JuListi">
    <w:name w:val="Ju_List_i"/>
    <w:basedOn w:val="Normal"/>
    <w:next w:val="JuLista"/>
    <w:uiPriority w:val="28"/>
    <w:qFormat/>
    <w:rsid w:val="00F0202E"/>
    <w:pPr>
      <w:ind w:left="794"/>
    </w:pPr>
  </w:style>
  <w:style w:type="paragraph" w:customStyle="1" w:styleId="JuSigned">
    <w:name w:val="Ju_Signed"/>
    <w:basedOn w:val="Normal"/>
    <w:next w:val="JuParaLast"/>
    <w:uiPriority w:val="32"/>
    <w:qFormat/>
    <w:rsid w:val="00F0202E"/>
    <w:pPr>
      <w:tabs>
        <w:tab w:val="center" w:pos="851"/>
        <w:tab w:val="center" w:pos="6407"/>
      </w:tabs>
      <w:spacing w:before="720"/>
      <w:jc w:val="left"/>
    </w:pPr>
  </w:style>
  <w:style w:type="paragraph" w:styleId="Title">
    <w:name w:val="Title"/>
    <w:basedOn w:val="Normal"/>
    <w:next w:val="Normal"/>
    <w:link w:val="TitleChar"/>
    <w:uiPriority w:val="99"/>
    <w:semiHidden/>
    <w:qFormat/>
    <w:rsid w:val="00F0202E"/>
    <w:pPr>
      <w:pBdr>
        <w:bottom w:val="single" w:sz="4" w:space="1" w:color="auto"/>
      </w:pBdr>
      <w:contextualSpacing/>
    </w:pPr>
    <w:rPr>
      <w:rFonts w:eastAsia="MS Gothic"/>
      <w:spacing w:val="5"/>
      <w:sz w:val="52"/>
      <w:szCs w:val="52"/>
      <w:lang w:bidi="en-US"/>
    </w:rPr>
  </w:style>
  <w:style w:type="character" w:customStyle="1" w:styleId="TitleChar">
    <w:name w:val="Title Char"/>
    <w:link w:val="Title"/>
    <w:uiPriority w:val="99"/>
    <w:semiHidden/>
    <w:rsid w:val="00F0202E"/>
    <w:rPr>
      <w:rFonts w:ascii="Times New Roman" w:eastAsia="MS Gothic" w:hAnsi="Times New Roman" w:cs="Times New Roman"/>
      <w:spacing w:val="5"/>
      <w:sz w:val="52"/>
      <w:szCs w:val="52"/>
      <w:lang w:val="bg-BG" w:eastAsia="bg-BG" w:bidi="en-US"/>
    </w:rPr>
  </w:style>
  <w:style w:type="character" w:customStyle="1" w:styleId="JUNAMES">
    <w:name w:val="JU_NAMES"/>
    <w:uiPriority w:val="17"/>
    <w:qFormat/>
    <w:rsid w:val="00F0202E"/>
    <w:rPr>
      <w:smallCaps/>
      <w:lang w:val="bg-BG" w:eastAsia="bg-BG"/>
    </w:rPr>
  </w:style>
  <w:style w:type="paragraph" w:customStyle="1" w:styleId="JuParaSub">
    <w:name w:val="Ju_Para_Sub"/>
    <w:basedOn w:val="ECHRPara"/>
    <w:uiPriority w:val="13"/>
    <w:qFormat/>
    <w:rsid w:val="00F0202E"/>
    <w:pPr>
      <w:ind w:left="284"/>
    </w:pPr>
  </w:style>
  <w:style w:type="character" w:customStyle="1" w:styleId="JuITMark">
    <w:name w:val="Ju_ITMark"/>
    <w:uiPriority w:val="38"/>
    <w:qFormat/>
    <w:rsid w:val="00F0202E"/>
    <w:rPr>
      <w:color w:val="000000"/>
      <w:sz w:val="14"/>
      <w:bdr w:val="none" w:sz="0" w:space="0" w:color="auto"/>
      <w:lang w:val="bg-BG" w:eastAsia="bg-BG"/>
    </w:rPr>
  </w:style>
  <w:style w:type="paragraph" w:customStyle="1" w:styleId="JuQuotSub">
    <w:name w:val="Ju_Quot_Sub"/>
    <w:basedOn w:val="ECHRParaQuote"/>
    <w:uiPriority w:val="15"/>
    <w:qFormat/>
    <w:rsid w:val="00F0202E"/>
    <w:pPr>
      <w:ind w:left="567"/>
    </w:pPr>
  </w:style>
  <w:style w:type="paragraph" w:customStyle="1" w:styleId="JuTitle">
    <w:name w:val="Ju_Title"/>
    <w:basedOn w:val="Normal"/>
    <w:next w:val="ECHRPara"/>
    <w:uiPriority w:val="3"/>
    <w:semiHidden/>
    <w:qFormat/>
    <w:rsid w:val="00F0202E"/>
    <w:pPr>
      <w:spacing w:before="720" w:after="240"/>
      <w:jc w:val="center"/>
      <w:outlineLvl w:val="0"/>
    </w:pPr>
    <w:rPr>
      <w:b/>
      <w:caps/>
    </w:rPr>
  </w:style>
  <w:style w:type="paragraph" w:customStyle="1" w:styleId="ECHRHeading1">
    <w:name w:val="ECHR_Heading_1"/>
    <w:aliases w:val="Ju_H_I_Roman"/>
    <w:basedOn w:val="Heading1"/>
    <w:next w:val="ECHRPara"/>
    <w:uiPriority w:val="19"/>
    <w:qFormat/>
    <w:rsid w:val="00F0202E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000000"/>
      <w:sz w:val="24"/>
    </w:rPr>
  </w:style>
  <w:style w:type="paragraph" w:customStyle="1" w:styleId="ECHRHeading2">
    <w:name w:val="ECHR_Heading_2"/>
    <w:aliases w:val="Ju_H_A"/>
    <w:basedOn w:val="Heading2"/>
    <w:next w:val="ECHRPara"/>
    <w:uiPriority w:val="20"/>
    <w:qFormat/>
    <w:rsid w:val="00F0202E"/>
    <w:pPr>
      <w:keepNext/>
      <w:keepLines/>
      <w:tabs>
        <w:tab w:val="left" w:pos="584"/>
      </w:tabs>
      <w:spacing w:before="360" w:after="240"/>
      <w:ind w:left="584" w:hanging="352"/>
    </w:pPr>
    <w:rPr>
      <w:color w:val="000000"/>
      <w:sz w:val="24"/>
    </w:rPr>
  </w:style>
  <w:style w:type="paragraph" w:customStyle="1" w:styleId="ECHRHeading3">
    <w:name w:val="ECHR_Heading_3"/>
    <w:aliases w:val="Ju_H_1."/>
    <w:basedOn w:val="Heading3"/>
    <w:next w:val="ECHRPara"/>
    <w:uiPriority w:val="21"/>
    <w:qFormat/>
    <w:rsid w:val="00F0202E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000000"/>
    </w:rPr>
  </w:style>
  <w:style w:type="paragraph" w:styleId="Header">
    <w:name w:val="header"/>
    <w:basedOn w:val="Normal"/>
    <w:link w:val="HeaderChar"/>
    <w:uiPriority w:val="99"/>
    <w:rsid w:val="00F0202E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HeaderChar">
    <w:name w:val="Header Char"/>
    <w:link w:val="Header"/>
    <w:uiPriority w:val="99"/>
    <w:rsid w:val="00F0202E"/>
    <w:rPr>
      <w:sz w:val="24"/>
      <w:lang w:val="bg-BG" w:eastAsia="bg-BG"/>
    </w:rPr>
  </w:style>
  <w:style w:type="character" w:customStyle="1" w:styleId="Heading1Char">
    <w:name w:val="Heading 1 Char"/>
    <w:link w:val="Heading1"/>
    <w:uiPriority w:val="99"/>
    <w:semiHidden/>
    <w:rsid w:val="00F0202E"/>
    <w:rPr>
      <w:rFonts w:ascii="Times New Roman" w:eastAsia="MS Gothic" w:hAnsi="Times New Roman" w:cs="Times New Roman"/>
      <w:b/>
      <w:bCs/>
      <w:color w:val="333333"/>
      <w:sz w:val="28"/>
      <w:szCs w:val="28"/>
      <w:lang w:val="bg-BG" w:eastAsia="bg-BG"/>
    </w:rPr>
  </w:style>
  <w:style w:type="paragraph" w:customStyle="1" w:styleId="ECHRHeading4">
    <w:name w:val="ECHR_Heading_4"/>
    <w:aliases w:val="Ju_H_a"/>
    <w:basedOn w:val="Heading4"/>
    <w:next w:val="ECHRPara"/>
    <w:uiPriority w:val="22"/>
    <w:qFormat/>
    <w:rsid w:val="00F0202E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000000"/>
      <w:sz w:val="20"/>
    </w:rPr>
  </w:style>
  <w:style w:type="paragraph" w:customStyle="1" w:styleId="ECHRHeading5">
    <w:name w:val="ECHR_Heading_5"/>
    <w:aliases w:val="Ju_H_i"/>
    <w:basedOn w:val="Heading5"/>
    <w:next w:val="ECHRPara"/>
    <w:uiPriority w:val="23"/>
    <w:qFormat/>
    <w:rsid w:val="00F0202E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000000"/>
      <w:sz w:val="20"/>
    </w:rPr>
  </w:style>
  <w:style w:type="character" w:customStyle="1" w:styleId="Heading2Char">
    <w:name w:val="Heading 2 Char"/>
    <w:link w:val="Heading2"/>
    <w:uiPriority w:val="99"/>
    <w:semiHidden/>
    <w:rsid w:val="00F0202E"/>
    <w:rPr>
      <w:rFonts w:ascii="Times New Roman" w:eastAsia="MS Gothic" w:hAnsi="Times New Roman" w:cs="Times New Roman"/>
      <w:b/>
      <w:bCs/>
      <w:color w:val="4D4D4D"/>
      <w:sz w:val="26"/>
      <w:szCs w:val="26"/>
      <w:lang w:val="bg-BG" w:eastAsia="bg-BG"/>
    </w:rPr>
  </w:style>
  <w:style w:type="paragraph" w:customStyle="1" w:styleId="ECHRHeading6">
    <w:name w:val="ECHR_Heading_6"/>
    <w:aliases w:val="Ju_H_alpha"/>
    <w:basedOn w:val="Heading6"/>
    <w:next w:val="ECHRPara"/>
    <w:uiPriority w:val="24"/>
    <w:qFormat/>
    <w:rsid w:val="00F0202E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i w:val="0"/>
      <w:color w:val="000000"/>
      <w:sz w:val="20"/>
    </w:rPr>
  </w:style>
  <w:style w:type="paragraph" w:customStyle="1" w:styleId="ECHRHeading7">
    <w:name w:val="ECHR_Heading_7"/>
    <w:aliases w:val="Ju_H_–"/>
    <w:basedOn w:val="Heading7"/>
    <w:next w:val="ECHRPara"/>
    <w:uiPriority w:val="25"/>
    <w:qFormat/>
    <w:rsid w:val="00F0202E"/>
    <w:pPr>
      <w:keepNext/>
      <w:keepLines/>
      <w:spacing w:before="240" w:after="120"/>
      <w:ind w:left="1236"/>
    </w:pPr>
    <w:rPr>
      <w:sz w:val="20"/>
    </w:rPr>
  </w:style>
  <w:style w:type="character" w:customStyle="1" w:styleId="Heading3Char">
    <w:name w:val="Heading 3 Char"/>
    <w:link w:val="Heading3"/>
    <w:uiPriority w:val="99"/>
    <w:semiHidden/>
    <w:rsid w:val="00F0202E"/>
    <w:rPr>
      <w:rFonts w:ascii="Times New Roman" w:eastAsia="MS Gothic" w:hAnsi="Times New Roman" w:cs="Times New Roman"/>
      <w:b/>
      <w:bCs/>
      <w:color w:val="5F5F5F"/>
      <w:sz w:val="24"/>
      <w:lang w:val="bg-BG" w:eastAsia="bg-BG"/>
    </w:rPr>
  </w:style>
  <w:style w:type="paragraph" w:customStyle="1" w:styleId="JuParaLast">
    <w:name w:val="Ju_Para_Last"/>
    <w:basedOn w:val="Normal"/>
    <w:next w:val="ECHRPara"/>
    <w:uiPriority w:val="30"/>
    <w:qFormat/>
    <w:rsid w:val="00F0202E"/>
    <w:pPr>
      <w:keepNext/>
      <w:keepLines/>
      <w:spacing w:before="240"/>
      <w:ind w:firstLine="284"/>
    </w:pPr>
  </w:style>
  <w:style w:type="paragraph" w:customStyle="1" w:styleId="ECHRDecisionBody">
    <w:name w:val="ECHR_Decision_Body"/>
    <w:aliases w:val="Ju_Judges"/>
    <w:basedOn w:val="Normal"/>
    <w:uiPriority w:val="11"/>
    <w:qFormat/>
    <w:rsid w:val="00F0202E"/>
    <w:pPr>
      <w:tabs>
        <w:tab w:val="left" w:pos="567"/>
        <w:tab w:val="left" w:pos="1134"/>
      </w:tabs>
      <w:jc w:val="left"/>
    </w:pPr>
  </w:style>
  <w:style w:type="character" w:customStyle="1" w:styleId="Heading4Char">
    <w:name w:val="Heading 4 Char"/>
    <w:link w:val="Heading4"/>
    <w:uiPriority w:val="99"/>
    <w:semiHidden/>
    <w:rsid w:val="00F0202E"/>
    <w:rPr>
      <w:rFonts w:ascii="Times New Roman" w:eastAsia="MS Gothic" w:hAnsi="Times New Roman" w:cs="Times New Roman"/>
      <w:b/>
      <w:bCs/>
      <w:i/>
      <w:iCs/>
      <w:color w:val="777777"/>
      <w:sz w:val="24"/>
      <w:lang w:val="bg-BG" w:eastAsia="bg-BG"/>
    </w:rPr>
  </w:style>
  <w:style w:type="paragraph" w:customStyle="1" w:styleId="JuList">
    <w:name w:val="Ju_List"/>
    <w:basedOn w:val="Normal"/>
    <w:uiPriority w:val="28"/>
    <w:qFormat/>
    <w:rsid w:val="00F0202E"/>
    <w:pPr>
      <w:ind w:left="340" w:hanging="340"/>
    </w:pPr>
  </w:style>
  <w:style w:type="character" w:customStyle="1" w:styleId="Heading5Char">
    <w:name w:val="Heading 5 Char"/>
    <w:link w:val="Heading5"/>
    <w:uiPriority w:val="99"/>
    <w:semiHidden/>
    <w:rsid w:val="00F0202E"/>
    <w:rPr>
      <w:rFonts w:ascii="Times New Roman" w:eastAsia="MS Gothic" w:hAnsi="Times New Roman" w:cs="Times New Roman"/>
      <w:b/>
      <w:bCs/>
      <w:color w:val="808080"/>
      <w:lang w:val="bg-BG" w:eastAsia="bg-BG"/>
    </w:rPr>
  </w:style>
  <w:style w:type="paragraph" w:customStyle="1" w:styleId="JuLista">
    <w:name w:val="Ju_List_a"/>
    <w:basedOn w:val="JuList"/>
    <w:uiPriority w:val="28"/>
    <w:qFormat/>
    <w:rsid w:val="00F0202E"/>
    <w:pPr>
      <w:ind w:left="346" w:firstLine="0"/>
    </w:pPr>
  </w:style>
  <w:style w:type="paragraph" w:customStyle="1" w:styleId="OpiH1">
    <w:name w:val="Opi_H_1"/>
    <w:basedOn w:val="ECHRHeading2"/>
    <w:uiPriority w:val="42"/>
    <w:qFormat/>
    <w:rsid w:val="00F0202E"/>
    <w:pPr>
      <w:ind w:left="635" w:hanging="357"/>
      <w:outlineLvl w:val="2"/>
    </w:pPr>
  </w:style>
  <w:style w:type="character" w:styleId="SubtleEmphasis">
    <w:name w:val="Subtle Emphasis"/>
    <w:uiPriority w:val="99"/>
    <w:semiHidden/>
    <w:qFormat/>
    <w:rsid w:val="00F0202E"/>
    <w:rPr>
      <w:i/>
      <w:iCs/>
      <w:lang w:val="bg-BG" w:eastAsia="bg-BG"/>
    </w:rPr>
  </w:style>
  <w:style w:type="paragraph" w:customStyle="1" w:styleId="OpiHa">
    <w:name w:val="Opi_H_a"/>
    <w:basedOn w:val="ECHRHeading3"/>
    <w:uiPriority w:val="43"/>
    <w:qFormat/>
    <w:rsid w:val="00F0202E"/>
    <w:pPr>
      <w:ind w:left="833" w:hanging="357"/>
      <w:outlineLvl w:val="3"/>
    </w:pPr>
    <w:rPr>
      <w:b/>
      <w:i w:val="0"/>
      <w:sz w:val="20"/>
    </w:rPr>
  </w:style>
  <w:style w:type="table" w:customStyle="1" w:styleId="ECHRTable">
    <w:name w:val="ECHR_Table"/>
    <w:basedOn w:val="TableNormal"/>
    <w:rsid w:val="00860B03"/>
    <w:rPr>
      <w:lang w:val="en-GB"/>
    </w:rPr>
    <w:tblPr>
      <w:tblStyleRowBandSize w:val="1"/>
      <w:tblStyleColBandSize w:val="1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bottom w:w="28" w:type="dxa"/>
      </w:tblCellMar>
    </w:tblPr>
    <w:tblStylePr w:type="firstRow">
      <w:rPr>
        <w:rFonts w:ascii="Times New Roman" w:hAnsi="Times New Roman"/>
        <w:b/>
        <w:i w:val="0"/>
        <w:color w:val="474747"/>
        <w:sz w:val="22"/>
      </w:rPr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  <w:tl2br w:val="nil"/>
          <w:tr2bl w:val="nil"/>
        </w:tcBorders>
        <w:shd w:val="clear" w:color="auto" w:fill="DFDFDF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/>
      </w:tcPr>
    </w:tblStylePr>
    <w:tblStylePr w:type="band2Horz"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  <w:tl2br w:val="nil"/>
          <w:tr2bl w:val="nil"/>
        </w:tcBorders>
        <w:shd w:val="clear" w:color="auto" w:fill="DFDFDF"/>
      </w:tcPr>
    </w:tblStylePr>
  </w:style>
  <w:style w:type="table" w:customStyle="1" w:styleId="ECHRTableBoxHeader">
    <w:name w:val="ECHR_Table_Box_Header"/>
    <w:basedOn w:val="TableNormal"/>
    <w:rsid w:val="004C086C"/>
    <w:rPr>
      <w:rFonts w:ascii="Verdana" w:hAnsi="Verdana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/>
    </w:tcPr>
    <w:tblStylePr w:type="firstCol">
      <w:rPr>
        <w:b/>
        <w:color w:val="5F5F5F"/>
      </w:rPr>
    </w:tblStylePr>
  </w:style>
  <w:style w:type="paragraph" w:customStyle="1" w:styleId="OpiHA0">
    <w:name w:val="Opi_H_A"/>
    <w:basedOn w:val="ECHRHeading1"/>
    <w:next w:val="OpiPara"/>
    <w:uiPriority w:val="41"/>
    <w:qFormat/>
    <w:rsid w:val="00F0202E"/>
    <w:pPr>
      <w:tabs>
        <w:tab w:val="clear" w:pos="357"/>
      </w:tabs>
      <w:outlineLvl w:val="1"/>
    </w:pPr>
    <w:rPr>
      <w:b/>
    </w:rPr>
  </w:style>
  <w:style w:type="paragraph" w:customStyle="1" w:styleId="OpiHi">
    <w:name w:val="Opi_H_i"/>
    <w:basedOn w:val="ECHRHeading4"/>
    <w:uiPriority w:val="44"/>
    <w:qFormat/>
    <w:rsid w:val="00F0202E"/>
    <w:pPr>
      <w:ind w:left="1037" w:hanging="357"/>
      <w:outlineLvl w:val="4"/>
    </w:pPr>
    <w:rPr>
      <w:b w:val="0"/>
      <w:i/>
    </w:rPr>
  </w:style>
  <w:style w:type="paragraph" w:customStyle="1" w:styleId="OpiPara">
    <w:name w:val="Opi_Para"/>
    <w:basedOn w:val="ECHRPara"/>
    <w:uiPriority w:val="46"/>
    <w:qFormat/>
    <w:rsid w:val="00F0202E"/>
  </w:style>
  <w:style w:type="character" w:styleId="Emphasis">
    <w:name w:val="Emphasis"/>
    <w:uiPriority w:val="99"/>
    <w:semiHidden/>
    <w:qFormat/>
    <w:rsid w:val="00F0202E"/>
    <w:rPr>
      <w:b/>
      <w:bCs/>
      <w:i/>
      <w:iCs/>
      <w:spacing w:val="10"/>
      <w:bdr w:val="none" w:sz="0" w:space="0" w:color="auto"/>
      <w:lang w:val="bg-BG" w:eastAsia="bg-BG"/>
    </w:rPr>
  </w:style>
  <w:style w:type="paragraph" w:styleId="Footer">
    <w:name w:val="footer"/>
    <w:basedOn w:val="Normal"/>
    <w:link w:val="FooterChar"/>
    <w:uiPriority w:val="57"/>
    <w:semiHidden/>
    <w:rsid w:val="00F0202E"/>
    <w:pPr>
      <w:tabs>
        <w:tab w:val="center" w:pos="4536"/>
        <w:tab w:val="right" w:pos="9696"/>
      </w:tabs>
      <w:ind w:left="-680" w:right="-680"/>
    </w:pPr>
    <w:rPr>
      <w:rFonts w:eastAsia="Times New Roman"/>
    </w:rPr>
  </w:style>
  <w:style w:type="character" w:customStyle="1" w:styleId="FooterChar">
    <w:name w:val="Footer Char"/>
    <w:link w:val="Footer"/>
    <w:uiPriority w:val="57"/>
    <w:semiHidden/>
    <w:rsid w:val="00F0202E"/>
    <w:rPr>
      <w:sz w:val="24"/>
      <w:lang w:val="bg-BG" w:eastAsia="bg-BG"/>
    </w:rPr>
  </w:style>
  <w:style w:type="character" w:styleId="FootnoteReference">
    <w:name w:val="footnote reference"/>
    <w:uiPriority w:val="99"/>
    <w:semiHidden/>
    <w:rsid w:val="00F0202E"/>
    <w:rPr>
      <w:vertAlign w:val="superscript"/>
      <w:lang w:val="bg-BG" w:eastAsia="bg-BG"/>
    </w:rPr>
  </w:style>
  <w:style w:type="paragraph" w:styleId="FootnoteText">
    <w:name w:val="footnote text"/>
    <w:basedOn w:val="Normal"/>
    <w:link w:val="FootnoteTextChar"/>
    <w:uiPriority w:val="99"/>
    <w:semiHidden/>
    <w:rsid w:val="00F0202E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F0202E"/>
    <w:rPr>
      <w:rFonts w:eastAsia="MS Mincho"/>
      <w:sz w:val="20"/>
      <w:szCs w:val="20"/>
      <w:lang w:val="bg-BG" w:eastAsia="bg-BG"/>
    </w:rPr>
  </w:style>
  <w:style w:type="character" w:customStyle="1" w:styleId="Heading6Char">
    <w:name w:val="Heading 6 Char"/>
    <w:link w:val="Heading6"/>
    <w:uiPriority w:val="99"/>
    <w:semiHidden/>
    <w:rsid w:val="00F0202E"/>
    <w:rPr>
      <w:rFonts w:ascii="Times New Roman" w:eastAsia="MS Gothic" w:hAnsi="Times New Roman" w:cs="Times New Roman"/>
      <w:b/>
      <w:bCs/>
      <w:i/>
      <w:iCs/>
      <w:color w:val="7F7F7F"/>
      <w:sz w:val="24"/>
      <w:lang w:val="bg-BG" w:eastAsia="bg-BG" w:bidi="en-US"/>
    </w:rPr>
  </w:style>
  <w:style w:type="character" w:customStyle="1" w:styleId="Heading7Char">
    <w:name w:val="Heading 7 Char"/>
    <w:link w:val="Heading7"/>
    <w:uiPriority w:val="99"/>
    <w:semiHidden/>
    <w:rsid w:val="00F0202E"/>
    <w:rPr>
      <w:rFonts w:ascii="Times New Roman" w:eastAsia="MS Gothic" w:hAnsi="Times New Roman" w:cs="Times New Roman"/>
      <w:i/>
      <w:iCs/>
      <w:lang w:val="bg-BG" w:eastAsia="bg-BG" w:bidi="en-US"/>
    </w:rPr>
  </w:style>
  <w:style w:type="character" w:customStyle="1" w:styleId="Heading8Char">
    <w:name w:val="Heading 8 Char"/>
    <w:link w:val="Heading8"/>
    <w:uiPriority w:val="99"/>
    <w:semiHidden/>
    <w:rsid w:val="00F0202E"/>
    <w:rPr>
      <w:rFonts w:ascii="Times New Roman" w:eastAsia="MS Gothic" w:hAnsi="Times New Roman" w:cs="Times New Roman"/>
      <w:sz w:val="20"/>
      <w:szCs w:val="20"/>
      <w:lang w:val="bg-BG" w:eastAsia="bg-BG" w:bidi="en-US"/>
    </w:rPr>
  </w:style>
  <w:style w:type="character" w:customStyle="1" w:styleId="Heading9Char">
    <w:name w:val="Heading 9 Char"/>
    <w:link w:val="Heading9"/>
    <w:uiPriority w:val="99"/>
    <w:semiHidden/>
    <w:rsid w:val="00F0202E"/>
    <w:rPr>
      <w:rFonts w:ascii="Times New Roman" w:eastAsia="MS Gothic" w:hAnsi="Times New Roman" w:cs="Times New Roman"/>
      <w:i/>
      <w:iCs/>
      <w:spacing w:val="5"/>
      <w:sz w:val="20"/>
      <w:szCs w:val="20"/>
      <w:lang w:val="bg-BG" w:eastAsia="bg-BG" w:bidi="en-US"/>
    </w:rPr>
  </w:style>
  <w:style w:type="character" w:styleId="Hyperlink">
    <w:name w:val="Hyperlink"/>
    <w:uiPriority w:val="99"/>
    <w:semiHidden/>
    <w:rsid w:val="00F0202E"/>
    <w:rPr>
      <w:color w:val="0072BC"/>
      <w:u w:val="single"/>
      <w:lang w:val="bg-BG" w:eastAsia="bg-BG"/>
    </w:rPr>
  </w:style>
  <w:style w:type="character" w:styleId="IntenseEmphasis">
    <w:name w:val="Intense Emphasis"/>
    <w:uiPriority w:val="99"/>
    <w:semiHidden/>
    <w:qFormat/>
    <w:rsid w:val="00F0202E"/>
    <w:rPr>
      <w:b/>
      <w:bCs/>
      <w:lang w:val="bg-BG" w:eastAsia="bg-BG"/>
    </w:rPr>
  </w:style>
  <w:style w:type="paragraph" w:styleId="IntenseQuote">
    <w:name w:val="Intense Quote"/>
    <w:basedOn w:val="Normal"/>
    <w:next w:val="Normal"/>
    <w:link w:val="IntenseQuoteChar"/>
    <w:uiPriority w:val="99"/>
    <w:semiHidden/>
    <w:qFormat/>
    <w:rsid w:val="00F0202E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IntenseQuoteChar">
    <w:name w:val="Intense Quote Char"/>
    <w:link w:val="IntenseQuote"/>
    <w:uiPriority w:val="99"/>
    <w:semiHidden/>
    <w:rsid w:val="00F0202E"/>
    <w:rPr>
      <w:rFonts w:eastAsia="MS Mincho"/>
      <w:b/>
      <w:bCs/>
      <w:i/>
      <w:iCs/>
      <w:lang w:val="bg-BG" w:eastAsia="bg-BG" w:bidi="en-US"/>
    </w:rPr>
  </w:style>
  <w:style w:type="character" w:styleId="IntenseReference">
    <w:name w:val="Intense Reference"/>
    <w:uiPriority w:val="99"/>
    <w:semiHidden/>
    <w:qFormat/>
    <w:rsid w:val="00F0202E"/>
    <w:rPr>
      <w:smallCaps/>
      <w:spacing w:val="5"/>
      <w:u w:val="single"/>
      <w:lang w:val="bg-BG" w:eastAsia="bg-BG"/>
    </w:rPr>
  </w:style>
  <w:style w:type="paragraph" w:styleId="ListParagraph">
    <w:name w:val="List Paragraph"/>
    <w:basedOn w:val="Normal"/>
    <w:uiPriority w:val="99"/>
    <w:semiHidden/>
    <w:qFormat/>
    <w:rsid w:val="00F0202E"/>
    <w:pPr>
      <w:ind w:left="720"/>
      <w:contextualSpacing/>
    </w:pPr>
  </w:style>
  <w:style w:type="table" w:customStyle="1" w:styleId="LtrTableAddress">
    <w:name w:val="Ltr_Table_Address"/>
    <w:basedOn w:val="TableNormal"/>
    <w:uiPriority w:val="99"/>
    <w:rsid w:val="001E6F32"/>
    <w:tblPr>
      <w:tblInd w:w="5103" w:type="dxa"/>
    </w:tblPr>
  </w:style>
  <w:style w:type="paragraph" w:styleId="Quote">
    <w:name w:val="Quote"/>
    <w:basedOn w:val="Normal"/>
    <w:next w:val="Normal"/>
    <w:link w:val="QuoteChar"/>
    <w:uiPriority w:val="99"/>
    <w:semiHidden/>
    <w:qFormat/>
    <w:rsid w:val="00F0202E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QuoteChar">
    <w:name w:val="Quote Char"/>
    <w:link w:val="Quote"/>
    <w:uiPriority w:val="99"/>
    <w:semiHidden/>
    <w:rsid w:val="00F0202E"/>
    <w:rPr>
      <w:rFonts w:eastAsia="MS Mincho"/>
      <w:i/>
      <w:iCs/>
      <w:lang w:val="bg-BG" w:eastAsia="bg-BG" w:bidi="en-US"/>
    </w:rPr>
  </w:style>
  <w:style w:type="character" w:styleId="SubtleReference">
    <w:name w:val="Subtle Reference"/>
    <w:uiPriority w:val="99"/>
    <w:semiHidden/>
    <w:qFormat/>
    <w:rsid w:val="00F0202E"/>
    <w:rPr>
      <w:smallCaps/>
      <w:lang w:val="bg-BG" w:eastAsia="bg-BG"/>
    </w:rPr>
  </w:style>
  <w:style w:type="table" w:styleId="TableGrid">
    <w:name w:val="Table Grid"/>
    <w:basedOn w:val="TableNormal"/>
    <w:uiPriority w:val="59"/>
    <w:semiHidden/>
    <w:rsid w:val="00F0202E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99"/>
    <w:semiHidden/>
    <w:rsid w:val="00F0202E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TOC2">
    <w:name w:val="toc 2"/>
    <w:basedOn w:val="Normal"/>
    <w:next w:val="Normal"/>
    <w:autoRedefine/>
    <w:uiPriority w:val="99"/>
    <w:semiHidden/>
    <w:rsid w:val="00F0202E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TOC3">
    <w:name w:val="toc 3"/>
    <w:basedOn w:val="Normal"/>
    <w:next w:val="Normal"/>
    <w:autoRedefine/>
    <w:uiPriority w:val="99"/>
    <w:semiHidden/>
    <w:rsid w:val="00F0202E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TOC4">
    <w:name w:val="toc 4"/>
    <w:basedOn w:val="Normal"/>
    <w:next w:val="Normal"/>
    <w:autoRedefine/>
    <w:uiPriority w:val="99"/>
    <w:semiHidden/>
    <w:rsid w:val="00F0202E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TOC5">
    <w:name w:val="toc 5"/>
    <w:basedOn w:val="Normal"/>
    <w:next w:val="Normal"/>
    <w:autoRedefine/>
    <w:uiPriority w:val="99"/>
    <w:semiHidden/>
    <w:rsid w:val="00F0202E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TOCHeading">
    <w:name w:val="TOC Heading"/>
    <w:basedOn w:val="Normal"/>
    <w:next w:val="Normal"/>
    <w:uiPriority w:val="99"/>
    <w:semiHidden/>
    <w:qFormat/>
    <w:rsid w:val="00F0202E"/>
    <w:pPr>
      <w:keepNext/>
      <w:keepLines/>
      <w:spacing w:before="240"/>
      <w:contextualSpacing/>
      <w:jc w:val="center"/>
    </w:pPr>
    <w:rPr>
      <w:rFonts w:eastAsia="Times New Roman"/>
      <w:b/>
      <w:color w:val="474747"/>
      <w:sz w:val="28"/>
    </w:rPr>
  </w:style>
  <w:style w:type="table" w:customStyle="1" w:styleId="UGTable">
    <w:name w:val="UG_Table"/>
    <w:basedOn w:val="TableNormal"/>
    <w:uiPriority w:val="99"/>
    <w:rsid w:val="00572845"/>
    <w:rPr>
      <w:rFonts w:eastAsia="MS Mincho"/>
      <w:lang w:val="en-GB" w:eastAsia="en-GB"/>
    </w:rPr>
    <w:tblPr>
      <w:tblInd w:w="-964" w:type="dxa"/>
      <w:tblCellMar>
        <w:left w:w="57" w:type="dxa"/>
        <w:bottom w:w="57" w:type="dxa"/>
        <w:right w:w="113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TableNormal"/>
    <w:uiPriority w:val="99"/>
    <w:rsid w:val="003609FA"/>
    <w:rPr>
      <w:rFonts w:eastAsia="MS Mincho"/>
      <w:lang w:val="en-GB" w:eastAsia="en-GB"/>
    </w:rPr>
    <w:tblPr>
      <w:tblInd w:w="113" w:type="dxa"/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TableNormal"/>
    <w:uiPriority w:val="99"/>
    <w:rsid w:val="00810B38"/>
    <w:rPr>
      <w:color w:val="000000"/>
      <w:sz w:val="18"/>
    </w:rPr>
    <w:tblPr>
      <w:tblBorders>
        <w:top w:val="single" w:sz="8" w:space="0" w:color="9F9F9F"/>
        <w:left w:val="single" w:sz="8" w:space="0" w:color="9F9F9F"/>
        <w:bottom w:val="single" w:sz="8" w:space="0" w:color="9F9F9F"/>
        <w:right w:val="single" w:sz="8" w:space="0" w:color="9F9F9F"/>
        <w:insideH w:val="single" w:sz="8" w:space="0" w:color="9F9F9F"/>
        <w:insideV w:val="single" w:sz="8" w:space="0" w:color="9F9F9F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TableNormal"/>
    <w:uiPriority w:val="99"/>
    <w:rsid w:val="00893576"/>
    <w:rPr>
      <w:color w:val="000000"/>
    </w:rPr>
    <w:tblPr>
      <w:tblInd w:w="-680" w:type="dxa"/>
      <w:tblBorders>
        <w:insideH w:val="single" w:sz="4" w:space="0" w:color="C6C6C6"/>
        <w:insideV w:val="single" w:sz="4" w:space="0" w:color="C6C6C6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TableNormal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TableNormal"/>
    <w:uiPriority w:val="99"/>
    <w:rsid w:val="0090506B"/>
    <w:tblPr>
      <w:jc w:val="center"/>
      <w:tblBorders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="Times New Roman" w:hAnsi="Times New Roman"/>
        <w:b/>
        <w:i w:val="0"/>
        <w:color w:val="474747"/>
        <w:sz w:val="24"/>
      </w:rPr>
      <w:tblPr/>
      <w:tcPr>
        <w:tcBorders>
          <w:top w:val="single" w:sz="4" w:space="0" w:color="949494"/>
          <w:left w:val="single" w:sz="4" w:space="0" w:color="949494"/>
          <w:bottom w:val="nil"/>
          <w:right w:val="single" w:sz="4" w:space="0" w:color="949494"/>
          <w:insideH w:val="nil"/>
          <w:insideV w:val="nil"/>
          <w:tl2br w:val="nil"/>
          <w:tr2bl w:val="nil"/>
        </w:tcBorders>
        <w:shd w:val="clear" w:color="auto" w:fill="DFDFDF"/>
      </w:tcPr>
    </w:tblStylePr>
  </w:style>
  <w:style w:type="paragraph" w:styleId="TOAHeading">
    <w:name w:val="toa heading"/>
    <w:basedOn w:val="Normal"/>
    <w:next w:val="Normal"/>
    <w:uiPriority w:val="99"/>
    <w:semiHidden/>
    <w:rsid w:val="00F0202E"/>
    <w:pPr>
      <w:keepNext/>
      <w:keepLines/>
      <w:spacing w:before="240"/>
      <w:contextualSpacing/>
      <w:jc w:val="center"/>
    </w:pPr>
    <w:rPr>
      <w:rFonts w:eastAsia="MS Gothic"/>
      <w:b/>
      <w:bCs/>
      <w:color w:val="474747"/>
      <w:sz w:val="28"/>
      <w:szCs w:val="24"/>
    </w:rPr>
  </w:style>
  <w:style w:type="paragraph" w:styleId="Subtitle">
    <w:name w:val="Subtitle"/>
    <w:basedOn w:val="Normal"/>
    <w:next w:val="Normal"/>
    <w:link w:val="SubtitleChar"/>
    <w:uiPriority w:val="99"/>
    <w:semiHidden/>
    <w:qFormat/>
    <w:rsid w:val="00F0202E"/>
    <w:pPr>
      <w:spacing w:after="600"/>
    </w:pPr>
    <w:rPr>
      <w:rFonts w:eastAsia="MS Gothic"/>
      <w:i/>
      <w:iCs/>
      <w:spacing w:val="13"/>
      <w:szCs w:val="24"/>
      <w:lang w:bidi="en-US"/>
    </w:rPr>
  </w:style>
  <w:style w:type="character" w:customStyle="1" w:styleId="SubtitleChar">
    <w:name w:val="Subtitle Char"/>
    <w:link w:val="Subtitle"/>
    <w:uiPriority w:val="99"/>
    <w:semiHidden/>
    <w:rsid w:val="00F0202E"/>
    <w:rPr>
      <w:rFonts w:ascii="Times New Roman" w:eastAsia="MS Gothic" w:hAnsi="Times New Roman" w:cs="Times New Roman"/>
      <w:i/>
      <w:iCs/>
      <w:spacing w:val="13"/>
      <w:sz w:val="24"/>
      <w:szCs w:val="24"/>
      <w:lang w:val="bg-BG" w:eastAsia="bg-BG" w:bidi="en-US"/>
    </w:rPr>
  </w:style>
  <w:style w:type="numbering" w:styleId="111111">
    <w:name w:val="Outline List 2"/>
    <w:basedOn w:val="NoList"/>
    <w:uiPriority w:val="99"/>
    <w:semiHidden/>
    <w:unhideWhenUsed/>
    <w:rsid w:val="0098410D"/>
  </w:style>
  <w:style w:type="paragraph" w:customStyle="1" w:styleId="ECHRPara">
    <w:name w:val="ECHR_Para"/>
    <w:aliases w:val="Ju_Para"/>
    <w:basedOn w:val="Normal"/>
    <w:link w:val="ECHRParaChar"/>
    <w:uiPriority w:val="12"/>
    <w:qFormat/>
    <w:rsid w:val="00F0202E"/>
    <w:pPr>
      <w:ind w:firstLine="284"/>
    </w:pPr>
  </w:style>
  <w:style w:type="numbering" w:styleId="1ai">
    <w:name w:val="Outline List 1"/>
    <w:basedOn w:val="NoList"/>
    <w:uiPriority w:val="99"/>
    <w:semiHidden/>
    <w:unhideWhenUsed/>
    <w:rsid w:val="0098410D"/>
  </w:style>
  <w:style w:type="table" w:customStyle="1" w:styleId="ECHRTableSimpleBox">
    <w:name w:val="ECHR_Table_Simple_Box"/>
    <w:basedOn w:val="TableNormal"/>
    <w:uiPriority w:val="99"/>
    <w:rsid w:val="00AE354C"/>
    <w:tblPr>
      <w:tblBorders>
        <w:top w:val="single" w:sz="4" w:space="0" w:color="9F9F9F"/>
        <w:left w:val="single" w:sz="4" w:space="0" w:color="9F9F9F"/>
        <w:bottom w:val="single" w:sz="4" w:space="0" w:color="9F9F9F"/>
        <w:right w:val="single" w:sz="4" w:space="0" w:color="9F9F9F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TableNormal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="Times New Roman" w:hAnsi="Times New Roman"/>
        <w:b/>
        <w:i w:val="0"/>
        <w:color w:val="474747"/>
        <w:sz w:val="24"/>
      </w:rPr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nil"/>
          <w:insideV w:val="nil"/>
          <w:tl2br w:val="nil"/>
          <w:tr2bl w:val="nil"/>
        </w:tcBorders>
        <w:shd w:val="clear" w:color="auto" w:fill="DFDFDF"/>
      </w:tcPr>
    </w:tblStylePr>
    <w:tblStylePr w:type="firstCol"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</w:tcBorders>
      </w:tcPr>
    </w:tblStylePr>
  </w:style>
  <w:style w:type="numbering" w:styleId="ArticleSection">
    <w:name w:val="Outline List 3"/>
    <w:basedOn w:val="NoList"/>
    <w:uiPriority w:val="99"/>
    <w:semiHidden/>
    <w:unhideWhenUsed/>
    <w:rsid w:val="0098410D"/>
  </w:style>
  <w:style w:type="table" w:customStyle="1" w:styleId="ECHRTableForInternalUse">
    <w:name w:val="ECHR_Table_For_Internal_Use"/>
    <w:basedOn w:val="TableNormal"/>
    <w:uiPriority w:val="99"/>
    <w:rsid w:val="005474E7"/>
    <w:rPr>
      <w:color w:val="636363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  <w:tl2br w:val="nil"/>
          <w:tr2bl w:val="nil"/>
        </w:tcBorders>
      </w:tcPr>
    </w:tblStylePr>
  </w:style>
  <w:style w:type="table" w:customStyle="1" w:styleId="ECHRListTable">
    <w:name w:val="ECHR_List_Table"/>
    <w:basedOn w:val="TableNormal"/>
    <w:uiPriority w:val="99"/>
    <w:rsid w:val="00F0202E"/>
    <w:tblPr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bottom w:w="28" w:type="dxa"/>
      </w:tblCellMar>
    </w:tblPr>
    <w:tblStylePr w:type="firstRow">
      <w:rPr>
        <w:b/>
        <w:color w:val="474747"/>
      </w:rPr>
      <w:tblPr/>
      <w:trPr>
        <w:tblHeader/>
      </w:trPr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</w:tcBorders>
        <w:shd w:val="clear" w:color="auto" w:fill="DFDFDF"/>
      </w:tcPr>
    </w:tblStylePr>
  </w:style>
  <w:style w:type="paragraph" w:styleId="Bibliography">
    <w:name w:val="Bibliography"/>
    <w:basedOn w:val="Normal"/>
    <w:next w:val="Normal"/>
    <w:uiPriority w:val="99"/>
    <w:semiHidden/>
    <w:rsid w:val="0098410D"/>
  </w:style>
  <w:style w:type="paragraph" w:styleId="BlockText">
    <w:name w:val="Block Text"/>
    <w:basedOn w:val="Normal"/>
    <w:uiPriority w:val="99"/>
    <w:semiHidden/>
    <w:rsid w:val="0098410D"/>
    <w:pPr>
      <w:pBdr>
        <w:top w:val="single" w:sz="2" w:space="10" w:color="0072BC" w:shadow="1" w:frame="1"/>
        <w:left w:val="single" w:sz="2" w:space="10" w:color="0072BC" w:shadow="1" w:frame="1"/>
        <w:bottom w:val="single" w:sz="2" w:space="10" w:color="0072BC" w:shadow="1" w:frame="1"/>
        <w:right w:val="single" w:sz="2" w:space="10" w:color="0072BC" w:shadow="1" w:frame="1"/>
      </w:pBdr>
      <w:ind w:left="1152" w:right="1152"/>
    </w:pPr>
    <w:rPr>
      <w:i/>
      <w:iCs/>
      <w:color w:val="0072BC"/>
    </w:rPr>
  </w:style>
  <w:style w:type="table" w:customStyle="1" w:styleId="ECHRHeaderTable">
    <w:name w:val="ECHR_Header_Table"/>
    <w:basedOn w:val="TableNormal"/>
    <w:uiPriority w:val="99"/>
    <w:rsid w:val="00661971"/>
    <w:tblPr>
      <w:tblInd w:w="-680" w:type="dxa"/>
      <w:tblBorders>
        <w:bottom w:val="single" w:sz="6" w:space="0" w:color="949494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BodyText">
    <w:name w:val="Body Text"/>
    <w:basedOn w:val="Normal"/>
    <w:link w:val="BodyTextChar"/>
    <w:uiPriority w:val="99"/>
    <w:semiHidden/>
    <w:rsid w:val="0098410D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98410D"/>
    <w:rPr>
      <w:rFonts w:eastAsia="MS Mincho"/>
      <w:sz w:val="24"/>
      <w:lang w:val="bg-BG" w:eastAsia="bg-BG"/>
    </w:rPr>
  </w:style>
  <w:style w:type="table" w:customStyle="1" w:styleId="ECHRTableOddBanded">
    <w:name w:val="ECHR_Table_Odd_Banded"/>
    <w:basedOn w:val="TableNormal"/>
    <w:uiPriority w:val="99"/>
    <w:rsid w:val="00860B03"/>
    <w:tblPr>
      <w:tblStyleRowBandSize w:val="1"/>
      <w:tblStyleColBandSize w:val="1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bottom w:w="28" w:type="dxa"/>
      </w:tblCellMar>
    </w:tblPr>
    <w:tblStylePr w:type="firstRow">
      <w:rPr>
        <w:rFonts w:ascii="Times New Roman" w:hAnsi="Times New Roman"/>
        <w:b/>
        <w:i w:val="0"/>
        <w:color w:val="474747"/>
        <w:sz w:val="22"/>
      </w:rPr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nil"/>
          <w:insideV w:val="single" w:sz="4" w:space="0" w:color="949494"/>
          <w:tl2br w:val="nil"/>
          <w:tr2bl w:val="nil"/>
        </w:tcBorders>
        <w:shd w:val="clear" w:color="auto" w:fill="DFDFD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/>
      </w:tcPr>
    </w:tblStylePr>
    <w:tblStylePr w:type="band1Horz">
      <w:rPr>
        <w:b/>
      </w:rPr>
      <w:tblPr/>
      <w:tcPr>
        <w:shd w:val="clear" w:color="auto" w:fill="DFDFDF"/>
      </w:tcPr>
    </w:tblStylePr>
  </w:style>
  <w:style w:type="paragraph" w:styleId="BodyText2">
    <w:name w:val="Body Text 2"/>
    <w:basedOn w:val="Normal"/>
    <w:link w:val="BodyText2Char"/>
    <w:uiPriority w:val="99"/>
    <w:semiHidden/>
    <w:rsid w:val="0098410D"/>
    <w:pPr>
      <w:spacing w:after="120" w:line="480" w:lineRule="auto"/>
    </w:pPr>
  </w:style>
  <w:style w:type="table" w:customStyle="1" w:styleId="ECHRHeaderTableReduced">
    <w:name w:val="ECHR_Header_Table_Reduced"/>
    <w:basedOn w:val="TableNormal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basedOn w:val="Normal"/>
    <w:next w:val="ECHRPara"/>
    <w:uiPriority w:val="10"/>
    <w:rsid w:val="00F0202E"/>
    <w:pPr>
      <w:ind w:firstLine="284"/>
    </w:pPr>
    <w:rPr>
      <w:b/>
    </w:rPr>
  </w:style>
  <w:style w:type="character" w:styleId="PageNumber">
    <w:name w:val="page number"/>
    <w:uiPriority w:val="99"/>
    <w:semiHidden/>
    <w:rsid w:val="0098410D"/>
    <w:rPr>
      <w:sz w:val="18"/>
      <w:lang w:val="bg-BG" w:eastAsia="bg-BG"/>
    </w:rPr>
  </w:style>
  <w:style w:type="paragraph" w:styleId="ListBullet">
    <w:name w:val="List Bullet"/>
    <w:basedOn w:val="Normal"/>
    <w:uiPriority w:val="99"/>
    <w:semiHidden/>
    <w:rsid w:val="0098410D"/>
    <w:pPr>
      <w:numPr>
        <w:numId w:val="9"/>
      </w:numPr>
    </w:pPr>
  </w:style>
  <w:style w:type="paragraph" w:styleId="ListBullet3">
    <w:name w:val="List Bullet 3"/>
    <w:basedOn w:val="Normal"/>
    <w:uiPriority w:val="99"/>
    <w:semiHidden/>
    <w:rsid w:val="0098410D"/>
    <w:pPr>
      <w:numPr>
        <w:numId w:val="8"/>
      </w:numPr>
      <w:contextualSpacing/>
    </w:pPr>
  </w:style>
  <w:style w:type="character" w:customStyle="1" w:styleId="BodyText2Char">
    <w:name w:val="Body Text 2 Char"/>
    <w:link w:val="BodyText2"/>
    <w:uiPriority w:val="99"/>
    <w:semiHidden/>
    <w:rsid w:val="0098410D"/>
    <w:rPr>
      <w:rFonts w:eastAsia="MS Mincho"/>
      <w:sz w:val="24"/>
      <w:lang w:val="bg-BG" w:eastAsia="bg-BG"/>
    </w:rPr>
  </w:style>
  <w:style w:type="paragraph" w:styleId="BodyText3">
    <w:name w:val="Body Text 3"/>
    <w:basedOn w:val="Normal"/>
    <w:link w:val="BodyText3Char"/>
    <w:uiPriority w:val="99"/>
    <w:semiHidden/>
    <w:rsid w:val="0098410D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98410D"/>
    <w:rPr>
      <w:rFonts w:eastAsia="MS Mincho"/>
      <w:sz w:val="16"/>
      <w:szCs w:val="16"/>
      <w:lang w:val="bg-BG" w:eastAsia="bg-BG"/>
    </w:rPr>
  </w:style>
  <w:style w:type="paragraph" w:styleId="BodyTextFirstIndent">
    <w:name w:val="Body Text First Indent"/>
    <w:basedOn w:val="BodyText"/>
    <w:link w:val="BodyTextFirstIndentChar"/>
    <w:uiPriority w:val="99"/>
    <w:semiHidden/>
    <w:rsid w:val="0098410D"/>
    <w:p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98410D"/>
    <w:rPr>
      <w:rFonts w:eastAsia="MS Mincho"/>
      <w:sz w:val="24"/>
      <w:lang w:val="bg-BG" w:eastAsia="bg-BG"/>
    </w:rPr>
  </w:style>
  <w:style w:type="paragraph" w:styleId="BodyTextIndent">
    <w:name w:val="Body Text Indent"/>
    <w:basedOn w:val="Normal"/>
    <w:link w:val="BodyTextIndentChar"/>
    <w:uiPriority w:val="99"/>
    <w:semiHidden/>
    <w:rsid w:val="0098410D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98410D"/>
    <w:rPr>
      <w:rFonts w:eastAsia="MS Mincho"/>
      <w:sz w:val="24"/>
      <w:lang w:val="bg-BG" w:eastAsia="bg-BG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rsid w:val="0098410D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98410D"/>
    <w:rPr>
      <w:rFonts w:eastAsia="MS Mincho"/>
      <w:sz w:val="24"/>
      <w:lang w:val="bg-BG" w:eastAsia="bg-BG"/>
    </w:rPr>
  </w:style>
  <w:style w:type="paragraph" w:styleId="BodyTextIndent2">
    <w:name w:val="Body Text Indent 2"/>
    <w:basedOn w:val="Normal"/>
    <w:link w:val="BodyTextIndent2Char"/>
    <w:uiPriority w:val="99"/>
    <w:semiHidden/>
    <w:rsid w:val="0098410D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98410D"/>
    <w:rPr>
      <w:rFonts w:eastAsia="MS Mincho"/>
      <w:sz w:val="24"/>
      <w:lang w:val="bg-BG" w:eastAsia="bg-BG"/>
    </w:rPr>
  </w:style>
  <w:style w:type="paragraph" w:styleId="BodyTextIndent3">
    <w:name w:val="Body Text Indent 3"/>
    <w:basedOn w:val="Normal"/>
    <w:link w:val="BodyTextIndent3Char"/>
    <w:uiPriority w:val="99"/>
    <w:semiHidden/>
    <w:rsid w:val="0098410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98410D"/>
    <w:rPr>
      <w:rFonts w:eastAsia="MS Mincho"/>
      <w:sz w:val="16"/>
      <w:szCs w:val="16"/>
      <w:lang w:val="bg-BG" w:eastAsia="bg-BG"/>
    </w:rPr>
  </w:style>
  <w:style w:type="paragraph" w:styleId="Caption">
    <w:name w:val="caption"/>
    <w:basedOn w:val="Normal"/>
    <w:next w:val="Normal"/>
    <w:uiPriority w:val="99"/>
    <w:semiHidden/>
    <w:qFormat/>
    <w:rsid w:val="0098410D"/>
    <w:pPr>
      <w:spacing w:after="200"/>
    </w:pPr>
    <w:rPr>
      <w:b/>
      <w:bCs/>
      <w:color w:val="0072BC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rsid w:val="0098410D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98410D"/>
    <w:rPr>
      <w:rFonts w:eastAsia="MS Mincho"/>
      <w:sz w:val="24"/>
      <w:lang w:val="bg-BG" w:eastAsia="bg-BG"/>
    </w:rPr>
  </w:style>
  <w:style w:type="table" w:styleId="ColorfulGrid">
    <w:name w:val="Colorful Grid"/>
    <w:basedOn w:val="TableNormal"/>
    <w:uiPriority w:val="73"/>
    <w:semiHidden/>
    <w:rsid w:val="0098410D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0072BC"/>
      </w:rPr>
      <w:tblPr/>
      <w:tcPr>
        <w:shd w:val="clear" w:color="auto" w:fill="000000"/>
      </w:tcPr>
    </w:tblStylePr>
    <w:tblStylePr w:type="lastCol">
      <w:rPr>
        <w:color w:val="0072BC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semiHidden/>
    <w:rsid w:val="0098410D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BEE5FF"/>
    </w:tcPr>
    <w:tblStylePr w:type="firstRow">
      <w:rPr>
        <w:b/>
        <w:bCs/>
      </w:rPr>
      <w:tblPr/>
      <w:tcPr>
        <w:shd w:val="clear" w:color="auto" w:fill="7ECBFF"/>
      </w:tcPr>
    </w:tblStylePr>
    <w:tblStylePr w:type="lastRow">
      <w:rPr>
        <w:b/>
        <w:bCs/>
        <w:color w:val="000000"/>
      </w:rPr>
      <w:tblPr/>
      <w:tcPr>
        <w:shd w:val="clear" w:color="auto" w:fill="7ECBFF"/>
      </w:tcPr>
    </w:tblStylePr>
    <w:tblStylePr w:type="firstCol">
      <w:rPr>
        <w:color w:val="0072BC"/>
      </w:rPr>
      <w:tblPr/>
      <w:tcPr>
        <w:shd w:val="clear" w:color="auto" w:fill="00548C"/>
      </w:tcPr>
    </w:tblStylePr>
    <w:tblStylePr w:type="lastCol">
      <w:rPr>
        <w:color w:val="0072BC"/>
      </w:rPr>
      <w:tblPr/>
      <w:tcPr>
        <w:shd w:val="clear" w:color="auto" w:fill="00548C"/>
      </w:tcPr>
    </w:tblStylePr>
    <w:tblStylePr w:type="band1Vert">
      <w:tblPr/>
      <w:tcPr>
        <w:shd w:val="clear" w:color="auto" w:fill="5EBFFF"/>
      </w:tcPr>
    </w:tblStylePr>
    <w:tblStylePr w:type="band1Horz">
      <w:tblPr/>
      <w:tcPr>
        <w:shd w:val="clear" w:color="auto" w:fill="5EBFFF"/>
      </w:tcPr>
    </w:tblStylePr>
  </w:style>
  <w:style w:type="table" w:styleId="ColorfulGrid-Accent2">
    <w:name w:val="Colorful Grid Accent 2"/>
    <w:basedOn w:val="TableNormal"/>
    <w:uiPriority w:val="73"/>
    <w:semiHidden/>
    <w:rsid w:val="0098410D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FFBFBF"/>
    </w:tcPr>
    <w:tblStylePr w:type="firstRow">
      <w:rPr>
        <w:b/>
        <w:bCs/>
      </w:rPr>
      <w:tblPr/>
      <w:tcPr>
        <w:shd w:val="clear" w:color="auto" w:fill="FF7F7F"/>
      </w:tcPr>
    </w:tblStylePr>
    <w:tblStylePr w:type="lastRow">
      <w:rPr>
        <w:b/>
        <w:bCs/>
        <w:color w:val="000000"/>
      </w:rPr>
      <w:tblPr/>
      <w:tcPr>
        <w:shd w:val="clear" w:color="auto" w:fill="FF7F7F"/>
      </w:tcPr>
    </w:tblStylePr>
    <w:tblStylePr w:type="firstCol">
      <w:rPr>
        <w:color w:val="0072BC"/>
      </w:rPr>
      <w:tblPr/>
      <w:tcPr>
        <w:shd w:val="clear" w:color="auto" w:fill="8F0000"/>
      </w:tcPr>
    </w:tblStylePr>
    <w:tblStylePr w:type="lastCol">
      <w:rPr>
        <w:color w:val="0072BC"/>
      </w:rPr>
      <w:tblPr/>
      <w:tcPr>
        <w:shd w:val="clear" w:color="auto" w:fill="8F0000"/>
      </w:tcPr>
    </w:tblStylePr>
    <w:tblStylePr w:type="band1Vert">
      <w:tblPr/>
      <w:tcPr>
        <w:shd w:val="clear" w:color="auto" w:fill="FF6060"/>
      </w:tcPr>
    </w:tblStylePr>
    <w:tblStylePr w:type="band1Horz">
      <w:tblPr/>
      <w:tcPr>
        <w:shd w:val="clear" w:color="auto" w:fill="FF6060"/>
      </w:tcPr>
    </w:tblStylePr>
  </w:style>
  <w:style w:type="table" w:styleId="ColorfulGrid-Accent3">
    <w:name w:val="Colorful Grid Accent 3"/>
    <w:basedOn w:val="TableNormal"/>
    <w:uiPriority w:val="73"/>
    <w:semiHidden/>
    <w:rsid w:val="0098410D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FDFDF"/>
    </w:tcPr>
    <w:tblStylePr w:type="firstRow">
      <w:rPr>
        <w:b/>
        <w:bCs/>
      </w:rPr>
      <w:tblPr/>
      <w:tcPr>
        <w:shd w:val="clear" w:color="auto" w:fill="BFBFBF"/>
      </w:tcPr>
    </w:tblStylePr>
    <w:tblStylePr w:type="lastRow">
      <w:rPr>
        <w:b/>
        <w:bCs/>
        <w:color w:val="000000"/>
      </w:rPr>
      <w:tblPr/>
      <w:tcPr>
        <w:shd w:val="clear" w:color="auto" w:fill="BFBFBF"/>
      </w:tcPr>
    </w:tblStylePr>
    <w:tblStylePr w:type="firstCol">
      <w:rPr>
        <w:color w:val="0072BC"/>
      </w:rPr>
      <w:tblPr/>
      <w:tcPr>
        <w:shd w:val="clear" w:color="auto" w:fill="474747"/>
      </w:tcPr>
    </w:tblStylePr>
    <w:tblStylePr w:type="lastCol">
      <w:rPr>
        <w:color w:val="0072BC"/>
      </w:rPr>
      <w:tblPr/>
      <w:tcPr>
        <w:shd w:val="clear" w:color="auto" w:fill="474747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ColorfulGrid-Accent4">
    <w:name w:val="Colorful Grid Accent 4"/>
    <w:basedOn w:val="TableNormal"/>
    <w:uiPriority w:val="73"/>
    <w:semiHidden/>
    <w:rsid w:val="0098410D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EAEAEA"/>
    </w:tcPr>
    <w:tblStylePr w:type="firstRow">
      <w:rPr>
        <w:b/>
        <w:bCs/>
      </w:rPr>
      <w:tblPr/>
      <w:tcPr>
        <w:shd w:val="clear" w:color="auto" w:fill="D5D5D5"/>
      </w:tcPr>
    </w:tblStylePr>
    <w:tblStylePr w:type="lastRow">
      <w:rPr>
        <w:b/>
        <w:bCs/>
        <w:color w:val="000000"/>
      </w:rPr>
      <w:tblPr/>
      <w:tcPr>
        <w:shd w:val="clear" w:color="auto" w:fill="D5D5D5"/>
      </w:tcPr>
    </w:tblStylePr>
    <w:tblStylePr w:type="firstCol">
      <w:rPr>
        <w:color w:val="0072BC"/>
      </w:rPr>
      <w:tblPr/>
      <w:tcPr>
        <w:shd w:val="clear" w:color="auto" w:fill="707070"/>
      </w:tcPr>
    </w:tblStylePr>
    <w:tblStylePr w:type="lastCol">
      <w:rPr>
        <w:color w:val="0072BC"/>
      </w:rPr>
      <w:tblPr/>
      <w:tcPr>
        <w:shd w:val="clear" w:color="auto" w:fill="707070"/>
      </w:tcPr>
    </w:tblStylePr>
    <w:tblStylePr w:type="band1Vert">
      <w:tblPr/>
      <w:tcPr>
        <w:shd w:val="clear" w:color="auto" w:fill="CACACA"/>
      </w:tcPr>
    </w:tblStylePr>
    <w:tblStylePr w:type="band1Horz">
      <w:tblPr/>
      <w:tcPr>
        <w:shd w:val="clear" w:color="auto" w:fill="CACACA"/>
      </w:tcPr>
    </w:tblStylePr>
  </w:style>
  <w:style w:type="table" w:styleId="ColorfulGrid-Accent5">
    <w:name w:val="Colorful Grid Accent 5"/>
    <w:basedOn w:val="TableNormal"/>
    <w:uiPriority w:val="73"/>
    <w:semiHidden/>
    <w:rsid w:val="0098410D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FDFDF"/>
    </w:tcPr>
    <w:tblStylePr w:type="firstRow">
      <w:rPr>
        <w:b/>
        <w:bCs/>
      </w:rPr>
      <w:tblPr/>
      <w:tcPr>
        <w:shd w:val="clear" w:color="auto" w:fill="BFBFBF"/>
      </w:tcPr>
    </w:tblStylePr>
    <w:tblStylePr w:type="lastRow">
      <w:rPr>
        <w:b/>
        <w:bCs/>
        <w:color w:val="000000"/>
      </w:rPr>
      <w:tblPr/>
      <w:tcPr>
        <w:shd w:val="clear" w:color="auto" w:fill="BFBFBF"/>
      </w:tcPr>
    </w:tblStylePr>
    <w:tblStylePr w:type="firstCol">
      <w:rPr>
        <w:color w:val="0072BC"/>
      </w:rPr>
      <w:tblPr/>
      <w:tcPr>
        <w:shd w:val="clear" w:color="auto" w:fill="474747"/>
      </w:tcPr>
    </w:tblStylePr>
    <w:tblStylePr w:type="lastCol">
      <w:rPr>
        <w:color w:val="0072BC"/>
      </w:rPr>
      <w:tblPr/>
      <w:tcPr>
        <w:shd w:val="clear" w:color="auto" w:fill="474747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ColorfulGrid-Accent6">
    <w:name w:val="Colorful Grid Accent 6"/>
    <w:basedOn w:val="TableNormal"/>
    <w:uiPriority w:val="73"/>
    <w:semiHidden/>
    <w:rsid w:val="0098410D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BDBDB"/>
    </w:tcPr>
    <w:tblStylePr w:type="firstRow">
      <w:rPr>
        <w:b/>
        <w:bCs/>
      </w:rPr>
      <w:tblPr/>
      <w:tcPr>
        <w:shd w:val="clear" w:color="auto" w:fill="B7B7B7"/>
      </w:tcPr>
    </w:tblStylePr>
    <w:tblStylePr w:type="lastRow">
      <w:rPr>
        <w:b/>
        <w:bCs/>
        <w:color w:val="000000"/>
      </w:rPr>
      <w:tblPr/>
      <w:tcPr>
        <w:shd w:val="clear" w:color="auto" w:fill="B7B7B7"/>
      </w:tcPr>
    </w:tblStylePr>
    <w:tblStylePr w:type="firstCol">
      <w:rPr>
        <w:color w:val="0072BC"/>
      </w:rPr>
      <w:tblPr/>
      <w:tcPr>
        <w:shd w:val="clear" w:color="auto" w:fill="393939"/>
      </w:tcPr>
    </w:tblStylePr>
    <w:tblStylePr w:type="lastCol">
      <w:rPr>
        <w:color w:val="0072BC"/>
      </w:rPr>
      <w:tblPr/>
      <w:tcPr>
        <w:shd w:val="clear" w:color="auto" w:fill="393939"/>
      </w:tcPr>
    </w:tblStylePr>
    <w:tblStylePr w:type="band1Vert">
      <w:tblPr/>
      <w:tcPr>
        <w:shd w:val="clear" w:color="auto" w:fill="A6A6A6"/>
      </w:tcPr>
    </w:tblStylePr>
    <w:tblStylePr w:type="band1Horz">
      <w:tblPr/>
      <w:tcPr>
        <w:shd w:val="clear" w:color="auto" w:fill="A6A6A6"/>
      </w:tcPr>
    </w:tblStylePr>
  </w:style>
  <w:style w:type="table" w:styleId="ColorfulList">
    <w:name w:val="Colorful List"/>
    <w:basedOn w:val="TableNormal"/>
    <w:uiPriority w:val="72"/>
    <w:semiHidden/>
    <w:rsid w:val="0098410D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semiHidden/>
    <w:rsid w:val="0098410D"/>
    <w:rPr>
      <w:color w:val="000000"/>
    </w:rPr>
    <w:tblPr>
      <w:tblStyleRowBandSize w:val="1"/>
      <w:tblStyleColBandSize w:val="1"/>
    </w:tblPr>
    <w:tcPr>
      <w:shd w:val="clear" w:color="auto" w:fill="DFF2F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shd w:val="clear" w:color="auto" w:fill="BEE5FF"/>
      </w:tcPr>
    </w:tblStylePr>
  </w:style>
  <w:style w:type="table" w:styleId="ColorfulList-Accent2">
    <w:name w:val="Colorful List Accent 2"/>
    <w:basedOn w:val="TableNormal"/>
    <w:uiPriority w:val="72"/>
    <w:semiHidden/>
    <w:rsid w:val="0098410D"/>
    <w:rPr>
      <w:color w:val="000000"/>
    </w:rPr>
    <w:tblPr>
      <w:tblStyleRowBandSize w:val="1"/>
      <w:tblStyleColBandSize w:val="1"/>
    </w:tblPr>
    <w:tcPr>
      <w:shd w:val="clear" w:color="auto" w:fill="FFDFD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shd w:val="clear" w:color="auto" w:fill="FFBFBF"/>
      </w:tcPr>
    </w:tblStylePr>
  </w:style>
  <w:style w:type="table" w:styleId="ColorfulList-Accent3">
    <w:name w:val="Colorful List Accent 3"/>
    <w:basedOn w:val="TableNormal"/>
    <w:uiPriority w:val="72"/>
    <w:semiHidden/>
    <w:rsid w:val="0098410D"/>
    <w:rPr>
      <w:color w:val="000000"/>
    </w:rPr>
    <w:tblPr>
      <w:tblStyleRowBandSize w:val="1"/>
      <w:tblStyleColBandSize w:val="1"/>
    </w:tblPr>
    <w:tcPr>
      <w:shd w:val="clear" w:color="auto" w:fill="EFEFE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787878"/>
      </w:tcPr>
    </w:tblStylePr>
    <w:tblStylePr w:type="lastRow">
      <w:rPr>
        <w:b/>
        <w:bCs/>
        <w:color w:val="787878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FDFDF"/>
      </w:tcPr>
    </w:tblStylePr>
  </w:style>
  <w:style w:type="table" w:styleId="ColorfulList-Accent4">
    <w:name w:val="Colorful List Accent 4"/>
    <w:basedOn w:val="TableNormal"/>
    <w:uiPriority w:val="72"/>
    <w:semiHidden/>
    <w:rsid w:val="0098410D"/>
    <w:rPr>
      <w:color w:val="000000"/>
    </w:rPr>
    <w:tblPr>
      <w:tblStyleRowBandSize w:val="1"/>
      <w:tblStyleColBandSize w:val="1"/>
    </w:tblPr>
    <w:tcPr>
      <w:shd w:val="clear" w:color="auto" w:fill="F4F4F4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shd w:val="clear" w:color="auto" w:fill="EAEAEA"/>
      </w:tcPr>
    </w:tblStylePr>
  </w:style>
  <w:style w:type="table" w:styleId="ColorfulList-Accent5">
    <w:name w:val="Colorful List Accent 5"/>
    <w:basedOn w:val="TableNormal"/>
    <w:uiPriority w:val="72"/>
    <w:semiHidden/>
    <w:rsid w:val="0098410D"/>
    <w:rPr>
      <w:color w:val="000000"/>
    </w:rPr>
    <w:tblPr>
      <w:tblStyleRowBandSize w:val="1"/>
      <w:tblStyleColBandSize w:val="1"/>
    </w:tblPr>
    <w:tcPr>
      <w:shd w:val="clear" w:color="auto" w:fill="EFEFE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3D3D3D"/>
      </w:tcPr>
    </w:tblStylePr>
    <w:tblStylePr w:type="lastRow">
      <w:rPr>
        <w:b/>
        <w:bCs/>
        <w:color w:val="3D3D3D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FDFDF"/>
      </w:tcPr>
    </w:tblStylePr>
  </w:style>
  <w:style w:type="table" w:styleId="ColorfulList-Accent6">
    <w:name w:val="Colorful List Accent 6"/>
    <w:basedOn w:val="TableNormal"/>
    <w:uiPriority w:val="72"/>
    <w:semiHidden/>
    <w:rsid w:val="0098410D"/>
    <w:rPr>
      <w:color w:val="000000"/>
    </w:rPr>
    <w:tblPr>
      <w:tblStyleRowBandSize w:val="1"/>
      <w:tblStyleColBandSize w:val="1"/>
    </w:tblPr>
    <w:tcPr>
      <w:shd w:val="clear" w:color="auto" w:fill="EDEDED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shd w:val="clear" w:color="auto" w:fill="DBDBDB"/>
      </w:tcPr>
    </w:tblStylePr>
  </w:style>
  <w:style w:type="table" w:styleId="ColorfulShading">
    <w:name w:val="Colorful Shading"/>
    <w:basedOn w:val="TableNormal"/>
    <w:uiPriority w:val="71"/>
    <w:semiHidden/>
    <w:rsid w:val="0098410D"/>
    <w:rPr>
      <w:color w:val="000000"/>
    </w:rPr>
    <w:tblPr>
      <w:tblStyleRowBandSize w:val="1"/>
      <w:tblStyleColBandSize w:val="1"/>
      <w:tblBorders>
        <w:top w:val="single" w:sz="24" w:space="0" w:color="C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72BC"/>
        <w:insideV w:val="single" w:sz="4" w:space="0" w:color="0072BC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000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semiHidden/>
    <w:rsid w:val="0098410D"/>
    <w:rPr>
      <w:color w:val="000000"/>
    </w:rPr>
    <w:tblPr>
      <w:tblStyleRowBandSize w:val="1"/>
      <w:tblStyleColBandSize w:val="1"/>
      <w:tblBorders>
        <w:top w:val="single" w:sz="24" w:space="0" w:color="C00000"/>
        <w:left w:val="single" w:sz="4" w:space="0" w:color="0072BC"/>
        <w:bottom w:val="single" w:sz="4" w:space="0" w:color="0072BC"/>
        <w:right w:val="single" w:sz="4" w:space="0" w:color="0072BC"/>
        <w:insideH w:val="single" w:sz="4" w:space="0" w:color="0072BC"/>
        <w:insideV w:val="single" w:sz="4" w:space="0" w:color="0072BC"/>
      </w:tblBorders>
    </w:tblPr>
    <w:tcPr>
      <w:shd w:val="clear" w:color="auto" w:fill="DFF2F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447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4470"/>
          <w:insideV w:val="nil"/>
        </w:tcBorders>
        <w:shd w:val="clear" w:color="auto" w:fill="00447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/>
      </w:tcPr>
    </w:tblStylePr>
    <w:tblStylePr w:type="band1Vert">
      <w:tblPr/>
      <w:tcPr>
        <w:shd w:val="clear" w:color="auto" w:fill="7ECBFF"/>
      </w:tcPr>
    </w:tblStylePr>
    <w:tblStylePr w:type="band1Horz">
      <w:tblPr/>
      <w:tcPr>
        <w:shd w:val="clear" w:color="auto" w:fill="5EBFF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semiHidden/>
    <w:rsid w:val="0098410D"/>
    <w:rPr>
      <w:color w:val="000000"/>
    </w:rPr>
    <w:tblPr>
      <w:tblStyleRowBandSize w:val="1"/>
      <w:tblStyleColBandSize w:val="1"/>
      <w:tblBorders>
        <w:top w:val="single" w:sz="24" w:space="0" w:color="C00000"/>
        <w:left w:val="single" w:sz="4" w:space="0" w:color="C00000"/>
        <w:bottom w:val="single" w:sz="4" w:space="0" w:color="C00000"/>
        <w:right w:val="single" w:sz="4" w:space="0" w:color="C00000"/>
        <w:insideH w:val="single" w:sz="4" w:space="0" w:color="0072BC"/>
        <w:insideV w:val="single" w:sz="4" w:space="0" w:color="0072BC"/>
      </w:tblBorders>
    </w:tblPr>
    <w:tcPr>
      <w:shd w:val="clear" w:color="auto" w:fill="FFDFD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73000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730000"/>
          <w:insideV w:val="nil"/>
        </w:tcBorders>
        <w:shd w:val="clear" w:color="auto" w:fill="73000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/>
      </w:tcPr>
    </w:tblStylePr>
    <w:tblStylePr w:type="band1Vert">
      <w:tblPr/>
      <w:tcPr>
        <w:shd w:val="clear" w:color="auto" w:fill="FF7F7F"/>
      </w:tcPr>
    </w:tblStylePr>
    <w:tblStylePr w:type="band1Horz">
      <w:tblPr/>
      <w:tcPr>
        <w:shd w:val="clear" w:color="auto" w:fill="FF606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semiHidden/>
    <w:rsid w:val="0098410D"/>
    <w:rPr>
      <w:color w:val="000000"/>
    </w:rPr>
    <w:tblPr>
      <w:tblStyleRowBandSize w:val="1"/>
      <w:tblStyleColBandSize w:val="1"/>
      <w:tblBorders>
        <w:top w:val="single" w:sz="24" w:space="0" w:color="969696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</w:tblPr>
    <w:tcPr>
      <w:shd w:val="clear" w:color="auto" w:fill="EFEFE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AFAFAF"/>
      </w:tcPr>
    </w:tblStylePr>
  </w:style>
  <w:style w:type="table" w:styleId="ColorfulShading-Accent4">
    <w:name w:val="Colorful Shading Accent 4"/>
    <w:basedOn w:val="TableNormal"/>
    <w:uiPriority w:val="71"/>
    <w:semiHidden/>
    <w:rsid w:val="0098410D"/>
    <w:rPr>
      <w:color w:val="000000"/>
    </w:rPr>
    <w:tblPr>
      <w:tblStyleRowBandSize w:val="1"/>
      <w:tblStyleColBandSize w:val="1"/>
      <w:tblBorders>
        <w:top w:val="single" w:sz="24" w:space="0" w:color="5F5F5F"/>
        <w:left w:val="single" w:sz="4" w:space="0" w:color="969696"/>
        <w:bottom w:val="single" w:sz="4" w:space="0" w:color="969696"/>
        <w:right w:val="single" w:sz="4" w:space="0" w:color="969696"/>
        <w:insideH w:val="single" w:sz="4" w:space="0" w:color="0072BC"/>
        <w:insideV w:val="single" w:sz="4" w:space="0" w:color="0072BC"/>
      </w:tblBorders>
    </w:tblPr>
    <w:tcPr>
      <w:shd w:val="clear" w:color="auto" w:fill="F4F4F4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5A5A5A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5A5A5A"/>
          <w:insideV w:val="nil"/>
        </w:tcBorders>
        <w:shd w:val="clear" w:color="auto" w:fill="5A5A5A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/>
      </w:tcPr>
    </w:tblStylePr>
    <w:tblStylePr w:type="band1Vert">
      <w:tblPr/>
      <w:tcPr>
        <w:shd w:val="clear" w:color="auto" w:fill="D5D5D5"/>
      </w:tcPr>
    </w:tblStylePr>
    <w:tblStylePr w:type="band1Horz">
      <w:tblPr/>
      <w:tcPr>
        <w:shd w:val="clear" w:color="auto" w:fill="CACACA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semiHidden/>
    <w:rsid w:val="0098410D"/>
    <w:rPr>
      <w:color w:val="000000"/>
    </w:rPr>
    <w:tblPr>
      <w:tblStyleRowBandSize w:val="1"/>
      <w:tblStyleColBandSize w:val="1"/>
      <w:tblBorders>
        <w:top w:val="single" w:sz="24" w:space="0" w:color="4D4D4D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</w:tblPr>
    <w:tcPr>
      <w:shd w:val="clear" w:color="auto" w:fill="EFEFE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AFAFA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semiHidden/>
    <w:rsid w:val="0098410D"/>
    <w:rPr>
      <w:color w:val="000000"/>
    </w:rPr>
    <w:tblPr>
      <w:tblStyleRowBandSize w:val="1"/>
      <w:tblStyleColBandSize w:val="1"/>
      <w:tblBorders>
        <w:top w:val="single" w:sz="24" w:space="0" w:color="5F5F5F"/>
        <w:left w:val="single" w:sz="4" w:space="0" w:color="4D4D4D"/>
        <w:bottom w:val="single" w:sz="4" w:space="0" w:color="4D4D4D"/>
        <w:right w:val="single" w:sz="4" w:space="0" w:color="4D4D4D"/>
        <w:insideH w:val="single" w:sz="4" w:space="0" w:color="0072BC"/>
        <w:insideV w:val="single" w:sz="4" w:space="0" w:color="0072BC"/>
      </w:tblBorders>
    </w:tblPr>
    <w:tcPr>
      <w:shd w:val="clear" w:color="auto" w:fill="ED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2E2E2E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2E2E2E"/>
          <w:insideV w:val="nil"/>
        </w:tcBorders>
        <w:shd w:val="clear" w:color="auto" w:fill="2E2E2E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/>
      </w:tcPr>
    </w:tblStylePr>
    <w:tblStylePr w:type="band1Vert">
      <w:tblPr/>
      <w:tcPr>
        <w:shd w:val="clear" w:color="auto" w:fill="B7B7B7"/>
      </w:tcPr>
    </w:tblStylePr>
    <w:tblStylePr w:type="band1Horz">
      <w:tblPr/>
      <w:tcPr>
        <w:shd w:val="clear" w:color="auto" w:fill="A6A6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styleId="CommentReference">
    <w:name w:val="annotation reference"/>
    <w:uiPriority w:val="99"/>
    <w:semiHidden/>
    <w:rsid w:val="0098410D"/>
    <w:rPr>
      <w:sz w:val="16"/>
      <w:szCs w:val="16"/>
      <w:lang w:val="bg-BG" w:eastAsia="bg-BG"/>
    </w:rPr>
  </w:style>
  <w:style w:type="paragraph" w:styleId="CommentText">
    <w:name w:val="annotation text"/>
    <w:basedOn w:val="Normal"/>
    <w:link w:val="CommentTextChar"/>
    <w:uiPriority w:val="99"/>
    <w:semiHidden/>
    <w:rsid w:val="0098410D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98410D"/>
    <w:rPr>
      <w:rFonts w:eastAsia="MS Mincho"/>
      <w:sz w:val="20"/>
      <w:szCs w:val="20"/>
      <w:lang w:val="bg-BG" w:eastAsia="bg-BG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8410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8410D"/>
    <w:rPr>
      <w:rFonts w:eastAsia="MS Mincho"/>
      <w:b/>
      <w:bCs/>
      <w:sz w:val="20"/>
      <w:szCs w:val="20"/>
      <w:lang w:val="bg-BG" w:eastAsia="bg-BG"/>
    </w:rPr>
  </w:style>
  <w:style w:type="table" w:styleId="DarkList">
    <w:name w:val="Dark List"/>
    <w:basedOn w:val="TableNormal"/>
    <w:uiPriority w:val="70"/>
    <w:semiHidden/>
    <w:rsid w:val="0098410D"/>
    <w:rPr>
      <w:color w:val="0072BC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semiHidden/>
    <w:rsid w:val="0098410D"/>
    <w:rPr>
      <w:color w:val="0072BC"/>
    </w:rPr>
    <w:tblPr>
      <w:tblStyleRowBandSize w:val="1"/>
      <w:tblStyleColBandSize w:val="1"/>
    </w:tblPr>
    <w:tcPr>
      <w:shd w:val="clear" w:color="auto" w:fill="0072BC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385D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548C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</w:style>
  <w:style w:type="table" w:styleId="DarkList-Accent2">
    <w:name w:val="Dark List Accent 2"/>
    <w:basedOn w:val="TableNormal"/>
    <w:uiPriority w:val="70"/>
    <w:semiHidden/>
    <w:rsid w:val="0098410D"/>
    <w:rPr>
      <w:color w:val="0072BC"/>
    </w:rPr>
    <w:tblPr>
      <w:tblStyleRowBandSize w:val="1"/>
      <w:tblStyleColBandSize w:val="1"/>
    </w:tblPr>
    <w:tcPr>
      <w:shd w:val="clear" w:color="auto" w:fill="C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5F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8F000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</w:style>
  <w:style w:type="table" w:styleId="DarkList-Accent3">
    <w:name w:val="Dark List Accent 3"/>
    <w:basedOn w:val="TableNormal"/>
    <w:uiPriority w:val="70"/>
    <w:semiHidden/>
    <w:rsid w:val="0098410D"/>
    <w:rPr>
      <w:color w:val="0072BC"/>
    </w:rPr>
    <w:tblPr>
      <w:tblStyleRowBandSize w:val="1"/>
      <w:tblStyleColBandSize w:val="1"/>
    </w:tblPr>
    <w:tcPr>
      <w:shd w:val="clear" w:color="auto" w:fill="5F5F5F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styleId="DarkList-Accent4">
    <w:name w:val="Dark List Accent 4"/>
    <w:basedOn w:val="TableNormal"/>
    <w:uiPriority w:val="70"/>
    <w:semiHidden/>
    <w:rsid w:val="0098410D"/>
    <w:rPr>
      <w:color w:val="0072BC"/>
    </w:rPr>
    <w:tblPr>
      <w:tblStyleRowBandSize w:val="1"/>
      <w:tblStyleColBandSize w:val="1"/>
    </w:tblPr>
    <w:tcPr>
      <w:shd w:val="clear" w:color="auto" w:fill="96969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4A4A4A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70707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</w:style>
  <w:style w:type="table" w:styleId="DarkList-Accent5">
    <w:name w:val="Dark List Accent 5"/>
    <w:basedOn w:val="TableNormal"/>
    <w:uiPriority w:val="70"/>
    <w:semiHidden/>
    <w:rsid w:val="0098410D"/>
    <w:rPr>
      <w:color w:val="0072BC"/>
    </w:rPr>
    <w:tblPr>
      <w:tblStyleRowBandSize w:val="1"/>
      <w:tblStyleColBandSize w:val="1"/>
    </w:tblPr>
    <w:tcPr>
      <w:shd w:val="clear" w:color="auto" w:fill="5F5F5F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styleId="DarkList-Accent6">
    <w:name w:val="Dark List Accent 6"/>
    <w:basedOn w:val="TableNormal"/>
    <w:uiPriority w:val="70"/>
    <w:semiHidden/>
    <w:rsid w:val="0098410D"/>
    <w:rPr>
      <w:color w:val="0072BC"/>
    </w:rPr>
    <w:tblPr>
      <w:tblStyleRowBandSize w:val="1"/>
      <w:tblStyleColBandSize w:val="1"/>
    </w:tblPr>
    <w:tcPr>
      <w:shd w:val="clear" w:color="auto" w:fill="4D4D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6262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393939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</w:style>
  <w:style w:type="paragraph" w:styleId="Date">
    <w:name w:val="Date"/>
    <w:basedOn w:val="Normal"/>
    <w:next w:val="Normal"/>
    <w:link w:val="DateChar"/>
    <w:uiPriority w:val="99"/>
    <w:semiHidden/>
    <w:rsid w:val="0098410D"/>
  </w:style>
  <w:style w:type="character" w:customStyle="1" w:styleId="DateChar">
    <w:name w:val="Date Char"/>
    <w:link w:val="Date"/>
    <w:uiPriority w:val="99"/>
    <w:semiHidden/>
    <w:rsid w:val="0098410D"/>
    <w:rPr>
      <w:rFonts w:eastAsia="MS Mincho"/>
      <w:sz w:val="24"/>
      <w:lang w:val="bg-BG" w:eastAsia="bg-BG"/>
    </w:rPr>
  </w:style>
  <w:style w:type="paragraph" w:styleId="DocumentMap">
    <w:name w:val="Document Map"/>
    <w:basedOn w:val="Normal"/>
    <w:link w:val="DocumentMapChar"/>
    <w:uiPriority w:val="99"/>
    <w:semiHidden/>
    <w:rsid w:val="0098410D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98410D"/>
    <w:rPr>
      <w:rFonts w:ascii="Tahoma" w:eastAsia="MS Mincho" w:hAnsi="Tahoma" w:cs="Tahoma"/>
      <w:sz w:val="16"/>
      <w:szCs w:val="16"/>
      <w:lang w:val="bg-BG" w:eastAsia="bg-BG"/>
    </w:rPr>
  </w:style>
  <w:style w:type="paragraph" w:styleId="E-mailSignature">
    <w:name w:val="E-mail Signature"/>
    <w:basedOn w:val="Normal"/>
    <w:link w:val="E-mailSignatureChar"/>
    <w:uiPriority w:val="99"/>
    <w:semiHidden/>
    <w:rsid w:val="0098410D"/>
  </w:style>
  <w:style w:type="character" w:customStyle="1" w:styleId="E-mailSignatureChar">
    <w:name w:val="E-mail Signature Char"/>
    <w:link w:val="E-mailSignature"/>
    <w:uiPriority w:val="99"/>
    <w:semiHidden/>
    <w:rsid w:val="0098410D"/>
    <w:rPr>
      <w:rFonts w:eastAsia="MS Mincho"/>
      <w:sz w:val="24"/>
      <w:lang w:val="bg-BG" w:eastAsia="bg-BG"/>
    </w:rPr>
  </w:style>
  <w:style w:type="character" w:styleId="EndnoteReference">
    <w:name w:val="endnote reference"/>
    <w:uiPriority w:val="99"/>
    <w:semiHidden/>
    <w:rsid w:val="00F0202E"/>
    <w:rPr>
      <w:vertAlign w:val="superscript"/>
      <w:lang w:val="bg-BG" w:eastAsia="bg-BG"/>
    </w:rPr>
  </w:style>
  <w:style w:type="paragraph" w:styleId="EndnoteText">
    <w:name w:val="endnote text"/>
    <w:basedOn w:val="Normal"/>
    <w:link w:val="EndnoteTextChar"/>
    <w:uiPriority w:val="99"/>
    <w:semiHidden/>
    <w:rsid w:val="00F0202E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F0202E"/>
    <w:rPr>
      <w:rFonts w:eastAsia="MS Mincho"/>
      <w:sz w:val="20"/>
      <w:szCs w:val="20"/>
      <w:lang w:val="bg-BG" w:eastAsia="bg-BG"/>
    </w:rPr>
  </w:style>
  <w:style w:type="paragraph" w:styleId="EnvelopeAddress">
    <w:name w:val="envelope address"/>
    <w:basedOn w:val="Normal"/>
    <w:uiPriority w:val="99"/>
    <w:semiHidden/>
    <w:rsid w:val="0098410D"/>
    <w:pPr>
      <w:framePr w:w="7938" w:h="1985" w:hRule="exact" w:hSpace="141" w:wrap="auto" w:hAnchor="page" w:xAlign="center" w:yAlign="bottom"/>
      <w:ind w:left="2835"/>
    </w:pPr>
    <w:rPr>
      <w:rFonts w:eastAsia="MS Gothic"/>
      <w:szCs w:val="24"/>
    </w:rPr>
  </w:style>
  <w:style w:type="paragraph" w:styleId="EnvelopeReturn">
    <w:name w:val="envelope return"/>
    <w:basedOn w:val="Normal"/>
    <w:uiPriority w:val="99"/>
    <w:semiHidden/>
    <w:rsid w:val="0098410D"/>
    <w:rPr>
      <w:rFonts w:eastAsia="MS Gothic"/>
      <w:sz w:val="20"/>
      <w:szCs w:val="20"/>
    </w:rPr>
  </w:style>
  <w:style w:type="character" w:styleId="FollowedHyperlink">
    <w:name w:val="FollowedHyperlink"/>
    <w:uiPriority w:val="99"/>
    <w:semiHidden/>
    <w:rsid w:val="0098410D"/>
    <w:rPr>
      <w:color w:val="7030A0"/>
      <w:u w:val="single"/>
      <w:lang w:val="bg-BG" w:eastAsia="bg-BG"/>
    </w:rPr>
  </w:style>
  <w:style w:type="character" w:styleId="HTMLAcronym">
    <w:name w:val="HTML Acronym"/>
    <w:basedOn w:val="DefaultParagraphFont"/>
    <w:uiPriority w:val="99"/>
    <w:semiHidden/>
    <w:rsid w:val="0098410D"/>
  </w:style>
  <w:style w:type="paragraph" w:styleId="HTMLAddress">
    <w:name w:val="HTML Address"/>
    <w:basedOn w:val="Normal"/>
    <w:link w:val="HTMLAddressChar"/>
    <w:uiPriority w:val="99"/>
    <w:semiHidden/>
    <w:rsid w:val="0098410D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98410D"/>
    <w:rPr>
      <w:rFonts w:eastAsia="MS Mincho"/>
      <w:i/>
      <w:iCs/>
      <w:sz w:val="24"/>
      <w:lang w:val="bg-BG" w:eastAsia="bg-BG"/>
    </w:rPr>
  </w:style>
  <w:style w:type="character" w:styleId="HTMLCite">
    <w:name w:val="HTML Cite"/>
    <w:uiPriority w:val="99"/>
    <w:semiHidden/>
    <w:rsid w:val="0098410D"/>
    <w:rPr>
      <w:i/>
      <w:iCs/>
      <w:lang w:val="bg-BG" w:eastAsia="bg-BG"/>
    </w:rPr>
  </w:style>
  <w:style w:type="character" w:styleId="HTMLCode">
    <w:name w:val="HTML Code"/>
    <w:uiPriority w:val="99"/>
    <w:semiHidden/>
    <w:rsid w:val="0098410D"/>
    <w:rPr>
      <w:rFonts w:ascii="Consolas" w:hAnsi="Consolas" w:cs="Consolas"/>
      <w:sz w:val="20"/>
      <w:szCs w:val="20"/>
      <w:lang w:val="bg-BG" w:eastAsia="bg-BG"/>
    </w:rPr>
  </w:style>
  <w:style w:type="character" w:styleId="HTMLDefinition">
    <w:name w:val="HTML Definition"/>
    <w:uiPriority w:val="99"/>
    <w:semiHidden/>
    <w:rsid w:val="0098410D"/>
    <w:rPr>
      <w:i/>
      <w:iCs/>
      <w:lang w:val="bg-BG" w:eastAsia="bg-BG"/>
    </w:rPr>
  </w:style>
  <w:style w:type="character" w:styleId="HTMLKeyboard">
    <w:name w:val="HTML Keyboard"/>
    <w:uiPriority w:val="99"/>
    <w:semiHidden/>
    <w:rsid w:val="0098410D"/>
    <w:rPr>
      <w:rFonts w:ascii="Consolas" w:hAnsi="Consolas" w:cs="Consolas"/>
      <w:sz w:val="20"/>
      <w:szCs w:val="20"/>
      <w:lang w:val="bg-BG" w:eastAsia="bg-BG"/>
    </w:rPr>
  </w:style>
  <w:style w:type="paragraph" w:styleId="HTMLPreformatted">
    <w:name w:val="HTML Preformatted"/>
    <w:basedOn w:val="Normal"/>
    <w:link w:val="HTMLPreformattedChar"/>
    <w:uiPriority w:val="99"/>
    <w:semiHidden/>
    <w:rsid w:val="0098410D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98410D"/>
    <w:rPr>
      <w:rFonts w:ascii="Consolas" w:eastAsia="MS Mincho" w:hAnsi="Consolas" w:cs="Consolas"/>
      <w:sz w:val="20"/>
      <w:szCs w:val="20"/>
      <w:lang w:val="bg-BG" w:eastAsia="bg-BG"/>
    </w:rPr>
  </w:style>
  <w:style w:type="character" w:styleId="HTMLSample">
    <w:name w:val="HTML Sample"/>
    <w:uiPriority w:val="99"/>
    <w:semiHidden/>
    <w:rsid w:val="0098410D"/>
    <w:rPr>
      <w:rFonts w:ascii="Consolas" w:hAnsi="Consolas" w:cs="Consolas"/>
      <w:sz w:val="24"/>
      <w:szCs w:val="24"/>
      <w:lang w:val="bg-BG" w:eastAsia="bg-BG"/>
    </w:rPr>
  </w:style>
  <w:style w:type="character" w:styleId="HTMLTypewriter">
    <w:name w:val="HTML Typewriter"/>
    <w:uiPriority w:val="99"/>
    <w:semiHidden/>
    <w:rsid w:val="0098410D"/>
    <w:rPr>
      <w:rFonts w:ascii="Consolas" w:hAnsi="Consolas" w:cs="Consolas"/>
      <w:sz w:val="20"/>
      <w:szCs w:val="20"/>
      <w:lang w:val="bg-BG" w:eastAsia="bg-BG"/>
    </w:rPr>
  </w:style>
  <w:style w:type="character" w:styleId="HTMLVariable">
    <w:name w:val="HTML Variable"/>
    <w:uiPriority w:val="99"/>
    <w:semiHidden/>
    <w:rsid w:val="0098410D"/>
    <w:rPr>
      <w:i/>
      <w:iCs/>
      <w:lang w:val="bg-BG" w:eastAsia="bg-BG"/>
    </w:rPr>
  </w:style>
  <w:style w:type="paragraph" w:styleId="Index1">
    <w:name w:val="index 1"/>
    <w:basedOn w:val="Normal"/>
    <w:next w:val="Normal"/>
    <w:autoRedefine/>
    <w:uiPriority w:val="99"/>
    <w:semiHidden/>
    <w:rsid w:val="0098410D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rsid w:val="0098410D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rsid w:val="0098410D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rsid w:val="0098410D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rsid w:val="0098410D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rsid w:val="0098410D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rsid w:val="0098410D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rsid w:val="0098410D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rsid w:val="0098410D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rsid w:val="0098410D"/>
    <w:rPr>
      <w:rFonts w:eastAsia="MS Gothic"/>
      <w:b/>
      <w:bCs/>
    </w:rPr>
  </w:style>
  <w:style w:type="table" w:styleId="LightGrid">
    <w:name w:val="Light Grid"/>
    <w:basedOn w:val="TableNormal"/>
    <w:uiPriority w:val="62"/>
    <w:semiHidden/>
    <w:rsid w:val="0098410D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semiHidden/>
    <w:rsid w:val="0098410D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1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  <w:shd w:val="clear" w:color="auto" w:fill="AFDFF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  <w:shd w:val="clear" w:color="auto" w:fill="AFDFFF"/>
      </w:tcPr>
    </w:tblStylePr>
    <w:tblStylePr w:type="band2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</w:tcPr>
    </w:tblStylePr>
  </w:style>
  <w:style w:type="table" w:styleId="LightGrid-Accent2">
    <w:name w:val="Light Grid Accent 2"/>
    <w:basedOn w:val="TableNormal"/>
    <w:uiPriority w:val="62"/>
    <w:semiHidden/>
    <w:rsid w:val="0098410D"/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1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Vert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  <w:shd w:val="clear" w:color="auto" w:fill="FFB0B0"/>
      </w:tcPr>
    </w:tblStylePr>
    <w:tblStylePr w:type="band1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  <w:shd w:val="clear" w:color="auto" w:fill="FFB0B0"/>
      </w:tcPr>
    </w:tblStylePr>
    <w:tblStylePr w:type="band2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</w:tcPr>
    </w:tblStylePr>
  </w:style>
  <w:style w:type="table" w:styleId="LightGrid-Accent3">
    <w:name w:val="Light Grid Accent 3"/>
    <w:basedOn w:val="TableNormal"/>
    <w:uiPriority w:val="62"/>
    <w:semiHidden/>
    <w:rsid w:val="0098410D"/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styleId="LightGrid-Accent4">
    <w:name w:val="Light Grid Accent 4"/>
    <w:basedOn w:val="TableNormal"/>
    <w:uiPriority w:val="62"/>
    <w:semiHidden/>
    <w:rsid w:val="0098410D"/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1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Vert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  <w:shd w:val="clear" w:color="auto" w:fill="E5E5E5"/>
      </w:tcPr>
    </w:tblStylePr>
    <w:tblStylePr w:type="band1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  <w:shd w:val="clear" w:color="auto" w:fill="E5E5E5"/>
      </w:tcPr>
    </w:tblStylePr>
    <w:tblStylePr w:type="band2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</w:tcPr>
    </w:tblStylePr>
  </w:style>
  <w:style w:type="table" w:styleId="LightGrid-Accent5">
    <w:name w:val="Light Grid Accent 5"/>
    <w:basedOn w:val="TableNormal"/>
    <w:uiPriority w:val="62"/>
    <w:semiHidden/>
    <w:rsid w:val="0098410D"/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styleId="LightGrid-Accent6">
    <w:name w:val="Light Grid Accent 6"/>
    <w:basedOn w:val="TableNormal"/>
    <w:uiPriority w:val="62"/>
    <w:semiHidden/>
    <w:rsid w:val="0098410D"/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1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Vert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  <w:shd w:val="clear" w:color="auto" w:fill="D3D3D3"/>
      </w:tcPr>
    </w:tblStylePr>
    <w:tblStylePr w:type="band1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  <w:shd w:val="clear" w:color="auto" w:fill="D3D3D3"/>
      </w:tcPr>
    </w:tblStylePr>
    <w:tblStylePr w:type="band2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</w:tcPr>
    </w:tblStylePr>
  </w:style>
  <w:style w:type="table" w:styleId="LightList">
    <w:name w:val="Light List"/>
    <w:basedOn w:val="TableNormal"/>
    <w:uiPriority w:val="61"/>
    <w:semiHidden/>
    <w:rsid w:val="0098410D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semiHidden/>
    <w:rsid w:val="0098410D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0072BC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</w:style>
  <w:style w:type="table" w:styleId="LightList-Accent2">
    <w:name w:val="Light List Accent 2"/>
    <w:basedOn w:val="TableNormal"/>
    <w:uiPriority w:val="61"/>
    <w:semiHidden/>
    <w:rsid w:val="0098410D"/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C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</w:style>
  <w:style w:type="table" w:styleId="LightList-Accent3">
    <w:name w:val="Light List Accent 3"/>
    <w:basedOn w:val="TableNormal"/>
    <w:uiPriority w:val="61"/>
    <w:semiHidden/>
    <w:rsid w:val="0098410D"/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styleId="LightList-Accent4">
    <w:name w:val="Light List Accent 4"/>
    <w:basedOn w:val="TableNormal"/>
    <w:uiPriority w:val="61"/>
    <w:semiHidden/>
    <w:rsid w:val="0098410D"/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96969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</w:style>
  <w:style w:type="table" w:styleId="LightList-Accent5">
    <w:name w:val="Light List Accent 5"/>
    <w:basedOn w:val="TableNormal"/>
    <w:uiPriority w:val="61"/>
    <w:semiHidden/>
    <w:rsid w:val="0098410D"/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styleId="LightList-Accent6">
    <w:name w:val="Light List Accent 6"/>
    <w:basedOn w:val="TableNormal"/>
    <w:uiPriority w:val="61"/>
    <w:semiHidden/>
    <w:rsid w:val="0098410D"/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4D4D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</w:style>
  <w:style w:type="table" w:styleId="LightShading">
    <w:name w:val="Light Shading"/>
    <w:basedOn w:val="TableNormal"/>
    <w:uiPriority w:val="60"/>
    <w:semiHidden/>
    <w:rsid w:val="0098410D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semiHidden/>
    <w:rsid w:val="0098410D"/>
    <w:rPr>
      <w:color w:val="00548C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</w:style>
  <w:style w:type="table" w:styleId="LightShading-Accent2">
    <w:name w:val="Light Shading Accent 2"/>
    <w:basedOn w:val="TableNormal"/>
    <w:uiPriority w:val="60"/>
    <w:semiHidden/>
    <w:rsid w:val="0098410D"/>
    <w:rPr>
      <w:color w:val="8F0000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</w:style>
  <w:style w:type="table" w:styleId="LightShading-Accent3">
    <w:name w:val="Light Shading Accent 3"/>
    <w:basedOn w:val="TableNormal"/>
    <w:uiPriority w:val="60"/>
    <w:semiHidden/>
    <w:rsid w:val="0098410D"/>
    <w:rPr>
      <w:color w:val="474747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styleId="LightShading-Accent4">
    <w:name w:val="Light Shading Accent 4"/>
    <w:basedOn w:val="TableNormal"/>
    <w:uiPriority w:val="60"/>
    <w:semiHidden/>
    <w:rsid w:val="0098410D"/>
    <w:rPr>
      <w:color w:val="707070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</w:style>
  <w:style w:type="table" w:styleId="LightShading-Accent5">
    <w:name w:val="Light Shading Accent 5"/>
    <w:basedOn w:val="TableNormal"/>
    <w:uiPriority w:val="60"/>
    <w:semiHidden/>
    <w:rsid w:val="0098410D"/>
    <w:rPr>
      <w:color w:val="474747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styleId="LightShading-Accent6">
    <w:name w:val="Light Shading Accent 6"/>
    <w:basedOn w:val="TableNormal"/>
    <w:uiPriority w:val="60"/>
    <w:semiHidden/>
    <w:rsid w:val="0098410D"/>
    <w:rPr>
      <w:color w:val="393939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</w:style>
  <w:style w:type="character" w:styleId="LineNumber">
    <w:name w:val="line number"/>
    <w:basedOn w:val="DefaultParagraphFont"/>
    <w:uiPriority w:val="99"/>
    <w:semiHidden/>
    <w:rsid w:val="0098410D"/>
  </w:style>
  <w:style w:type="paragraph" w:styleId="List">
    <w:name w:val="List"/>
    <w:basedOn w:val="Normal"/>
    <w:uiPriority w:val="99"/>
    <w:semiHidden/>
    <w:rsid w:val="0098410D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rsid w:val="0098410D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rsid w:val="0098410D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rsid w:val="0098410D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rsid w:val="0098410D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rsid w:val="0098410D"/>
    <w:pPr>
      <w:numPr>
        <w:numId w:val="13"/>
      </w:numPr>
      <w:contextualSpacing/>
    </w:pPr>
  </w:style>
  <w:style w:type="paragraph" w:styleId="ListBullet4">
    <w:name w:val="List Bullet 4"/>
    <w:basedOn w:val="Normal"/>
    <w:uiPriority w:val="99"/>
    <w:semiHidden/>
    <w:rsid w:val="0098410D"/>
    <w:pPr>
      <w:numPr>
        <w:numId w:val="14"/>
      </w:numPr>
      <w:contextualSpacing/>
    </w:pPr>
  </w:style>
  <w:style w:type="paragraph" w:styleId="ListBullet5">
    <w:name w:val="List Bullet 5"/>
    <w:basedOn w:val="Normal"/>
    <w:uiPriority w:val="99"/>
    <w:semiHidden/>
    <w:rsid w:val="0098410D"/>
    <w:pPr>
      <w:numPr>
        <w:numId w:val="15"/>
      </w:numPr>
      <w:contextualSpacing/>
    </w:pPr>
  </w:style>
  <w:style w:type="paragraph" w:styleId="ListContinue">
    <w:name w:val="List Continue"/>
    <w:basedOn w:val="Normal"/>
    <w:uiPriority w:val="99"/>
    <w:semiHidden/>
    <w:rsid w:val="0098410D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rsid w:val="0098410D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rsid w:val="0098410D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rsid w:val="0098410D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rsid w:val="0098410D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rsid w:val="0098410D"/>
    <w:pPr>
      <w:numPr>
        <w:numId w:val="16"/>
      </w:numPr>
      <w:contextualSpacing/>
    </w:pPr>
  </w:style>
  <w:style w:type="paragraph" w:styleId="ListNumber2">
    <w:name w:val="List Number 2"/>
    <w:basedOn w:val="Normal"/>
    <w:uiPriority w:val="99"/>
    <w:semiHidden/>
    <w:rsid w:val="0098410D"/>
    <w:pPr>
      <w:numPr>
        <w:numId w:val="17"/>
      </w:numPr>
      <w:contextualSpacing/>
    </w:pPr>
  </w:style>
  <w:style w:type="paragraph" w:styleId="ListNumber3">
    <w:name w:val="List Number 3"/>
    <w:basedOn w:val="Normal"/>
    <w:uiPriority w:val="99"/>
    <w:semiHidden/>
    <w:rsid w:val="0098410D"/>
    <w:pPr>
      <w:numPr>
        <w:numId w:val="18"/>
      </w:numPr>
      <w:contextualSpacing/>
    </w:pPr>
  </w:style>
  <w:style w:type="paragraph" w:styleId="ListNumber4">
    <w:name w:val="List Number 4"/>
    <w:basedOn w:val="Normal"/>
    <w:uiPriority w:val="99"/>
    <w:semiHidden/>
    <w:rsid w:val="0098410D"/>
    <w:pPr>
      <w:numPr>
        <w:numId w:val="19"/>
      </w:numPr>
      <w:contextualSpacing/>
    </w:pPr>
  </w:style>
  <w:style w:type="paragraph" w:styleId="ListNumber5">
    <w:name w:val="List Number 5"/>
    <w:basedOn w:val="Normal"/>
    <w:uiPriority w:val="99"/>
    <w:semiHidden/>
    <w:rsid w:val="0098410D"/>
    <w:pPr>
      <w:numPr>
        <w:numId w:val="20"/>
      </w:numPr>
      <w:contextualSpacing/>
    </w:pPr>
  </w:style>
  <w:style w:type="paragraph" w:styleId="MacroText">
    <w:name w:val="macro"/>
    <w:link w:val="MacroTextChar"/>
    <w:uiPriority w:val="99"/>
    <w:semiHidden/>
    <w:rsid w:val="0098410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="MS Mincho" w:hAnsi="Consolas" w:cs="Consolas"/>
      <w:lang w:val="bg-BG" w:eastAsia="bg-BG"/>
    </w:rPr>
  </w:style>
  <w:style w:type="character" w:customStyle="1" w:styleId="MacroTextChar">
    <w:name w:val="Macro Text Char"/>
    <w:link w:val="MacroText"/>
    <w:uiPriority w:val="99"/>
    <w:semiHidden/>
    <w:rsid w:val="0098410D"/>
    <w:rPr>
      <w:rFonts w:ascii="Consolas" w:eastAsia="MS Mincho" w:hAnsi="Consolas" w:cs="Consolas"/>
      <w:sz w:val="20"/>
      <w:szCs w:val="20"/>
      <w:lang w:val="bg-BG" w:eastAsia="bg-BG"/>
    </w:rPr>
  </w:style>
  <w:style w:type="table" w:styleId="MediumGrid1">
    <w:name w:val="Medium Grid 1"/>
    <w:basedOn w:val="TableNormal"/>
    <w:uiPriority w:val="67"/>
    <w:semiHidden/>
    <w:rsid w:val="0098410D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semiHidden/>
    <w:rsid w:val="0098410D"/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  <w:insideV w:val="single" w:sz="8" w:space="0" w:color="0D9FFF"/>
      </w:tblBorders>
    </w:tblPr>
    <w:tcPr>
      <w:shd w:val="clear" w:color="auto" w:fill="AFDFF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/>
      </w:tcPr>
    </w:tblStylePr>
    <w:tblStylePr w:type="band1Horz">
      <w:tblPr/>
      <w:tcPr>
        <w:shd w:val="clear" w:color="auto" w:fill="5EBFFF"/>
      </w:tcPr>
    </w:tblStylePr>
  </w:style>
  <w:style w:type="table" w:styleId="MediumGrid1-Accent2">
    <w:name w:val="Medium Grid 1 Accent 2"/>
    <w:basedOn w:val="TableNormal"/>
    <w:uiPriority w:val="67"/>
    <w:semiHidden/>
    <w:rsid w:val="0098410D"/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  <w:insideV w:val="single" w:sz="8" w:space="0" w:color="FF1010"/>
      </w:tblBorders>
    </w:tblPr>
    <w:tcPr>
      <w:shd w:val="clear" w:color="auto" w:fill="FFB0B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/>
      </w:tcPr>
    </w:tblStylePr>
    <w:tblStylePr w:type="band1Horz">
      <w:tblPr/>
      <w:tcPr>
        <w:shd w:val="clear" w:color="auto" w:fill="FF6060"/>
      </w:tcPr>
    </w:tblStylePr>
  </w:style>
  <w:style w:type="table" w:styleId="MediumGrid1-Accent3">
    <w:name w:val="Medium Grid 1 Accent 3"/>
    <w:basedOn w:val="TableNormal"/>
    <w:uiPriority w:val="67"/>
    <w:semiHidden/>
    <w:rsid w:val="0098410D"/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</w:tblPr>
    <w:tcPr>
      <w:shd w:val="clear" w:color="auto" w:fill="D7D7D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MediumGrid1-Accent4">
    <w:name w:val="Medium Grid 1 Accent 4"/>
    <w:basedOn w:val="TableNormal"/>
    <w:uiPriority w:val="67"/>
    <w:semiHidden/>
    <w:rsid w:val="0098410D"/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  <w:insideV w:val="single" w:sz="8" w:space="0" w:color="B0B0B0"/>
      </w:tblBorders>
    </w:tblPr>
    <w:tcPr>
      <w:shd w:val="clear" w:color="auto" w:fill="E5E5E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/>
      </w:tcPr>
    </w:tblStylePr>
    <w:tblStylePr w:type="band1Horz">
      <w:tblPr/>
      <w:tcPr>
        <w:shd w:val="clear" w:color="auto" w:fill="CACACA"/>
      </w:tcPr>
    </w:tblStylePr>
  </w:style>
  <w:style w:type="table" w:styleId="MediumGrid1-Accent5">
    <w:name w:val="Medium Grid 1 Accent 5"/>
    <w:basedOn w:val="TableNormal"/>
    <w:uiPriority w:val="67"/>
    <w:semiHidden/>
    <w:rsid w:val="0098410D"/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</w:tblPr>
    <w:tcPr>
      <w:shd w:val="clear" w:color="auto" w:fill="D7D7D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MediumGrid1-Accent6">
    <w:name w:val="Medium Grid 1 Accent 6"/>
    <w:basedOn w:val="TableNormal"/>
    <w:uiPriority w:val="67"/>
    <w:semiHidden/>
    <w:rsid w:val="0098410D"/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  <w:insideV w:val="single" w:sz="8" w:space="0" w:color="797979"/>
      </w:tblBorders>
    </w:tblPr>
    <w:tcPr>
      <w:shd w:val="clear" w:color="auto" w:fill="D3D3D3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/>
      </w:tcPr>
    </w:tblStylePr>
    <w:tblStylePr w:type="band1Horz">
      <w:tblPr/>
      <w:tcPr>
        <w:shd w:val="clear" w:color="auto" w:fill="A6A6A6"/>
      </w:tcPr>
    </w:tblStylePr>
  </w:style>
  <w:style w:type="table" w:styleId="MediumGrid2">
    <w:name w:val="Medium Grid 2"/>
    <w:basedOn w:val="TableNormal"/>
    <w:uiPriority w:val="68"/>
    <w:semiHidden/>
    <w:rsid w:val="0098410D"/>
    <w:rPr>
      <w:rFonts w:eastAsia="MS Gothic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0072BC"/>
      </w:tcPr>
    </w:tblStylePr>
  </w:style>
  <w:style w:type="table" w:styleId="MediumGrid2-Accent1">
    <w:name w:val="Medium Grid 2 Accent 1"/>
    <w:basedOn w:val="TableNormal"/>
    <w:uiPriority w:val="68"/>
    <w:semiHidden/>
    <w:rsid w:val="0098410D"/>
    <w:rPr>
      <w:rFonts w:eastAsia="MS Gothic"/>
      <w:color w:val="000000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</w:tblPr>
    <w:tcPr>
      <w:shd w:val="clear" w:color="auto" w:fill="AFDFFF"/>
    </w:tcPr>
    <w:tblStylePr w:type="firstRow">
      <w:rPr>
        <w:b/>
        <w:bCs/>
        <w:color w:val="000000"/>
      </w:rPr>
      <w:tblPr/>
      <w:tcPr>
        <w:shd w:val="clear" w:color="auto" w:fill="DFF2F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/>
      </w:tcPr>
    </w:tblStylePr>
    <w:tblStylePr w:type="band1Vert">
      <w:tblPr/>
      <w:tcPr>
        <w:shd w:val="clear" w:color="auto" w:fill="5EBFFF"/>
      </w:tcPr>
    </w:tblStylePr>
    <w:tblStylePr w:type="band1Horz">
      <w:tblPr/>
      <w:tcPr>
        <w:tcBorders>
          <w:insideH w:val="single" w:sz="6" w:space="0" w:color="0072BC"/>
          <w:insideV w:val="single" w:sz="6" w:space="0" w:color="0072BC"/>
        </w:tcBorders>
        <w:shd w:val="clear" w:color="auto" w:fill="5EBFFF"/>
      </w:tcPr>
    </w:tblStylePr>
    <w:tblStylePr w:type="nwCell">
      <w:tblPr/>
      <w:tcPr>
        <w:shd w:val="clear" w:color="auto" w:fill="0072BC"/>
      </w:tcPr>
    </w:tblStylePr>
  </w:style>
  <w:style w:type="table" w:styleId="MediumGrid2-Accent2">
    <w:name w:val="Medium Grid 2 Accent 2"/>
    <w:basedOn w:val="TableNormal"/>
    <w:uiPriority w:val="68"/>
    <w:semiHidden/>
    <w:rsid w:val="0098410D"/>
    <w:rPr>
      <w:rFonts w:eastAsia="MS Gothic"/>
      <w:color w:val="000000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</w:tblPr>
    <w:tcPr>
      <w:shd w:val="clear" w:color="auto" w:fill="FFB0B0"/>
    </w:tcPr>
    <w:tblStylePr w:type="firstRow">
      <w:rPr>
        <w:b/>
        <w:bCs/>
        <w:color w:val="000000"/>
      </w:rPr>
      <w:tblPr/>
      <w:tcPr>
        <w:shd w:val="clear" w:color="auto" w:fill="FFDFD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/>
      </w:tcPr>
    </w:tblStylePr>
    <w:tblStylePr w:type="band1Vert">
      <w:tblPr/>
      <w:tcPr>
        <w:shd w:val="clear" w:color="auto" w:fill="FF6060"/>
      </w:tcPr>
    </w:tblStylePr>
    <w:tblStylePr w:type="band1Horz">
      <w:tblPr/>
      <w:tcPr>
        <w:tcBorders>
          <w:insideH w:val="single" w:sz="6" w:space="0" w:color="C00000"/>
          <w:insideV w:val="single" w:sz="6" w:space="0" w:color="C00000"/>
        </w:tcBorders>
        <w:shd w:val="clear" w:color="auto" w:fill="FF6060"/>
      </w:tcPr>
    </w:tblStylePr>
    <w:tblStylePr w:type="nwCell">
      <w:tblPr/>
      <w:tcPr>
        <w:shd w:val="clear" w:color="auto" w:fill="0072BC"/>
      </w:tcPr>
    </w:tblStylePr>
  </w:style>
  <w:style w:type="table" w:styleId="MediumGrid2-Accent3">
    <w:name w:val="Medium Grid 2 Accent 3"/>
    <w:basedOn w:val="TableNormal"/>
    <w:uiPriority w:val="68"/>
    <w:semiHidden/>
    <w:rsid w:val="0098410D"/>
    <w:rPr>
      <w:rFonts w:eastAsia="MS Gothic"/>
      <w:color w:val="000000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cPr>
      <w:shd w:val="clear" w:color="auto" w:fill="D7D7D7"/>
    </w:tcPr>
    <w:tblStylePr w:type="firstRow">
      <w:rPr>
        <w:b/>
        <w:bCs/>
        <w:color w:val="000000"/>
      </w:rPr>
      <w:tblPr/>
      <w:tcPr>
        <w:shd w:val="clear" w:color="auto" w:fill="EFEFE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tblPr/>
      <w:tcPr>
        <w:shd w:val="clear" w:color="auto" w:fill="0072BC"/>
      </w:tcPr>
    </w:tblStylePr>
  </w:style>
  <w:style w:type="table" w:styleId="MediumGrid2-Accent4">
    <w:name w:val="Medium Grid 2 Accent 4"/>
    <w:basedOn w:val="TableNormal"/>
    <w:uiPriority w:val="68"/>
    <w:semiHidden/>
    <w:rsid w:val="0098410D"/>
    <w:rPr>
      <w:rFonts w:eastAsia="MS Gothic"/>
      <w:color w:val="000000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</w:tblPr>
    <w:tcPr>
      <w:shd w:val="clear" w:color="auto" w:fill="E5E5E5"/>
    </w:tcPr>
    <w:tblStylePr w:type="firstRow">
      <w:rPr>
        <w:b/>
        <w:bCs/>
        <w:color w:val="000000"/>
      </w:rPr>
      <w:tblPr/>
      <w:tcPr>
        <w:shd w:val="clear" w:color="auto" w:fill="F4F4F4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/>
      </w:tcPr>
    </w:tblStylePr>
    <w:tblStylePr w:type="band1Vert">
      <w:tblPr/>
      <w:tcPr>
        <w:shd w:val="clear" w:color="auto" w:fill="CACACA"/>
      </w:tcPr>
    </w:tblStylePr>
    <w:tblStylePr w:type="band1Horz">
      <w:tblPr/>
      <w:tcPr>
        <w:tcBorders>
          <w:insideH w:val="single" w:sz="6" w:space="0" w:color="969696"/>
          <w:insideV w:val="single" w:sz="6" w:space="0" w:color="969696"/>
        </w:tcBorders>
        <w:shd w:val="clear" w:color="auto" w:fill="CACACA"/>
      </w:tcPr>
    </w:tblStylePr>
    <w:tblStylePr w:type="nwCell">
      <w:tblPr/>
      <w:tcPr>
        <w:shd w:val="clear" w:color="auto" w:fill="0072BC"/>
      </w:tcPr>
    </w:tblStylePr>
  </w:style>
  <w:style w:type="table" w:styleId="MediumGrid2-Accent5">
    <w:name w:val="Medium Grid 2 Accent 5"/>
    <w:basedOn w:val="TableNormal"/>
    <w:uiPriority w:val="68"/>
    <w:semiHidden/>
    <w:rsid w:val="0098410D"/>
    <w:rPr>
      <w:rFonts w:eastAsia="MS Gothic"/>
      <w:color w:val="000000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cPr>
      <w:shd w:val="clear" w:color="auto" w:fill="D7D7D7"/>
    </w:tcPr>
    <w:tblStylePr w:type="firstRow">
      <w:rPr>
        <w:b/>
        <w:bCs/>
        <w:color w:val="000000"/>
      </w:rPr>
      <w:tblPr/>
      <w:tcPr>
        <w:shd w:val="clear" w:color="auto" w:fill="EFEFE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tblPr/>
      <w:tcPr>
        <w:shd w:val="clear" w:color="auto" w:fill="0072BC"/>
      </w:tcPr>
    </w:tblStylePr>
  </w:style>
  <w:style w:type="table" w:styleId="MediumGrid2-Accent6">
    <w:name w:val="Medium Grid 2 Accent 6"/>
    <w:basedOn w:val="TableNormal"/>
    <w:uiPriority w:val="68"/>
    <w:semiHidden/>
    <w:rsid w:val="0098410D"/>
    <w:rPr>
      <w:rFonts w:eastAsia="MS Gothic"/>
      <w:color w:val="000000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</w:tblPr>
    <w:tcPr>
      <w:shd w:val="clear" w:color="auto" w:fill="D3D3D3"/>
    </w:tcPr>
    <w:tblStylePr w:type="firstRow">
      <w:rPr>
        <w:b/>
        <w:bCs/>
        <w:color w:val="000000"/>
      </w:rPr>
      <w:tblPr/>
      <w:tcPr>
        <w:shd w:val="clear" w:color="auto" w:fill="ED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/>
      </w:tcPr>
    </w:tblStylePr>
    <w:tblStylePr w:type="band1Vert">
      <w:tblPr/>
      <w:tcPr>
        <w:shd w:val="clear" w:color="auto" w:fill="A6A6A6"/>
      </w:tcPr>
    </w:tblStylePr>
    <w:tblStylePr w:type="band1Horz">
      <w:tblPr/>
      <w:tcPr>
        <w:tcBorders>
          <w:insideH w:val="single" w:sz="6" w:space="0" w:color="4D4D4D"/>
          <w:insideV w:val="single" w:sz="6" w:space="0" w:color="4D4D4D"/>
        </w:tcBorders>
        <w:shd w:val="clear" w:color="auto" w:fill="A6A6A6"/>
      </w:tcPr>
    </w:tblStylePr>
    <w:tblStylePr w:type="nwCell">
      <w:tblPr/>
      <w:tcPr>
        <w:shd w:val="clear" w:color="auto" w:fill="0072BC"/>
      </w:tcPr>
    </w:tblStylePr>
  </w:style>
  <w:style w:type="table" w:styleId="MediumGrid3">
    <w:name w:val="Medium Grid 3"/>
    <w:basedOn w:val="TableNormal"/>
    <w:uiPriority w:val="69"/>
    <w:semiHidden/>
    <w:rsid w:val="0098410D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semiHidden/>
    <w:rsid w:val="0098410D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AFDFFF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72BC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5EBFF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5EBFFF"/>
      </w:tcPr>
    </w:tblStylePr>
  </w:style>
  <w:style w:type="table" w:styleId="MediumGrid3-Accent2">
    <w:name w:val="Medium Grid 3 Accent 2"/>
    <w:basedOn w:val="TableNormal"/>
    <w:uiPriority w:val="69"/>
    <w:semiHidden/>
    <w:rsid w:val="0098410D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FFB0B0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C00000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FF6060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FF6060"/>
      </w:tcPr>
    </w:tblStylePr>
  </w:style>
  <w:style w:type="table" w:styleId="MediumGrid3-Accent3">
    <w:name w:val="Medium Grid 3 Accent 3"/>
    <w:basedOn w:val="TableNormal"/>
    <w:uiPriority w:val="69"/>
    <w:semiHidden/>
    <w:rsid w:val="0098410D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7D7D7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styleId="MediumGrid3-Accent4">
    <w:name w:val="Medium Grid 3 Accent 4"/>
    <w:basedOn w:val="TableNormal"/>
    <w:uiPriority w:val="69"/>
    <w:semiHidden/>
    <w:rsid w:val="0098410D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E5E5E5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969696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CACACA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CACACA"/>
      </w:tcPr>
    </w:tblStylePr>
  </w:style>
  <w:style w:type="table" w:styleId="MediumGrid3-Accent5">
    <w:name w:val="Medium Grid 3 Accent 5"/>
    <w:basedOn w:val="TableNormal"/>
    <w:uiPriority w:val="69"/>
    <w:semiHidden/>
    <w:rsid w:val="0098410D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7D7D7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styleId="MediumGrid3-Accent6">
    <w:name w:val="Medium Grid 3 Accent 6"/>
    <w:basedOn w:val="TableNormal"/>
    <w:uiPriority w:val="69"/>
    <w:semiHidden/>
    <w:rsid w:val="0098410D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3D3D3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4D4D4D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6A6A6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6A6A6"/>
      </w:tcPr>
    </w:tblStylePr>
  </w:style>
  <w:style w:type="table" w:styleId="MediumList1">
    <w:name w:val="Medium List 1"/>
    <w:basedOn w:val="TableNormal"/>
    <w:uiPriority w:val="65"/>
    <w:semiHidden/>
    <w:rsid w:val="0098410D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semiHidden/>
    <w:rsid w:val="0098410D"/>
    <w:rPr>
      <w:color w:val="000000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0072BC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band1Vert">
      <w:tblPr/>
      <w:tcPr>
        <w:shd w:val="clear" w:color="auto" w:fill="AFDFFF"/>
      </w:tcPr>
    </w:tblStylePr>
    <w:tblStylePr w:type="band1Horz">
      <w:tblPr/>
      <w:tcPr>
        <w:shd w:val="clear" w:color="auto" w:fill="AFDFFF"/>
      </w:tcPr>
    </w:tblStylePr>
  </w:style>
  <w:style w:type="table" w:styleId="MediumList1-Accent2">
    <w:name w:val="Medium List 1 Accent 2"/>
    <w:basedOn w:val="TableNormal"/>
    <w:uiPriority w:val="65"/>
    <w:semiHidden/>
    <w:rsid w:val="0098410D"/>
    <w:rPr>
      <w:color w:val="000000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C00000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band1Vert">
      <w:tblPr/>
      <w:tcPr>
        <w:shd w:val="clear" w:color="auto" w:fill="FFB0B0"/>
      </w:tcPr>
    </w:tblStylePr>
    <w:tblStylePr w:type="band1Horz">
      <w:tblPr/>
      <w:tcPr>
        <w:shd w:val="clear" w:color="auto" w:fill="FFB0B0"/>
      </w:tcPr>
    </w:tblStylePr>
  </w:style>
  <w:style w:type="table" w:styleId="MediumList1-Accent3">
    <w:name w:val="Medium List 1 Accent 3"/>
    <w:basedOn w:val="TableNormal"/>
    <w:uiPriority w:val="65"/>
    <w:semiHidden/>
    <w:rsid w:val="0098410D"/>
    <w:rPr>
      <w:color w:val="000000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tblPr/>
      <w:tcPr>
        <w:shd w:val="clear" w:color="auto" w:fill="D7D7D7"/>
      </w:tcPr>
    </w:tblStylePr>
    <w:tblStylePr w:type="band1Horz">
      <w:tblPr/>
      <w:tcPr>
        <w:shd w:val="clear" w:color="auto" w:fill="D7D7D7"/>
      </w:tcPr>
    </w:tblStylePr>
  </w:style>
  <w:style w:type="table" w:styleId="MediumList1-Accent4">
    <w:name w:val="Medium List 1 Accent 4"/>
    <w:basedOn w:val="TableNormal"/>
    <w:uiPriority w:val="65"/>
    <w:semiHidden/>
    <w:rsid w:val="0098410D"/>
    <w:rPr>
      <w:color w:val="000000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969696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band1Vert">
      <w:tblPr/>
      <w:tcPr>
        <w:shd w:val="clear" w:color="auto" w:fill="E5E5E5"/>
      </w:tcPr>
    </w:tblStylePr>
    <w:tblStylePr w:type="band1Horz">
      <w:tblPr/>
      <w:tcPr>
        <w:shd w:val="clear" w:color="auto" w:fill="E5E5E5"/>
      </w:tcPr>
    </w:tblStylePr>
  </w:style>
  <w:style w:type="table" w:styleId="MediumList1-Accent5">
    <w:name w:val="Medium List 1 Accent 5"/>
    <w:basedOn w:val="TableNormal"/>
    <w:uiPriority w:val="65"/>
    <w:semiHidden/>
    <w:rsid w:val="0098410D"/>
    <w:rPr>
      <w:color w:val="000000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tblPr/>
      <w:tcPr>
        <w:shd w:val="clear" w:color="auto" w:fill="D7D7D7"/>
      </w:tcPr>
    </w:tblStylePr>
    <w:tblStylePr w:type="band1Horz">
      <w:tblPr/>
      <w:tcPr>
        <w:shd w:val="clear" w:color="auto" w:fill="D7D7D7"/>
      </w:tcPr>
    </w:tblStylePr>
  </w:style>
  <w:style w:type="table" w:styleId="MediumList1-Accent6">
    <w:name w:val="Medium List 1 Accent 6"/>
    <w:basedOn w:val="TableNormal"/>
    <w:uiPriority w:val="65"/>
    <w:semiHidden/>
    <w:rsid w:val="0098410D"/>
    <w:rPr>
      <w:color w:val="000000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4D4D4D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band1Vert">
      <w:tblPr/>
      <w:tcPr>
        <w:shd w:val="clear" w:color="auto" w:fill="D3D3D3"/>
      </w:tcPr>
    </w:tblStylePr>
    <w:tblStylePr w:type="band1Horz">
      <w:tblPr/>
      <w:tcPr>
        <w:shd w:val="clear" w:color="auto" w:fill="D3D3D3"/>
      </w:tcPr>
    </w:tblStylePr>
  </w:style>
  <w:style w:type="table" w:styleId="MediumList2">
    <w:name w:val="Medium List 2"/>
    <w:basedOn w:val="TableNormal"/>
    <w:uiPriority w:val="66"/>
    <w:semiHidden/>
    <w:rsid w:val="0098410D"/>
    <w:rPr>
      <w:rFonts w:eastAsia="MS Gothic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rsid w:val="0098410D"/>
    <w:rPr>
      <w:rFonts w:eastAsia="MS Gothic"/>
      <w:color w:val="000000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rsid w:val="0098410D"/>
    <w:rPr>
      <w:rFonts w:eastAsia="MS Gothic"/>
      <w:color w:val="000000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C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C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rsid w:val="0098410D"/>
    <w:rPr>
      <w:rFonts w:eastAsia="MS Gothic"/>
      <w:color w:val="000000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rsid w:val="0098410D"/>
    <w:rPr>
      <w:rFonts w:eastAsia="MS Gothic"/>
      <w:color w:val="000000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969696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969696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rsid w:val="0098410D"/>
    <w:rPr>
      <w:rFonts w:eastAsia="MS Gothic"/>
      <w:color w:val="000000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rsid w:val="0098410D"/>
    <w:rPr>
      <w:rFonts w:eastAsia="MS Gothic"/>
      <w:color w:val="000000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4D4D4D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4D4D4D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rsid w:val="0098410D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rsid w:val="0098410D"/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rsid w:val="0098410D"/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rsid w:val="0098410D"/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rsid w:val="0098410D"/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rsid w:val="0098410D"/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rsid w:val="0098410D"/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rsid w:val="0098410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rsid w:val="0098410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rsid w:val="0098410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rsid w:val="0098410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rsid w:val="0098410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rsid w:val="0098410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rsid w:val="0098410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rsid w:val="0098410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eastAsia="MS Gothic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98410D"/>
    <w:rPr>
      <w:rFonts w:ascii="Times New Roman" w:eastAsia="MS Gothic" w:hAnsi="Times New Roman" w:cs="Times New Roman"/>
      <w:sz w:val="24"/>
      <w:szCs w:val="24"/>
      <w:lang w:val="bg-BG" w:eastAsia="bg-BG"/>
    </w:rPr>
  </w:style>
  <w:style w:type="paragraph" w:styleId="NormalWeb">
    <w:name w:val="Normal (Web)"/>
    <w:basedOn w:val="Normal"/>
    <w:uiPriority w:val="99"/>
    <w:semiHidden/>
    <w:rsid w:val="0098410D"/>
    <w:rPr>
      <w:szCs w:val="24"/>
    </w:rPr>
  </w:style>
  <w:style w:type="paragraph" w:styleId="NormalIndent">
    <w:name w:val="Normal Indent"/>
    <w:basedOn w:val="Normal"/>
    <w:uiPriority w:val="99"/>
    <w:semiHidden/>
    <w:rsid w:val="0098410D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rsid w:val="0098410D"/>
  </w:style>
  <w:style w:type="character" w:customStyle="1" w:styleId="NoteHeadingChar">
    <w:name w:val="Note Heading Char"/>
    <w:link w:val="NoteHeading"/>
    <w:uiPriority w:val="99"/>
    <w:semiHidden/>
    <w:rsid w:val="0098410D"/>
    <w:rPr>
      <w:rFonts w:eastAsia="MS Mincho"/>
      <w:sz w:val="24"/>
      <w:lang w:val="bg-BG" w:eastAsia="bg-BG"/>
    </w:rPr>
  </w:style>
  <w:style w:type="character" w:styleId="PlaceholderText">
    <w:name w:val="Placeholder Text"/>
    <w:uiPriority w:val="99"/>
    <w:semiHidden/>
    <w:rsid w:val="00F0202E"/>
    <w:rPr>
      <w:color w:val="000000"/>
      <w:bdr w:val="none" w:sz="0" w:space="0" w:color="auto"/>
      <w:lang w:val="bg-BG" w:eastAsia="bg-BG"/>
    </w:rPr>
  </w:style>
  <w:style w:type="paragraph" w:styleId="PlainText">
    <w:name w:val="Plain Text"/>
    <w:basedOn w:val="Normal"/>
    <w:link w:val="PlainTextChar"/>
    <w:uiPriority w:val="99"/>
    <w:semiHidden/>
    <w:rsid w:val="0098410D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semiHidden/>
    <w:rsid w:val="0098410D"/>
    <w:rPr>
      <w:rFonts w:ascii="Consolas" w:eastAsia="MS Mincho" w:hAnsi="Consolas" w:cs="Consolas"/>
      <w:sz w:val="21"/>
      <w:szCs w:val="21"/>
      <w:lang w:val="bg-BG" w:eastAsia="bg-BG"/>
    </w:rPr>
  </w:style>
  <w:style w:type="paragraph" w:styleId="Salutation">
    <w:name w:val="Salutation"/>
    <w:basedOn w:val="Normal"/>
    <w:next w:val="Normal"/>
    <w:link w:val="SalutationChar"/>
    <w:uiPriority w:val="99"/>
    <w:semiHidden/>
    <w:rsid w:val="0098410D"/>
  </w:style>
  <w:style w:type="character" w:customStyle="1" w:styleId="SalutationChar">
    <w:name w:val="Salutation Char"/>
    <w:link w:val="Salutation"/>
    <w:uiPriority w:val="99"/>
    <w:semiHidden/>
    <w:rsid w:val="0098410D"/>
    <w:rPr>
      <w:rFonts w:eastAsia="MS Mincho"/>
      <w:sz w:val="24"/>
      <w:lang w:val="bg-BG" w:eastAsia="bg-BG"/>
    </w:rPr>
  </w:style>
  <w:style w:type="paragraph" w:styleId="Signature">
    <w:name w:val="Signature"/>
    <w:basedOn w:val="Normal"/>
    <w:link w:val="SignatureChar"/>
    <w:uiPriority w:val="99"/>
    <w:semiHidden/>
    <w:rsid w:val="0098410D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98410D"/>
    <w:rPr>
      <w:rFonts w:eastAsia="MS Mincho"/>
      <w:sz w:val="24"/>
      <w:lang w:val="bg-BG" w:eastAsia="bg-BG"/>
    </w:rPr>
  </w:style>
  <w:style w:type="table" w:styleId="Table3Deffects1">
    <w:name w:val="Table 3D effects 1"/>
    <w:basedOn w:val="TableNormal"/>
    <w:uiPriority w:val="99"/>
    <w:semiHidden/>
    <w:unhideWhenUsed/>
    <w:rsid w:val="0098410D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8410D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8410D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8410D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8410D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8410D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8410D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8410D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8410D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8410D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8410D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8410D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8410D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8410D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8410D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8410D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8410D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8410D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8410D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8410D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8410D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8410D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8410D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8410D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8410D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8410D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8410D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8410D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8410D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8410D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8410D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8410D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8410D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rsid w:val="0098410D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rsid w:val="0098410D"/>
  </w:style>
  <w:style w:type="table" w:styleId="TableProfessional">
    <w:name w:val="Table Professional"/>
    <w:basedOn w:val="TableNormal"/>
    <w:uiPriority w:val="99"/>
    <w:semiHidden/>
    <w:unhideWhenUsed/>
    <w:rsid w:val="0098410D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8410D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8410D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8410D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8410D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8410D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8410D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8410D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8410D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8410D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6">
    <w:name w:val="toc 6"/>
    <w:basedOn w:val="Normal"/>
    <w:next w:val="Normal"/>
    <w:autoRedefine/>
    <w:uiPriority w:val="99"/>
    <w:semiHidden/>
    <w:rsid w:val="00F0202E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TOC7">
    <w:name w:val="toc 7"/>
    <w:basedOn w:val="Normal"/>
    <w:next w:val="Normal"/>
    <w:autoRedefine/>
    <w:uiPriority w:val="99"/>
    <w:semiHidden/>
    <w:rsid w:val="00F0202E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TOC8">
    <w:name w:val="toc 8"/>
    <w:basedOn w:val="Normal"/>
    <w:next w:val="Normal"/>
    <w:autoRedefine/>
    <w:uiPriority w:val="99"/>
    <w:semiHidden/>
    <w:rsid w:val="0098410D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98410D"/>
    <w:pPr>
      <w:spacing w:after="100"/>
      <w:ind w:left="1920"/>
    </w:pPr>
  </w:style>
  <w:style w:type="paragraph" w:customStyle="1" w:styleId="OpiParaSub">
    <w:name w:val="Opi_Para_Sub"/>
    <w:basedOn w:val="JuParaSub"/>
    <w:uiPriority w:val="47"/>
    <w:qFormat/>
    <w:rsid w:val="00F0202E"/>
  </w:style>
  <w:style w:type="paragraph" w:customStyle="1" w:styleId="OpiQuot">
    <w:name w:val="Opi_Quot"/>
    <w:basedOn w:val="ECHRParaQuote"/>
    <w:uiPriority w:val="48"/>
    <w:qFormat/>
    <w:rsid w:val="00F0202E"/>
  </w:style>
  <w:style w:type="paragraph" w:customStyle="1" w:styleId="ECHRFooter">
    <w:name w:val="ECHR_Footer"/>
    <w:aliases w:val="Footer_ECHR"/>
    <w:basedOn w:val="Footer"/>
    <w:uiPriority w:val="57"/>
    <w:semiHidden/>
    <w:rsid w:val="00F0202E"/>
    <w:pPr>
      <w:jc w:val="left"/>
    </w:pPr>
    <w:rPr>
      <w:sz w:val="8"/>
    </w:rPr>
  </w:style>
  <w:style w:type="paragraph" w:customStyle="1" w:styleId="ECHRFooterLine">
    <w:name w:val="ECHR_Footer_Line"/>
    <w:aliases w:val="Footer_Line"/>
    <w:basedOn w:val="Normal"/>
    <w:next w:val="ECHRFooter"/>
    <w:uiPriority w:val="57"/>
    <w:semiHidden/>
    <w:rsid w:val="00F0202E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ECHRTitleCentre2">
    <w:name w:val="ECHR_Title_Centre_2"/>
    <w:aliases w:val="Dec_H_Case"/>
    <w:basedOn w:val="Normal"/>
    <w:next w:val="ECHRPara"/>
    <w:uiPriority w:val="8"/>
    <w:semiHidden/>
    <w:qFormat/>
    <w:rsid w:val="00F0202E"/>
    <w:pPr>
      <w:spacing w:after="240"/>
      <w:jc w:val="center"/>
      <w:outlineLvl w:val="0"/>
    </w:pPr>
  </w:style>
  <w:style w:type="paragraph" w:customStyle="1" w:styleId="OpiQuotSub">
    <w:name w:val="Opi_Quot_Sub"/>
    <w:basedOn w:val="JuQuotSub"/>
    <w:uiPriority w:val="49"/>
    <w:qFormat/>
    <w:rsid w:val="00F0202E"/>
  </w:style>
  <w:style w:type="paragraph" w:customStyle="1" w:styleId="JuHeaderLandscape">
    <w:name w:val="Ju_Header_Landscape"/>
    <w:basedOn w:val="ECHRHeader"/>
    <w:uiPriority w:val="4"/>
    <w:qFormat/>
    <w:rsid w:val="00F0202E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OpiTranslation">
    <w:name w:val="Opi_Translation"/>
    <w:basedOn w:val="Normal"/>
    <w:next w:val="OpiPara"/>
    <w:uiPriority w:val="40"/>
    <w:qFormat/>
    <w:rsid w:val="00F0202E"/>
    <w:pPr>
      <w:jc w:val="center"/>
      <w:outlineLvl w:val="0"/>
    </w:pPr>
    <w:rPr>
      <w:i/>
    </w:rPr>
  </w:style>
  <w:style w:type="character" w:customStyle="1" w:styleId="ECHRParaChar">
    <w:name w:val="ECHR_Para Char"/>
    <w:aliases w:val="Ju_Para Char"/>
    <w:link w:val="ECHRPara"/>
    <w:uiPriority w:val="12"/>
    <w:rsid w:val="0044682D"/>
    <w:rPr>
      <w:rFonts w:eastAsia="MS Mincho"/>
      <w:sz w:val="24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4655</Words>
  <Characters>26536</Characters>
  <Application>Microsoft Office Word</Application>
  <DocSecurity>0</DocSecurity>
  <Lines>221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2019-05-13T11:40:00Z</dcterms:created>
  <dcterms:modified xsi:type="dcterms:W3CDTF">2019-05-13T11:41:00Z</dcterms:modified>
  <cp:category/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