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72" w:rsidRPr="00851929" w:rsidRDefault="008D5372" w:rsidP="00270F4F">
      <w:pPr>
        <w:shd w:val="clear" w:color="auto" w:fill="FFFFFF"/>
        <w:spacing w:after="150"/>
        <w:jc w:val="center"/>
        <w:rPr>
          <w:b/>
          <w:lang w:val="bg-BG"/>
        </w:rPr>
      </w:pPr>
      <w:r w:rsidRPr="00851929">
        <w:rPr>
          <w:b/>
          <w:lang w:val="bg-BG"/>
        </w:rPr>
        <w:t>ЕВРОПЕЙСКИ СЪД ПО ПРАВАТА НА ЧОВЕКА</w:t>
      </w:r>
    </w:p>
    <w:p w:rsidR="008D5372" w:rsidRPr="00851929" w:rsidRDefault="008D5372" w:rsidP="00270F4F">
      <w:pPr>
        <w:jc w:val="center"/>
        <w:rPr>
          <w:lang w:val="bg-BG"/>
        </w:rPr>
      </w:pPr>
    </w:p>
    <w:p w:rsidR="008D5372" w:rsidRPr="00851929" w:rsidRDefault="008D5372" w:rsidP="00270F4F">
      <w:pPr>
        <w:jc w:val="center"/>
        <w:rPr>
          <w:lang w:val="bg-BG"/>
        </w:rPr>
      </w:pPr>
    </w:p>
    <w:p w:rsidR="008D5372" w:rsidRPr="00723AE8" w:rsidRDefault="008D5372" w:rsidP="00270F4F">
      <w:pPr>
        <w:pStyle w:val="DecHCase"/>
        <w:rPr>
          <w:lang w:val="bg-BG"/>
        </w:rPr>
      </w:pPr>
      <w:r>
        <w:rPr>
          <w:lang w:val="bg-BG"/>
        </w:rPr>
        <w:t>ПЕТ</w:t>
      </w:r>
      <w:r>
        <w:rPr>
          <w:lang w:val="en-US"/>
        </w:rPr>
        <w:t>O</w:t>
      </w:r>
      <w:r w:rsidRPr="00CF1469">
        <w:rPr>
          <w:lang w:val="bg-BG"/>
        </w:rPr>
        <w:t xml:space="preserve"> </w:t>
      </w:r>
      <w:r>
        <w:rPr>
          <w:lang w:val="bg-BG"/>
        </w:rPr>
        <w:t>ОТДЕЛЕНИЕ</w:t>
      </w:r>
    </w:p>
    <w:p w:rsidR="008D5372" w:rsidRPr="00270F4F" w:rsidRDefault="008D5372" w:rsidP="00270F4F">
      <w:pPr>
        <w:pStyle w:val="DecHCase"/>
        <w:rPr>
          <w:b/>
          <w:lang w:val="bg-BG"/>
        </w:rPr>
      </w:pPr>
      <w:r w:rsidRPr="00270F4F">
        <w:rPr>
          <w:b/>
          <w:lang w:val="bg-BG"/>
        </w:rPr>
        <w:t>ДЕЛО ДЕРМАНСКИ срещу БЪЛГАРИЯ</w:t>
      </w:r>
    </w:p>
    <w:p w:rsidR="008D5372" w:rsidRPr="00851929" w:rsidRDefault="008D5372" w:rsidP="00270F4F">
      <w:pPr>
        <w:pStyle w:val="ECHRCoverTitle4"/>
        <w:rPr>
          <w:lang w:val="bg-BG"/>
        </w:rPr>
      </w:pPr>
      <w:r w:rsidRPr="00851929">
        <w:rPr>
          <w:lang w:val="bg-BG"/>
        </w:rPr>
        <w:t xml:space="preserve">(Жалба № </w:t>
      </w:r>
      <w:r w:rsidRPr="006213AD">
        <w:rPr>
          <w:lang w:val="bg-BG"/>
        </w:rPr>
        <w:t>61322/10</w:t>
      </w:r>
      <w:r w:rsidRPr="00851929">
        <w:rPr>
          <w:lang w:val="bg-BG"/>
        </w:rPr>
        <w:t>)</w:t>
      </w:r>
    </w:p>
    <w:p w:rsidR="008D5372" w:rsidRPr="00270F4F" w:rsidRDefault="008D5372" w:rsidP="00F03289">
      <w:pPr>
        <w:rPr>
          <w:lang w:val="bg-BG"/>
        </w:rPr>
      </w:pPr>
    </w:p>
    <w:p w:rsidR="008D5372" w:rsidRPr="006213AD" w:rsidRDefault="008D5372" w:rsidP="00F03289">
      <w:pPr>
        <w:rPr>
          <w:lang w:val="bg-BG"/>
        </w:rPr>
      </w:pPr>
    </w:p>
    <w:p w:rsidR="008D5372" w:rsidRPr="006213AD" w:rsidRDefault="008D5372" w:rsidP="00F03289">
      <w:pPr>
        <w:pStyle w:val="DecHCase"/>
        <w:rPr>
          <w:lang w:val="bg-BG"/>
        </w:rPr>
      </w:pPr>
    </w:p>
    <w:p w:rsidR="008D5372" w:rsidRPr="006213AD" w:rsidRDefault="008D5372" w:rsidP="00BE3D94">
      <w:pPr>
        <w:pStyle w:val="JuPara"/>
        <w:rPr>
          <w:lang w:val="bg-BG"/>
        </w:rPr>
      </w:pPr>
    </w:p>
    <w:p w:rsidR="008D5372" w:rsidRPr="006213AD" w:rsidRDefault="008D5372" w:rsidP="00F03289">
      <w:pPr>
        <w:pStyle w:val="DecHCase"/>
        <w:rPr>
          <w:lang w:val="bg-BG"/>
        </w:rPr>
      </w:pPr>
    </w:p>
    <w:p w:rsidR="008D5372" w:rsidRPr="006213AD" w:rsidRDefault="008D5372" w:rsidP="00F03289">
      <w:pPr>
        <w:pStyle w:val="DecHCase"/>
        <w:rPr>
          <w:lang w:val="bg-BG"/>
        </w:rPr>
      </w:pPr>
      <w:r>
        <w:rPr>
          <w:lang w:val="bg-BG"/>
        </w:rPr>
        <w:t>РЕШЕНИЕ</w:t>
      </w:r>
      <w:r w:rsidRPr="006213AD">
        <w:rPr>
          <w:lang w:val="bg-BG"/>
        </w:rPr>
        <w:br/>
      </w:r>
    </w:p>
    <w:p w:rsidR="008D5372" w:rsidRPr="00BE3D94" w:rsidRDefault="008D5372" w:rsidP="00F03289">
      <w:pPr>
        <w:pStyle w:val="DecHCase"/>
        <w:rPr>
          <w:lang w:val="bg-BG"/>
        </w:rPr>
      </w:pPr>
      <w:r>
        <w:rPr>
          <w:lang w:val="bg-BG"/>
        </w:rPr>
        <w:t>СТРАСБУРГ</w:t>
      </w:r>
    </w:p>
    <w:p w:rsidR="008D5372" w:rsidRPr="00BE3D94" w:rsidRDefault="008D5372" w:rsidP="00F03289">
      <w:pPr>
        <w:pStyle w:val="DecHCase"/>
        <w:rPr>
          <w:lang w:val="bg-BG"/>
        </w:rPr>
      </w:pPr>
      <w:r w:rsidRPr="006213AD">
        <w:rPr>
          <w:lang w:val="bg-BG"/>
        </w:rPr>
        <w:t xml:space="preserve">17 </w:t>
      </w:r>
      <w:r>
        <w:rPr>
          <w:lang w:val="bg-BG"/>
        </w:rPr>
        <w:t>декември</w:t>
      </w:r>
      <w:r w:rsidRPr="006213AD">
        <w:rPr>
          <w:lang w:val="bg-BG"/>
        </w:rPr>
        <w:t xml:space="preserve"> 2020</w:t>
      </w:r>
      <w:r>
        <w:rPr>
          <w:lang w:val="bg-BG"/>
        </w:rPr>
        <w:t xml:space="preserve"> г.</w:t>
      </w:r>
    </w:p>
    <w:p w:rsidR="008D5372" w:rsidRPr="006213AD" w:rsidRDefault="008D5372" w:rsidP="00F03289">
      <w:pPr>
        <w:pStyle w:val="DecHCase"/>
        <w:rPr>
          <w:lang w:val="bg-BG"/>
        </w:rPr>
      </w:pPr>
    </w:p>
    <w:p w:rsidR="008D5372" w:rsidRPr="006213AD" w:rsidRDefault="008D5372" w:rsidP="00F03289">
      <w:pPr>
        <w:rPr>
          <w:i/>
          <w:sz w:val="22"/>
          <w:lang w:val="bg-BG"/>
        </w:rPr>
      </w:pPr>
      <w:r w:rsidRPr="00851929">
        <w:rPr>
          <w:i/>
          <w:color w:val="000000"/>
          <w:sz w:val="22"/>
          <w:lang w:val="bg-BG"/>
        </w:rPr>
        <w:t xml:space="preserve">Това решение </w:t>
      </w:r>
      <w:r>
        <w:rPr>
          <w:i/>
          <w:color w:val="000000"/>
          <w:sz w:val="22"/>
          <w:lang w:val="bg-BG"/>
        </w:rPr>
        <w:t>е окончателно, но м</w:t>
      </w:r>
      <w:r w:rsidRPr="00851929">
        <w:rPr>
          <w:i/>
          <w:color w:val="000000"/>
          <w:sz w:val="22"/>
          <w:lang w:val="bg-BG"/>
        </w:rPr>
        <w:t>оже да бъде предмет на редакционни промени</w:t>
      </w:r>
      <w:r>
        <w:rPr>
          <w:i/>
          <w:sz w:val="22"/>
          <w:lang w:val="bg-BG"/>
        </w:rPr>
        <w:t>.</w:t>
      </w:r>
    </w:p>
    <w:p w:rsidR="008D5372" w:rsidRPr="006213AD" w:rsidRDefault="008D5372" w:rsidP="00F03289">
      <w:pPr>
        <w:ind w:left="720"/>
        <w:rPr>
          <w:sz w:val="22"/>
          <w:lang w:val="bg-BG"/>
        </w:rPr>
        <w:sectPr w:rsidR="008D5372" w:rsidRPr="006213AD"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8D5372" w:rsidRDefault="008D5372" w:rsidP="00F03289">
      <w:pPr>
        <w:pStyle w:val="JuCase"/>
        <w:rPr>
          <w:lang w:val="bg-BG"/>
        </w:rPr>
      </w:pPr>
      <w:r>
        <w:rPr>
          <w:lang w:val="bg-BG"/>
        </w:rPr>
        <w:lastRenderedPageBreak/>
        <w:t>По делото Дермански срещу България</w:t>
      </w:r>
    </w:p>
    <w:p w:rsidR="008D5372" w:rsidRPr="008600B4" w:rsidRDefault="008D5372" w:rsidP="008600B4">
      <w:pPr>
        <w:pStyle w:val="JuPara"/>
        <w:rPr>
          <w:lang w:val="bg-BG"/>
        </w:rPr>
      </w:pPr>
      <w:r w:rsidRPr="00851929">
        <w:rPr>
          <w:lang w:val="bg-BG"/>
        </w:rPr>
        <w:t>Европейският съд по правата на човека (</w:t>
      </w:r>
      <w:r>
        <w:rPr>
          <w:lang w:val="bg-BG"/>
        </w:rPr>
        <w:t>Пето</w:t>
      </w:r>
      <w:r w:rsidRPr="00851929">
        <w:rPr>
          <w:lang w:val="bg-BG"/>
        </w:rPr>
        <w:t xml:space="preserve"> отделение)</w:t>
      </w:r>
      <w:r>
        <w:rPr>
          <w:lang w:val="bg-BG"/>
        </w:rPr>
        <w:t>,</w:t>
      </w:r>
      <w:r w:rsidRPr="00851929">
        <w:rPr>
          <w:lang w:val="bg-BG"/>
        </w:rPr>
        <w:t xml:space="preserve"> в състав</w:t>
      </w:r>
      <w:r>
        <w:rPr>
          <w:lang w:val="bg-BG"/>
        </w:rPr>
        <w:t>:</w:t>
      </w:r>
    </w:p>
    <w:p w:rsidR="008D5372" w:rsidRPr="006213AD" w:rsidRDefault="008D5372" w:rsidP="00F03289">
      <w:pPr>
        <w:pStyle w:val="JuJudges"/>
        <w:rPr>
          <w:lang w:val="bg-BG"/>
        </w:rPr>
      </w:pPr>
      <w:r w:rsidRPr="006213AD">
        <w:rPr>
          <w:lang w:val="bg-BG"/>
        </w:rPr>
        <w:tab/>
      </w:r>
      <w:proofErr w:type="spellStart"/>
      <w:r>
        <w:rPr>
          <w:lang w:val="bg-BG"/>
        </w:rPr>
        <w:t>Мартинш</w:t>
      </w:r>
      <w:proofErr w:type="spellEnd"/>
      <w:r>
        <w:rPr>
          <w:lang w:val="bg-BG"/>
        </w:rPr>
        <w:t xml:space="preserve"> </w:t>
      </w:r>
      <w:proofErr w:type="spellStart"/>
      <w:r>
        <w:rPr>
          <w:lang w:val="bg-BG"/>
        </w:rPr>
        <w:t>Митс</w:t>
      </w:r>
      <w:proofErr w:type="spellEnd"/>
      <w:r>
        <w:rPr>
          <w:lang w:val="bg-BG"/>
        </w:rPr>
        <w:t xml:space="preserve"> (</w:t>
      </w:r>
      <w:r w:rsidRPr="00F03289">
        <w:t>M</w:t>
      </w:r>
      <w:r w:rsidRPr="006213AD">
        <w:rPr>
          <w:lang w:val="bg-BG"/>
        </w:rPr>
        <w:t>ā</w:t>
      </w:r>
      <w:proofErr w:type="spellStart"/>
      <w:r w:rsidRPr="00F03289">
        <w:t>rti</w:t>
      </w:r>
      <w:r w:rsidRPr="006213AD">
        <w:rPr>
          <w:lang w:val="bg-BG"/>
        </w:rPr>
        <w:t>ņš</w:t>
      </w:r>
      <w:proofErr w:type="spellEnd"/>
      <w:r w:rsidRPr="006213AD">
        <w:rPr>
          <w:lang w:val="bg-BG"/>
        </w:rPr>
        <w:t xml:space="preserve"> </w:t>
      </w:r>
      <w:proofErr w:type="spellStart"/>
      <w:r w:rsidRPr="00F03289">
        <w:t>Mits</w:t>
      </w:r>
      <w:proofErr w:type="spellEnd"/>
      <w:r>
        <w:rPr>
          <w:lang w:val="bg-BG"/>
        </w:rPr>
        <w:t>)</w:t>
      </w:r>
      <w:r w:rsidRPr="006213AD">
        <w:rPr>
          <w:lang w:val="bg-BG"/>
        </w:rPr>
        <w:t>,</w:t>
      </w:r>
      <w:r w:rsidRPr="006213AD">
        <w:rPr>
          <w:i/>
          <w:lang w:val="bg-BG"/>
        </w:rPr>
        <w:t xml:space="preserve"> </w:t>
      </w:r>
      <w:r>
        <w:rPr>
          <w:i/>
          <w:lang w:val="bg-BG"/>
        </w:rPr>
        <w:t>председател</w:t>
      </w:r>
      <w:r w:rsidRPr="006213AD">
        <w:rPr>
          <w:i/>
          <w:lang w:val="bg-BG"/>
        </w:rPr>
        <w:t>,</w:t>
      </w:r>
      <w:r w:rsidRPr="006213AD">
        <w:rPr>
          <w:i/>
          <w:lang w:val="bg-BG"/>
        </w:rPr>
        <w:br/>
      </w:r>
      <w:r w:rsidRPr="006213AD">
        <w:rPr>
          <w:lang w:val="bg-BG"/>
        </w:rPr>
        <w:tab/>
      </w:r>
      <w:r>
        <w:rPr>
          <w:lang w:val="bg-BG"/>
        </w:rPr>
        <w:t xml:space="preserve">Йован </w:t>
      </w:r>
      <w:proofErr w:type="spellStart"/>
      <w:r>
        <w:rPr>
          <w:lang w:val="bg-BG"/>
        </w:rPr>
        <w:t>Илиевски</w:t>
      </w:r>
      <w:proofErr w:type="spellEnd"/>
      <w:r>
        <w:rPr>
          <w:lang w:val="bg-BG"/>
        </w:rPr>
        <w:t xml:space="preserve"> (</w:t>
      </w:r>
      <w:r w:rsidRPr="00F03289">
        <w:t>Jovan</w:t>
      </w:r>
      <w:r w:rsidRPr="006213AD">
        <w:rPr>
          <w:lang w:val="bg-BG"/>
        </w:rPr>
        <w:t xml:space="preserve"> </w:t>
      </w:r>
      <w:proofErr w:type="spellStart"/>
      <w:r w:rsidRPr="00F03289">
        <w:t>Ilievski</w:t>
      </w:r>
      <w:proofErr w:type="spellEnd"/>
      <w:r>
        <w:rPr>
          <w:lang w:val="bg-BG"/>
        </w:rPr>
        <w:t>)</w:t>
      </w:r>
      <w:r w:rsidRPr="006213AD">
        <w:rPr>
          <w:lang w:val="bg-BG"/>
        </w:rPr>
        <w:t>,</w:t>
      </w:r>
      <w:r w:rsidRPr="006213AD">
        <w:rPr>
          <w:i/>
          <w:lang w:val="bg-BG"/>
        </w:rPr>
        <w:br/>
      </w:r>
      <w:r w:rsidRPr="006213AD">
        <w:rPr>
          <w:lang w:val="bg-BG"/>
        </w:rPr>
        <w:tab/>
      </w:r>
      <w:r>
        <w:rPr>
          <w:lang w:val="bg-BG"/>
        </w:rPr>
        <w:t xml:space="preserve">Ивана </w:t>
      </w:r>
      <w:proofErr w:type="spellStart"/>
      <w:r>
        <w:rPr>
          <w:lang w:val="bg-BG"/>
        </w:rPr>
        <w:t>Йелич</w:t>
      </w:r>
      <w:proofErr w:type="spellEnd"/>
      <w:r>
        <w:rPr>
          <w:lang w:val="bg-BG"/>
        </w:rPr>
        <w:t xml:space="preserve"> (</w:t>
      </w:r>
      <w:r w:rsidRPr="00F03289">
        <w:t>Ivana</w:t>
      </w:r>
      <w:r w:rsidRPr="006213AD">
        <w:rPr>
          <w:lang w:val="bg-BG"/>
        </w:rPr>
        <w:t xml:space="preserve"> </w:t>
      </w:r>
      <w:proofErr w:type="spellStart"/>
      <w:r w:rsidRPr="00F03289">
        <w:t>Jeli</w:t>
      </w:r>
      <w:proofErr w:type="spellEnd"/>
      <w:r w:rsidRPr="006213AD">
        <w:rPr>
          <w:lang w:val="bg-BG"/>
        </w:rPr>
        <w:t>ć</w:t>
      </w:r>
      <w:r>
        <w:rPr>
          <w:lang w:val="bg-BG"/>
        </w:rPr>
        <w:t>)</w:t>
      </w:r>
      <w:r w:rsidRPr="006213AD">
        <w:rPr>
          <w:lang w:val="bg-BG"/>
        </w:rPr>
        <w:t>,</w:t>
      </w:r>
      <w:r w:rsidRPr="006213AD">
        <w:rPr>
          <w:i/>
          <w:lang w:val="bg-BG"/>
        </w:rPr>
        <w:t xml:space="preserve"> </w:t>
      </w:r>
      <w:r>
        <w:rPr>
          <w:i/>
          <w:lang w:val="bg-BG"/>
        </w:rPr>
        <w:t>съдии</w:t>
      </w:r>
      <w:r w:rsidRPr="006213AD">
        <w:rPr>
          <w:i/>
          <w:lang w:val="bg-BG"/>
        </w:rPr>
        <w:t>,</w:t>
      </w:r>
      <w:r w:rsidRPr="006213AD">
        <w:rPr>
          <w:lang w:val="bg-BG"/>
        </w:rPr>
        <w:br/>
      </w:r>
      <w:r>
        <w:rPr>
          <w:lang w:val="bg-BG"/>
        </w:rPr>
        <w:t xml:space="preserve">и Мартина Келер, </w:t>
      </w:r>
      <w:r w:rsidRPr="00F03289">
        <w:t>et</w:t>
      </w:r>
      <w:r w:rsidRPr="006213AD">
        <w:rPr>
          <w:lang w:val="bg-BG"/>
        </w:rPr>
        <w:t xml:space="preserve"> </w:t>
      </w:r>
      <w:r w:rsidRPr="00F03289">
        <w:t>de</w:t>
      </w:r>
      <w:r w:rsidRPr="006213AD">
        <w:rPr>
          <w:lang w:val="bg-BG"/>
        </w:rPr>
        <w:t xml:space="preserve"> </w:t>
      </w:r>
      <w:r w:rsidRPr="00F03289">
        <w:t>Martina</w:t>
      </w:r>
      <w:r w:rsidRPr="006213AD">
        <w:rPr>
          <w:lang w:val="bg-BG"/>
        </w:rPr>
        <w:t xml:space="preserve"> </w:t>
      </w:r>
      <w:r w:rsidRPr="00F03289">
        <w:t>Keller</w:t>
      </w:r>
      <w:r w:rsidRPr="006213AD">
        <w:rPr>
          <w:lang w:val="bg-BG"/>
        </w:rPr>
        <w:t xml:space="preserve">, </w:t>
      </w:r>
      <w:r>
        <w:rPr>
          <w:i/>
          <w:lang w:val="bg-BG"/>
        </w:rPr>
        <w:t>заместник-секретар на отделението</w:t>
      </w:r>
      <w:r w:rsidRPr="006213AD">
        <w:rPr>
          <w:lang w:val="bg-BG"/>
        </w:rPr>
        <w:t>,</w:t>
      </w:r>
    </w:p>
    <w:p w:rsidR="008D5372" w:rsidRDefault="008D5372" w:rsidP="00F03289">
      <w:pPr>
        <w:pStyle w:val="JuPara"/>
        <w:rPr>
          <w:lang w:val="bg-BG"/>
        </w:rPr>
      </w:pPr>
      <w:bookmarkStart w:id="0" w:name="ITMARKHavingStart"/>
      <w:bookmarkEnd w:id="0"/>
      <w:r>
        <w:rPr>
          <w:lang w:val="bg-BG"/>
        </w:rPr>
        <w:t>Предвид жалба</w:t>
      </w:r>
      <w:r w:rsidRPr="006213AD">
        <w:rPr>
          <w:lang w:val="bg-BG"/>
        </w:rPr>
        <w:t xml:space="preserve"> (</w:t>
      </w:r>
      <w:r>
        <w:rPr>
          <w:lang w:val="bg-BG"/>
        </w:rPr>
        <w:t>№</w:t>
      </w:r>
      <w:r w:rsidRPr="006213AD">
        <w:rPr>
          <w:lang w:val="bg-BG"/>
        </w:rPr>
        <w:t xml:space="preserve"> 61322/10) </w:t>
      </w:r>
      <w:r>
        <w:rPr>
          <w:lang w:val="bg-BG"/>
        </w:rPr>
        <w:t xml:space="preserve">срещу Република България, с която четирима граждани на тази държава, г-н Огнян Дермански, г-жа Миглена Юлиева Дерманска, г-н Юли Огнянов Дермански и г-н </w:t>
      </w:r>
      <w:proofErr w:type="spellStart"/>
      <w:r>
        <w:rPr>
          <w:lang w:val="bg-BG"/>
        </w:rPr>
        <w:t>Росиан</w:t>
      </w:r>
      <w:proofErr w:type="spellEnd"/>
      <w:r>
        <w:rPr>
          <w:lang w:val="bg-BG"/>
        </w:rPr>
        <w:t xml:space="preserve"> Огнянов Дермански („жалбоподателите“), </w:t>
      </w:r>
      <w:r w:rsidRPr="00851929">
        <w:rPr>
          <w:lang w:val="bg-BG"/>
        </w:rPr>
        <w:t>на основание член 34 от Конвенцията за защита правата на човека и ос</w:t>
      </w:r>
      <w:r>
        <w:rPr>
          <w:lang w:val="bg-BG"/>
        </w:rPr>
        <w:t>новните свободи („Конвенцията”)</w:t>
      </w:r>
      <w:r w:rsidRPr="00851929">
        <w:rPr>
          <w:lang w:val="bg-BG"/>
        </w:rPr>
        <w:t xml:space="preserve"> </w:t>
      </w:r>
      <w:r>
        <w:rPr>
          <w:lang w:val="bg-BG"/>
        </w:rPr>
        <w:t>са</w:t>
      </w:r>
      <w:r w:rsidRPr="00851929">
        <w:rPr>
          <w:lang w:val="bg-BG"/>
        </w:rPr>
        <w:t xml:space="preserve"> сезирал</w:t>
      </w:r>
      <w:r>
        <w:rPr>
          <w:lang w:val="bg-BG"/>
        </w:rPr>
        <w:t>и</w:t>
      </w:r>
      <w:r w:rsidRPr="00851929">
        <w:rPr>
          <w:lang w:val="bg-BG"/>
        </w:rPr>
        <w:t xml:space="preserve"> Съда на </w:t>
      </w:r>
      <w:r>
        <w:rPr>
          <w:lang w:val="bg-BG"/>
        </w:rPr>
        <w:t xml:space="preserve">29 септември 2010 </w:t>
      </w:r>
      <w:r w:rsidRPr="00851929">
        <w:rPr>
          <w:lang w:val="bg-BG"/>
        </w:rPr>
        <w:t>г.,</w:t>
      </w:r>
    </w:p>
    <w:p w:rsidR="008D5372" w:rsidRDefault="008D5372" w:rsidP="00F03289">
      <w:pPr>
        <w:pStyle w:val="JuPara"/>
        <w:rPr>
          <w:lang w:val="bg-BG"/>
        </w:rPr>
      </w:pPr>
      <w:r>
        <w:rPr>
          <w:lang w:val="bg-BG"/>
        </w:rPr>
        <w:t xml:space="preserve">Предвид </w:t>
      </w:r>
      <w:r w:rsidRPr="00851929">
        <w:rPr>
          <w:lang w:val="bg-BG"/>
        </w:rPr>
        <w:t>решението да се информира българското правителство („Пра</w:t>
      </w:r>
      <w:r>
        <w:rPr>
          <w:lang w:val="bg-BG"/>
        </w:rPr>
        <w:t xml:space="preserve">вителството“) за оплакванията по членове 3, 8 и 13 </w:t>
      </w:r>
      <w:r w:rsidRPr="00851929">
        <w:rPr>
          <w:lang w:val="bg-BG"/>
        </w:rPr>
        <w:t xml:space="preserve">от Конвенцията </w:t>
      </w:r>
      <w:r>
        <w:rPr>
          <w:lang w:val="bg-BG"/>
        </w:rPr>
        <w:t>и</w:t>
      </w:r>
      <w:r w:rsidRPr="00851929">
        <w:rPr>
          <w:lang w:val="bg-BG"/>
        </w:rPr>
        <w:t xml:space="preserve"> </w:t>
      </w:r>
      <w:r>
        <w:rPr>
          <w:lang w:val="bg-BG"/>
        </w:rPr>
        <w:t xml:space="preserve">да обяви останалите оплаквания за недопустими, </w:t>
      </w:r>
    </w:p>
    <w:p w:rsidR="008D5372" w:rsidRPr="006213AD" w:rsidRDefault="008D5372" w:rsidP="00F03289">
      <w:pPr>
        <w:pStyle w:val="JuPara"/>
        <w:rPr>
          <w:lang w:val="bg-BG"/>
        </w:rPr>
      </w:pPr>
      <w:r>
        <w:rPr>
          <w:lang w:val="bg-BG"/>
        </w:rPr>
        <w:t>Предвид становищата на страните</w:t>
      </w:r>
      <w:r w:rsidRPr="006213AD">
        <w:rPr>
          <w:lang w:val="bg-BG"/>
        </w:rPr>
        <w:t>,</w:t>
      </w:r>
    </w:p>
    <w:p w:rsidR="008D5372" w:rsidRPr="00851929" w:rsidRDefault="008D5372" w:rsidP="00FE5C2F">
      <w:pPr>
        <w:pStyle w:val="JuPara"/>
        <w:rPr>
          <w:lang w:val="bg-BG"/>
        </w:rPr>
      </w:pPr>
      <w:r>
        <w:rPr>
          <w:lang w:val="bg-BG"/>
        </w:rPr>
        <w:t>След като разгледа</w:t>
      </w:r>
      <w:r w:rsidRPr="00851929">
        <w:rPr>
          <w:lang w:val="bg-BG"/>
        </w:rPr>
        <w:t xml:space="preserve"> на закрито заседание на 1</w:t>
      </w:r>
      <w:r>
        <w:rPr>
          <w:lang w:val="bg-BG"/>
        </w:rPr>
        <w:t>9</w:t>
      </w:r>
      <w:r w:rsidRPr="00851929">
        <w:rPr>
          <w:lang w:val="bg-BG"/>
        </w:rPr>
        <w:t xml:space="preserve"> ноември 2020 г.,</w:t>
      </w:r>
    </w:p>
    <w:p w:rsidR="008D5372" w:rsidRPr="00FE5C2F" w:rsidRDefault="008D5372" w:rsidP="00FE5C2F">
      <w:pPr>
        <w:pStyle w:val="JuPara"/>
        <w:rPr>
          <w:lang w:val="bg-BG"/>
        </w:rPr>
      </w:pPr>
      <w:r w:rsidRPr="00851929">
        <w:rPr>
          <w:lang w:val="bg-BG"/>
        </w:rPr>
        <w:t xml:space="preserve">Постановява следното решение, прието на </w:t>
      </w:r>
      <w:r>
        <w:rPr>
          <w:lang w:val="bg-BG"/>
        </w:rPr>
        <w:t>тази</w:t>
      </w:r>
      <w:r w:rsidRPr="00851929">
        <w:rPr>
          <w:lang w:val="bg-BG"/>
        </w:rPr>
        <w:t xml:space="preserve"> дата</w:t>
      </w:r>
      <w:r>
        <w:rPr>
          <w:lang w:val="bg-BG"/>
        </w:rPr>
        <w:t>:</w:t>
      </w:r>
    </w:p>
    <w:p w:rsidR="008D5372" w:rsidRPr="00F03289" w:rsidRDefault="008D5372" w:rsidP="00F03289">
      <w:pPr>
        <w:pStyle w:val="JuHHead"/>
      </w:pPr>
      <w:r>
        <w:rPr>
          <w:lang w:val="bg-BG"/>
        </w:rPr>
        <w:t>ВЪВЕДЕНИЕ</w:t>
      </w:r>
    </w:p>
    <w:p w:rsidR="008D5372" w:rsidRPr="002A5623"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1</w:t>
      </w:r>
      <w:r w:rsidRPr="006213AD">
        <w:rPr>
          <w:lang w:val="en-GB"/>
        </w:rPr>
        <w:fldChar w:fldCharType="end"/>
      </w:r>
      <w:r w:rsidRPr="00FE5C2F">
        <w:rPr>
          <w:lang w:val="bg-BG"/>
        </w:rPr>
        <w:t>.  Н</w:t>
      </w:r>
      <w:r w:rsidRPr="002A5623">
        <w:rPr>
          <w:lang w:val="bg-BG"/>
        </w:rPr>
        <w:t xml:space="preserve">астоящото дело се отнася </w:t>
      </w:r>
      <w:r>
        <w:rPr>
          <w:lang w:val="bg-BG"/>
        </w:rPr>
        <w:t>до</w:t>
      </w:r>
      <w:r w:rsidRPr="002A5623">
        <w:rPr>
          <w:lang w:val="bg-BG"/>
        </w:rPr>
        <w:t xml:space="preserve"> полицейска операция, проведена в дома на жалбоподателите, претърсване на жилището и офисите на </w:t>
      </w:r>
      <w:r>
        <w:rPr>
          <w:lang w:val="bg-BG"/>
        </w:rPr>
        <w:t>дружеството</w:t>
      </w:r>
      <w:r w:rsidRPr="002A5623">
        <w:rPr>
          <w:lang w:val="bg-BG"/>
        </w:rPr>
        <w:t xml:space="preserve"> им, претърсване на автомобилите им и твърдяната липса на ефективни </w:t>
      </w:r>
      <w:r>
        <w:rPr>
          <w:lang w:val="bg-BG"/>
        </w:rPr>
        <w:t xml:space="preserve">вътрешноправни </w:t>
      </w:r>
      <w:r w:rsidRPr="002A5623">
        <w:rPr>
          <w:lang w:val="bg-BG"/>
        </w:rPr>
        <w:t xml:space="preserve">средства </w:t>
      </w:r>
      <w:r>
        <w:rPr>
          <w:lang w:val="bg-BG"/>
        </w:rPr>
        <w:t>защита</w:t>
      </w:r>
      <w:r w:rsidRPr="002A5623">
        <w:rPr>
          <w:lang w:val="bg-BG"/>
        </w:rPr>
        <w:t>. Жалбоподателите се позовават на членове 3, 8 и 13 от Конвенцията.</w:t>
      </w:r>
    </w:p>
    <w:p w:rsidR="008D5372" w:rsidRPr="002A5623" w:rsidRDefault="008D5372" w:rsidP="00F03289">
      <w:pPr>
        <w:pStyle w:val="JuHHead"/>
        <w:rPr>
          <w:lang w:val="bg-BG"/>
        </w:rPr>
      </w:pPr>
      <w:bookmarkStart w:id="1" w:name="_Hlk36126677"/>
      <w:r w:rsidRPr="002A5623">
        <w:rPr>
          <w:lang w:val="bg-BG"/>
        </w:rPr>
        <w:t>ФАКТИТЕ</w:t>
      </w:r>
    </w:p>
    <w:bookmarkStart w:id="2" w:name="para2"/>
    <w:bookmarkStart w:id="3" w:name="_Hlk36127227"/>
    <w:bookmarkEnd w:id="1"/>
    <w:p w:rsidR="008D5372" w:rsidRPr="002A5623" w:rsidRDefault="008D5372" w:rsidP="00F03289">
      <w:pPr>
        <w:pStyle w:val="JuPara"/>
        <w:rPr>
          <w:lang w:val="bg-BG"/>
        </w:rPr>
      </w:pPr>
      <w:r w:rsidRPr="002A5623">
        <w:rPr>
          <w:lang w:val="bg-BG"/>
        </w:rPr>
        <w:fldChar w:fldCharType="begin"/>
      </w:r>
      <w:r w:rsidRPr="002A5623">
        <w:rPr>
          <w:lang w:val="bg-BG"/>
        </w:rPr>
        <w:instrText xml:space="preserve"> SEQ level0 \*arabic </w:instrText>
      </w:r>
      <w:r w:rsidRPr="002A5623">
        <w:rPr>
          <w:lang w:val="bg-BG"/>
        </w:rPr>
        <w:fldChar w:fldCharType="separate"/>
      </w:r>
      <w:r w:rsidRPr="002A5623">
        <w:rPr>
          <w:noProof/>
          <w:lang w:val="bg-BG"/>
        </w:rPr>
        <w:t>2</w:t>
      </w:r>
      <w:r w:rsidRPr="002A5623">
        <w:rPr>
          <w:lang w:val="bg-BG"/>
        </w:rPr>
        <w:fldChar w:fldCharType="end"/>
      </w:r>
      <w:bookmarkEnd w:id="2"/>
      <w:r w:rsidRPr="002A5623">
        <w:rPr>
          <w:lang w:val="bg-BG"/>
        </w:rPr>
        <w:t xml:space="preserve">.  Жалбоподателите са родени съответно през 1962 г., 1970 г., 1990 г. и 1995 г. </w:t>
      </w:r>
      <w:r>
        <w:rPr>
          <w:lang w:val="bg-BG"/>
        </w:rPr>
        <w:t>Ж</w:t>
      </w:r>
      <w:r w:rsidRPr="002A5623">
        <w:rPr>
          <w:lang w:val="bg-BG"/>
        </w:rPr>
        <w:t xml:space="preserve">ивеят в </w:t>
      </w:r>
      <w:r>
        <w:rPr>
          <w:lang w:val="bg-BG"/>
        </w:rPr>
        <w:t xml:space="preserve">гр. </w:t>
      </w:r>
      <w:r w:rsidRPr="002A5623">
        <w:rPr>
          <w:lang w:val="bg-BG"/>
        </w:rPr>
        <w:t xml:space="preserve">Ловеч. Допуснати са до правна помощ и се представляват от г-н А. Маринов, адвокат, регистриран в </w:t>
      </w:r>
      <w:r>
        <w:rPr>
          <w:lang w:val="bg-BG"/>
        </w:rPr>
        <w:t>София</w:t>
      </w:r>
      <w:r w:rsidRPr="002A5623">
        <w:rPr>
          <w:lang w:val="bg-BG"/>
        </w:rPr>
        <w:t>.</w:t>
      </w:r>
    </w:p>
    <w:p w:rsidR="008D5372" w:rsidRPr="002A5623" w:rsidRDefault="008D5372" w:rsidP="00F03289">
      <w:pPr>
        <w:pStyle w:val="JuPara"/>
        <w:rPr>
          <w:lang w:val="bg-BG"/>
        </w:rPr>
      </w:pPr>
      <w:r w:rsidRPr="002A5623">
        <w:rPr>
          <w:lang w:val="bg-BG"/>
        </w:rPr>
        <w:fldChar w:fldCharType="begin"/>
      </w:r>
      <w:r w:rsidRPr="002A5623">
        <w:rPr>
          <w:lang w:val="bg-BG"/>
        </w:rPr>
        <w:instrText xml:space="preserve"> SEQ level0 \*arabic </w:instrText>
      </w:r>
      <w:r w:rsidRPr="002A5623">
        <w:rPr>
          <w:lang w:val="bg-BG"/>
        </w:rPr>
        <w:fldChar w:fldCharType="separate"/>
      </w:r>
      <w:r w:rsidRPr="002A5623">
        <w:rPr>
          <w:noProof/>
          <w:lang w:val="bg-BG"/>
        </w:rPr>
        <w:t>3</w:t>
      </w:r>
      <w:r w:rsidRPr="002A5623">
        <w:rPr>
          <w:lang w:val="bg-BG"/>
        </w:rPr>
        <w:fldChar w:fldCharType="end"/>
      </w:r>
      <w:r w:rsidRPr="002A5623">
        <w:rPr>
          <w:lang w:val="bg-BG"/>
        </w:rPr>
        <w:t>.  Правителството се представлява от своя представителен агент, г-</w:t>
      </w:r>
      <w:r>
        <w:rPr>
          <w:lang w:val="bg-BG"/>
        </w:rPr>
        <w:t>н</w:t>
      </w:r>
      <w:r w:rsidRPr="002A5623">
        <w:rPr>
          <w:lang w:val="bg-BG"/>
        </w:rPr>
        <w:t xml:space="preserve"> В. Обретенов, от Министерство на правосъдието.</w:t>
      </w:r>
    </w:p>
    <w:p w:rsidR="008D5372" w:rsidRPr="002A5623" w:rsidRDefault="008D5372" w:rsidP="00F03289">
      <w:pPr>
        <w:pStyle w:val="JuPara"/>
        <w:rPr>
          <w:lang w:val="bg-BG"/>
        </w:rPr>
      </w:pPr>
      <w:r w:rsidRPr="002A5623">
        <w:rPr>
          <w:lang w:val="bg-BG"/>
        </w:rPr>
        <w:fldChar w:fldCharType="begin"/>
      </w:r>
      <w:r w:rsidRPr="002A5623">
        <w:rPr>
          <w:lang w:val="bg-BG"/>
        </w:rPr>
        <w:instrText xml:space="preserve"> SEQ level0 \*arabic </w:instrText>
      </w:r>
      <w:r w:rsidRPr="002A5623">
        <w:rPr>
          <w:lang w:val="bg-BG"/>
        </w:rPr>
        <w:fldChar w:fldCharType="separate"/>
      </w:r>
      <w:r w:rsidRPr="002A5623">
        <w:rPr>
          <w:noProof/>
          <w:lang w:val="bg-BG"/>
        </w:rPr>
        <w:t>4</w:t>
      </w:r>
      <w:r w:rsidRPr="002A5623">
        <w:rPr>
          <w:lang w:val="bg-BG"/>
        </w:rPr>
        <w:fldChar w:fldCharType="end"/>
      </w:r>
      <w:r w:rsidRPr="002A5623">
        <w:rPr>
          <w:lang w:val="bg-BG"/>
        </w:rPr>
        <w:t>.  Представени</w:t>
      </w:r>
      <w:r>
        <w:rPr>
          <w:lang w:val="bg-BG"/>
        </w:rPr>
        <w:t>те</w:t>
      </w:r>
      <w:r w:rsidRPr="002A5623">
        <w:rPr>
          <w:lang w:val="bg-BG"/>
        </w:rPr>
        <w:t xml:space="preserve"> от страните факти по делото могат да бъдат обобщени, както следва.</w:t>
      </w:r>
    </w:p>
    <w:p w:rsidR="008D5372" w:rsidRPr="002A5623" w:rsidRDefault="008D5372" w:rsidP="00F03289">
      <w:pPr>
        <w:pStyle w:val="JuPara"/>
        <w:rPr>
          <w:lang w:val="bg-BG"/>
        </w:rPr>
      </w:pPr>
      <w:r w:rsidRPr="002A5623">
        <w:rPr>
          <w:lang w:val="bg-BG"/>
        </w:rPr>
        <w:fldChar w:fldCharType="begin"/>
      </w:r>
      <w:r w:rsidRPr="002A5623">
        <w:rPr>
          <w:lang w:val="bg-BG"/>
        </w:rPr>
        <w:instrText xml:space="preserve"> SEQ level0 \*arabic </w:instrText>
      </w:r>
      <w:r w:rsidRPr="002A5623">
        <w:rPr>
          <w:lang w:val="bg-BG"/>
        </w:rPr>
        <w:fldChar w:fldCharType="separate"/>
      </w:r>
      <w:r w:rsidRPr="002A5623">
        <w:rPr>
          <w:noProof/>
          <w:lang w:val="bg-BG"/>
        </w:rPr>
        <w:t>5</w:t>
      </w:r>
      <w:r w:rsidRPr="002A5623">
        <w:rPr>
          <w:lang w:val="bg-BG"/>
        </w:rPr>
        <w:fldChar w:fldCharType="end"/>
      </w:r>
      <w:r w:rsidRPr="002A5623">
        <w:rPr>
          <w:lang w:val="bg-BG"/>
        </w:rPr>
        <w:t xml:space="preserve">.  Първите двама жалбоподатели са съпрузи. Те са управители на две </w:t>
      </w:r>
      <w:r>
        <w:rPr>
          <w:lang w:val="bg-BG"/>
        </w:rPr>
        <w:t>дружества</w:t>
      </w:r>
      <w:r w:rsidRPr="002A5623">
        <w:rPr>
          <w:lang w:val="bg-BG"/>
        </w:rPr>
        <w:t xml:space="preserve">, специализирани в </w:t>
      </w:r>
      <w:r>
        <w:rPr>
          <w:lang w:val="bg-BG"/>
        </w:rPr>
        <w:t>добив</w:t>
      </w:r>
      <w:r w:rsidRPr="002A5623">
        <w:rPr>
          <w:lang w:val="bg-BG"/>
        </w:rPr>
        <w:t xml:space="preserve"> и обработване на </w:t>
      </w:r>
      <w:r>
        <w:rPr>
          <w:lang w:val="bg-BG"/>
        </w:rPr>
        <w:t>дървен материал</w:t>
      </w:r>
      <w:r w:rsidRPr="002A5623">
        <w:rPr>
          <w:lang w:val="bg-BG"/>
        </w:rPr>
        <w:t>. Третият и четвъртият жал</w:t>
      </w:r>
      <w:r>
        <w:rPr>
          <w:lang w:val="bg-BG"/>
        </w:rPr>
        <w:t>боподатели са синове на двамата</w:t>
      </w:r>
      <w:r w:rsidRPr="002A5623">
        <w:rPr>
          <w:lang w:val="bg-BG"/>
        </w:rPr>
        <w:t>.</w:t>
      </w:r>
    </w:p>
    <w:bookmarkStart w:id="4" w:name="para6"/>
    <w:p w:rsidR="008D5372" w:rsidRPr="002A5623" w:rsidRDefault="008D5372" w:rsidP="00F03289">
      <w:pPr>
        <w:pStyle w:val="JuPara"/>
        <w:keepNext/>
        <w:keepLines/>
        <w:rPr>
          <w:lang w:val="bg-BG"/>
        </w:rPr>
      </w:pPr>
      <w:r w:rsidRPr="002A5623">
        <w:rPr>
          <w:lang w:val="bg-BG"/>
        </w:rPr>
        <w:lastRenderedPageBreak/>
        <w:fldChar w:fldCharType="begin"/>
      </w:r>
      <w:r w:rsidRPr="002A5623">
        <w:rPr>
          <w:lang w:val="bg-BG"/>
        </w:rPr>
        <w:instrText xml:space="preserve"> SEQ level0 \*arabic </w:instrText>
      </w:r>
      <w:r w:rsidRPr="002A5623">
        <w:rPr>
          <w:lang w:val="bg-BG"/>
        </w:rPr>
        <w:fldChar w:fldCharType="separate"/>
      </w:r>
      <w:r w:rsidRPr="002A5623">
        <w:rPr>
          <w:noProof/>
          <w:lang w:val="bg-BG"/>
        </w:rPr>
        <w:t>6</w:t>
      </w:r>
      <w:r w:rsidRPr="002A5623">
        <w:rPr>
          <w:lang w:val="bg-BG"/>
        </w:rPr>
        <w:fldChar w:fldCharType="end"/>
      </w:r>
      <w:bookmarkEnd w:id="4"/>
      <w:r w:rsidRPr="002A5623">
        <w:rPr>
          <w:lang w:val="bg-BG"/>
        </w:rPr>
        <w:t>.  На 14 април 2009 г. Районна прокуратура</w:t>
      </w:r>
      <w:r>
        <w:rPr>
          <w:lang w:val="bg-BG"/>
        </w:rPr>
        <w:t xml:space="preserve"> </w:t>
      </w:r>
      <w:r w:rsidRPr="002A5623">
        <w:rPr>
          <w:lang w:val="bg-BG"/>
        </w:rPr>
        <w:t xml:space="preserve">- Ловеч образува </w:t>
      </w:r>
      <w:r>
        <w:rPr>
          <w:lang w:val="bg-BG"/>
        </w:rPr>
        <w:t>досъдебно производство</w:t>
      </w:r>
      <w:r w:rsidRPr="002A5623">
        <w:rPr>
          <w:lang w:val="bg-BG"/>
        </w:rPr>
        <w:t xml:space="preserve"> (№ 230/09) срещу неизвестен извършител за </w:t>
      </w:r>
      <w:r>
        <w:rPr>
          <w:lang w:val="bg-BG"/>
        </w:rPr>
        <w:t>съставяне</w:t>
      </w:r>
      <w:r w:rsidRPr="002A5623">
        <w:rPr>
          <w:lang w:val="bg-BG"/>
        </w:rPr>
        <w:t xml:space="preserve"> на официални документи </w:t>
      </w:r>
      <w:r>
        <w:rPr>
          <w:lang w:val="bg-BG"/>
        </w:rPr>
        <w:t xml:space="preserve">с невярно съдържание </w:t>
      </w:r>
      <w:r w:rsidRPr="002A5623">
        <w:rPr>
          <w:lang w:val="bg-BG"/>
        </w:rPr>
        <w:t xml:space="preserve">(разрешително за </w:t>
      </w:r>
      <w:r>
        <w:rPr>
          <w:lang w:val="bg-BG"/>
        </w:rPr>
        <w:t>добив на дървен материал</w:t>
      </w:r>
      <w:r w:rsidRPr="002A5623">
        <w:rPr>
          <w:lang w:val="bg-BG"/>
        </w:rPr>
        <w:t xml:space="preserve">) в полза на две дружества, едното от които се управлява от г-н Огнян Дермански. </w:t>
      </w:r>
    </w:p>
    <w:bookmarkStart w:id="5" w:name="para5"/>
    <w:bookmarkStart w:id="6" w:name="para7"/>
    <w:p w:rsidR="008D5372" w:rsidRPr="002A5623" w:rsidRDefault="008D5372" w:rsidP="00F03289">
      <w:pPr>
        <w:pStyle w:val="JuPara"/>
        <w:rPr>
          <w:lang w:val="bg-BG"/>
        </w:rPr>
      </w:pPr>
      <w:r w:rsidRPr="002A5623">
        <w:rPr>
          <w:lang w:val="bg-BG"/>
        </w:rPr>
        <w:fldChar w:fldCharType="begin"/>
      </w:r>
      <w:r w:rsidRPr="002A5623">
        <w:rPr>
          <w:lang w:val="bg-BG"/>
        </w:rPr>
        <w:instrText xml:space="preserve"> SEQ level0 \*arabic </w:instrText>
      </w:r>
      <w:r w:rsidRPr="002A5623">
        <w:rPr>
          <w:lang w:val="bg-BG"/>
        </w:rPr>
        <w:fldChar w:fldCharType="separate"/>
      </w:r>
      <w:r w:rsidRPr="002A5623">
        <w:rPr>
          <w:noProof/>
          <w:lang w:val="bg-BG"/>
        </w:rPr>
        <w:t>7</w:t>
      </w:r>
      <w:r w:rsidRPr="002A5623">
        <w:rPr>
          <w:lang w:val="bg-BG"/>
        </w:rPr>
        <w:fldChar w:fldCharType="end"/>
      </w:r>
      <w:bookmarkEnd w:id="5"/>
      <w:bookmarkEnd w:id="6"/>
      <w:r w:rsidRPr="002A5623">
        <w:rPr>
          <w:lang w:val="bg-BG"/>
        </w:rPr>
        <w:t>. На 28 декември 2009 г. Районна прокуратура</w:t>
      </w:r>
      <w:r>
        <w:rPr>
          <w:lang w:val="bg-BG"/>
        </w:rPr>
        <w:t xml:space="preserve"> </w:t>
      </w:r>
      <w:r w:rsidRPr="002A5623">
        <w:rPr>
          <w:lang w:val="bg-BG"/>
        </w:rPr>
        <w:t xml:space="preserve">- Ловеч образува </w:t>
      </w:r>
      <w:r>
        <w:rPr>
          <w:lang w:val="bg-BG"/>
        </w:rPr>
        <w:t>досъдебно производство</w:t>
      </w:r>
      <w:r w:rsidRPr="002A5623">
        <w:rPr>
          <w:lang w:val="bg-BG"/>
        </w:rPr>
        <w:t xml:space="preserve"> </w:t>
      </w:r>
      <w:r>
        <w:rPr>
          <w:lang w:val="bg-BG"/>
        </w:rPr>
        <w:t>(№ 1/10) срещу директора на О</w:t>
      </w:r>
      <w:r w:rsidRPr="002A5623">
        <w:rPr>
          <w:lang w:val="bg-BG"/>
        </w:rPr>
        <w:t>бщинска служба „Земеделие и гори“</w:t>
      </w:r>
      <w:r>
        <w:rPr>
          <w:lang w:val="bg-BG"/>
        </w:rPr>
        <w:t xml:space="preserve"> в</w:t>
      </w:r>
      <w:r w:rsidRPr="002A5623">
        <w:rPr>
          <w:lang w:val="bg-BG"/>
        </w:rPr>
        <w:t xml:space="preserve"> Угърчин за злоупотреба с власт при упражняване на обществените функции.</w:t>
      </w:r>
    </w:p>
    <w:p w:rsidR="008D5372" w:rsidRPr="002A5623" w:rsidRDefault="008D5372" w:rsidP="00F03289">
      <w:pPr>
        <w:pStyle w:val="JuHIRoman"/>
        <w:rPr>
          <w:lang w:val="bg-BG"/>
        </w:rPr>
      </w:pPr>
      <w:r>
        <w:rPr>
          <w:lang w:val="bg-BG"/>
        </w:rPr>
        <w:t>ПОЛИЦЕЙСКАТА ОПЕРАЦИЯ И ПРЕТЪРСВАНИЯТА, ИЗВЪРШЕНИ НА 30 МАРТ 2010 г.</w:t>
      </w:r>
    </w:p>
    <w:bookmarkStart w:id="7" w:name="autorisation"/>
    <w:p w:rsidR="008D5372" w:rsidRPr="00141314"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8</w:t>
      </w:r>
      <w:r w:rsidRPr="006213AD">
        <w:rPr>
          <w:lang w:val="bg-BG"/>
        </w:rPr>
        <w:fldChar w:fldCharType="end"/>
      </w:r>
      <w:bookmarkEnd w:id="7"/>
      <w:r w:rsidRPr="006213AD">
        <w:rPr>
          <w:lang w:val="bg-BG"/>
        </w:rPr>
        <w:t>.</w:t>
      </w:r>
      <w:r w:rsidRPr="00F03289">
        <w:t>  </w:t>
      </w:r>
      <w:r>
        <w:rPr>
          <w:lang w:val="bg-BG"/>
        </w:rPr>
        <w:t>На 20 март 2010 г. в хода на досъдебно производство №</w:t>
      </w:r>
      <w:r w:rsidRPr="006213AD">
        <w:rPr>
          <w:lang w:val="bg-BG"/>
        </w:rPr>
        <w:t xml:space="preserve"> 1/10 </w:t>
      </w:r>
      <w:r>
        <w:rPr>
          <w:lang w:val="bg-BG"/>
        </w:rPr>
        <w:t xml:space="preserve">по искане на Районна прокуратура </w:t>
      </w:r>
      <w:r w:rsidR="00733DDD">
        <w:rPr>
          <w:lang w:val="bg-BG"/>
        </w:rPr>
        <w:t>–</w:t>
      </w:r>
      <w:r>
        <w:rPr>
          <w:lang w:val="bg-BG"/>
        </w:rPr>
        <w:t xml:space="preserve"> Ловеч</w:t>
      </w:r>
      <w:r w:rsidR="00733DDD">
        <w:rPr>
          <w:lang w:val="bg-BG"/>
        </w:rPr>
        <w:t>,</w:t>
      </w:r>
      <w:r>
        <w:rPr>
          <w:lang w:val="bg-BG"/>
        </w:rPr>
        <w:t xml:space="preserve"> Районен съд -  Ловеч </w:t>
      </w:r>
      <w:r w:rsidRPr="00144BB5">
        <w:rPr>
          <w:lang w:val="bg-BG"/>
        </w:rPr>
        <w:t>разрешава</w:t>
      </w:r>
      <w:r>
        <w:rPr>
          <w:lang w:val="bg-BG"/>
        </w:rPr>
        <w:t xml:space="preserve"> извършване на</w:t>
      </w:r>
      <w:r w:rsidRPr="00144BB5">
        <w:rPr>
          <w:lang w:val="bg-BG"/>
        </w:rPr>
        <w:t xml:space="preserve"> претърсвания в апартамента</w:t>
      </w:r>
      <w:r>
        <w:rPr>
          <w:lang w:val="bg-BG"/>
        </w:rPr>
        <w:t xml:space="preserve"> на жалбоподателите</w:t>
      </w:r>
      <w:r w:rsidRPr="00144BB5">
        <w:rPr>
          <w:lang w:val="bg-BG"/>
        </w:rPr>
        <w:t xml:space="preserve">, офисите и дъскорезницата на </w:t>
      </w:r>
      <w:r>
        <w:rPr>
          <w:lang w:val="bg-BG"/>
        </w:rPr>
        <w:t>предприятието им</w:t>
      </w:r>
      <w:r w:rsidRPr="00144BB5">
        <w:rPr>
          <w:lang w:val="bg-BG"/>
        </w:rPr>
        <w:t xml:space="preserve">, както и в дома на майката на г-жа Дерманска. Заповедта </w:t>
      </w:r>
      <w:r>
        <w:rPr>
          <w:lang w:val="bg-BG"/>
        </w:rPr>
        <w:t>се отнася до</w:t>
      </w:r>
      <w:r w:rsidRPr="00144BB5">
        <w:rPr>
          <w:lang w:val="bg-BG"/>
        </w:rPr>
        <w:t xml:space="preserve"> г-н Огнян Дермански и разрешава претърсването на гореспоменатите помещения</w:t>
      </w:r>
      <w:r>
        <w:rPr>
          <w:lang w:val="bg-BG"/>
        </w:rPr>
        <w:t>, считано</w:t>
      </w:r>
      <w:r w:rsidRPr="00144BB5">
        <w:rPr>
          <w:lang w:val="bg-BG"/>
        </w:rPr>
        <w:t xml:space="preserve"> </w:t>
      </w:r>
      <w:r w:rsidRPr="00141314">
        <w:rPr>
          <w:lang w:val="bg-BG"/>
        </w:rPr>
        <w:t>от 6 часа сутринта на следващия ден.</w:t>
      </w:r>
    </w:p>
    <w:p w:rsidR="008D5372" w:rsidRPr="00141314" w:rsidRDefault="008D5372" w:rsidP="00F03289">
      <w:pPr>
        <w:pStyle w:val="JuPara"/>
        <w:rPr>
          <w:lang w:val="bg-BG"/>
        </w:rPr>
      </w:pPr>
      <w:r w:rsidRPr="00141314">
        <w:rPr>
          <w:lang w:val="bg-BG"/>
        </w:rPr>
        <w:t xml:space="preserve"> </w:t>
      </w: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9</w:t>
      </w:r>
      <w:r w:rsidRPr="00141314">
        <w:rPr>
          <w:lang w:val="bg-BG"/>
        </w:rPr>
        <w:fldChar w:fldCharType="end"/>
      </w:r>
      <w:r w:rsidRPr="00141314">
        <w:rPr>
          <w:lang w:val="bg-BG"/>
        </w:rPr>
        <w:t>.  Сутринта на 30 март 2010 г.</w:t>
      </w:r>
      <w:r w:rsidR="00733DDD">
        <w:rPr>
          <w:lang w:val="bg-BG"/>
        </w:rPr>
        <w:t xml:space="preserve"> четиримата жалбоподатели са </w:t>
      </w:r>
      <w:proofErr w:type="spellStart"/>
      <w:r w:rsidR="00733DDD">
        <w:rPr>
          <w:lang w:val="bg-BG"/>
        </w:rPr>
        <w:t>спя</w:t>
      </w:r>
      <w:r w:rsidRPr="00141314">
        <w:rPr>
          <w:lang w:val="bg-BG"/>
        </w:rPr>
        <w:t>ли</w:t>
      </w:r>
      <w:proofErr w:type="spellEnd"/>
      <w:r w:rsidRPr="00141314">
        <w:rPr>
          <w:lang w:val="bg-BG"/>
        </w:rPr>
        <w:t xml:space="preserve"> в апартамента си в гр. Ловеч.</w:t>
      </w:r>
    </w:p>
    <w:bookmarkStart w:id="8" w:name="para8"/>
    <w:bookmarkStart w:id="9" w:name="para10"/>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10</w:t>
      </w:r>
      <w:r w:rsidRPr="00141314">
        <w:rPr>
          <w:lang w:val="bg-BG"/>
        </w:rPr>
        <w:fldChar w:fldCharType="end"/>
      </w:r>
      <w:bookmarkEnd w:id="8"/>
      <w:bookmarkEnd w:id="9"/>
      <w:r w:rsidRPr="00141314">
        <w:rPr>
          <w:lang w:val="bg-BG"/>
        </w:rPr>
        <w:t xml:space="preserve">.  В 5:45 ч. сутринта г-жа Дерманска е събудена </w:t>
      </w:r>
      <w:r>
        <w:rPr>
          <w:lang w:val="bg-BG"/>
        </w:rPr>
        <w:t>по телефона от полицаи, които ѝ нареждат</w:t>
      </w:r>
      <w:r w:rsidRPr="00141314">
        <w:rPr>
          <w:lang w:val="bg-BG"/>
        </w:rPr>
        <w:t xml:space="preserve"> да отиде в дъскорезницата, за да присъства на претърсване. Петнадесет минути по-късно тя чува звънеца на </w:t>
      </w:r>
      <w:r>
        <w:rPr>
          <w:lang w:val="bg-BG"/>
        </w:rPr>
        <w:t>входната врата</w:t>
      </w:r>
      <w:r w:rsidRPr="00141314">
        <w:rPr>
          <w:lang w:val="bg-BG"/>
        </w:rPr>
        <w:t xml:space="preserve"> и веднага отива да отвори. Петима специални агенти с качулки, четирима полицаи и трима следователи нахлуват в апартамента, насочват оръжията си към нея и я избутват в ъгъла на коридора. Един от полицаите извиква: „Къде е Огнян?“.</w:t>
      </w:r>
    </w:p>
    <w:bookmarkStart w:id="10" w:name="para11"/>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11</w:t>
      </w:r>
      <w:r w:rsidRPr="00141314">
        <w:rPr>
          <w:lang w:val="bg-BG"/>
        </w:rPr>
        <w:fldChar w:fldCharType="end"/>
      </w:r>
      <w:bookmarkEnd w:id="10"/>
      <w:r w:rsidRPr="00141314">
        <w:rPr>
          <w:lang w:val="bg-BG"/>
        </w:rPr>
        <w:t xml:space="preserve">.  Специалните агенти обикалят бързо стаите. Един от тях влиза в спалнята на братята Юли и </w:t>
      </w:r>
      <w:proofErr w:type="spellStart"/>
      <w:r w:rsidRPr="00141314">
        <w:rPr>
          <w:lang w:val="bg-BG"/>
        </w:rPr>
        <w:t>Росиан</w:t>
      </w:r>
      <w:proofErr w:type="spellEnd"/>
      <w:r w:rsidRPr="00141314">
        <w:rPr>
          <w:lang w:val="bg-BG"/>
        </w:rPr>
        <w:t>, които тогава са съответно на двадесет и петнадесет години, и ги събужда. С насочено към тях оръжие той им нарежда да се облекат и да отидат в хола.</w:t>
      </w:r>
    </w:p>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12</w:t>
      </w:r>
      <w:r w:rsidRPr="00141314">
        <w:rPr>
          <w:lang w:val="bg-BG"/>
        </w:rPr>
        <w:fldChar w:fldCharType="end"/>
      </w:r>
      <w:r w:rsidRPr="00141314">
        <w:rPr>
          <w:lang w:val="bg-BG"/>
        </w:rPr>
        <w:t>.  Г-н Огнян Дермански казва, че полицаите са го измъкнали от леглото, повалили са го на земята, сложили са му белезници и са го завели в хола. Той казва, че е останал с белезници няколко часа с постоянно насочени към него оръжия от страна на полицаите.</w:t>
      </w:r>
    </w:p>
    <w:p w:rsidR="008D5372" w:rsidRPr="00141314" w:rsidRDefault="008D5372" w:rsidP="00F03289">
      <w:pPr>
        <w:pStyle w:val="JuPara"/>
        <w:rPr>
          <w:lang w:val="bg-BG"/>
        </w:rPr>
      </w:pPr>
      <w:r w:rsidRPr="00141314">
        <w:rPr>
          <w:lang w:val="bg-BG"/>
        </w:rPr>
        <w:t xml:space="preserve"> </w:t>
      </w:r>
      <w:bookmarkStart w:id="11" w:name="para13"/>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13</w:t>
      </w:r>
      <w:r w:rsidRPr="00141314">
        <w:rPr>
          <w:lang w:val="bg-BG"/>
        </w:rPr>
        <w:fldChar w:fldCharType="end"/>
      </w:r>
      <w:bookmarkEnd w:id="11"/>
      <w:r w:rsidRPr="00141314">
        <w:rPr>
          <w:lang w:val="bg-BG"/>
        </w:rPr>
        <w:t xml:space="preserve">.  Адвокатът на семейството, който живее </w:t>
      </w:r>
      <w:r>
        <w:rPr>
          <w:lang w:val="bg-BG"/>
        </w:rPr>
        <w:t>в близост</w:t>
      </w:r>
      <w:r w:rsidRPr="00141314">
        <w:rPr>
          <w:lang w:val="bg-BG"/>
        </w:rPr>
        <w:t xml:space="preserve"> до клиентите си, </w:t>
      </w:r>
      <w:r>
        <w:rPr>
          <w:lang w:val="bg-BG"/>
        </w:rPr>
        <w:t>пристига бързо</w:t>
      </w:r>
      <w:r w:rsidRPr="00141314">
        <w:rPr>
          <w:lang w:val="bg-BG"/>
        </w:rPr>
        <w:t xml:space="preserve">. Полицаите му представят заповедта за обиск, като след това започват да претърсват помещенията. </w:t>
      </w:r>
    </w:p>
    <w:bookmarkStart w:id="12" w:name="para12"/>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14</w:t>
      </w:r>
      <w:r w:rsidRPr="00141314">
        <w:rPr>
          <w:lang w:val="bg-BG"/>
        </w:rPr>
        <w:fldChar w:fldCharType="end"/>
      </w:r>
      <w:bookmarkEnd w:id="12"/>
      <w:r w:rsidRPr="00141314">
        <w:rPr>
          <w:lang w:val="bg-BG"/>
        </w:rPr>
        <w:t xml:space="preserve">.  Според жалбоподателите в същото време </w:t>
      </w:r>
      <w:proofErr w:type="spellStart"/>
      <w:r w:rsidRPr="00141314">
        <w:rPr>
          <w:lang w:val="bg-BG"/>
        </w:rPr>
        <w:t>Росиан</w:t>
      </w:r>
      <w:proofErr w:type="spellEnd"/>
      <w:r w:rsidRPr="00141314">
        <w:rPr>
          <w:lang w:val="bg-BG"/>
        </w:rPr>
        <w:t xml:space="preserve">, по-малкият им син, изпада в състояние </w:t>
      </w:r>
      <w:r>
        <w:rPr>
          <w:lang w:val="bg-BG"/>
        </w:rPr>
        <w:t>на силен стрес, като се</w:t>
      </w:r>
      <w:r w:rsidRPr="00141314">
        <w:rPr>
          <w:lang w:val="bg-BG"/>
        </w:rPr>
        <w:t xml:space="preserve"> </w:t>
      </w:r>
      <w:r>
        <w:rPr>
          <w:lang w:val="bg-BG"/>
        </w:rPr>
        <w:lastRenderedPageBreak/>
        <w:t>разтреперва</w:t>
      </w:r>
      <w:r w:rsidRPr="00141314">
        <w:rPr>
          <w:lang w:val="bg-BG"/>
        </w:rPr>
        <w:t xml:space="preserve">. Полицаите не позволяват на брат </w:t>
      </w:r>
      <w:r>
        <w:rPr>
          <w:lang w:val="bg-BG"/>
        </w:rPr>
        <w:t xml:space="preserve">му </w:t>
      </w:r>
      <w:r w:rsidRPr="00141314">
        <w:rPr>
          <w:lang w:val="bg-BG"/>
        </w:rPr>
        <w:t>Юли да му занесе топли дрехи.</w:t>
      </w:r>
    </w:p>
    <w:p w:rsidR="008D5372" w:rsidRPr="00141314"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15</w:t>
      </w:r>
      <w:r w:rsidRPr="006213AD">
        <w:rPr>
          <w:lang w:val="bg-BG"/>
        </w:rPr>
        <w:fldChar w:fldCharType="end"/>
      </w:r>
      <w:r w:rsidRPr="00141314">
        <w:rPr>
          <w:lang w:val="bg-BG"/>
        </w:rPr>
        <w:t>.  По време на претърсването на апартамента полицаите откриват и изземват лични и служебни документи, свързани с дейността на дружествата, управлявани от г-н и г-жа Дермански, както и компютъра на първородния им син и негови дискове с компютърни данни.</w:t>
      </w:r>
    </w:p>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16</w:t>
      </w:r>
      <w:r w:rsidRPr="00141314">
        <w:rPr>
          <w:lang w:val="bg-BG"/>
        </w:rPr>
        <w:fldChar w:fldCharType="end"/>
      </w:r>
      <w:r w:rsidRPr="00141314">
        <w:rPr>
          <w:lang w:val="bg-BG"/>
        </w:rPr>
        <w:t xml:space="preserve">.  На същия ден между 7:50 ч. и 9:20 ч. </w:t>
      </w:r>
      <w:r>
        <w:rPr>
          <w:lang w:val="bg-BG"/>
        </w:rPr>
        <w:t>п</w:t>
      </w:r>
      <w:r w:rsidRPr="00141314">
        <w:rPr>
          <w:lang w:val="bg-BG"/>
        </w:rPr>
        <w:t>олицаите нахлуват в дъскорезницата на дружеството на г-н Огнян Дермански в присъствието на засегнатото лице. По същото време друг екип претърсва офисите на дружеството. При двата обиска са иззети документи и предмети, свързани с дейността на дружеството.</w:t>
      </w:r>
    </w:p>
    <w:bookmarkStart w:id="13" w:name="para15"/>
    <w:p w:rsidR="008D5372" w:rsidRPr="00141314" w:rsidRDefault="008D5372" w:rsidP="00F03289">
      <w:pPr>
        <w:pStyle w:val="JuPara"/>
        <w:rPr>
          <w:lang w:val="bg-BG"/>
        </w:rPr>
      </w:pPr>
      <w:r w:rsidRPr="00141314">
        <w:rPr>
          <w:lang w:val="bg-BG"/>
        </w:rPr>
        <w:fldChar w:fldCharType="begin"/>
      </w:r>
      <w:r w:rsidRPr="00141314">
        <w:rPr>
          <w:lang w:val="bg-BG"/>
        </w:rPr>
        <w:instrText xml:space="preserve"> SEQ level0 \*arabic </w:instrText>
      </w:r>
      <w:r w:rsidRPr="00141314">
        <w:rPr>
          <w:lang w:val="bg-BG"/>
        </w:rPr>
        <w:fldChar w:fldCharType="separate"/>
      </w:r>
      <w:r w:rsidRPr="00141314">
        <w:rPr>
          <w:noProof/>
          <w:lang w:val="bg-BG"/>
        </w:rPr>
        <w:t>17</w:t>
      </w:r>
      <w:r w:rsidRPr="00141314">
        <w:rPr>
          <w:lang w:val="bg-BG"/>
        </w:rPr>
        <w:fldChar w:fldCharType="end"/>
      </w:r>
      <w:bookmarkEnd w:id="13"/>
      <w:r w:rsidRPr="00141314">
        <w:rPr>
          <w:lang w:val="bg-BG"/>
        </w:rPr>
        <w:t xml:space="preserve">. Между 11:50 ч. и 13:00 ч. в присъствието на г-жа Дерманска полицаите претърсват двата семейни автомобила. В единия от автомобилите намират и изземват тетрадка и няколко документа. От докладите, изготвени от полицаите, е видно, че въпросните мерки попадат в рамките на </w:t>
      </w:r>
      <w:r w:rsidR="00733DDD">
        <w:rPr>
          <w:lang w:val="bg-BG"/>
        </w:rPr>
        <w:t>досъдебно производство</w:t>
      </w:r>
      <w:r w:rsidRPr="00141314">
        <w:rPr>
          <w:lang w:val="bg-BG"/>
        </w:rPr>
        <w:t xml:space="preserve"> № 1/10 и че същите се основават на член 161, алинея 2 от Наказателно-процесуалния кодекс, уреждащ спешни обиски по наказателно производство. Полицаите не са получили предварително разрешение от съд и противно на изискванията на член 161, алинея 2 докладите от претърсването не са предадени на съдия впоследствие.</w:t>
      </w:r>
    </w:p>
    <w:p w:rsidR="008D5372" w:rsidRPr="00141314" w:rsidRDefault="008D5372" w:rsidP="00F03289">
      <w:pPr>
        <w:pStyle w:val="JuHIRoman"/>
        <w:rPr>
          <w:lang w:val="bg-BG"/>
        </w:rPr>
      </w:pPr>
      <w:r>
        <w:rPr>
          <w:lang w:val="bg-BG"/>
        </w:rPr>
        <w:t>психологическо състояние на жалбоподателите след полицейската операция</w:t>
      </w:r>
    </w:p>
    <w:p w:rsidR="008D5372" w:rsidRPr="00E56B24"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18</w:t>
      </w:r>
      <w:r w:rsidRPr="006213AD">
        <w:rPr>
          <w:lang w:val="bg-BG"/>
        </w:rPr>
        <w:fldChar w:fldCharType="end"/>
      </w:r>
      <w:r w:rsidRPr="006213AD">
        <w:rPr>
          <w:lang w:val="bg-BG"/>
        </w:rPr>
        <w:t>.</w:t>
      </w:r>
      <w:r w:rsidRPr="00F03289">
        <w:t>  </w:t>
      </w:r>
      <w:r>
        <w:rPr>
          <w:lang w:val="bg-BG"/>
        </w:rPr>
        <w:t xml:space="preserve">Жалбоподателите заявяват, че са </w:t>
      </w:r>
      <w:r w:rsidRPr="00E56B24">
        <w:rPr>
          <w:lang w:val="bg-BG"/>
        </w:rPr>
        <w:t>понесли тежко действията на полицията.</w:t>
      </w:r>
    </w:p>
    <w:bookmarkStart w:id="14" w:name="para17"/>
    <w:bookmarkStart w:id="15" w:name="para19"/>
    <w:p w:rsidR="008D5372" w:rsidRPr="00E56B24" w:rsidRDefault="008D5372" w:rsidP="00F03289">
      <w:pPr>
        <w:pStyle w:val="JuPara"/>
        <w:rPr>
          <w:lang w:val="bg-BG"/>
        </w:rPr>
      </w:pPr>
      <w:r w:rsidRPr="00E56B24">
        <w:rPr>
          <w:lang w:val="bg-BG"/>
        </w:rPr>
        <w:fldChar w:fldCharType="begin"/>
      </w:r>
      <w:r w:rsidRPr="00E56B24">
        <w:rPr>
          <w:lang w:val="bg-BG"/>
        </w:rPr>
        <w:instrText xml:space="preserve"> SEQ level0 \*arabic </w:instrText>
      </w:r>
      <w:r w:rsidRPr="00E56B24">
        <w:rPr>
          <w:lang w:val="bg-BG"/>
        </w:rPr>
        <w:fldChar w:fldCharType="separate"/>
      </w:r>
      <w:r w:rsidRPr="00E56B24">
        <w:rPr>
          <w:noProof/>
          <w:lang w:val="bg-BG"/>
        </w:rPr>
        <w:t>19</w:t>
      </w:r>
      <w:r w:rsidRPr="00E56B24">
        <w:rPr>
          <w:lang w:val="bg-BG"/>
        </w:rPr>
        <w:fldChar w:fldCharType="end"/>
      </w:r>
      <w:bookmarkEnd w:id="14"/>
      <w:bookmarkEnd w:id="15"/>
      <w:r>
        <w:rPr>
          <w:lang w:val="bg-BG"/>
        </w:rPr>
        <w:t>.  Г-н Огнян Дермански бил</w:t>
      </w:r>
      <w:r w:rsidRPr="00E56B24">
        <w:rPr>
          <w:lang w:val="bg-BG"/>
        </w:rPr>
        <w:t xml:space="preserve"> изведен с белезници </w:t>
      </w:r>
      <w:r>
        <w:rPr>
          <w:lang w:val="bg-BG"/>
        </w:rPr>
        <w:t>от</w:t>
      </w:r>
      <w:r w:rsidRPr="00E56B24">
        <w:rPr>
          <w:lang w:val="bg-BG"/>
        </w:rPr>
        <w:t xml:space="preserve"> жилищната </w:t>
      </w:r>
      <w:r>
        <w:rPr>
          <w:lang w:val="bg-BG"/>
        </w:rPr>
        <w:t xml:space="preserve">му </w:t>
      </w:r>
      <w:r w:rsidRPr="00E56B24">
        <w:rPr>
          <w:lang w:val="bg-BG"/>
        </w:rPr>
        <w:t xml:space="preserve">сграда пред погледите на съседите. Служителите му също </w:t>
      </w:r>
      <w:r>
        <w:rPr>
          <w:lang w:val="bg-BG"/>
        </w:rPr>
        <w:t>са го видели</w:t>
      </w:r>
      <w:r w:rsidRPr="00E56B24">
        <w:rPr>
          <w:lang w:val="bg-BG"/>
        </w:rPr>
        <w:t xml:space="preserve"> в това състояние при претърсването на офисите на дружеството му. Той се чувства</w:t>
      </w:r>
      <w:r>
        <w:rPr>
          <w:lang w:val="bg-BG"/>
        </w:rPr>
        <w:t>л</w:t>
      </w:r>
      <w:r w:rsidRPr="00E56B24">
        <w:rPr>
          <w:lang w:val="bg-BG"/>
        </w:rPr>
        <w:t xml:space="preserve"> дълбоко унизен след тези събития.</w:t>
      </w:r>
    </w:p>
    <w:p w:rsidR="008D5372" w:rsidRPr="00E56B24" w:rsidRDefault="008D5372" w:rsidP="00F03289">
      <w:pPr>
        <w:pStyle w:val="JuPara"/>
        <w:rPr>
          <w:lang w:val="bg-BG"/>
        </w:rPr>
      </w:pPr>
      <w:r w:rsidRPr="00E56B24">
        <w:rPr>
          <w:lang w:val="bg-BG"/>
        </w:rPr>
        <w:fldChar w:fldCharType="begin"/>
      </w:r>
      <w:r w:rsidRPr="00E56B24">
        <w:rPr>
          <w:lang w:val="bg-BG"/>
        </w:rPr>
        <w:instrText xml:space="preserve"> SEQ level0 \*arabic </w:instrText>
      </w:r>
      <w:r w:rsidRPr="00E56B24">
        <w:rPr>
          <w:lang w:val="bg-BG"/>
        </w:rPr>
        <w:fldChar w:fldCharType="separate"/>
      </w:r>
      <w:r w:rsidRPr="00E56B24">
        <w:rPr>
          <w:noProof/>
          <w:lang w:val="bg-BG"/>
        </w:rPr>
        <w:t>20</w:t>
      </w:r>
      <w:r w:rsidRPr="00E56B24">
        <w:rPr>
          <w:lang w:val="bg-BG"/>
        </w:rPr>
        <w:fldChar w:fldCharType="end"/>
      </w:r>
      <w:r>
        <w:rPr>
          <w:lang w:val="bg-BG"/>
        </w:rPr>
        <w:t xml:space="preserve">.  Шокирана, г-жа Дерманска </w:t>
      </w:r>
      <w:r w:rsidRPr="00E56B24">
        <w:rPr>
          <w:lang w:val="bg-BG"/>
        </w:rPr>
        <w:t>получила на</w:t>
      </w:r>
      <w:r>
        <w:rPr>
          <w:lang w:val="bg-BG"/>
        </w:rPr>
        <w:t xml:space="preserve">рушения на съня и </w:t>
      </w:r>
      <w:r w:rsidRPr="00E56B24">
        <w:rPr>
          <w:lang w:val="bg-BG"/>
        </w:rPr>
        <w:t>трябвало да приема лекарства против тревожност в продължение на няколко месеца.</w:t>
      </w:r>
    </w:p>
    <w:p w:rsidR="008D5372" w:rsidRPr="00E56B24" w:rsidRDefault="008D5372" w:rsidP="00F03289">
      <w:pPr>
        <w:pStyle w:val="JuPara"/>
        <w:rPr>
          <w:lang w:val="bg-BG"/>
        </w:rPr>
      </w:pPr>
      <w:r w:rsidRPr="00E56B24">
        <w:rPr>
          <w:lang w:val="bg-BG"/>
        </w:rPr>
        <w:fldChar w:fldCharType="begin"/>
      </w:r>
      <w:r w:rsidRPr="00E56B24">
        <w:rPr>
          <w:lang w:val="bg-BG"/>
        </w:rPr>
        <w:instrText xml:space="preserve"> SEQ level0 \*arabic </w:instrText>
      </w:r>
      <w:r w:rsidRPr="00E56B24">
        <w:rPr>
          <w:lang w:val="bg-BG"/>
        </w:rPr>
        <w:fldChar w:fldCharType="separate"/>
      </w:r>
      <w:r w:rsidRPr="00E56B24">
        <w:rPr>
          <w:noProof/>
          <w:lang w:val="bg-BG"/>
        </w:rPr>
        <w:t>21</w:t>
      </w:r>
      <w:r w:rsidRPr="00E56B24">
        <w:rPr>
          <w:lang w:val="bg-BG"/>
        </w:rPr>
        <w:fldChar w:fldCharType="end"/>
      </w:r>
      <w:r w:rsidRPr="00E56B24">
        <w:rPr>
          <w:lang w:val="bg-BG"/>
        </w:rPr>
        <w:t>.  Също с</w:t>
      </w:r>
      <w:r>
        <w:rPr>
          <w:lang w:val="bg-BG"/>
        </w:rPr>
        <w:t xml:space="preserve">илно стресиран, Юли Дермански </w:t>
      </w:r>
      <w:r w:rsidRPr="00E56B24">
        <w:rPr>
          <w:lang w:val="bg-BG"/>
        </w:rPr>
        <w:t>трябвало да се консултира с психиатър и след това да приема лекарства против тревожност.</w:t>
      </w:r>
    </w:p>
    <w:bookmarkStart w:id="16" w:name="para20"/>
    <w:bookmarkStart w:id="17" w:name="para22"/>
    <w:p w:rsidR="008D5372" w:rsidRPr="00E56B24" w:rsidRDefault="008D5372" w:rsidP="00F03289">
      <w:pPr>
        <w:pStyle w:val="JuPara"/>
        <w:rPr>
          <w:lang w:val="bg-BG"/>
        </w:rPr>
      </w:pPr>
      <w:r w:rsidRPr="00E56B24">
        <w:rPr>
          <w:lang w:val="bg-BG"/>
        </w:rPr>
        <w:fldChar w:fldCharType="begin"/>
      </w:r>
      <w:r w:rsidRPr="00E56B24">
        <w:rPr>
          <w:lang w:val="bg-BG"/>
        </w:rPr>
        <w:instrText xml:space="preserve"> SEQ level0 \*arabic </w:instrText>
      </w:r>
      <w:r w:rsidRPr="00E56B24">
        <w:rPr>
          <w:lang w:val="bg-BG"/>
        </w:rPr>
        <w:fldChar w:fldCharType="separate"/>
      </w:r>
      <w:r w:rsidRPr="00E56B24">
        <w:rPr>
          <w:noProof/>
          <w:lang w:val="bg-BG"/>
        </w:rPr>
        <w:t>22</w:t>
      </w:r>
      <w:r w:rsidRPr="00E56B24">
        <w:rPr>
          <w:lang w:val="bg-BG"/>
        </w:rPr>
        <w:fldChar w:fldCharType="end"/>
      </w:r>
      <w:bookmarkEnd w:id="16"/>
      <w:bookmarkEnd w:id="17"/>
      <w:r>
        <w:rPr>
          <w:lang w:val="bg-BG"/>
        </w:rPr>
        <w:t>.  </w:t>
      </w:r>
      <w:proofErr w:type="spellStart"/>
      <w:r>
        <w:rPr>
          <w:lang w:val="bg-BG"/>
        </w:rPr>
        <w:t>Росиан</w:t>
      </w:r>
      <w:proofErr w:type="spellEnd"/>
      <w:r>
        <w:rPr>
          <w:lang w:val="bg-BG"/>
        </w:rPr>
        <w:t xml:space="preserve"> Дермански </w:t>
      </w:r>
      <w:r w:rsidRPr="00E56B24">
        <w:rPr>
          <w:lang w:val="bg-BG"/>
        </w:rPr>
        <w:t xml:space="preserve">получил проблеми със съня и </w:t>
      </w:r>
      <w:r>
        <w:rPr>
          <w:lang w:val="bg-BG"/>
        </w:rPr>
        <w:t>изпадал в</w:t>
      </w:r>
      <w:r w:rsidRPr="00E56B24">
        <w:rPr>
          <w:lang w:val="bg-BG"/>
        </w:rPr>
        <w:t xml:space="preserve"> паника всеки път, когато чу</w:t>
      </w:r>
      <w:r>
        <w:rPr>
          <w:lang w:val="bg-BG"/>
        </w:rPr>
        <w:t>ел</w:t>
      </w:r>
      <w:r w:rsidRPr="00E56B24">
        <w:rPr>
          <w:lang w:val="bg-BG"/>
        </w:rPr>
        <w:t xml:space="preserve"> звънеца</w:t>
      </w:r>
      <w:r>
        <w:rPr>
          <w:lang w:val="bg-BG"/>
        </w:rPr>
        <w:t xml:space="preserve"> на входната врата. Лекарите </w:t>
      </w:r>
      <w:r w:rsidRPr="00E56B24">
        <w:rPr>
          <w:lang w:val="bg-BG"/>
        </w:rPr>
        <w:t>му поставили диагноза „посттравматичен синдром“ и той също</w:t>
      </w:r>
      <w:r>
        <w:rPr>
          <w:lang w:val="bg-BG"/>
        </w:rPr>
        <w:t xml:space="preserve"> </w:t>
      </w:r>
      <w:r w:rsidRPr="00E56B24">
        <w:rPr>
          <w:lang w:val="bg-BG"/>
        </w:rPr>
        <w:t>бил принуден да приема лекарства против тревожност.</w:t>
      </w:r>
    </w:p>
    <w:p w:rsidR="008D5372" w:rsidRPr="00E56B24" w:rsidRDefault="008D5372" w:rsidP="00F03289">
      <w:pPr>
        <w:pStyle w:val="JuHIRoman"/>
        <w:rPr>
          <w:lang w:val="bg-BG"/>
        </w:rPr>
      </w:pPr>
      <w:r>
        <w:rPr>
          <w:lang w:val="bg-BG"/>
        </w:rPr>
        <w:lastRenderedPageBreak/>
        <w:t>ДОСЪДЕБНО ПРОИЗВОДСТВО срещу господин огнян дермански</w:t>
      </w:r>
    </w:p>
    <w:p w:rsidR="008D5372" w:rsidRPr="00CD74C9"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23</w:t>
      </w:r>
      <w:r w:rsidRPr="006213AD">
        <w:rPr>
          <w:lang w:val="bg-BG"/>
        </w:rPr>
        <w:fldChar w:fldCharType="end"/>
      </w:r>
      <w:r w:rsidRPr="006213AD">
        <w:rPr>
          <w:lang w:val="bg-BG"/>
        </w:rPr>
        <w:t>.</w:t>
      </w:r>
      <w:r w:rsidRPr="00F03289">
        <w:t>  </w:t>
      </w:r>
      <w:r w:rsidRPr="00CD74C9">
        <w:rPr>
          <w:lang w:val="bg-BG"/>
        </w:rPr>
        <w:t xml:space="preserve">Със заповед, издадена на 30 март 2010 г. в рамките на </w:t>
      </w:r>
      <w:r>
        <w:rPr>
          <w:lang w:val="bg-BG"/>
        </w:rPr>
        <w:t>досъдебно производство</w:t>
      </w:r>
      <w:r w:rsidRPr="00CD74C9">
        <w:rPr>
          <w:lang w:val="bg-BG"/>
        </w:rPr>
        <w:t xml:space="preserve"> № 230/09 (вж. </w:t>
      </w:r>
      <w:r>
        <w:rPr>
          <w:lang w:val="bg-BG"/>
        </w:rPr>
        <w:t>п</w:t>
      </w:r>
      <w:r w:rsidRPr="00CD74C9">
        <w:rPr>
          <w:lang w:val="bg-BG"/>
        </w:rPr>
        <w:t>араграф 6 по-горе), Районна прокуратура</w:t>
      </w:r>
      <w:r>
        <w:rPr>
          <w:lang w:val="bg-BG"/>
        </w:rPr>
        <w:t xml:space="preserve"> </w:t>
      </w:r>
      <w:r w:rsidRPr="00CD74C9">
        <w:rPr>
          <w:lang w:val="bg-BG"/>
        </w:rPr>
        <w:t>- Ловеч постановява задържането на г-н Огнян Дермански за период от седемдесет и два часа и му повдига обвинение за незаконно изсичане, държане и обработване на дървен материал.</w:t>
      </w:r>
    </w:p>
    <w:p w:rsidR="008D5372" w:rsidRPr="00CD74C9" w:rsidRDefault="008D5372" w:rsidP="00F03289">
      <w:pPr>
        <w:pStyle w:val="JuPara"/>
        <w:rPr>
          <w:lang w:val="bg-BG"/>
        </w:rPr>
      </w:pPr>
      <w:r w:rsidRPr="00CD74C9">
        <w:rPr>
          <w:lang w:val="bg-BG"/>
        </w:rPr>
        <w:fldChar w:fldCharType="begin"/>
      </w:r>
      <w:r w:rsidRPr="00CD74C9">
        <w:rPr>
          <w:lang w:val="bg-BG"/>
        </w:rPr>
        <w:instrText xml:space="preserve"> SEQ level0 \*arabic </w:instrText>
      </w:r>
      <w:r w:rsidRPr="00CD74C9">
        <w:rPr>
          <w:lang w:val="bg-BG"/>
        </w:rPr>
        <w:fldChar w:fldCharType="separate"/>
      </w:r>
      <w:r w:rsidRPr="00CD74C9">
        <w:rPr>
          <w:noProof/>
          <w:lang w:val="bg-BG"/>
        </w:rPr>
        <w:t>24</w:t>
      </w:r>
      <w:r w:rsidRPr="00CD74C9">
        <w:rPr>
          <w:lang w:val="bg-BG"/>
        </w:rPr>
        <w:fldChar w:fldCharType="end"/>
      </w:r>
      <w:r w:rsidRPr="00CD74C9">
        <w:rPr>
          <w:lang w:val="bg-BG"/>
        </w:rPr>
        <w:t>.  На 31 март 2010 г. Районен съд</w:t>
      </w:r>
      <w:r>
        <w:rPr>
          <w:lang w:val="bg-BG"/>
        </w:rPr>
        <w:t xml:space="preserve"> </w:t>
      </w:r>
      <w:r w:rsidRPr="00CD74C9">
        <w:rPr>
          <w:lang w:val="bg-BG"/>
        </w:rPr>
        <w:t xml:space="preserve">- Ловеч налага на жалбоподателя мярка „задържане под стража“ до 12 ноември 2010 г., </w:t>
      </w:r>
      <w:r>
        <w:rPr>
          <w:lang w:val="bg-BG"/>
        </w:rPr>
        <w:t>когато</w:t>
      </w:r>
      <w:r w:rsidRPr="00CD74C9">
        <w:rPr>
          <w:lang w:val="bg-BG"/>
        </w:rPr>
        <w:t xml:space="preserve"> решава да го пусне под домашен арест. На 18 април 2011 г. съдът го освобождава под гаранция.</w:t>
      </w:r>
    </w:p>
    <w:p w:rsidR="008D5372" w:rsidRPr="00CD74C9" w:rsidRDefault="008D5372" w:rsidP="00F03289">
      <w:pPr>
        <w:pStyle w:val="JuPara"/>
        <w:rPr>
          <w:lang w:val="bg-BG"/>
        </w:rPr>
      </w:pPr>
      <w:r w:rsidRPr="00CD74C9">
        <w:rPr>
          <w:lang w:val="bg-BG"/>
        </w:rPr>
        <w:fldChar w:fldCharType="begin"/>
      </w:r>
      <w:r w:rsidRPr="00CD74C9">
        <w:rPr>
          <w:lang w:val="bg-BG"/>
        </w:rPr>
        <w:instrText xml:space="preserve"> SEQ level0 \*arabic </w:instrText>
      </w:r>
      <w:r w:rsidRPr="00CD74C9">
        <w:rPr>
          <w:lang w:val="bg-BG"/>
        </w:rPr>
        <w:fldChar w:fldCharType="separate"/>
      </w:r>
      <w:r w:rsidRPr="00CD74C9">
        <w:rPr>
          <w:noProof/>
          <w:lang w:val="bg-BG"/>
        </w:rPr>
        <w:t>25</w:t>
      </w:r>
      <w:r w:rsidRPr="00CD74C9">
        <w:rPr>
          <w:lang w:val="bg-BG"/>
        </w:rPr>
        <w:fldChar w:fldCharType="end"/>
      </w:r>
      <w:r w:rsidRPr="00CD74C9">
        <w:rPr>
          <w:lang w:val="bg-BG"/>
        </w:rPr>
        <w:t>.  На 14 януари 2011 г. Районна прокуратура</w:t>
      </w:r>
      <w:r>
        <w:rPr>
          <w:lang w:val="bg-BG"/>
        </w:rPr>
        <w:t xml:space="preserve"> </w:t>
      </w:r>
      <w:r w:rsidRPr="00CD74C9">
        <w:rPr>
          <w:lang w:val="bg-BG"/>
        </w:rPr>
        <w:t>- Ловеч изготвя първи обвинителен акт срещу жалбоподателя. Впоследствие наказателните съдилища многократно връщат делото на прокуратурата за извършване на допълнителни разследвания. Една част от обвиненията отпадат поради изтичане на срока на давност. Наказателното производство приключва на 24 октомври 2016 г., когато Окръжен съд</w:t>
      </w:r>
      <w:r>
        <w:rPr>
          <w:lang w:val="bg-BG"/>
        </w:rPr>
        <w:t xml:space="preserve"> </w:t>
      </w:r>
      <w:r w:rsidRPr="00CD74C9">
        <w:rPr>
          <w:lang w:val="bg-BG"/>
        </w:rPr>
        <w:t>- Плевен оправдава жалбоподателя по останалата част от обвиненията, повдигнати от прокуратурата.</w:t>
      </w:r>
    </w:p>
    <w:p w:rsidR="008D5372" w:rsidRPr="00CD74C9" w:rsidRDefault="008D5372" w:rsidP="00F03289">
      <w:pPr>
        <w:pStyle w:val="JuPara"/>
        <w:rPr>
          <w:lang w:val="bg-BG"/>
        </w:rPr>
      </w:pPr>
      <w:r w:rsidRPr="00CD74C9">
        <w:rPr>
          <w:lang w:val="bg-BG"/>
        </w:rPr>
        <w:fldChar w:fldCharType="begin"/>
      </w:r>
      <w:r w:rsidRPr="00CD74C9">
        <w:rPr>
          <w:lang w:val="bg-BG"/>
        </w:rPr>
        <w:instrText xml:space="preserve"> SEQ level0 \*arabic </w:instrText>
      </w:r>
      <w:r w:rsidRPr="00CD74C9">
        <w:rPr>
          <w:lang w:val="bg-BG"/>
        </w:rPr>
        <w:fldChar w:fldCharType="separate"/>
      </w:r>
      <w:r w:rsidRPr="00CD74C9">
        <w:rPr>
          <w:noProof/>
          <w:lang w:val="bg-BG"/>
        </w:rPr>
        <w:t>26</w:t>
      </w:r>
      <w:r w:rsidRPr="00CD74C9">
        <w:rPr>
          <w:lang w:val="bg-BG"/>
        </w:rPr>
        <w:fldChar w:fldCharType="end"/>
      </w:r>
      <w:r w:rsidRPr="00CD74C9">
        <w:rPr>
          <w:lang w:val="bg-BG"/>
        </w:rPr>
        <w:t>.  От документите по преписката е видно, че нито един от четиримата жалбоподатели не е обвинен в контекста на досъдебно производство</w:t>
      </w:r>
      <w:r>
        <w:rPr>
          <w:lang w:val="bg-BG"/>
        </w:rPr>
        <w:t xml:space="preserve"> № 1/10 (вж. п</w:t>
      </w:r>
      <w:r w:rsidRPr="00CD74C9">
        <w:rPr>
          <w:lang w:val="bg-BG"/>
        </w:rPr>
        <w:t>араграф 7 по-горе).</w:t>
      </w:r>
    </w:p>
    <w:p w:rsidR="008D5372" w:rsidRPr="00AC3F24" w:rsidRDefault="008D5372" w:rsidP="00F03289">
      <w:pPr>
        <w:pStyle w:val="JuHHead"/>
        <w:rPr>
          <w:lang w:val="bg-BG"/>
        </w:rPr>
      </w:pPr>
      <w:r>
        <w:rPr>
          <w:lang w:val="bg-BG"/>
        </w:rPr>
        <w:t xml:space="preserve">относимА </w:t>
      </w:r>
      <w:r>
        <w:rPr>
          <w:caps w:val="0"/>
          <w:lang w:val="bg-BG"/>
        </w:rPr>
        <w:t>ВЪТРЕШНА ПРАВНА РАМКА</w:t>
      </w:r>
      <w:r w:rsidRPr="00851929">
        <w:rPr>
          <w:caps w:val="0"/>
          <w:lang w:val="bg-BG"/>
        </w:rPr>
        <w:t xml:space="preserve"> И </w:t>
      </w:r>
      <w:r w:rsidRPr="00AC3F24">
        <w:rPr>
          <w:caps w:val="0"/>
          <w:lang w:val="bg-BG"/>
        </w:rPr>
        <w:t>ПРАКТИК</w:t>
      </w:r>
      <w:r>
        <w:rPr>
          <w:caps w:val="0"/>
          <w:lang w:val="bg-BG"/>
        </w:rPr>
        <w:t>А</w:t>
      </w:r>
    </w:p>
    <w:bookmarkEnd w:id="3"/>
    <w:p w:rsidR="008D5372" w:rsidRPr="00AC3F24" w:rsidRDefault="008D5372" w:rsidP="00F03289">
      <w:pPr>
        <w:pStyle w:val="JuPara"/>
        <w:rPr>
          <w:lang w:val="bg-BG"/>
        </w:rPr>
      </w:pPr>
      <w:r w:rsidRPr="00AC3F24">
        <w:rPr>
          <w:lang w:val="bg-BG"/>
        </w:rPr>
        <w:fldChar w:fldCharType="begin"/>
      </w:r>
      <w:r w:rsidRPr="00AC3F24">
        <w:rPr>
          <w:lang w:val="bg-BG"/>
        </w:rPr>
        <w:instrText xml:space="preserve"> SEQ level0 \*arabic </w:instrText>
      </w:r>
      <w:r w:rsidRPr="00AC3F24">
        <w:rPr>
          <w:lang w:val="bg-BG"/>
        </w:rPr>
        <w:fldChar w:fldCharType="separate"/>
      </w:r>
      <w:r w:rsidRPr="00AC3F24">
        <w:rPr>
          <w:noProof/>
          <w:lang w:val="bg-BG"/>
        </w:rPr>
        <w:t>27</w:t>
      </w:r>
      <w:r w:rsidRPr="00AC3F24">
        <w:rPr>
          <w:lang w:val="bg-BG"/>
        </w:rPr>
        <w:fldChar w:fldCharType="end"/>
      </w:r>
      <w:r w:rsidRPr="00AC3F24">
        <w:rPr>
          <w:lang w:val="bg-BG"/>
        </w:rPr>
        <w:t xml:space="preserve">.  Относимото вътрешно право и съдебна практика са обобщени в решения </w:t>
      </w:r>
      <w:r w:rsidRPr="00AC3F24">
        <w:rPr>
          <w:i/>
          <w:lang w:val="bg-BG"/>
        </w:rPr>
        <w:t>Гуцанови срещу България</w:t>
      </w:r>
      <w:r w:rsidRPr="00AC3F24">
        <w:rPr>
          <w:lang w:val="bg-BG"/>
        </w:rPr>
        <w:t xml:space="preserve">, № 34529/10, </w:t>
      </w:r>
      <w:r>
        <w:rPr>
          <w:lang w:val="bg-BG"/>
        </w:rPr>
        <w:t>параграфи</w:t>
      </w:r>
      <w:r w:rsidRPr="00AC3F24">
        <w:rPr>
          <w:lang w:val="bg-BG"/>
        </w:rPr>
        <w:t xml:space="preserve"> 59-61, ЕСПЧ 2013 (извлечения), и </w:t>
      </w:r>
      <w:r w:rsidRPr="00AC3F24">
        <w:rPr>
          <w:i/>
          <w:lang w:val="bg-BG"/>
        </w:rPr>
        <w:t>Масларова срещу България</w:t>
      </w:r>
      <w:r w:rsidRPr="00AC3F24">
        <w:rPr>
          <w:lang w:val="bg-BG"/>
        </w:rPr>
        <w:t xml:space="preserve">, № 2666/10, </w:t>
      </w:r>
      <w:r>
        <w:rPr>
          <w:lang w:val="bg-BG"/>
        </w:rPr>
        <w:t>параграф</w:t>
      </w:r>
      <w:r w:rsidRPr="00AC3F24">
        <w:rPr>
          <w:lang w:val="bg-BG"/>
        </w:rPr>
        <w:t xml:space="preserve"> 16, 29 януари 2019 г.</w:t>
      </w:r>
    </w:p>
    <w:p w:rsidR="008D5372" w:rsidRPr="00AC3F24" w:rsidRDefault="008D5372" w:rsidP="00F03289">
      <w:pPr>
        <w:pStyle w:val="JuHHead"/>
        <w:rPr>
          <w:lang w:val="bg-BG"/>
        </w:rPr>
      </w:pPr>
      <w:r w:rsidRPr="00AC3F24">
        <w:rPr>
          <w:caps w:val="0"/>
          <w:lang w:val="bg-BG"/>
        </w:rPr>
        <w:t>ПРАВО</w:t>
      </w:r>
    </w:p>
    <w:p w:rsidR="008D5372" w:rsidRPr="00CF1469" w:rsidRDefault="00CF1469" w:rsidP="00CF1469">
      <w:pPr>
        <w:pStyle w:val="JuHIRoman"/>
        <w:rPr>
          <w:rFonts w:eastAsia="Times New Roman"/>
          <w:lang w:val="bg-BG"/>
        </w:rPr>
      </w:pPr>
      <w:bookmarkStart w:id="18" w:name="_Hlk34839031"/>
      <w:bookmarkStart w:id="19" w:name="_Hlk36127423"/>
      <w:r w:rsidRPr="00AC3F24">
        <w:rPr>
          <w:rFonts w:eastAsia="Times New Roman"/>
          <w:lang w:val="bg-BG"/>
        </w:rPr>
        <w:t>твърдяно нарушение на член 3 от конвенцията</w:t>
      </w:r>
      <w:bookmarkEnd w:id="19"/>
    </w:p>
    <w:bookmarkStart w:id="20" w:name="_Hlk36127508"/>
    <w:p w:rsidR="008D5372" w:rsidRPr="00AC3F24" w:rsidRDefault="008D5372" w:rsidP="00F03289">
      <w:pPr>
        <w:pStyle w:val="JuPara"/>
        <w:rPr>
          <w:lang w:val="bg-BG"/>
        </w:rPr>
      </w:pPr>
      <w:r w:rsidRPr="00AC3F24">
        <w:rPr>
          <w:lang w:val="bg-BG"/>
        </w:rPr>
        <w:fldChar w:fldCharType="begin"/>
      </w:r>
      <w:r w:rsidRPr="00AC3F24">
        <w:rPr>
          <w:lang w:val="bg-BG"/>
        </w:rPr>
        <w:instrText xml:space="preserve"> SEQ level0 \*arabic </w:instrText>
      </w:r>
      <w:r w:rsidRPr="00AC3F24">
        <w:rPr>
          <w:lang w:val="bg-BG"/>
        </w:rPr>
        <w:fldChar w:fldCharType="separate"/>
      </w:r>
      <w:r w:rsidRPr="00AC3F24">
        <w:rPr>
          <w:noProof/>
          <w:lang w:val="bg-BG"/>
        </w:rPr>
        <w:t>28</w:t>
      </w:r>
      <w:r w:rsidRPr="00AC3F24">
        <w:rPr>
          <w:lang w:val="bg-BG"/>
        </w:rPr>
        <w:fldChar w:fldCharType="end"/>
      </w:r>
      <w:r w:rsidRPr="00AC3F24">
        <w:rPr>
          <w:lang w:val="bg-BG"/>
        </w:rPr>
        <w:t>. Жалбоподателите твърдят, че полицейската намеса в дома им представлява нечовешко и унизително отношение. Те се позовават на член 3 от Конвенцията, който гласи следното:</w:t>
      </w:r>
    </w:p>
    <w:p w:rsidR="008D5372" w:rsidRPr="00AC3F24" w:rsidRDefault="008D5372" w:rsidP="00F03289">
      <w:pPr>
        <w:pStyle w:val="JuQuot"/>
        <w:rPr>
          <w:lang w:val="bg-BG"/>
        </w:rPr>
      </w:pPr>
      <w:bookmarkStart w:id="21" w:name="_Hlk36127545"/>
      <w:bookmarkEnd w:id="20"/>
      <w:r w:rsidRPr="00AC3F24">
        <w:rPr>
          <w:lang w:val="bg-BG"/>
        </w:rPr>
        <w:t xml:space="preserve"> „Никой не може да бъде подложен на изтезания или нечовешко или унизително отнасяне или наказание.“</w:t>
      </w:r>
    </w:p>
    <w:bookmarkEnd w:id="21"/>
    <w:p w:rsidR="00CF1469" w:rsidRPr="00F03289" w:rsidRDefault="00CF1469" w:rsidP="00CF1469">
      <w:pPr>
        <w:pStyle w:val="JuHA"/>
        <w:rPr>
          <w:rFonts w:eastAsia="Times New Roman"/>
        </w:rPr>
      </w:pPr>
      <w:r>
        <w:rPr>
          <w:rFonts w:eastAsia="Times New Roman"/>
          <w:lang w:val="bg-BG"/>
        </w:rPr>
        <w:lastRenderedPageBreak/>
        <w:t>Аргументи на страните</w:t>
      </w:r>
    </w:p>
    <w:p w:rsidR="008D5372" w:rsidRPr="00F03289" w:rsidRDefault="008D5372" w:rsidP="00F03289">
      <w:pPr>
        <w:pStyle w:val="JuH1"/>
      </w:pPr>
      <w:r>
        <w:rPr>
          <w:lang w:val="bg-BG"/>
        </w:rPr>
        <w:t>Правителството</w:t>
      </w:r>
    </w:p>
    <w:bookmarkStart w:id="22" w:name="para29"/>
    <w:bookmarkStart w:id="23" w:name="_Hlk36127558"/>
    <w:p w:rsidR="008D5372" w:rsidRPr="009D2721" w:rsidRDefault="008D5372" w:rsidP="00F03289">
      <w:pPr>
        <w:pStyle w:val="JuPara"/>
        <w:rPr>
          <w:lang w:val="bg-BG"/>
        </w:rPr>
      </w:pPr>
      <w:r w:rsidRPr="009D2721">
        <w:rPr>
          <w:lang w:val="bg-BG"/>
        </w:rPr>
        <w:fldChar w:fldCharType="begin"/>
      </w:r>
      <w:r w:rsidRPr="009D2721">
        <w:rPr>
          <w:lang w:val="bg-BG"/>
        </w:rPr>
        <w:instrText xml:space="preserve"> SEQ level0 \*arabic </w:instrText>
      </w:r>
      <w:r w:rsidRPr="009D2721">
        <w:rPr>
          <w:lang w:val="bg-BG"/>
        </w:rPr>
        <w:fldChar w:fldCharType="separate"/>
      </w:r>
      <w:r w:rsidRPr="009D2721">
        <w:rPr>
          <w:noProof/>
          <w:lang w:val="bg-BG"/>
        </w:rPr>
        <w:t>29</w:t>
      </w:r>
      <w:r w:rsidRPr="009D2721">
        <w:rPr>
          <w:lang w:val="bg-BG"/>
        </w:rPr>
        <w:fldChar w:fldCharType="end"/>
      </w:r>
      <w:bookmarkEnd w:id="22"/>
      <w:r w:rsidRPr="009D2721">
        <w:rPr>
          <w:lang w:val="bg-BG"/>
        </w:rPr>
        <w:t xml:space="preserve">.  Правителството пледира за неизчерпване на вътрешноправните средства за защита. То подчертава, че жалбоподателите не са подали жалба за полицейско насилие до компетентните органи. Те не </w:t>
      </w:r>
      <w:r>
        <w:rPr>
          <w:lang w:val="bg-BG"/>
        </w:rPr>
        <w:t xml:space="preserve">са </w:t>
      </w:r>
      <w:r w:rsidRPr="008157A0">
        <w:rPr>
          <w:lang w:val="bg-BG"/>
        </w:rPr>
        <w:t xml:space="preserve">предявили </w:t>
      </w:r>
      <w:r>
        <w:rPr>
          <w:lang w:val="bg-BG"/>
        </w:rPr>
        <w:t xml:space="preserve">и </w:t>
      </w:r>
      <w:r w:rsidRPr="008157A0">
        <w:rPr>
          <w:lang w:val="bg-BG"/>
        </w:rPr>
        <w:t>иск за обезщетение въз основа на Закона за отговорност</w:t>
      </w:r>
      <w:r>
        <w:rPr>
          <w:lang w:val="bg-BG"/>
        </w:rPr>
        <w:t>та на държавата</w:t>
      </w:r>
      <w:r w:rsidRPr="009D2721">
        <w:rPr>
          <w:lang w:val="bg-BG"/>
        </w:rPr>
        <w:t>.</w:t>
      </w:r>
    </w:p>
    <w:bookmarkEnd w:id="23"/>
    <w:p w:rsidR="008D5372" w:rsidRPr="009D2721" w:rsidRDefault="008D5372" w:rsidP="00F03289">
      <w:pPr>
        <w:pStyle w:val="JuPara"/>
        <w:rPr>
          <w:lang w:val="bg-BG"/>
        </w:rPr>
      </w:pPr>
      <w:r w:rsidRPr="009D2721">
        <w:rPr>
          <w:lang w:val="bg-BG"/>
        </w:rPr>
        <w:fldChar w:fldCharType="begin"/>
      </w:r>
      <w:r w:rsidRPr="009D2721">
        <w:rPr>
          <w:lang w:val="bg-BG"/>
        </w:rPr>
        <w:instrText xml:space="preserve"> SEQ level0 \*arabic </w:instrText>
      </w:r>
      <w:r w:rsidRPr="009D2721">
        <w:rPr>
          <w:lang w:val="bg-BG"/>
        </w:rPr>
        <w:fldChar w:fldCharType="separate"/>
      </w:r>
      <w:r w:rsidRPr="009D2721">
        <w:rPr>
          <w:noProof/>
          <w:lang w:val="bg-BG"/>
        </w:rPr>
        <w:t>30</w:t>
      </w:r>
      <w:r w:rsidRPr="009D2721">
        <w:rPr>
          <w:lang w:val="bg-BG"/>
        </w:rPr>
        <w:fldChar w:fldCharType="end"/>
      </w:r>
      <w:r w:rsidRPr="009D2721">
        <w:rPr>
          <w:lang w:val="bg-BG"/>
        </w:rPr>
        <w:t>.  След това Правителството посочва, че оспорената полицейска операция е била предварително разрешена от съд, че е била прецизно извършена и е постигнала справедлив баланс между общия интерес и правата на засегнатите лица.</w:t>
      </w:r>
    </w:p>
    <w:p w:rsidR="008D5372" w:rsidRPr="009D2721" w:rsidRDefault="008D5372" w:rsidP="00F03289">
      <w:pPr>
        <w:pStyle w:val="JuPara"/>
        <w:rPr>
          <w:lang w:val="bg-BG"/>
        </w:rPr>
      </w:pPr>
      <w:r w:rsidRPr="009D2721">
        <w:rPr>
          <w:lang w:val="bg-BG"/>
        </w:rPr>
        <w:fldChar w:fldCharType="begin"/>
      </w:r>
      <w:r w:rsidRPr="009D2721">
        <w:rPr>
          <w:lang w:val="bg-BG"/>
        </w:rPr>
        <w:instrText xml:space="preserve"> SEQ level0 \*arabic </w:instrText>
      </w:r>
      <w:r w:rsidRPr="009D2721">
        <w:rPr>
          <w:lang w:val="bg-BG"/>
        </w:rPr>
        <w:fldChar w:fldCharType="separate"/>
      </w:r>
      <w:r w:rsidRPr="009D2721">
        <w:rPr>
          <w:noProof/>
          <w:lang w:val="bg-BG"/>
        </w:rPr>
        <w:t>31</w:t>
      </w:r>
      <w:r w:rsidRPr="009D2721">
        <w:rPr>
          <w:lang w:val="bg-BG"/>
        </w:rPr>
        <w:fldChar w:fldCharType="end"/>
      </w:r>
      <w:r w:rsidRPr="009D2721">
        <w:rPr>
          <w:lang w:val="bg-BG"/>
        </w:rPr>
        <w:t xml:space="preserve">.  То добавя, че няма доказателства в подкрепа на твърденията за </w:t>
      </w:r>
      <w:r>
        <w:rPr>
          <w:lang w:val="bg-BG"/>
        </w:rPr>
        <w:t xml:space="preserve">лошо отношение спрямо </w:t>
      </w:r>
      <w:r w:rsidRPr="009D2721">
        <w:rPr>
          <w:lang w:val="bg-BG"/>
        </w:rPr>
        <w:t xml:space="preserve">жалбоподателите от </w:t>
      </w:r>
      <w:r>
        <w:rPr>
          <w:lang w:val="bg-BG"/>
        </w:rPr>
        <w:t>страна на полицейските служители</w:t>
      </w:r>
      <w:r w:rsidRPr="009D2721">
        <w:rPr>
          <w:lang w:val="bg-BG"/>
        </w:rPr>
        <w:t xml:space="preserve">. Макар да признава, че полицейската операция неизбежно е оказала въздействие </w:t>
      </w:r>
      <w:r>
        <w:rPr>
          <w:lang w:val="bg-BG"/>
        </w:rPr>
        <w:t>върху</w:t>
      </w:r>
      <w:r w:rsidRPr="009D2721">
        <w:rPr>
          <w:lang w:val="bg-BG"/>
        </w:rPr>
        <w:t xml:space="preserve"> личната сфера на засегнатите лица, то смята, че нейните психологически ефекти не са достигна</w:t>
      </w:r>
      <w:r>
        <w:rPr>
          <w:lang w:val="bg-BG"/>
        </w:rPr>
        <w:t>ли минималното ниво на тежест, за да могат въпросните действия да бъдат</w:t>
      </w:r>
      <w:r w:rsidRPr="009D2721">
        <w:rPr>
          <w:lang w:val="bg-BG"/>
        </w:rPr>
        <w:t xml:space="preserve"> квалифицирани като нечовешко или унизително отношение </w:t>
      </w:r>
      <w:r>
        <w:rPr>
          <w:lang w:val="bg-BG"/>
        </w:rPr>
        <w:t xml:space="preserve">по </w:t>
      </w:r>
      <w:r w:rsidRPr="009D2721">
        <w:rPr>
          <w:lang w:val="bg-BG"/>
        </w:rPr>
        <w:t>смисъла на член 3 от Конвенцията</w:t>
      </w:r>
      <w:r>
        <w:rPr>
          <w:lang w:val="bg-BG"/>
        </w:rPr>
        <w:t>.</w:t>
      </w:r>
    </w:p>
    <w:p w:rsidR="00CF1469" w:rsidRPr="00CF1469" w:rsidRDefault="00CF1469" w:rsidP="00CF1469">
      <w:pPr>
        <w:pStyle w:val="JuH1"/>
        <w:numPr>
          <w:ilvl w:val="3"/>
          <w:numId w:val="49"/>
        </w:numPr>
        <w:rPr>
          <w:rFonts w:eastAsia="Times New Roman"/>
        </w:rPr>
      </w:pPr>
      <w:r w:rsidRPr="00CF1469">
        <w:rPr>
          <w:rFonts w:eastAsia="Times New Roman"/>
          <w:lang w:val="bg-BG"/>
        </w:rPr>
        <w:t>Жалбоподателите</w:t>
      </w:r>
    </w:p>
    <w:p w:rsidR="008D5372" w:rsidRPr="004B27F4"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32</w:t>
      </w:r>
      <w:r w:rsidRPr="006213AD">
        <w:rPr>
          <w:lang w:val="en-GB"/>
        </w:rPr>
        <w:fldChar w:fldCharType="end"/>
      </w:r>
      <w:r w:rsidRPr="004B27F4">
        <w:rPr>
          <w:lang w:val="bg-BG"/>
        </w:rPr>
        <w:t xml:space="preserve">.  Жалбоподателите твърдят, че наказателна жалба срещу полицейските служители, извършили операцията в дома им на 30 март 2010 г., би била явно неефективна. Те считат също така, че </w:t>
      </w:r>
      <w:r>
        <w:rPr>
          <w:lang w:val="bg-BG"/>
        </w:rPr>
        <w:t>един иск</w:t>
      </w:r>
      <w:r w:rsidRPr="004B27F4">
        <w:rPr>
          <w:lang w:val="bg-BG"/>
        </w:rPr>
        <w:t xml:space="preserve"> за вреди, основан на Закона за отговорността на държавата, не може да се разглежда като ефективно вътрешно средство за защита в техния случай. </w:t>
      </w:r>
    </w:p>
    <w:p w:rsidR="008D5372" w:rsidRDefault="008D5372" w:rsidP="00F03289">
      <w:pPr>
        <w:pStyle w:val="JuPara"/>
        <w:rPr>
          <w:lang w:val="bg-BG"/>
        </w:rPr>
      </w:pPr>
      <w:r w:rsidRPr="00635D5C">
        <w:rPr>
          <w:lang w:val="bg-BG"/>
        </w:rPr>
        <w:fldChar w:fldCharType="begin"/>
      </w:r>
      <w:r w:rsidRPr="00635D5C">
        <w:rPr>
          <w:lang w:val="bg-BG"/>
        </w:rPr>
        <w:instrText xml:space="preserve"> </w:instrText>
      </w:r>
      <w:r w:rsidRPr="00F03289">
        <w:instrText>SEQ</w:instrText>
      </w:r>
      <w:r w:rsidRPr="00635D5C">
        <w:rPr>
          <w:lang w:val="bg-BG"/>
        </w:rPr>
        <w:instrText xml:space="preserve"> </w:instrText>
      </w:r>
      <w:r w:rsidRPr="00F03289">
        <w:instrText>level</w:instrText>
      </w:r>
      <w:r w:rsidRPr="00635D5C">
        <w:rPr>
          <w:lang w:val="bg-BG"/>
        </w:rPr>
        <w:instrText>0 \*</w:instrText>
      </w:r>
      <w:r w:rsidRPr="00F03289">
        <w:instrText>arabic</w:instrText>
      </w:r>
      <w:r w:rsidRPr="00635D5C">
        <w:rPr>
          <w:lang w:val="bg-BG"/>
        </w:rPr>
        <w:instrText xml:space="preserve"> </w:instrText>
      </w:r>
      <w:r w:rsidRPr="00635D5C">
        <w:rPr>
          <w:lang w:val="bg-BG"/>
        </w:rPr>
        <w:fldChar w:fldCharType="separate"/>
      </w:r>
      <w:r w:rsidRPr="00635D5C">
        <w:rPr>
          <w:noProof/>
          <w:lang w:val="bg-BG"/>
        </w:rPr>
        <w:t>33</w:t>
      </w:r>
      <w:r w:rsidRPr="00635D5C">
        <w:rPr>
          <w:lang w:val="bg-BG"/>
        </w:rPr>
        <w:fldChar w:fldCharType="end"/>
      </w:r>
      <w:r w:rsidRPr="00635D5C">
        <w:rPr>
          <w:lang w:val="bg-BG"/>
        </w:rPr>
        <w:t>.</w:t>
      </w:r>
      <w:r w:rsidRPr="00F03289">
        <w:t>  </w:t>
      </w:r>
      <w:r w:rsidRPr="00635D5C">
        <w:rPr>
          <w:lang w:val="bg-BG"/>
        </w:rPr>
        <w:t xml:space="preserve">Те </w:t>
      </w:r>
      <w:r>
        <w:rPr>
          <w:lang w:val="bg-BG"/>
        </w:rPr>
        <w:t>заявяват</w:t>
      </w:r>
      <w:r w:rsidRPr="00635D5C">
        <w:rPr>
          <w:lang w:val="bg-BG"/>
        </w:rPr>
        <w:t xml:space="preserve">, че </w:t>
      </w:r>
      <w:r>
        <w:rPr>
          <w:lang w:val="bg-BG"/>
        </w:rPr>
        <w:t>при</w:t>
      </w:r>
      <w:r w:rsidRPr="00635D5C">
        <w:rPr>
          <w:lang w:val="bg-BG"/>
        </w:rPr>
        <w:t xml:space="preserve"> полицейската операция, проведена в дома им на 30 март 2010 г.</w:t>
      </w:r>
      <w:r>
        <w:rPr>
          <w:lang w:val="bg-BG"/>
        </w:rPr>
        <w:t>,</w:t>
      </w:r>
      <w:r w:rsidRPr="00635D5C">
        <w:rPr>
          <w:lang w:val="bg-BG"/>
        </w:rPr>
        <w:t xml:space="preserve"> са били подложени на несъвместимо с член 3 от Конвенцията</w:t>
      </w:r>
      <w:r>
        <w:rPr>
          <w:lang w:val="bg-BG"/>
        </w:rPr>
        <w:t xml:space="preserve"> отношение.</w:t>
      </w:r>
      <w:r w:rsidRPr="00635D5C">
        <w:rPr>
          <w:lang w:val="bg-BG"/>
        </w:rPr>
        <w:t xml:space="preserve"> Полицията </w:t>
      </w:r>
      <w:r>
        <w:rPr>
          <w:lang w:val="bg-BG"/>
        </w:rPr>
        <w:t>е нахлула</w:t>
      </w:r>
      <w:r w:rsidRPr="00635D5C">
        <w:rPr>
          <w:lang w:val="bg-BG"/>
        </w:rPr>
        <w:t xml:space="preserve"> в семейното им жилище много рано сутринта, въпреки че </w:t>
      </w:r>
      <w:r>
        <w:rPr>
          <w:lang w:val="bg-BG"/>
        </w:rPr>
        <w:t xml:space="preserve">те </w:t>
      </w:r>
      <w:r w:rsidRPr="00635D5C">
        <w:rPr>
          <w:lang w:val="bg-BG"/>
        </w:rPr>
        <w:t xml:space="preserve">по никакъв начин не </w:t>
      </w:r>
      <w:r>
        <w:rPr>
          <w:lang w:val="bg-BG"/>
        </w:rPr>
        <w:t>са били включени</w:t>
      </w:r>
      <w:r w:rsidRPr="00635D5C">
        <w:rPr>
          <w:lang w:val="bg-BG"/>
        </w:rPr>
        <w:t xml:space="preserve"> в </w:t>
      </w:r>
      <w:r>
        <w:rPr>
          <w:lang w:val="bg-BG"/>
        </w:rPr>
        <w:t>досъдебното производство, в рамките на което е извършено</w:t>
      </w:r>
      <w:r w:rsidRPr="00635D5C">
        <w:rPr>
          <w:lang w:val="bg-BG"/>
        </w:rPr>
        <w:t xml:space="preserve"> въпросното издирване; </w:t>
      </w:r>
      <w:r>
        <w:rPr>
          <w:lang w:val="bg-BG"/>
        </w:rPr>
        <w:t>специалните агенти</w:t>
      </w:r>
      <w:r w:rsidRPr="00635D5C">
        <w:rPr>
          <w:lang w:val="bg-BG"/>
        </w:rPr>
        <w:t xml:space="preserve"> са били с качулки и въоръжени; </w:t>
      </w:r>
      <w:proofErr w:type="spellStart"/>
      <w:r w:rsidRPr="00635D5C">
        <w:rPr>
          <w:lang w:val="bg-BG"/>
        </w:rPr>
        <w:t>обездвижили</w:t>
      </w:r>
      <w:proofErr w:type="spellEnd"/>
      <w:r w:rsidR="00733DDD">
        <w:rPr>
          <w:lang w:val="bg-BG"/>
        </w:rPr>
        <w:t xml:space="preserve"> са</w:t>
      </w:r>
      <w:r w:rsidRPr="00635D5C">
        <w:rPr>
          <w:lang w:val="bg-BG"/>
        </w:rPr>
        <w:t xml:space="preserve"> г-н Огнян Дермански и са насочили оръжи</w:t>
      </w:r>
      <w:r>
        <w:rPr>
          <w:lang w:val="bg-BG"/>
        </w:rPr>
        <w:t>е</w:t>
      </w:r>
      <w:r w:rsidRPr="00635D5C">
        <w:rPr>
          <w:lang w:val="bg-BG"/>
        </w:rPr>
        <w:t xml:space="preserve"> към всички </w:t>
      </w:r>
      <w:r>
        <w:rPr>
          <w:lang w:val="bg-BG"/>
        </w:rPr>
        <w:t>жалбоподатели</w:t>
      </w:r>
      <w:r w:rsidRPr="00635D5C">
        <w:rPr>
          <w:lang w:val="bg-BG"/>
        </w:rPr>
        <w:t xml:space="preserve">; изложили </w:t>
      </w:r>
      <w:r>
        <w:rPr>
          <w:lang w:val="bg-BG"/>
        </w:rPr>
        <w:t xml:space="preserve">са </w:t>
      </w:r>
      <w:r w:rsidRPr="00635D5C">
        <w:rPr>
          <w:lang w:val="bg-BG"/>
        </w:rPr>
        <w:t xml:space="preserve">г-н Огнян Дермански с белезници </w:t>
      </w:r>
      <w:r>
        <w:rPr>
          <w:lang w:val="bg-BG"/>
        </w:rPr>
        <w:t>пред</w:t>
      </w:r>
      <w:r w:rsidRPr="00635D5C">
        <w:rPr>
          <w:lang w:val="bg-BG"/>
        </w:rPr>
        <w:t xml:space="preserve"> очите на съседите </w:t>
      </w:r>
      <w:r>
        <w:rPr>
          <w:lang w:val="bg-BG"/>
        </w:rPr>
        <w:t>при излизане от дома му</w:t>
      </w:r>
      <w:r w:rsidRPr="00635D5C">
        <w:rPr>
          <w:lang w:val="bg-BG"/>
        </w:rPr>
        <w:t xml:space="preserve"> и </w:t>
      </w:r>
      <w:r>
        <w:rPr>
          <w:lang w:val="bg-BG"/>
        </w:rPr>
        <w:t>пред</w:t>
      </w:r>
      <w:r w:rsidRPr="00635D5C">
        <w:rPr>
          <w:lang w:val="bg-BG"/>
        </w:rPr>
        <w:t xml:space="preserve"> очите на служителите </w:t>
      </w:r>
      <w:r>
        <w:rPr>
          <w:lang w:val="bg-BG"/>
        </w:rPr>
        <w:t>му при</w:t>
      </w:r>
      <w:r w:rsidRPr="00635D5C">
        <w:rPr>
          <w:lang w:val="bg-BG"/>
        </w:rPr>
        <w:t xml:space="preserve"> разследващите действия, проведени </w:t>
      </w:r>
      <w:r>
        <w:rPr>
          <w:lang w:val="bg-BG"/>
        </w:rPr>
        <w:t>в същия</w:t>
      </w:r>
      <w:r w:rsidRPr="00635D5C">
        <w:rPr>
          <w:lang w:val="bg-BG"/>
        </w:rPr>
        <w:t xml:space="preserve"> ден</w:t>
      </w:r>
      <w:r>
        <w:rPr>
          <w:lang w:val="bg-BG"/>
        </w:rPr>
        <w:t>.</w:t>
      </w:r>
    </w:p>
    <w:p w:rsidR="008D5372" w:rsidRDefault="008D5372" w:rsidP="00F03289">
      <w:pPr>
        <w:pStyle w:val="JuPara"/>
        <w:rPr>
          <w:lang w:val="bg-BG"/>
        </w:rPr>
      </w:pPr>
      <w:r w:rsidRPr="00B277AF">
        <w:rPr>
          <w:lang w:val="bg-BG"/>
        </w:rPr>
        <w:fldChar w:fldCharType="begin"/>
      </w:r>
      <w:r w:rsidRPr="00B277AF">
        <w:rPr>
          <w:lang w:val="bg-BG"/>
        </w:rPr>
        <w:instrText xml:space="preserve"> </w:instrText>
      </w:r>
      <w:r w:rsidRPr="00F03289">
        <w:instrText>SEQ</w:instrText>
      </w:r>
      <w:r w:rsidRPr="00B277AF">
        <w:rPr>
          <w:lang w:val="bg-BG"/>
        </w:rPr>
        <w:instrText xml:space="preserve"> </w:instrText>
      </w:r>
      <w:r w:rsidRPr="00F03289">
        <w:instrText>level</w:instrText>
      </w:r>
      <w:r w:rsidRPr="00B277AF">
        <w:rPr>
          <w:lang w:val="bg-BG"/>
        </w:rPr>
        <w:instrText>0 \*</w:instrText>
      </w:r>
      <w:r w:rsidRPr="00F03289">
        <w:instrText>arabic</w:instrText>
      </w:r>
      <w:r w:rsidRPr="00B277AF">
        <w:rPr>
          <w:lang w:val="bg-BG"/>
        </w:rPr>
        <w:instrText xml:space="preserve"> </w:instrText>
      </w:r>
      <w:r w:rsidRPr="00B277AF">
        <w:rPr>
          <w:lang w:val="bg-BG"/>
        </w:rPr>
        <w:fldChar w:fldCharType="separate"/>
      </w:r>
      <w:r w:rsidRPr="00B277AF">
        <w:rPr>
          <w:noProof/>
          <w:lang w:val="bg-BG"/>
        </w:rPr>
        <w:t>34</w:t>
      </w:r>
      <w:r w:rsidRPr="00B277AF">
        <w:rPr>
          <w:lang w:val="bg-BG"/>
        </w:rPr>
        <w:fldChar w:fldCharType="end"/>
      </w:r>
      <w:r w:rsidRPr="00B277AF">
        <w:rPr>
          <w:lang w:val="bg-BG"/>
        </w:rPr>
        <w:t>.</w:t>
      </w:r>
      <w:r>
        <w:t>  </w:t>
      </w:r>
      <w:r w:rsidRPr="00B277AF">
        <w:rPr>
          <w:lang w:val="bg-BG"/>
        </w:rPr>
        <w:t xml:space="preserve">Жалбоподателите считат, че използването на такива оперативни средства за арестуване на г-н Огнян Дермански по никакъв начин не е оправдано. Освен това начинът, по който въпросната полицейска операция е била извършена, е засегнал дълбоко останалите </w:t>
      </w:r>
      <w:r w:rsidRPr="00B277AF">
        <w:rPr>
          <w:lang w:val="bg-BG"/>
        </w:rPr>
        <w:lastRenderedPageBreak/>
        <w:t xml:space="preserve">трима жалбоподатели, които </w:t>
      </w:r>
      <w:r>
        <w:rPr>
          <w:lang w:val="bg-BG"/>
        </w:rPr>
        <w:t>са изпит</w:t>
      </w:r>
      <w:r w:rsidRPr="00B277AF">
        <w:rPr>
          <w:lang w:val="bg-BG"/>
        </w:rPr>
        <w:t xml:space="preserve">али силно чувство на страх, </w:t>
      </w:r>
      <w:r>
        <w:rPr>
          <w:lang w:val="bg-BG"/>
        </w:rPr>
        <w:t>безпокойство</w:t>
      </w:r>
      <w:r w:rsidRPr="00B277AF">
        <w:rPr>
          <w:lang w:val="bg-BG"/>
        </w:rPr>
        <w:t xml:space="preserve"> и унижение. Г-н Огнян Дермански от своя </w:t>
      </w:r>
      <w:r>
        <w:rPr>
          <w:lang w:val="bg-BG"/>
        </w:rPr>
        <w:t xml:space="preserve">страна </w:t>
      </w:r>
      <w:r w:rsidRPr="00B277AF">
        <w:rPr>
          <w:lang w:val="bg-BG"/>
        </w:rPr>
        <w:t>се</w:t>
      </w:r>
      <w:r>
        <w:rPr>
          <w:lang w:val="bg-BG"/>
        </w:rPr>
        <w:t xml:space="preserve"> е</w:t>
      </w:r>
      <w:r w:rsidRPr="00B277AF">
        <w:rPr>
          <w:lang w:val="bg-BG"/>
        </w:rPr>
        <w:t xml:space="preserve"> почувствал унизен както пред </w:t>
      </w:r>
      <w:r>
        <w:rPr>
          <w:lang w:val="bg-BG"/>
        </w:rPr>
        <w:t>близките си</w:t>
      </w:r>
      <w:r w:rsidRPr="00B277AF">
        <w:rPr>
          <w:lang w:val="bg-BG"/>
        </w:rPr>
        <w:t>, така и пред трети лица.</w:t>
      </w:r>
    </w:p>
    <w:p w:rsidR="00CF1469" w:rsidRPr="00F03289" w:rsidRDefault="00CF1469" w:rsidP="00CF1469">
      <w:pPr>
        <w:pStyle w:val="JuHA"/>
        <w:rPr>
          <w:rFonts w:eastAsia="Times New Roman"/>
          <w:lang w:val="fr-FR"/>
        </w:rPr>
      </w:pPr>
      <w:r>
        <w:rPr>
          <w:rFonts w:eastAsia="Times New Roman"/>
          <w:lang w:val="bg-BG"/>
        </w:rPr>
        <w:t>Пре</w:t>
      </w:r>
      <w:r>
        <w:rPr>
          <w:rFonts w:eastAsia="Times New Roman"/>
          <w:lang w:val="bg-BG"/>
        </w:rPr>
        <w:t>ценка на Съда</w:t>
      </w:r>
    </w:p>
    <w:p w:rsidR="008D5372" w:rsidRPr="00D918F3" w:rsidRDefault="00733B59" w:rsidP="00F03289">
      <w:pPr>
        <w:pStyle w:val="JuPara"/>
        <w:rPr>
          <w:lang w:val="bg-BG"/>
        </w:rPr>
      </w:pPr>
      <w:r>
        <w:fldChar w:fldCharType="begin"/>
      </w:r>
      <w:r>
        <w:instrText xml:space="preserve"> SEQ level0 \*arabic </w:instrText>
      </w:r>
      <w:r>
        <w:fldChar w:fldCharType="separate"/>
      </w:r>
      <w:r w:rsidR="008D5372" w:rsidRPr="00F03289">
        <w:rPr>
          <w:noProof/>
        </w:rPr>
        <w:t>35</w:t>
      </w:r>
      <w:r>
        <w:rPr>
          <w:noProof/>
        </w:rPr>
        <w:fldChar w:fldCharType="end"/>
      </w:r>
      <w:r w:rsidR="008D5372" w:rsidRPr="00F03289">
        <w:t>.  </w:t>
      </w:r>
      <w:r w:rsidR="008D5372">
        <w:rPr>
          <w:lang w:val="bg-BG"/>
        </w:rPr>
        <w:t>Съдът отбелязва, че П</w:t>
      </w:r>
      <w:r w:rsidR="008D5372" w:rsidRPr="00D918F3">
        <w:rPr>
          <w:lang w:val="bg-BG"/>
        </w:rPr>
        <w:t>равителството се позова</w:t>
      </w:r>
      <w:r w:rsidR="008D5372">
        <w:rPr>
          <w:lang w:val="bg-BG"/>
        </w:rPr>
        <w:t>ва</w:t>
      </w:r>
      <w:r w:rsidR="008D5372" w:rsidRPr="00D918F3">
        <w:rPr>
          <w:lang w:val="bg-BG"/>
        </w:rPr>
        <w:t xml:space="preserve"> на неизчерпване на вътрешнопр</w:t>
      </w:r>
      <w:r w:rsidR="008D5372">
        <w:rPr>
          <w:lang w:val="bg-BG"/>
        </w:rPr>
        <w:t>авните средства за защита (вж. п</w:t>
      </w:r>
      <w:r w:rsidR="008D5372" w:rsidRPr="00D918F3">
        <w:rPr>
          <w:lang w:val="bg-BG"/>
        </w:rPr>
        <w:t xml:space="preserve">араграф 29 по-горе). С оглед на обстоятелствата по делото обаче той не счита за необходимо да </w:t>
      </w:r>
      <w:r w:rsidR="008D5372">
        <w:rPr>
          <w:lang w:val="bg-BG"/>
        </w:rPr>
        <w:t>разгледа</w:t>
      </w:r>
      <w:r w:rsidR="008D5372" w:rsidRPr="00D918F3">
        <w:rPr>
          <w:lang w:val="bg-BG"/>
        </w:rPr>
        <w:t xml:space="preserve"> този въпрос, тъй като във всички случаи оплакването на жалбоподателите съгласно член 3 от Конвенцията е недопустимо </w:t>
      </w:r>
      <w:r w:rsidR="008D5372">
        <w:rPr>
          <w:lang w:val="bg-BG"/>
        </w:rPr>
        <w:t>поради</w:t>
      </w:r>
      <w:r w:rsidR="008D5372" w:rsidRPr="00D918F3">
        <w:rPr>
          <w:lang w:val="bg-BG"/>
        </w:rPr>
        <w:t xml:space="preserve"> изложените по-долу причини</w:t>
      </w:r>
      <w:r w:rsidR="008D5372">
        <w:rPr>
          <w:lang w:val="bg-BG"/>
        </w:rPr>
        <w:t>.</w:t>
      </w:r>
    </w:p>
    <w:bookmarkStart w:id="24" w:name="_Hlk36127770"/>
    <w:bookmarkEnd w:id="18"/>
    <w:p w:rsidR="008D5372" w:rsidRPr="00D918F3" w:rsidRDefault="008D5372" w:rsidP="00F03289">
      <w:pPr>
        <w:pStyle w:val="JuPara"/>
        <w:rPr>
          <w:lang w:val="bg-BG"/>
        </w:rPr>
      </w:pPr>
      <w:r w:rsidRPr="00D918F3">
        <w:rPr>
          <w:lang w:val="bg-BG"/>
        </w:rPr>
        <w:fldChar w:fldCharType="begin"/>
      </w:r>
      <w:r w:rsidRPr="00D918F3">
        <w:rPr>
          <w:lang w:val="bg-BG"/>
        </w:rPr>
        <w:instrText xml:space="preserve"> </w:instrText>
      </w:r>
      <w:r w:rsidRPr="00F03289">
        <w:instrText>SEQ</w:instrText>
      </w:r>
      <w:r w:rsidRPr="00D918F3">
        <w:rPr>
          <w:lang w:val="bg-BG"/>
        </w:rPr>
        <w:instrText xml:space="preserve"> </w:instrText>
      </w:r>
      <w:r w:rsidRPr="00F03289">
        <w:instrText>level</w:instrText>
      </w:r>
      <w:r w:rsidRPr="00D918F3">
        <w:rPr>
          <w:lang w:val="bg-BG"/>
        </w:rPr>
        <w:instrText>0 \*</w:instrText>
      </w:r>
      <w:r w:rsidRPr="00F03289">
        <w:instrText>arabic</w:instrText>
      </w:r>
      <w:r w:rsidRPr="00D918F3">
        <w:rPr>
          <w:lang w:val="bg-BG"/>
        </w:rPr>
        <w:instrText xml:space="preserve"> </w:instrText>
      </w:r>
      <w:r w:rsidRPr="00D918F3">
        <w:rPr>
          <w:lang w:val="bg-BG"/>
        </w:rPr>
        <w:fldChar w:fldCharType="separate"/>
      </w:r>
      <w:r w:rsidRPr="00D918F3">
        <w:rPr>
          <w:noProof/>
          <w:lang w:val="bg-BG"/>
        </w:rPr>
        <w:t>36</w:t>
      </w:r>
      <w:r w:rsidRPr="00D918F3">
        <w:rPr>
          <w:lang w:val="bg-BG"/>
        </w:rPr>
        <w:fldChar w:fldCharType="end"/>
      </w:r>
      <w:r w:rsidRPr="00D918F3">
        <w:rPr>
          <w:lang w:val="bg-BG"/>
        </w:rPr>
        <w:t>.</w:t>
      </w:r>
      <w:r w:rsidRPr="00F03289">
        <w:t>  </w:t>
      </w:r>
      <w:r>
        <w:rPr>
          <w:lang w:val="bg-BG"/>
        </w:rPr>
        <w:t xml:space="preserve">Още в началото </w:t>
      </w:r>
      <w:r w:rsidRPr="00D918F3">
        <w:rPr>
          <w:lang w:val="bg-BG"/>
        </w:rPr>
        <w:t xml:space="preserve">Съдът </w:t>
      </w:r>
      <w:r>
        <w:rPr>
          <w:lang w:val="bg-BG"/>
        </w:rPr>
        <w:t>държи</w:t>
      </w:r>
      <w:r w:rsidRPr="00D918F3">
        <w:rPr>
          <w:lang w:val="bg-BG"/>
        </w:rPr>
        <w:t xml:space="preserve"> да </w:t>
      </w:r>
      <w:r>
        <w:rPr>
          <w:lang w:val="bg-BG"/>
        </w:rPr>
        <w:t>при</w:t>
      </w:r>
      <w:r w:rsidRPr="00D918F3">
        <w:rPr>
          <w:lang w:val="bg-BG"/>
        </w:rPr>
        <w:t>помни, че ч</w:t>
      </w:r>
      <w:r>
        <w:rPr>
          <w:lang w:val="bg-BG"/>
        </w:rPr>
        <w:t>лен 3 не забранява използване</w:t>
      </w:r>
      <w:r w:rsidRPr="00D918F3">
        <w:rPr>
          <w:lang w:val="bg-BG"/>
        </w:rPr>
        <w:t xml:space="preserve"> на сила от </w:t>
      </w:r>
      <w:r>
        <w:rPr>
          <w:lang w:val="bg-BG"/>
        </w:rPr>
        <w:t xml:space="preserve">страна на </w:t>
      </w:r>
      <w:r w:rsidRPr="00D918F3">
        <w:rPr>
          <w:lang w:val="bg-BG"/>
        </w:rPr>
        <w:t>полицейски служители по време на арест. Независимо от това, използването на сила трябва да бъде пропорционалн</w:t>
      </w:r>
      <w:r>
        <w:rPr>
          <w:lang w:val="bg-BG"/>
        </w:rPr>
        <w:t>о и абсолютно наложително</w:t>
      </w:r>
      <w:r w:rsidRPr="00D918F3">
        <w:rPr>
          <w:lang w:val="bg-BG"/>
        </w:rPr>
        <w:t xml:space="preserve"> с оглед на о</w:t>
      </w:r>
      <w:r>
        <w:rPr>
          <w:lang w:val="bg-BG"/>
        </w:rPr>
        <w:t>бстоятелствата по делото (вж., н</w:t>
      </w:r>
      <w:r w:rsidRPr="00D918F3">
        <w:rPr>
          <w:lang w:val="bg-BG"/>
        </w:rPr>
        <w:t xml:space="preserve">аред с </w:t>
      </w:r>
      <w:r>
        <w:rPr>
          <w:lang w:val="bg-BG"/>
        </w:rPr>
        <w:t xml:space="preserve">много </w:t>
      </w:r>
      <w:r w:rsidRPr="00D918F3">
        <w:rPr>
          <w:lang w:val="bg-BG"/>
        </w:rPr>
        <w:t xml:space="preserve">други, </w:t>
      </w:r>
      <w:proofErr w:type="spellStart"/>
      <w:r w:rsidRPr="00D918F3">
        <w:rPr>
          <w:i/>
          <w:lang w:val="bg-BG"/>
        </w:rPr>
        <w:t>Рехбок</w:t>
      </w:r>
      <w:proofErr w:type="spellEnd"/>
      <w:r w:rsidRPr="00D918F3">
        <w:rPr>
          <w:i/>
          <w:lang w:val="bg-BG"/>
        </w:rPr>
        <w:t xml:space="preserve"> срещу Словения</w:t>
      </w:r>
      <w:r w:rsidRPr="00D918F3">
        <w:rPr>
          <w:lang w:val="bg-BG"/>
        </w:rPr>
        <w:t xml:space="preserve">, № 29462/95, </w:t>
      </w:r>
      <w:r>
        <w:rPr>
          <w:lang w:val="bg-BG"/>
        </w:rPr>
        <w:t>параграф</w:t>
      </w:r>
      <w:r w:rsidRPr="00D918F3">
        <w:rPr>
          <w:lang w:val="bg-BG"/>
        </w:rPr>
        <w:t xml:space="preserve"> 76, ЕСПЧ 2000-</w:t>
      </w:r>
      <w:r w:rsidRPr="00D918F3">
        <w:t>X</w:t>
      </w:r>
      <w:bookmarkStart w:id="25" w:name="_GoBack"/>
      <w:r w:rsidRPr="00D918F3">
        <w:t>II</w:t>
      </w:r>
      <w:bookmarkEnd w:id="25"/>
      <w:r>
        <w:rPr>
          <w:lang w:val="bg-BG"/>
        </w:rPr>
        <w:t>,</w:t>
      </w:r>
      <w:r w:rsidRPr="00D918F3">
        <w:rPr>
          <w:lang w:val="bg-BG"/>
        </w:rPr>
        <w:t xml:space="preserve"> и </w:t>
      </w:r>
      <w:r w:rsidRPr="00D918F3">
        <w:rPr>
          <w:i/>
          <w:lang w:val="bg-BG"/>
        </w:rPr>
        <w:t>Алтай срещу Турция</w:t>
      </w:r>
      <w:r w:rsidRPr="00D918F3">
        <w:rPr>
          <w:lang w:val="bg-BG"/>
        </w:rPr>
        <w:t xml:space="preserve"> , № 2279/93, </w:t>
      </w:r>
      <w:r>
        <w:rPr>
          <w:lang w:val="bg-BG"/>
        </w:rPr>
        <w:t>параграф</w:t>
      </w:r>
      <w:r w:rsidRPr="00D918F3">
        <w:rPr>
          <w:lang w:val="bg-BG"/>
        </w:rPr>
        <w:t xml:space="preserve"> 54, 22 май 2001 г.). </w:t>
      </w:r>
      <w:r>
        <w:rPr>
          <w:lang w:val="bg-BG"/>
        </w:rPr>
        <w:t>В тази връзка</w:t>
      </w:r>
      <w:r w:rsidRPr="00D918F3">
        <w:rPr>
          <w:lang w:val="bg-BG"/>
        </w:rPr>
        <w:t xml:space="preserve"> е важно да се знае</w:t>
      </w:r>
      <w:r>
        <w:rPr>
          <w:lang w:val="bg-BG"/>
        </w:rPr>
        <w:t>,</w:t>
      </w:r>
      <w:r w:rsidRPr="00D918F3">
        <w:rPr>
          <w:lang w:val="bg-BG"/>
        </w:rPr>
        <w:t xml:space="preserve"> например</w:t>
      </w:r>
      <w:r>
        <w:rPr>
          <w:lang w:val="bg-BG"/>
        </w:rPr>
        <w:t>,</w:t>
      </w:r>
      <w:r w:rsidRPr="00D918F3">
        <w:rPr>
          <w:lang w:val="bg-BG"/>
        </w:rPr>
        <w:t xml:space="preserve"> дали има основание да се смята, че засегнатото лице ще се противопостави на ареста или ще се опита да избяга, да причини нараняване или увреждане или да </w:t>
      </w:r>
      <w:r>
        <w:rPr>
          <w:lang w:val="bg-BG"/>
        </w:rPr>
        <w:t>заличи</w:t>
      </w:r>
      <w:r w:rsidRPr="00D918F3">
        <w:rPr>
          <w:lang w:val="bg-BG"/>
        </w:rPr>
        <w:t xml:space="preserve"> доказателства (</w:t>
      </w:r>
      <w:proofErr w:type="spellStart"/>
      <w:r w:rsidRPr="00D918F3">
        <w:rPr>
          <w:i/>
          <w:lang w:val="bg-BG"/>
        </w:rPr>
        <w:t>Ранинен</w:t>
      </w:r>
      <w:proofErr w:type="spellEnd"/>
      <w:r w:rsidRPr="00D918F3">
        <w:rPr>
          <w:i/>
          <w:lang w:val="bg-BG"/>
        </w:rPr>
        <w:t xml:space="preserve"> срещу Финландия</w:t>
      </w:r>
      <w:r w:rsidRPr="00D918F3">
        <w:rPr>
          <w:lang w:val="bg-BG"/>
        </w:rPr>
        <w:t xml:space="preserve">, 16 декември 1997 г., </w:t>
      </w:r>
      <w:r>
        <w:rPr>
          <w:lang w:val="bg-BG"/>
        </w:rPr>
        <w:t>параграф</w:t>
      </w:r>
      <w:r w:rsidRPr="00D918F3">
        <w:rPr>
          <w:lang w:val="bg-BG"/>
        </w:rPr>
        <w:t xml:space="preserve"> 56, </w:t>
      </w:r>
      <w:r w:rsidRPr="00F03289">
        <w:t>Recueil</w:t>
      </w:r>
      <w:r>
        <w:rPr>
          <w:lang w:val="bg-BG"/>
        </w:rPr>
        <w:t xml:space="preserve"> </w:t>
      </w:r>
      <w:r w:rsidRPr="00D918F3">
        <w:rPr>
          <w:lang w:val="bg-BG"/>
        </w:rPr>
        <w:t>1997-</w:t>
      </w:r>
      <w:r w:rsidRPr="00D918F3">
        <w:t>VIII</w:t>
      </w:r>
      <w:r w:rsidRPr="00D918F3">
        <w:rPr>
          <w:lang w:val="bg-BG"/>
        </w:rPr>
        <w:t xml:space="preserve">). Всяко използване на физическа сила от страна на държавни </w:t>
      </w:r>
      <w:r>
        <w:rPr>
          <w:lang w:val="bg-BG"/>
        </w:rPr>
        <w:t>служители</w:t>
      </w:r>
      <w:r w:rsidRPr="00D918F3">
        <w:rPr>
          <w:lang w:val="bg-BG"/>
        </w:rPr>
        <w:t xml:space="preserve"> срещу </w:t>
      </w:r>
      <w:r>
        <w:rPr>
          <w:lang w:val="bg-BG"/>
        </w:rPr>
        <w:t>лице</w:t>
      </w:r>
      <w:r w:rsidRPr="00D918F3">
        <w:rPr>
          <w:lang w:val="bg-BG"/>
        </w:rPr>
        <w:t>,</w:t>
      </w:r>
      <w:r>
        <w:rPr>
          <w:lang w:val="bg-BG"/>
        </w:rPr>
        <w:t xml:space="preserve"> чието поведение не го налага стриктно</w:t>
      </w:r>
      <w:r w:rsidRPr="00D918F3">
        <w:rPr>
          <w:lang w:val="bg-BG"/>
        </w:rPr>
        <w:t xml:space="preserve">, </w:t>
      </w:r>
      <w:r>
        <w:rPr>
          <w:lang w:val="bg-BG"/>
        </w:rPr>
        <w:t xml:space="preserve">отнема човешкото </w:t>
      </w:r>
      <w:r w:rsidRPr="00D918F3">
        <w:rPr>
          <w:lang w:val="bg-BG"/>
        </w:rPr>
        <w:t>м</w:t>
      </w:r>
      <w:r>
        <w:rPr>
          <w:lang w:val="bg-BG"/>
        </w:rPr>
        <w:t>у</w:t>
      </w:r>
      <w:r w:rsidRPr="00D918F3">
        <w:rPr>
          <w:lang w:val="bg-BG"/>
        </w:rPr>
        <w:t xml:space="preserve"> достойнство и следователно представлява нарушение на правата, гарантирани от </w:t>
      </w:r>
      <w:r>
        <w:rPr>
          <w:lang w:val="bg-BG"/>
        </w:rPr>
        <w:t>ч</w:t>
      </w:r>
      <w:r w:rsidRPr="00D918F3">
        <w:rPr>
          <w:lang w:val="bg-BG"/>
        </w:rPr>
        <w:t>лен 3 от Конвенцията (</w:t>
      </w:r>
      <w:proofErr w:type="spellStart"/>
      <w:r w:rsidRPr="00D918F3">
        <w:rPr>
          <w:i/>
          <w:lang w:val="bg-BG"/>
        </w:rPr>
        <w:t>Рахвалски</w:t>
      </w:r>
      <w:proofErr w:type="spellEnd"/>
      <w:r w:rsidRPr="00D918F3">
        <w:rPr>
          <w:i/>
          <w:lang w:val="bg-BG"/>
        </w:rPr>
        <w:t xml:space="preserve"> и Ференц срещу Полша</w:t>
      </w:r>
      <w:r w:rsidRPr="00D918F3">
        <w:rPr>
          <w:lang w:val="bg-BG"/>
        </w:rPr>
        <w:t xml:space="preserve">, № 47709/99, </w:t>
      </w:r>
      <w:r>
        <w:rPr>
          <w:lang w:val="bg-BG"/>
        </w:rPr>
        <w:t>параграф</w:t>
      </w:r>
      <w:r w:rsidRPr="00D918F3">
        <w:rPr>
          <w:lang w:val="bg-BG"/>
        </w:rPr>
        <w:t xml:space="preserve"> 59, 28 юли 2009 г.)</w:t>
      </w:r>
      <w:r w:rsidR="00CF1469">
        <w:rPr>
          <w:lang w:val="bg-BG"/>
        </w:rPr>
        <w:t>.</w:t>
      </w:r>
    </w:p>
    <w:p w:rsidR="008D5372" w:rsidRDefault="008D5372" w:rsidP="00F03289">
      <w:pPr>
        <w:pStyle w:val="JuPara"/>
        <w:rPr>
          <w:lang w:val="bg-BG"/>
        </w:rPr>
      </w:pPr>
      <w:r w:rsidRPr="00402E77">
        <w:rPr>
          <w:lang w:val="bg-BG"/>
        </w:rPr>
        <w:fldChar w:fldCharType="begin"/>
      </w:r>
      <w:r w:rsidRPr="00402E77">
        <w:rPr>
          <w:lang w:val="bg-BG"/>
        </w:rPr>
        <w:instrText xml:space="preserve"> </w:instrText>
      </w:r>
      <w:r w:rsidRPr="00F03289">
        <w:instrText>SEQ</w:instrText>
      </w:r>
      <w:r w:rsidRPr="00402E77">
        <w:rPr>
          <w:lang w:val="bg-BG"/>
        </w:rPr>
        <w:instrText xml:space="preserve"> </w:instrText>
      </w:r>
      <w:r w:rsidRPr="00F03289">
        <w:instrText>level</w:instrText>
      </w:r>
      <w:r w:rsidRPr="00402E77">
        <w:rPr>
          <w:lang w:val="bg-BG"/>
        </w:rPr>
        <w:instrText>0 \*</w:instrText>
      </w:r>
      <w:r w:rsidRPr="00F03289">
        <w:instrText>arabic</w:instrText>
      </w:r>
      <w:r w:rsidRPr="00402E77">
        <w:rPr>
          <w:lang w:val="bg-BG"/>
        </w:rPr>
        <w:instrText xml:space="preserve"> </w:instrText>
      </w:r>
      <w:r w:rsidRPr="00402E77">
        <w:rPr>
          <w:lang w:val="bg-BG"/>
        </w:rPr>
        <w:fldChar w:fldCharType="separate"/>
      </w:r>
      <w:r w:rsidRPr="00402E77">
        <w:rPr>
          <w:noProof/>
          <w:lang w:val="bg-BG"/>
        </w:rPr>
        <w:t>37</w:t>
      </w:r>
      <w:r w:rsidRPr="00402E77">
        <w:rPr>
          <w:lang w:val="bg-BG"/>
        </w:rPr>
        <w:fldChar w:fldCharType="end"/>
      </w:r>
      <w:r w:rsidRPr="00402E77">
        <w:rPr>
          <w:lang w:val="bg-BG"/>
        </w:rPr>
        <w:t>.</w:t>
      </w:r>
      <w:r w:rsidRPr="00F03289">
        <w:t>  </w:t>
      </w:r>
      <w:r w:rsidRPr="00402E77">
        <w:rPr>
          <w:lang w:val="bg-BG"/>
        </w:rPr>
        <w:t xml:space="preserve">Трябва да </w:t>
      </w:r>
      <w:r>
        <w:rPr>
          <w:lang w:val="bg-BG"/>
        </w:rPr>
        <w:t>припомним и</w:t>
      </w:r>
      <w:r w:rsidRPr="00402E77">
        <w:rPr>
          <w:lang w:val="bg-BG"/>
        </w:rPr>
        <w:t>, че</w:t>
      </w:r>
      <w:r>
        <w:rPr>
          <w:lang w:val="bg-BG"/>
        </w:rPr>
        <w:t>,</w:t>
      </w:r>
      <w:r w:rsidRPr="00402E77">
        <w:rPr>
          <w:lang w:val="bg-BG"/>
        </w:rPr>
        <w:t xml:space="preserve"> за да попадне в обхвата на член 3, </w:t>
      </w:r>
      <w:r>
        <w:rPr>
          <w:lang w:val="bg-BG"/>
        </w:rPr>
        <w:t>лошото отношение</w:t>
      </w:r>
      <w:r w:rsidRPr="00402E77">
        <w:rPr>
          <w:lang w:val="bg-BG"/>
        </w:rPr>
        <w:t xml:space="preserve"> трябва да достигне </w:t>
      </w:r>
      <w:r>
        <w:rPr>
          <w:lang w:val="bg-BG"/>
        </w:rPr>
        <w:t>минимално ниво</w:t>
      </w:r>
      <w:r w:rsidRPr="00402E77">
        <w:rPr>
          <w:lang w:val="bg-BG"/>
        </w:rPr>
        <w:t xml:space="preserve"> </w:t>
      </w:r>
      <w:r>
        <w:rPr>
          <w:lang w:val="bg-BG"/>
        </w:rPr>
        <w:t>на тежест</w:t>
      </w:r>
      <w:r w:rsidRPr="00402E77">
        <w:rPr>
          <w:lang w:val="bg-BG"/>
        </w:rPr>
        <w:t xml:space="preserve">. </w:t>
      </w:r>
      <w:r w:rsidR="00CF1469">
        <w:rPr>
          <w:lang w:val="bg-BG"/>
        </w:rPr>
        <w:t>Преце</w:t>
      </w:r>
      <w:r>
        <w:rPr>
          <w:lang w:val="bg-BG"/>
        </w:rPr>
        <w:t>нката</w:t>
      </w:r>
      <w:r w:rsidRPr="00402E77">
        <w:rPr>
          <w:lang w:val="bg-BG"/>
        </w:rPr>
        <w:t xml:space="preserve"> на </w:t>
      </w:r>
      <w:r>
        <w:rPr>
          <w:lang w:val="bg-BG"/>
        </w:rPr>
        <w:t>това минимално ниво</w:t>
      </w:r>
      <w:r w:rsidRPr="00402E77">
        <w:rPr>
          <w:lang w:val="bg-BG"/>
        </w:rPr>
        <w:t xml:space="preserve"> е относителн</w:t>
      </w:r>
      <w:r>
        <w:rPr>
          <w:lang w:val="bg-BG"/>
        </w:rPr>
        <w:t>а</w:t>
      </w:r>
      <w:r w:rsidRPr="00402E77">
        <w:rPr>
          <w:lang w:val="bg-BG"/>
        </w:rPr>
        <w:t xml:space="preserve"> по същество;</w:t>
      </w:r>
      <w:r w:rsidR="00CF1469">
        <w:rPr>
          <w:lang w:val="bg-BG"/>
        </w:rPr>
        <w:t xml:space="preserve"> </w:t>
      </w:r>
      <w:r w:rsidRPr="00402E77">
        <w:rPr>
          <w:lang w:val="bg-BG"/>
        </w:rPr>
        <w:t>т</w:t>
      </w:r>
      <w:r>
        <w:rPr>
          <w:lang w:val="bg-BG"/>
        </w:rPr>
        <w:t>я</w:t>
      </w:r>
      <w:r w:rsidRPr="00402E77">
        <w:rPr>
          <w:lang w:val="bg-BG"/>
        </w:rPr>
        <w:t xml:space="preserve"> зависи от всички данни, </w:t>
      </w:r>
      <w:r>
        <w:rPr>
          <w:lang w:val="bg-BG"/>
        </w:rPr>
        <w:t>посочващи</w:t>
      </w:r>
      <w:r w:rsidRPr="00402E77">
        <w:rPr>
          <w:lang w:val="bg-BG"/>
        </w:rPr>
        <w:t xml:space="preserve"> причината</w:t>
      </w:r>
      <w:r>
        <w:rPr>
          <w:lang w:val="bg-BG"/>
        </w:rPr>
        <w:t xml:space="preserve"> за това отношение</w:t>
      </w:r>
      <w:r w:rsidRPr="00402E77">
        <w:rPr>
          <w:lang w:val="bg-BG"/>
        </w:rPr>
        <w:t xml:space="preserve">, и по-специално от </w:t>
      </w:r>
      <w:r>
        <w:rPr>
          <w:lang w:val="bg-BG"/>
        </w:rPr>
        <w:t>неговата продължителност</w:t>
      </w:r>
      <w:r w:rsidRPr="00402E77">
        <w:rPr>
          <w:lang w:val="bg-BG"/>
        </w:rPr>
        <w:t xml:space="preserve">, физически или психологически </w:t>
      </w:r>
      <w:r>
        <w:rPr>
          <w:lang w:val="bg-BG"/>
        </w:rPr>
        <w:t>последици от него</w:t>
      </w:r>
      <w:r w:rsidRPr="00402E77">
        <w:rPr>
          <w:lang w:val="bg-BG"/>
        </w:rPr>
        <w:t xml:space="preserve">, както и понякога от пола, възрастта и здравословното състояние на </w:t>
      </w:r>
      <w:r>
        <w:rPr>
          <w:lang w:val="bg-BG"/>
        </w:rPr>
        <w:t>пострадалото лице (</w:t>
      </w:r>
      <w:r w:rsidRPr="00402E77">
        <w:rPr>
          <w:i/>
          <w:lang w:val="bg-BG"/>
        </w:rPr>
        <w:t>вж. Гуцанови срещу България</w:t>
      </w:r>
      <w:r w:rsidRPr="00402E77">
        <w:rPr>
          <w:lang w:val="bg-BG"/>
        </w:rPr>
        <w:t xml:space="preserve"> , № 34529/10, </w:t>
      </w:r>
      <w:r>
        <w:rPr>
          <w:lang w:val="bg-BG"/>
        </w:rPr>
        <w:t>параграф</w:t>
      </w:r>
      <w:r w:rsidRPr="00402E77">
        <w:rPr>
          <w:lang w:val="bg-BG"/>
        </w:rPr>
        <w:t xml:space="preserve"> 125, ЕСПЧ 2013 (извлечения))</w:t>
      </w:r>
      <w:r>
        <w:rPr>
          <w:lang w:val="bg-BG"/>
        </w:rPr>
        <w:t>.</w:t>
      </w:r>
    </w:p>
    <w:p w:rsidR="008D5372" w:rsidRDefault="008D5372" w:rsidP="00F03289">
      <w:pPr>
        <w:pStyle w:val="JuPara"/>
        <w:rPr>
          <w:lang w:val="bg-BG"/>
        </w:rPr>
      </w:pPr>
      <w:r w:rsidRPr="00307039">
        <w:rPr>
          <w:lang w:val="bg-BG"/>
        </w:rPr>
        <w:fldChar w:fldCharType="begin"/>
      </w:r>
      <w:r w:rsidRPr="00307039">
        <w:rPr>
          <w:lang w:val="bg-BG"/>
        </w:rPr>
        <w:instrText xml:space="preserve"> </w:instrText>
      </w:r>
      <w:r w:rsidRPr="00F03289">
        <w:instrText>SEQ</w:instrText>
      </w:r>
      <w:r w:rsidRPr="00307039">
        <w:rPr>
          <w:lang w:val="bg-BG"/>
        </w:rPr>
        <w:instrText xml:space="preserve"> </w:instrText>
      </w:r>
      <w:r w:rsidRPr="00F03289">
        <w:instrText>level</w:instrText>
      </w:r>
      <w:r w:rsidRPr="00307039">
        <w:rPr>
          <w:lang w:val="bg-BG"/>
        </w:rPr>
        <w:instrText>0 \*</w:instrText>
      </w:r>
      <w:r w:rsidRPr="00F03289">
        <w:instrText>arabic</w:instrText>
      </w:r>
      <w:r w:rsidRPr="00307039">
        <w:rPr>
          <w:lang w:val="bg-BG"/>
        </w:rPr>
        <w:instrText xml:space="preserve"> </w:instrText>
      </w:r>
      <w:r w:rsidRPr="00307039">
        <w:rPr>
          <w:lang w:val="bg-BG"/>
        </w:rPr>
        <w:fldChar w:fldCharType="separate"/>
      </w:r>
      <w:r w:rsidRPr="00307039">
        <w:rPr>
          <w:noProof/>
          <w:lang w:val="bg-BG"/>
        </w:rPr>
        <w:t>38</w:t>
      </w:r>
      <w:r w:rsidRPr="00307039">
        <w:rPr>
          <w:lang w:val="bg-BG"/>
        </w:rPr>
        <w:fldChar w:fldCharType="end"/>
      </w:r>
      <w:r w:rsidRPr="00307039">
        <w:rPr>
          <w:lang w:val="bg-BG"/>
        </w:rPr>
        <w:t>.</w:t>
      </w:r>
      <w:r w:rsidRPr="00F03289">
        <w:t> </w:t>
      </w:r>
      <w:r w:rsidRPr="00307039">
        <w:rPr>
          <w:lang w:val="bg-BG"/>
        </w:rPr>
        <w:t xml:space="preserve">Съдът също припомня, че в поредица от дела срещу България е констатирал нарушения на член 3 от Конвенцията, които са възникнали </w:t>
      </w:r>
      <w:r>
        <w:rPr>
          <w:lang w:val="bg-BG"/>
        </w:rPr>
        <w:t>при</w:t>
      </w:r>
      <w:r w:rsidRPr="00307039">
        <w:rPr>
          <w:lang w:val="bg-BG"/>
        </w:rPr>
        <w:t xml:space="preserve"> полицейски операции, извършени </w:t>
      </w:r>
      <w:r>
        <w:rPr>
          <w:lang w:val="bg-BG"/>
        </w:rPr>
        <w:t>по същото време като</w:t>
      </w:r>
      <w:r w:rsidRPr="00307039">
        <w:rPr>
          <w:lang w:val="bg-BG"/>
        </w:rPr>
        <w:t xml:space="preserve"> тези </w:t>
      </w:r>
      <w:r>
        <w:rPr>
          <w:lang w:val="bg-BG"/>
        </w:rPr>
        <w:t>по</w:t>
      </w:r>
      <w:r w:rsidRPr="00307039">
        <w:rPr>
          <w:lang w:val="bg-BG"/>
        </w:rPr>
        <w:t xml:space="preserve"> настоящото дело (</w:t>
      </w:r>
      <w:r w:rsidRPr="00307039">
        <w:rPr>
          <w:i/>
          <w:lang w:val="bg-BG"/>
        </w:rPr>
        <w:t>Гуцанови</w:t>
      </w:r>
      <w:r w:rsidRPr="00307039">
        <w:rPr>
          <w:lang w:val="bg-BG"/>
        </w:rPr>
        <w:t xml:space="preserve">, цитирано по-горе, </w:t>
      </w:r>
      <w:r>
        <w:rPr>
          <w:lang w:val="bg-BG"/>
        </w:rPr>
        <w:t>параграфи</w:t>
      </w:r>
      <w:r w:rsidRPr="00307039">
        <w:rPr>
          <w:lang w:val="bg-BG"/>
        </w:rPr>
        <w:t xml:space="preserve"> 127-137, </w:t>
      </w:r>
      <w:r w:rsidRPr="00307039">
        <w:rPr>
          <w:i/>
          <w:lang w:val="bg-BG"/>
        </w:rPr>
        <w:t>Славов и други срещу България</w:t>
      </w:r>
      <w:r w:rsidRPr="00307039">
        <w:rPr>
          <w:lang w:val="bg-BG"/>
        </w:rPr>
        <w:t xml:space="preserve">, № 58500/10, </w:t>
      </w:r>
      <w:r>
        <w:rPr>
          <w:lang w:val="bg-BG"/>
        </w:rPr>
        <w:t>параграфи</w:t>
      </w:r>
      <w:r w:rsidRPr="00307039">
        <w:rPr>
          <w:lang w:val="bg-BG"/>
        </w:rPr>
        <w:t xml:space="preserve"> 76-85, 10 ноември 2015 г., </w:t>
      </w:r>
      <w:r w:rsidRPr="00307039">
        <w:rPr>
          <w:i/>
          <w:lang w:val="bg-BG"/>
        </w:rPr>
        <w:t>Стоянов и други срещу България</w:t>
      </w:r>
      <w:r w:rsidRPr="00307039">
        <w:rPr>
          <w:lang w:val="bg-BG"/>
        </w:rPr>
        <w:t xml:space="preserve">, № 55388/10, </w:t>
      </w:r>
      <w:r>
        <w:rPr>
          <w:lang w:val="bg-BG"/>
        </w:rPr>
        <w:t>параграфи</w:t>
      </w:r>
      <w:r w:rsidRPr="00307039">
        <w:rPr>
          <w:lang w:val="bg-BG"/>
        </w:rPr>
        <w:t xml:space="preserve"> 69-73, 31 март 2016 г. и </w:t>
      </w:r>
      <w:r w:rsidRPr="00307039">
        <w:rPr>
          <w:i/>
          <w:lang w:val="bg-BG"/>
        </w:rPr>
        <w:t xml:space="preserve">Говедарски срещу </w:t>
      </w:r>
      <w:r w:rsidRPr="00307039">
        <w:rPr>
          <w:i/>
          <w:lang w:val="bg-BG"/>
        </w:rPr>
        <w:lastRenderedPageBreak/>
        <w:t>България</w:t>
      </w:r>
      <w:r w:rsidRPr="00307039">
        <w:rPr>
          <w:lang w:val="bg-BG"/>
        </w:rPr>
        <w:t xml:space="preserve">, № 34957/12, </w:t>
      </w:r>
      <w:r>
        <w:rPr>
          <w:lang w:val="bg-BG"/>
        </w:rPr>
        <w:t>параграфи</w:t>
      </w:r>
      <w:r w:rsidRPr="00307039">
        <w:rPr>
          <w:lang w:val="bg-BG"/>
        </w:rPr>
        <w:t xml:space="preserve"> 57-66, 16 февруари 2016 г.). </w:t>
      </w:r>
      <w:r>
        <w:rPr>
          <w:lang w:val="bg-BG"/>
        </w:rPr>
        <w:t>По въпросните дела Съдът е заключил</w:t>
      </w:r>
      <w:r w:rsidRPr="00307039">
        <w:rPr>
          <w:lang w:val="bg-BG"/>
        </w:rPr>
        <w:t xml:space="preserve">, че полицейските операции в домовете на тези жалбоподатели не са планирани и изпълнени по начин, </w:t>
      </w:r>
      <w:r>
        <w:rPr>
          <w:lang w:val="bg-BG"/>
        </w:rPr>
        <w:t>гарантиращ</w:t>
      </w:r>
      <w:r w:rsidRPr="00307039">
        <w:rPr>
          <w:lang w:val="bg-BG"/>
        </w:rPr>
        <w:t xml:space="preserve">, че използваните средства </w:t>
      </w:r>
      <w:r>
        <w:rPr>
          <w:lang w:val="bg-BG"/>
        </w:rPr>
        <w:t>се ограничават</w:t>
      </w:r>
      <w:r w:rsidRPr="00307039">
        <w:rPr>
          <w:lang w:val="bg-BG"/>
        </w:rPr>
        <w:t xml:space="preserve"> до тези, които са строго необходими за постигане на крайните </w:t>
      </w:r>
      <w:r>
        <w:rPr>
          <w:lang w:val="bg-BG"/>
        </w:rPr>
        <w:t>им</w:t>
      </w:r>
      <w:r w:rsidRPr="00307039">
        <w:rPr>
          <w:lang w:val="bg-BG"/>
        </w:rPr>
        <w:t xml:space="preserve"> цели, а именно арест</w:t>
      </w:r>
      <w:r>
        <w:rPr>
          <w:lang w:val="bg-BG"/>
        </w:rPr>
        <w:t>уване</w:t>
      </w:r>
      <w:r w:rsidRPr="00307039">
        <w:rPr>
          <w:lang w:val="bg-BG"/>
        </w:rPr>
        <w:t xml:space="preserve"> на заподозрян за извършване на престъпления и събиране на доказателства в контекста на </w:t>
      </w:r>
      <w:r>
        <w:rPr>
          <w:lang w:val="bg-BG"/>
        </w:rPr>
        <w:t>досъдебно производство</w:t>
      </w:r>
      <w:r w:rsidRPr="00307039">
        <w:rPr>
          <w:lang w:val="bg-BG"/>
        </w:rPr>
        <w:t xml:space="preserve"> (</w:t>
      </w:r>
      <w:r w:rsidRPr="00307039">
        <w:rPr>
          <w:i/>
        </w:rPr>
        <w:t>ibidem</w:t>
      </w:r>
      <w:r w:rsidRPr="00307039">
        <w:rPr>
          <w:lang w:val="bg-BG"/>
        </w:rPr>
        <w:t>)</w:t>
      </w:r>
      <w:r>
        <w:rPr>
          <w:lang w:val="bg-BG"/>
        </w:rPr>
        <w:t>.</w:t>
      </w:r>
    </w:p>
    <w:p w:rsidR="008D5372" w:rsidRPr="00307039" w:rsidRDefault="008D5372" w:rsidP="00F03289">
      <w:pPr>
        <w:pStyle w:val="JuPara"/>
        <w:rPr>
          <w:lang w:val="bg-BG"/>
        </w:rPr>
      </w:pPr>
      <w:r w:rsidRPr="00307039">
        <w:rPr>
          <w:lang w:val="bg-BG"/>
        </w:rPr>
        <w:fldChar w:fldCharType="begin"/>
      </w:r>
      <w:r w:rsidRPr="00307039">
        <w:rPr>
          <w:lang w:val="bg-BG"/>
        </w:rPr>
        <w:instrText xml:space="preserve"> </w:instrText>
      </w:r>
      <w:r w:rsidRPr="00F03289">
        <w:instrText>SEQ</w:instrText>
      </w:r>
      <w:r w:rsidRPr="00307039">
        <w:rPr>
          <w:lang w:val="bg-BG"/>
        </w:rPr>
        <w:instrText xml:space="preserve"> </w:instrText>
      </w:r>
      <w:r w:rsidRPr="00F03289">
        <w:instrText>level</w:instrText>
      </w:r>
      <w:r w:rsidRPr="00307039">
        <w:rPr>
          <w:lang w:val="bg-BG"/>
        </w:rPr>
        <w:instrText>0 \*</w:instrText>
      </w:r>
      <w:r w:rsidRPr="00F03289">
        <w:instrText>arabic</w:instrText>
      </w:r>
      <w:r w:rsidRPr="00307039">
        <w:rPr>
          <w:lang w:val="bg-BG"/>
        </w:rPr>
        <w:instrText xml:space="preserve"> </w:instrText>
      </w:r>
      <w:r w:rsidRPr="00307039">
        <w:rPr>
          <w:lang w:val="bg-BG"/>
        </w:rPr>
        <w:fldChar w:fldCharType="separate"/>
      </w:r>
      <w:r w:rsidRPr="00307039">
        <w:rPr>
          <w:noProof/>
          <w:lang w:val="bg-BG"/>
        </w:rPr>
        <w:t>39</w:t>
      </w:r>
      <w:r w:rsidRPr="00307039">
        <w:rPr>
          <w:lang w:val="bg-BG"/>
        </w:rPr>
        <w:fldChar w:fldCharType="end"/>
      </w:r>
      <w:r w:rsidRPr="00307039">
        <w:rPr>
          <w:lang w:val="bg-BG"/>
        </w:rPr>
        <w:t>.</w:t>
      </w:r>
      <w:r w:rsidRPr="00F03289">
        <w:t>  </w:t>
      </w:r>
      <w:r w:rsidRPr="00307039">
        <w:rPr>
          <w:lang w:val="bg-BG"/>
        </w:rPr>
        <w:t xml:space="preserve">Вярно е, че настоящото дело има някои прилики с цитираните по-горе български </w:t>
      </w:r>
      <w:r>
        <w:rPr>
          <w:lang w:val="bg-BG"/>
        </w:rPr>
        <w:t>дела</w:t>
      </w:r>
      <w:r w:rsidRPr="00307039">
        <w:rPr>
          <w:lang w:val="bg-BG"/>
        </w:rPr>
        <w:t xml:space="preserve">. По-специално </w:t>
      </w:r>
      <w:r>
        <w:rPr>
          <w:lang w:val="bg-BG"/>
        </w:rPr>
        <w:t>от документите по преписката произтича</w:t>
      </w:r>
      <w:r w:rsidRPr="00307039">
        <w:rPr>
          <w:lang w:val="bg-BG"/>
        </w:rPr>
        <w:t>, че въпросната полицейска операция е била проведена</w:t>
      </w:r>
      <w:r>
        <w:rPr>
          <w:lang w:val="bg-BG"/>
        </w:rPr>
        <w:t xml:space="preserve"> рано сутринта от няколко полицейски служители, които са били</w:t>
      </w:r>
      <w:r w:rsidRPr="00307039">
        <w:rPr>
          <w:lang w:val="bg-BG"/>
        </w:rPr>
        <w:t xml:space="preserve"> с качулки и въоръжени</w:t>
      </w:r>
      <w:r>
        <w:rPr>
          <w:lang w:val="bg-BG"/>
        </w:rPr>
        <w:t xml:space="preserve"> и</w:t>
      </w:r>
      <w:r w:rsidRPr="00307039">
        <w:rPr>
          <w:lang w:val="bg-BG"/>
        </w:rPr>
        <w:t xml:space="preserve"> са нахлули </w:t>
      </w:r>
      <w:r>
        <w:rPr>
          <w:lang w:val="bg-BG"/>
        </w:rPr>
        <w:t>в дома на жалбоподателите (вж. п</w:t>
      </w:r>
      <w:r w:rsidRPr="00307039">
        <w:rPr>
          <w:lang w:val="bg-BG"/>
        </w:rPr>
        <w:t>араграфи 10-14 по-горе).</w:t>
      </w:r>
    </w:p>
    <w:p w:rsidR="008D5372" w:rsidRPr="00923D80" w:rsidRDefault="008D5372" w:rsidP="00F03289">
      <w:pPr>
        <w:pStyle w:val="JuPara"/>
        <w:rPr>
          <w:lang w:val="bg-BG"/>
        </w:rPr>
      </w:pPr>
      <w:r w:rsidRPr="00923D80">
        <w:rPr>
          <w:lang w:val="bg-BG"/>
        </w:rPr>
        <w:fldChar w:fldCharType="begin"/>
      </w:r>
      <w:r w:rsidRPr="00923D80">
        <w:rPr>
          <w:lang w:val="bg-BG"/>
        </w:rPr>
        <w:instrText xml:space="preserve"> </w:instrText>
      </w:r>
      <w:r w:rsidRPr="00F03289">
        <w:instrText>SEQ</w:instrText>
      </w:r>
      <w:r w:rsidRPr="00923D80">
        <w:rPr>
          <w:lang w:val="bg-BG"/>
        </w:rPr>
        <w:instrText xml:space="preserve"> </w:instrText>
      </w:r>
      <w:r w:rsidRPr="00F03289">
        <w:instrText>level</w:instrText>
      </w:r>
      <w:r w:rsidRPr="00923D80">
        <w:rPr>
          <w:lang w:val="bg-BG"/>
        </w:rPr>
        <w:instrText>0 \*</w:instrText>
      </w:r>
      <w:r w:rsidRPr="00F03289">
        <w:instrText>arabic</w:instrText>
      </w:r>
      <w:r w:rsidRPr="00923D80">
        <w:rPr>
          <w:lang w:val="bg-BG"/>
        </w:rPr>
        <w:instrText xml:space="preserve"> </w:instrText>
      </w:r>
      <w:r w:rsidRPr="00923D80">
        <w:rPr>
          <w:lang w:val="bg-BG"/>
        </w:rPr>
        <w:fldChar w:fldCharType="separate"/>
      </w:r>
      <w:r w:rsidRPr="00923D80">
        <w:rPr>
          <w:noProof/>
          <w:lang w:val="bg-BG"/>
        </w:rPr>
        <w:t>40</w:t>
      </w:r>
      <w:r w:rsidRPr="00923D80">
        <w:rPr>
          <w:lang w:val="bg-BG"/>
        </w:rPr>
        <w:fldChar w:fldCharType="end"/>
      </w:r>
      <w:r w:rsidRPr="00923D80">
        <w:rPr>
          <w:lang w:val="bg-BG"/>
        </w:rPr>
        <w:t>.</w:t>
      </w:r>
      <w:r w:rsidRPr="00F03289">
        <w:t>  </w:t>
      </w:r>
      <w:r w:rsidRPr="00923D80">
        <w:rPr>
          <w:lang w:val="bg-BG"/>
        </w:rPr>
        <w:t>Трябва обаче да се отбележи, че няко</w:t>
      </w:r>
      <w:r>
        <w:rPr>
          <w:lang w:val="bg-BG"/>
        </w:rPr>
        <w:t>и</w:t>
      </w:r>
      <w:r w:rsidRPr="00923D80">
        <w:rPr>
          <w:lang w:val="bg-BG"/>
        </w:rPr>
        <w:t xml:space="preserve"> други </w:t>
      </w:r>
      <w:r>
        <w:rPr>
          <w:lang w:val="bg-BG"/>
        </w:rPr>
        <w:t xml:space="preserve">конкретни </w:t>
      </w:r>
      <w:r w:rsidRPr="00923D80">
        <w:rPr>
          <w:lang w:val="bg-BG"/>
        </w:rPr>
        <w:t>обстоятелства</w:t>
      </w:r>
      <w:r>
        <w:rPr>
          <w:lang w:val="bg-BG"/>
        </w:rPr>
        <w:t xml:space="preserve"> по</w:t>
      </w:r>
      <w:r w:rsidRPr="00923D80">
        <w:rPr>
          <w:lang w:val="bg-BG"/>
        </w:rPr>
        <w:t xml:space="preserve"> настоящото дело разкриват съществената разлика между това дело и гореспоменатите български дела. По-специално, органите на </w:t>
      </w:r>
      <w:r>
        <w:rPr>
          <w:lang w:val="bg-BG"/>
        </w:rPr>
        <w:t>досъдебното производство</w:t>
      </w:r>
      <w:r w:rsidRPr="00923D80">
        <w:rPr>
          <w:lang w:val="bg-BG"/>
        </w:rPr>
        <w:t xml:space="preserve"> са получили предварително разрешение </w:t>
      </w:r>
      <w:r>
        <w:rPr>
          <w:lang w:val="bg-BG"/>
        </w:rPr>
        <w:t>от съдия да претърсят</w:t>
      </w:r>
      <w:r w:rsidRPr="00923D80">
        <w:rPr>
          <w:lang w:val="bg-BG"/>
        </w:rPr>
        <w:t xml:space="preserve"> дом</w:t>
      </w:r>
      <w:r>
        <w:rPr>
          <w:lang w:val="bg-BG"/>
        </w:rPr>
        <w:t>а</w:t>
      </w:r>
      <w:r w:rsidRPr="00923D80">
        <w:rPr>
          <w:lang w:val="bg-BG"/>
        </w:rPr>
        <w:t xml:space="preserve"> на жалбоподателит</w:t>
      </w:r>
      <w:r>
        <w:rPr>
          <w:lang w:val="bg-BG"/>
        </w:rPr>
        <w:t>е (вж. п</w:t>
      </w:r>
      <w:r w:rsidRPr="00923D80">
        <w:rPr>
          <w:lang w:val="bg-BG"/>
        </w:rPr>
        <w:t xml:space="preserve">араграф 8 по-горе; вж. </w:t>
      </w:r>
      <w:r w:rsidRPr="00923D80">
        <w:rPr>
          <w:i/>
          <w:lang w:val="bg-BG"/>
        </w:rPr>
        <w:t>противно на това Гуцанови</w:t>
      </w:r>
      <w:r w:rsidRPr="00923D80">
        <w:rPr>
          <w:lang w:val="bg-BG"/>
        </w:rPr>
        <w:t xml:space="preserve">, цитирано по-горе, </w:t>
      </w:r>
      <w:r>
        <w:rPr>
          <w:lang w:val="bg-BG"/>
        </w:rPr>
        <w:t>параграфи</w:t>
      </w:r>
      <w:r w:rsidRPr="00923D80">
        <w:rPr>
          <w:lang w:val="bg-BG"/>
        </w:rPr>
        <w:t xml:space="preserve"> 32 и 133, и </w:t>
      </w:r>
      <w:r w:rsidRPr="00923D80">
        <w:rPr>
          <w:i/>
          <w:lang w:val="bg-BG"/>
        </w:rPr>
        <w:t>Славов и други</w:t>
      </w:r>
      <w:r w:rsidRPr="00923D80">
        <w:rPr>
          <w:lang w:val="bg-BG"/>
        </w:rPr>
        <w:t xml:space="preserve">, цитирано по-горе, </w:t>
      </w:r>
      <w:r>
        <w:rPr>
          <w:lang w:val="bg-BG"/>
        </w:rPr>
        <w:t>параграфи</w:t>
      </w:r>
      <w:r w:rsidRPr="00923D80">
        <w:rPr>
          <w:lang w:val="bg-BG"/>
        </w:rPr>
        <w:t xml:space="preserve"> 21 и 83); </w:t>
      </w:r>
      <w:r>
        <w:rPr>
          <w:lang w:val="bg-BG"/>
        </w:rPr>
        <w:t>г</w:t>
      </w:r>
      <w:r w:rsidRPr="00923D80">
        <w:rPr>
          <w:lang w:val="bg-BG"/>
        </w:rPr>
        <w:t>-жа Дерманска е получила телефонно обаждане от полиц</w:t>
      </w:r>
      <w:r>
        <w:rPr>
          <w:lang w:val="bg-BG"/>
        </w:rPr>
        <w:t>ейски служители</w:t>
      </w:r>
      <w:r w:rsidRPr="00923D80">
        <w:rPr>
          <w:lang w:val="bg-BG"/>
        </w:rPr>
        <w:t xml:space="preserve"> петнадесет м</w:t>
      </w:r>
      <w:r>
        <w:rPr>
          <w:lang w:val="bg-BG"/>
        </w:rPr>
        <w:t xml:space="preserve">инути преди намесата в семейното жилище </w:t>
      </w:r>
      <w:r w:rsidRPr="00923D80">
        <w:rPr>
          <w:lang w:val="bg-BG"/>
        </w:rPr>
        <w:t xml:space="preserve">(вж. </w:t>
      </w:r>
      <w:r>
        <w:rPr>
          <w:lang w:val="bg-BG"/>
        </w:rPr>
        <w:t>п</w:t>
      </w:r>
      <w:r w:rsidRPr="00923D80">
        <w:rPr>
          <w:lang w:val="bg-BG"/>
        </w:rPr>
        <w:t xml:space="preserve">араграф 10 по-горе); вратата на апартамента не </w:t>
      </w:r>
      <w:r>
        <w:rPr>
          <w:lang w:val="bg-BG"/>
        </w:rPr>
        <w:t>е била</w:t>
      </w:r>
      <w:r w:rsidRPr="00923D80">
        <w:rPr>
          <w:lang w:val="bg-BG"/>
        </w:rPr>
        <w:t xml:space="preserve"> принудително отворена (</w:t>
      </w:r>
      <w:r w:rsidRPr="00B95286">
        <w:rPr>
          <w:i/>
        </w:rPr>
        <w:t>ibidem</w:t>
      </w:r>
      <w:r w:rsidRPr="00923D80">
        <w:rPr>
          <w:lang w:val="bg-BG"/>
        </w:rPr>
        <w:t xml:space="preserve">; виж, </w:t>
      </w:r>
      <w:r w:rsidRPr="00923D80">
        <w:rPr>
          <w:i/>
          <w:lang w:val="bg-BG"/>
        </w:rPr>
        <w:t>противно на това Гуцанови</w:t>
      </w:r>
      <w:r w:rsidRPr="00923D80">
        <w:rPr>
          <w:lang w:val="bg-BG"/>
        </w:rPr>
        <w:t xml:space="preserve">, цитирано по-горе, </w:t>
      </w:r>
      <w:r>
        <w:rPr>
          <w:lang w:val="bg-BG"/>
        </w:rPr>
        <w:t>параграф</w:t>
      </w:r>
      <w:r w:rsidRPr="00923D80">
        <w:rPr>
          <w:lang w:val="bg-BG"/>
        </w:rPr>
        <w:t xml:space="preserve"> 119 </w:t>
      </w:r>
      <w:r w:rsidRPr="00923D80">
        <w:t>in</w:t>
      </w:r>
      <w:r w:rsidRPr="00923D80">
        <w:rPr>
          <w:lang w:val="bg-BG"/>
        </w:rPr>
        <w:t xml:space="preserve"> </w:t>
      </w:r>
      <w:r w:rsidRPr="00923D80">
        <w:t>fine</w:t>
      </w:r>
      <w:r w:rsidRPr="00923D80">
        <w:rPr>
          <w:lang w:val="bg-BG"/>
        </w:rPr>
        <w:t xml:space="preserve">); </w:t>
      </w:r>
      <w:r>
        <w:rPr>
          <w:lang w:val="bg-BG"/>
        </w:rPr>
        <w:t>г</w:t>
      </w:r>
      <w:r w:rsidRPr="00923D80">
        <w:rPr>
          <w:lang w:val="bg-BG"/>
        </w:rPr>
        <w:t xml:space="preserve">-н Дермански не е бил принуден да остане в унизителна позиция (вж. </w:t>
      </w:r>
      <w:r w:rsidRPr="00923D80">
        <w:rPr>
          <w:i/>
          <w:lang w:val="bg-BG"/>
        </w:rPr>
        <w:t xml:space="preserve">противно на това </w:t>
      </w:r>
      <w:r>
        <w:rPr>
          <w:i/>
          <w:lang w:val="bg-BG"/>
        </w:rPr>
        <w:t>Стоянов</w:t>
      </w:r>
      <w:r w:rsidRPr="00923D80">
        <w:rPr>
          <w:lang w:val="bg-BG"/>
        </w:rPr>
        <w:t xml:space="preserve"> </w:t>
      </w:r>
      <w:r w:rsidRPr="00B95286">
        <w:rPr>
          <w:i/>
          <w:lang w:val="bg-BG"/>
        </w:rPr>
        <w:t>и други</w:t>
      </w:r>
      <w:r w:rsidRPr="00923D80">
        <w:rPr>
          <w:lang w:val="bg-BG"/>
        </w:rPr>
        <w:t xml:space="preserve">, цитирано по-горе, </w:t>
      </w:r>
      <w:r>
        <w:rPr>
          <w:lang w:val="bg-BG"/>
        </w:rPr>
        <w:t>параграф</w:t>
      </w:r>
      <w:r w:rsidRPr="00923D80">
        <w:rPr>
          <w:lang w:val="bg-BG"/>
        </w:rPr>
        <w:t xml:space="preserve"> 68); двамата синове на двойка</w:t>
      </w:r>
      <w:r>
        <w:rPr>
          <w:lang w:val="bg-BG"/>
        </w:rPr>
        <w:t>та</w:t>
      </w:r>
      <w:r w:rsidRPr="00923D80">
        <w:rPr>
          <w:lang w:val="bg-BG"/>
        </w:rPr>
        <w:t xml:space="preserve"> Дермански не са били малки деца, </w:t>
      </w:r>
      <w:r>
        <w:rPr>
          <w:lang w:val="bg-BG"/>
        </w:rPr>
        <w:t>а</w:t>
      </w:r>
      <w:r w:rsidRPr="00923D80">
        <w:rPr>
          <w:lang w:val="bg-BG"/>
        </w:rPr>
        <w:t xml:space="preserve"> са били съответно на петнадесет и двадесет години (вж. параграф 11 по-горе; </w:t>
      </w:r>
      <w:r w:rsidRPr="00923D80">
        <w:rPr>
          <w:i/>
          <w:lang w:val="bg-BG"/>
        </w:rPr>
        <w:t xml:space="preserve">противно на това </w:t>
      </w:r>
      <w:r>
        <w:rPr>
          <w:i/>
          <w:lang w:val="bg-BG"/>
        </w:rPr>
        <w:t>Говедарски</w:t>
      </w:r>
      <w:r w:rsidRPr="00923D80">
        <w:rPr>
          <w:lang w:val="bg-BG"/>
        </w:rPr>
        <w:t xml:space="preserve">, цитирано по-горе, </w:t>
      </w:r>
      <w:r>
        <w:rPr>
          <w:lang w:val="bg-BG"/>
        </w:rPr>
        <w:t>параграф</w:t>
      </w:r>
      <w:r w:rsidRPr="00923D80">
        <w:rPr>
          <w:lang w:val="bg-BG"/>
        </w:rPr>
        <w:t xml:space="preserve"> 62 </w:t>
      </w:r>
      <w:r w:rsidRPr="00923D80">
        <w:t>in</w:t>
      </w:r>
      <w:r w:rsidRPr="00923D80">
        <w:rPr>
          <w:lang w:val="bg-BG"/>
        </w:rPr>
        <w:t xml:space="preserve"> </w:t>
      </w:r>
      <w:r w:rsidRPr="00923D80">
        <w:t>fine</w:t>
      </w:r>
      <w:r w:rsidRPr="00923D80">
        <w:rPr>
          <w:lang w:val="bg-BG"/>
        </w:rPr>
        <w:t>).</w:t>
      </w:r>
    </w:p>
    <w:p w:rsidR="008D5372" w:rsidRPr="000C3FE1" w:rsidRDefault="008D5372" w:rsidP="00F03289">
      <w:pPr>
        <w:pStyle w:val="JuPara"/>
        <w:rPr>
          <w:lang w:val="bg-BG"/>
        </w:rPr>
      </w:pPr>
      <w:r w:rsidRPr="000C3FE1">
        <w:rPr>
          <w:lang w:val="bg-BG"/>
        </w:rPr>
        <w:fldChar w:fldCharType="begin"/>
      </w:r>
      <w:r w:rsidRPr="000C3FE1">
        <w:rPr>
          <w:lang w:val="bg-BG"/>
        </w:rPr>
        <w:instrText xml:space="preserve"> </w:instrText>
      </w:r>
      <w:r w:rsidRPr="00F03289">
        <w:instrText>SEQ</w:instrText>
      </w:r>
      <w:r w:rsidRPr="000C3FE1">
        <w:rPr>
          <w:lang w:val="bg-BG"/>
        </w:rPr>
        <w:instrText xml:space="preserve"> </w:instrText>
      </w:r>
      <w:r w:rsidRPr="00F03289">
        <w:instrText>level</w:instrText>
      </w:r>
      <w:r w:rsidRPr="000C3FE1">
        <w:rPr>
          <w:lang w:val="bg-BG"/>
        </w:rPr>
        <w:instrText>0 \*</w:instrText>
      </w:r>
      <w:r w:rsidRPr="00F03289">
        <w:instrText>arabic</w:instrText>
      </w:r>
      <w:r w:rsidRPr="000C3FE1">
        <w:rPr>
          <w:lang w:val="bg-BG"/>
        </w:rPr>
        <w:instrText xml:space="preserve"> </w:instrText>
      </w:r>
      <w:r w:rsidRPr="000C3FE1">
        <w:rPr>
          <w:lang w:val="bg-BG"/>
        </w:rPr>
        <w:fldChar w:fldCharType="separate"/>
      </w:r>
      <w:r w:rsidRPr="000C3FE1">
        <w:rPr>
          <w:noProof/>
          <w:lang w:val="bg-BG"/>
        </w:rPr>
        <w:t>41</w:t>
      </w:r>
      <w:r w:rsidRPr="000C3FE1">
        <w:rPr>
          <w:lang w:val="bg-BG"/>
        </w:rPr>
        <w:fldChar w:fldCharType="end"/>
      </w:r>
      <w:r w:rsidRPr="000C3FE1">
        <w:rPr>
          <w:lang w:val="bg-BG"/>
        </w:rPr>
        <w:t>.</w:t>
      </w:r>
      <w:r w:rsidRPr="00F03289">
        <w:t>  </w:t>
      </w:r>
      <w:r w:rsidRPr="000C3FE1">
        <w:rPr>
          <w:lang w:val="bg-BG"/>
        </w:rPr>
        <w:t xml:space="preserve">Съдът счита, че е необходимо да се вземат предвид всички </w:t>
      </w:r>
      <w:r>
        <w:rPr>
          <w:lang w:val="bg-BG"/>
        </w:rPr>
        <w:t xml:space="preserve">гореспоменати </w:t>
      </w:r>
      <w:r w:rsidRPr="000C3FE1">
        <w:rPr>
          <w:lang w:val="bg-BG"/>
        </w:rPr>
        <w:t xml:space="preserve">елементи, за да се </w:t>
      </w:r>
      <w:r>
        <w:rPr>
          <w:lang w:val="bg-BG"/>
        </w:rPr>
        <w:t>направи оценки на</w:t>
      </w:r>
      <w:r w:rsidRPr="000C3FE1">
        <w:rPr>
          <w:lang w:val="bg-BG"/>
        </w:rPr>
        <w:t xml:space="preserve"> степента на </w:t>
      </w:r>
      <w:r>
        <w:rPr>
          <w:lang w:val="bg-BG"/>
        </w:rPr>
        <w:t>тежест</w:t>
      </w:r>
      <w:r w:rsidRPr="000C3FE1">
        <w:rPr>
          <w:lang w:val="bg-BG"/>
        </w:rPr>
        <w:t xml:space="preserve"> на </w:t>
      </w:r>
      <w:r>
        <w:rPr>
          <w:lang w:val="bg-BG"/>
        </w:rPr>
        <w:t>твърдяното лошо отношение</w:t>
      </w:r>
      <w:r w:rsidRPr="000C3FE1">
        <w:rPr>
          <w:lang w:val="bg-BG"/>
        </w:rPr>
        <w:t xml:space="preserve">. </w:t>
      </w:r>
    </w:p>
    <w:p w:rsidR="008D5372" w:rsidRDefault="008D5372" w:rsidP="00F03289">
      <w:pPr>
        <w:pStyle w:val="JuPara"/>
        <w:rPr>
          <w:lang w:val="bg-BG"/>
        </w:rPr>
      </w:pPr>
      <w:r w:rsidRPr="008A4655">
        <w:rPr>
          <w:lang w:val="bg-BG"/>
        </w:rPr>
        <w:fldChar w:fldCharType="begin"/>
      </w:r>
      <w:r w:rsidRPr="008A4655">
        <w:rPr>
          <w:lang w:val="bg-BG"/>
        </w:rPr>
        <w:instrText xml:space="preserve"> </w:instrText>
      </w:r>
      <w:r w:rsidRPr="00F03289">
        <w:instrText>SEQ</w:instrText>
      </w:r>
      <w:r w:rsidRPr="008A4655">
        <w:rPr>
          <w:lang w:val="bg-BG"/>
        </w:rPr>
        <w:instrText xml:space="preserve"> </w:instrText>
      </w:r>
      <w:r w:rsidRPr="00F03289">
        <w:instrText>level</w:instrText>
      </w:r>
      <w:r w:rsidRPr="008A4655">
        <w:rPr>
          <w:lang w:val="bg-BG"/>
        </w:rPr>
        <w:instrText>0 \*</w:instrText>
      </w:r>
      <w:r w:rsidRPr="00F03289">
        <w:instrText>arabic</w:instrText>
      </w:r>
      <w:r w:rsidRPr="008A4655">
        <w:rPr>
          <w:lang w:val="bg-BG"/>
        </w:rPr>
        <w:instrText xml:space="preserve"> </w:instrText>
      </w:r>
      <w:r w:rsidRPr="008A4655">
        <w:rPr>
          <w:lang w:val="bg-BG"/>
        </w:rPr>
        <w:fldChar w:fldCharType="separate"/>
      </w:r>
      <w:r w:rsidRPr="008A4655">
        <w:rPr>
          <w:noProof/>
          <w:lang w:val="bg-BG"/>
        </w:rPr>
        <w:t>42</w:t>
      </w:r>
      <w:r w:rsidRPr="008A4655">
        <w:rPr>
          <w:lang w:val="bg-BG"/>
        </w:rPr>
        <w:fldChar w:fldCharType="end"/>
      </w:r>
      <w:r w:rsidRPr="008A4655">
        <w:rPr>
          <w:lang w:val="bg-BG"/>
        </w:rPr>
        <w:t>.</w:t>
      </w:r>
      <w:r w:rsidRPr="00F03289">
        <w:t>  </w:t>
      </w:r>
      <w:r>
        <w:rPr>
          <w:lang w:val="bg-BG"/>
        </w:rPr>
        <w:t>Също така е вярно</w:t>
      </w:r>
      <w:r w:rsidRPr="008A4655">
        <w:rPr>
          <w:lang w:val="bg-BG"/>
        </w:rPr>
        <w:t>, че полицейската намеса в дом</w:t>
      </w:r>
      <w:r>
        <w:rPr>
          <w:lang w:val="bg-BG"/>
        </w:rPr>
        <w:t>а на жалбоподателите е оказала негативно психологическо влияние върху</w:t>
      </w:r>
      <w:r w:rsidRPr="008A4655">
        <w:rPr>
          <w:lang w:val="bg-BG"/>
        </w:rPr>
        <w:t xml:space="preserve"> тях (вж. </w:t>
      </w:r>
      <w:r>
        <w:rPr>
          <w:lang w:val="bg-BG"/>
        </w:rPr>
        <w:t>п</w:t>
      </w:r>
      <w:r w:rsidRPr="008A4655">
        <w:rPr>
          <w:lang w:val="bg-BG"/>
        </w:rPr>
        <w:t xml:space="preserve">араграфи 19-22 по-горе). Въпреки това, вземайки предвид всички обстоятелства </w:t>
      </w:r>
      <w:r>
        <w:rPr>
          <w:lang w:val="bg-BG"/>
        </w:rPr>
        <w:t>по</w:t>
      </w:r>
      <w:r w:rsidRPr="008A4655">
        <w:rPr>
          <w:lang w:val="bg-BG"/>
        </w:rPr>
        <w:t xml:space="preserve"> полицейската операция, </w:t>
      </w:r>
      <w:r>
        <w:rPr>
          <w:lang w:val="bg-BG"/>
        </w:rPr>
        <w:t>характера</w:t>
      </w:r>
      <w:r w:rsidRPr="008A4655">
        <w:rPr>
          <w:lang w:val="bg-BG"/>
        </w:rPr>
        <w:t xml:space="preserve">, интензивността и продължителността на </w:t>
      </w:r>
      <w:r>
        <w:rPr>
          <w:lang w:val="bg-BG"/>
        </w:rPr>
        <w:t>твърдяното лошо отношение</w:t>
      </w:r>
      <w:r w:rsidRPr="008A4655">
        <w:rPr>
          <w:lang w:val="bg-BG"/>
        </w:rPr>
        <w:t xml:space="preserve">, както и възрастта на синовете на двойката Дермански, Съдът счита, че </w:t>
      </w:r>
      <w:r>
        <w:rPr>
          <w:lang w:val="bg-BG"/>
        </w:rPr>
        <w:t>негативните</w:t>
      </w:r>
      <w:r w:rsidRPr="008A4655">
        <w:rPr>
          <w:lang w:val="bg-BG"/>
        </w:rPr>
        <w:t xml:space="preserve"> последици от въпросната </w:t>
      </w:r>
      <w:r>
        <w:rPr>
          <w:lang w:val="bg-BG"/>
        </w:rPr>
        <w:t xml:space="preserve">полицейска </w:t>
      </w:r>
      <w:r w:rsidRPr="008A4655">
        <w:rPr>
          <w:lang w:val="bg-BG"/>
        </w:rPr>
        <w:t>намеса не надхвърля</w:t>
      </w:r>
      <w:r>
        <w:rPr>
          <w:lang w:val="bg-BG"/>
        </w:rPr>
        <w:t>т</w:t>
      </w:r>
      <w:r w:rsidRPr="008A4655">
        <w:rPr>
          <w:lang w:val="bg-BG"/>
        </w:rPr>
        <w:t xml:space="preserve"> прага на тежест, </w:t>
      </w:r>
      <w:r>
        <w:rPr>
          <w:lang w:val="bg-BG"/>
        </w:rPr>
        <w:t>налагащ</w:t>
      </w:r>
      <w:r w:rsidRPr="008A4655">
        <w:rPr>
          <w:lang w:val="bg-BG"/>
        </w:rPr>
        <w:t xml:space="preserve"> прилагането на член 3 от </w:t>
      </w:r>
      <w:r>
        <w:rPr>
          <w:lang w:val="bg-BG"/>
        </w:rPr>
        <w:t>К</w:t>
      </w:r>
      <w:r w:rsidRPr="008A4655">
        <w:rPr>
          <w:lang w:val="bg-BG"/>
        </w:rPr>
        <w:t>онвенцията.</w:t>
      </w:r>
    </w:p>
    <w:bookmarkStart w:id="26" w:name="para41"/>
    <w:p w:rsidR="008D5372" w:rsidRDefault="008D5372" w:rsidP="00F03289">
      <w:pPr>
        <w:pStyle w:val="JuPara"/>
        <w:rPr>
          <w:lang w:val="bg-BG"/>
        </w:rPr>
      </w:pPr>
      <w:r w:rsidRPr="008A4655">
        <w:rPr>
          <w:lang w:val="bg-BG"/>
        </w:rPr>
        <w:fldChar w:fldCharType="begin"/>
      </w:r>
      <w:r w:rsidRPr="008A4655">
        <w:rPr>
          <w:lang w:val="bg-BG"/>
        </w:rPr>
        <w:instrText xml:space="preserve"> </w:instrText>
      </w:r>
      <w:r w:rsidRPr="00F03289">
        <w:instrText>SEQ</w:instrText>
      </w:r>
      <w:r w:rsidRPr="008A4655">
        <w:rPr>
          <w:lang w:val="bg-BG"/>
        </w:rPr>
        <w:instrText xml:space="preserve"> </w:instrText>
      </w:r>
      <w:r w:rsidRPr="00F03289">
        <w:instrText>level</w:instrText>
      </w:r>
      <w:r w:rsidRPr="008A4655">
        <w:rPr>
          <w:lang w:val="bg-BG"/>
        </w:rPr>
        <w:instrText>0 \*</w:instrText>
      </w:r>
      <w:r w:rsidRPr="00F03289">
        <w:instrText>arabic</w:instrText>
      </w:r>
      <w:r w:rsidRPr="008A4655">
        <w:rPr>
          <w:lang w:val="bg-BG"/>
        </w:rPr>
        <w:instrText xml:space="preserve"> </w:instrText>
      </w:r>
      <w:r w:rsidRPr="008A4655">
        <w:rPr>
          <w:lang w:val="bg-BG"/>
        </w:rPr>
        <w:fldChar w:fldCharType="separate"/>
      </w:r>
      <w:r w:rsidRPr="008A4655">
        <w:rPr>
          <w:noProof/>
          <w:lang w:val="bg-BG"/>
        </w:rPr>
        <w:t>43</w:t>
      </w:r>
      <w:r w:rsidRPr="008A4655">
        <w:rPr>
          <w:lang w:val="bg-BG"/>
        </w:rPr>
        <w:fldChar w:fldCharType="end"/>
      </w:r>
      <w:bookmarkEnd w:id="26"/>
      <w:r w:rsidRPr="008A4655">
        <w:rPr>
          <w:lang w:val="bg-BG"/>
        </w:rPr>
        <w:t>.</w:t>
      </w:r>
      <w:r w:rsidRPr="00F03289">
        <w:t>  </w:t>
      </w:r>
      <w:r w:rsidRPr="008A4655">
        <w:rPr>
          <w:lang w:val="bg-BG"/>
        </w:rPr>
        <w:t xml:space="preserve">От това следва, че при конкретните обстоятелства по настоящото дело </w:t>
      </w:r>
      <w:r>
        <w:rPr>
          <w:lang w:val="bg-BG"/>
        </w:rPr>
        <w:t>оплакването</w:t>
      </w:r>
      <w:r w:rsidRPr="008A4655">
        <w:rPr>
          <w:lang w:val="bg-BG"/>
        </w:rPr>
        <w:t xml:space="preserve"> по</w:t>
      </w:r>
      <w:r>
        <w:rPr>
          <w:lang w:val="bg-BG"/>
        </w:rPr>
        <w:t xml:space="preserve"> смисъла на</w:t>
      </w:r>
      <w:r w:rsidRPr="008A4655">
        <w:rPr>
          <w:lang w:val="bg-BG"/>
        </w:rPr>
        <w:t xml:space="preserve"> член 3 от </w:t>
      </w:r>
      <w:r w:rsidRPr="008A4655">
        <w:rPr>
          <w:lang w:val="bg-BG"/>
        </w:rPr>
        <w:lastRenderedPageBreak/>
        <w:t>Конвенцията е явно необоснован</w:t>
      </w:r>
      <w:r>
        <w:rPr>
          <w:lang w:val="bg-BG"/>
        </w:rPr>
        <w:t>о</w:t>
      </w:r>
      <w:r w:rsidRPr="008A4655">
        <w:rPr>
          <w:lang w:val="bg-BG"/>
        </w:rPr>
        <w:t xml:space="preserve"> и </w:t>
      </w:r>
      <w:r>
        <w:rPr>
          <w:lang w:val="bg-BG"/>
        </w:rPr>
        <w:t>следва</w:t>
      </w:r>
      <w:r w:rsidRPr="008A4655">
        <w:rPr>
          <w:lang w:val="bg-BG"/>
        </w:rPr>
        <w:t xml:space="preserve"> да б</w:t>
      </w:r>
      <w:r>
        <w:rPr>
          <w:lang w:val="bg-BG"/>
        </w:rPr>
        <w:t xml:space="preserve">ъде отхвърлено на основание член 35, алинеи 3 </w:t>
      </w:r>
      <w:r w:rsidRPr="008A4655">
        <w:t>a</w:t>
      </w:r>
      <w:r w:rsidRPr="008A4655">
        <w:rPr>
          <w:lang w:val="bg-BG"/>
        </w:rPr>
        <w:t>) и 4 от Конвенцията</w:t>
      </w:r>
      <w:r>
        <w:rPr>
          <w:lang w:val="bg-BG"/>
        </w:rPr>
        <w:t>.</w:t>
      </w:r>
    </w:p>
    <w:bookmarkEnd w:id="24"/>
    <w:p w:rsidR="00CF1469" w:rsidRPr="006C2B4A" w:rsidRDefault="00CF1469" w:rsidP="00CF1469">
      <w:pPr>
        <w:pStyle w:val="JuHIRoman"/>
        <w:rPr>
          <w:rFonts w:eastAsia="Times New Roman"/>
          <w:lang w:val="bg-BG"/>
        </w:rPr>
      </w:pPr>
      <w:r>
        <w:rPr>
          <w:rFonts w:eastAsia="Times New Roman"/>
          <w:lang w:val="bg-BG"/>
        </w:rPr>
        <w:t>ОТНОСНО ТВЪРДЯНОТО НАРУШЕНИЕ НА ЧЛЕН 8 ОТ КОНВЕНЦИЯТА</w:t>
      </w:r>
    </w:p>
    <w:p w:rsidR="008D5372" w:rsidRPr="00A85A64"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44</w:t>
      </w:r>
      <w:r w:rsidRPr="006213AD">
        <w:rPr>
          <w:lang w:val="bg-BG"/>
        </w:rPr>
        <w:fldChar w:fldCharType="end"/>
      </w:r>
      <w:r w:rsidRPr="006213AD">
        <w:rPr>
          <w:lang w:val="bg-BG"/>
        </w:rPr>
        <w:t>.</w:t>
      </w:r>
      <w:r w:rsidRPr="00F03289">
        <w:t>  </w:t>
      </w:r>
      <w:bookmarkStart w:id="27" w:name="_Hlk36127792"/>
      <w:r>
        <w:rPr>
          <w:lang w:val="bg-BG"/>
        </w:rPr>
        <w:t>В</w:t>
      </w:r>
      <w:r w:rsidRPr="00A85A64">
        <w:rPr>
          <w:lang w:val="bg-BG"/>
        </w:rPr>
        <w:t xml:space="preserve"> </w:t>
      </w:r>
      <w:r>
        <w:rPr>
          <w:lang w:val="bg-BG"/>
        </w:rPr>
        <w:t>претърсванията</w:t>
      </w:r>
      <w:r w:rsidRPr="00A85A64">
        <w:rPr>
          <w:lang w:val="bg-BG"/>
        </w:rPr>
        <w:t xml:space="preserve">, извършени в </w:t>
      </w:r>
      <w:r>
        <w:rPr>
          <w:lang w:val="bg-BG"/>
        </w:rPr>
        <w:t xml:space="preserve">дома и </w:t>
      </w:r>
      <w:r w:rsidRPr="00A85A64">
        <w:rPr>
          <w:lang w:val="bg-BG"/>
        </w:rPr>
        <w:t xml:space="preserve">офисите и производствените помещения на </w:t>
      </w:r>
      <w:r>
        <w:rPr>
          <w:lang w:val="bg-BG"/>
        </w:rPr>
        <w:t>дружеството им</w:t>
      </w:r>
      <w:r w:rsidRPr="00A85A64">
        <w:rPr>
          <w:lang w:val="bg-BG"/>
        </w:rPr>
        <w:t xml:space="preserve">, както и </w:t>
      </w:r>
      <w:r>
        <w:rPr>
          <w:lang w:val="bg-BG"/>
        </w:rPr>
        <w:t>в</w:t>
      </w:r>
      <w:r w:rsidRPr="00A85A64">
        <w:rPr>
          <w:lang w:val="bg-BG"/>
        </w:rPr>
        <w:t xml:space="preserve"> претърсванията на техните </w:t>
      </w:r>
      <w:r>
        <w:rPr>
          <w:lang w:val="bg-BG"/>
        </w:rPr>
        <w:t>автомобили</w:t>
      </w:r>
      <w:r w:rsidRPr="00A85A64">
        <w:rPr>
          <w:lang w:val="bg-BG"/>
        </w:rPr>
        <w:t xml:space="preserve">, </w:t>
      </w:r>
      <w:r>
        <w:rPr>
          <w:lang w:val="bg-BG"/>
        </w:rPr>
        <w:t>ж</w:t>
      </w:r>
      <w:r w:rsidRPr="00A85A64">
        <w:rPr>
          <w:lang w:val="bg-BG"/>
        </w:rPr>
        <w:t xml:space="preserve">албоподателите виждат неоправдана намеса в правото им на зачитане на </w:t>
      </w:r>
      <w:r>
        <w:rPr>
          <w:lang w:val="bg-BG"/>
        </w:rPr>
        <w:t>жилището</w:t>
      </w:r>
      <w:r w:rsidRPr="00A85A64">
        <w:rPr>
          <w:lang w:val="bg-BG"/>
        </w:rPr>
        <w:t xml:space="preserve">, </w:t>
      </w:r>
      <w:r>
        <w:rPr>
          <w:lang w:val="bg-BG"/>
        </w:rPr>
        <w:t xml:space="preserve">на </w:t>
      </w:r>
      <w:r w:rsidRPr="00A85A64">
        <w:rPr>
          <w:lang w:val="bg-BG"/>
        </w:rPr>
        <w:t xml:space="preserve">личния и семейния им живот и </w:t>
      </w:r>
      <w:r>
        <w:rPr>
          <w:lang w:val="bg-BG"/>
        </w:rPr>
        <w:t xml:space="preserve">тайната на </w:t>
      </w:r>
      <w:r w:rsidRPr="00A85A64">
        <w:rPr>
          <w:lang w:val="bg-BG"/>
        </w:rPr>
        <w:t>тяхната кореспонденция. Те се позовават на член 8 от Конвенцията, който гласи следното</w:t>
      </w:r>
      <w:r>
        <w:rPr>
          <w:lang w:val="bg-BG"/>
        </w:rPr>
        <w:t>:</w:t>
      </w:r>
    </w:p>
    <w:p w:rsidR="008D5372" w:rsidRPr="00A85A64" w:rsidRDefault="008D5372" w:rsidP="00A85A64">
      <w:pPr>
        <w:ind w:firstLine="850"/>
        <w:jc w:val="both"/>
        <w:rPr>
          <w:sz w:val="20"/>
          <w:lang w:val="bg-BG"/>
        </w:rPr>
      </w:pPr>
      <w:bookmarkStart w:id="28" w:name="_Hlk36127859"/>
      <w:bookmarkEnd w:id="27"/>
      <w:r>
        <w:rPr>
          <w:lang w:val="bg-BG"/>
        </w:rPr>
        <w:t>„</w:t>
      </w:r>
      <w:r w:rsidRPr="00A85A64">
        <w:rPr>
          <w:sz w:val="20"/>
          <w:lang w:val="bg-BG"/>
        </w:rPr>
        <w:t>1. Всеки има право на зачитане на неговия личен и семеен живот, на неговото жилище и тайната на неговата кореспонденция.</w:t>
      </w:r>
    </w:p>
    <w:p w:rsidR="008D5372" w:rsidRPr="00A85A64" w:rsidRDefault="008D5372" w:rsidP="00A85A64">
      <w:pPr>
        <w:ind w:firstLine="850"/>
        <w:jc w:val="both"/>
        <w:rPr>
          <w:sz w:val="20"/>
          <w:lang w:val="bg-BG"/>
        </w:rPr>
      </w:pPr>
      <w:r w:rsidRPr="00A85A64">
        <w:rPr>
          <w:sz w:val="20"/>
          <w:lang w:val="bg-BG"/>
        </w:rPr>
        <w:t>2. Намесата на държавните власти в ползването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r>
        <w:rPr>
          <w:sz w:val="20"/>
          <w:lang w:val="bg-BG"/>
        </w:rPr>
        <w:t>“</w:t>
      </w:r>
    </w:p>
    <w:bookmarkEnd w:id="28"/>
    <w:p w:rsidR="00CF1469" w:rsidRPr="00F03289" w:rsidRDefault="00CF1469" w:rsidP="00CF1469">
      <w:pPr>
        <w:pStyle w:val="JuHA"/>
        <w:rPr>
          <w:rFonts w:eastAsia="Times New Roman"/>
        </w:rPr>
      </w:pPr>
      <w:r>
        <w:rPr>
          <w:rFonts w:eastAsia="Times New Roman"/>
          <w:lang w:val="bg-BG"/>
        </w:rPr>
        <w:t>Допустимост</w:t>
      </w:r>
    </w:p>
    <w:p w:rsidR="008D5372" w:rsidRPr="008157A0"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45</w:t>
      </w:r>
      <w:r w:rsidRPr="006213AD">
        <w:rPr>
          <w:lang w:val="en-GB"/>
        </w:rPr>
        <w:fldChar w:fldCharType="end"/>
      </w:r>
      <w:r w:rsidRPr="006213AD">
        <w:rPr>
          <w:lang w:val="en-GB"/>
        </w:rPr>
        <w:t>.  </w:t>
      </w:r>
      <w:bookmarkStart w:id="29" w:name="_Hlk36127875"/>
      <w:r w:rsidRPr="008157A0">
        <w:rPr>
          <w:lang w:val="bg-BG"/>
        </w:rPr>
        <w:t>Правителството пледира за неизчерпване на вътрешноправните средства за за</w:t>
      </w:r>
      <w:r>
        <w:rPr>
          <w:lang w:val="bg-BG"/>
        </w:rPr>
        <w:t>щита. Т</w:t>
      </w:r>
      <w:r w:rsidRPr="008157A0">
        <w:rPr>
          <w:lang w:val="bg-BG"/>
        </w:rPr>
        <w:t>върди, че жалбоподателите не са предявили иск за обезщетение въз основа на Закона за отговорност</w:t>
      </w:r>
      <w:r>
        <w:rPr>
          <w:lang w:val="bg-BG"/>
        </w:rPr>
        <w:t>та на държавата</w:t>
      </w:r>
      <w:r w:rsidRPr="008157A0">
        <w:rPr>
          <w:lang w:val="bg-BG"/>
        </w:rPr>
        <w:t>, за да отстояват правата си, гарантирани от член 8 от Конвенцията</w:t>
      </w:r>
    </w:p>
    <w:bookmarkEnd w:id="29"/>
    <w:p w:rsidR="008D5372" w:rsidRDefault="008D5372" w:rsidP="00F03289">
      <w:pPr>
        <w:pStyle w:val="JuPara"/>
        <w:rPr>
          <w:lang w:val="bg-BG"/>
        </w:rPr>
      </w:pPr>
      <w:r w:rsidRPr="00821BEB">
        <w:rPr>
          <w:lang w:val="bg-BG"/>
        </w:rPr>
        <w:fldChar w:fldCharType="begin"/>
      </w:r>
      <w:r w:rsidRPr="00821BEB">
        <w:rPr>
          <w:lang w:val="bg-BG"/>
        </w:rPr>
        <w:instrText xml:space="preserve"> </w:instrText>
      </w:r>
      <w:r w:rsidRPr="00F03289">
        <w:instrText>SEQ</w:instrText>
      </w:r>
      <w:r w:rsidRPr="00821BEB">
        <w:rPr>
          <w:lang w:val="bg-BG"/>
        </w:rPr>
        <w:instrText xml:space="preserve"> </w:instrText>
      </w:r>
      <w:r w:rsidRPr="00F03289">
        <w:instrText>level</w:instrText>
      </w:r>
      <w:r w:rsidRPr="00821BEB">
        <w:rPr>
          <w:lang w:val="bg-BG"/>
        </w:rPr>
        <w:instrText>0 \*</w:instrText>
      </w:r>
      <w:r w:rsidRPr="00F03289">
        <w:instrText>arabic</w:instrText>
      </w:r>
      <w:r w:rsidRPr="00821BEB">
        <w:rPr>
          <w:lang w:val="bg-BG"/>
        </w:rPr>
        <w:instrText xml:space="preserve"> </w:instrText>
      </w:r>
      <w:r w:rsidRPr="00821BEB">
        <w:rPr>
          <w:lang w:val="bg-BG"/>
        </w:rPr>
        <w:fldChar w:fldCharType="separate"/>
      </w:r>
      <w:r w:rsidRPr="00821BEB">
        <w:rPr>
          <w:noProof/>
          <w:lang w:val="bg-BG"/>
        </w:rPr>
        <w:t>46</w:t>
      </w:r>
      <w:r w:rsidRPr="00821BEB">
        <w:rPr>
          <w:lang w:val="bg-BG"/>
        </w:rPr>
        <w:fldChar w:fldCharType="end"/>
      </w:r>
      <w:r w:rsidRPr="00821BEB">
        <w:rPr>
          <w:lang w:val="bg-BG"/>
        </w:rPr>
        <w:t>.</w:t>
      </w:r>
      <w:r w:rsidRPr="00F03289">
        <w:t>  </w:t>
      </w:r>
      <w:r w:rsidRPr="00821BEB">
        <w:rPr>
          <w:lang w:val="bg-BG"/>
        </w:rPr>
        <w:t xml:space="preserve">Жалбоподателите отговарят, че националното законодателство не предвижда никакви съдебни средства за защита, които биха им позволили да оспорят законността на обжалваните мерки. </w:t>
      </w:r>
    </w:p>
    <w:p w:rsidR="008D5372" w:rsidRPr="00821BEB" w:rsidRDefault="008D5372" w:rsidP="00F03289">
      <w:pPr>
        <w:pStyle w:val="JuPara"/>
        <w:rPr>
          <w:lang w:val="bg-BG"/>
        </w:rPr>
      </w:pPr>
      <w:r w:rsidRPr="00821BEB">
        <w:rPr>
          <w:lang w:val="bg-BG"/>
        </w:rPr>
        <w:fldChar w:fldCharType="begin"/>
      </w:r>
      <w:r w:rsidRPr="00821BEB">
        <w:rPr>
          <w:lang w:val="bg-BG"/>
        </w:rPr>
        <w:instrText xml:space="preserve"> </w:instrText>
      </w:r>
      <w:r w:rsidRPr="00F03289">
        <w:instrText>SEQ</w:instrText>
      </w:r>
      <w:r w:rsidRPr="00821BEB">
        <w:rPr>
          <w:lang w:val="bg-BG"/>
        </w:rPr>
        <w:instrText xml:space="preserve"> </w:instrText>
      </w:r>
      <w:r w:rsidRPr="00F03289">
        <w:instrText>level</w:instrText>
      </w:r>
      <w:r w:rsidRPr="00821BEB">
        <w:rPr>
          <w:lang w:val="bg-BG"/>
        </w:rPr>
        <w:instrText>0 \*</w:instrText>
      </w:r>
      <w:r w:rsidRPr="00F03289">
        <w:instrText>arabic</w:instrText>
      </w:r>
      <w:r w:rsidRPr="00821BEB">
        <w:rPr>
          <w:lang w:val="bg-BG"/>
        </w:rPr>
        <w:instrText xml:space="preserve"> </w:instrText>
      </w:r>
      <w:r w:rsidRPr="00821BEB">
        <w:rPr>
          <w:lang w:val="bg-BG"/>
        </w:rPr>
        <w:fldChar w:fldCharType="separate"/>
      </w:r>
      <w:r w:rsidRPr="00821BEB">
        <w:rPr>
          <w:noProof/>
          <w:lang w:val="bg-BG"/>
        </w:rPr>
        <w:t>47</w:t>
      </w:r>
      <w:r w:rsidRPr="00821BEB">
        <w:rPr>
          <w:lang w:val="bg-BG"/>
        </w:rPr>
        <w:fldChar w:fldCharType="end"/>
      </w:r>
      <w:r w:rsidRPr="00821BEB">
        <w:rPr>
          <w:lang w:val="bg-BG"/>
        </w:rPr>
        <w:t>.</w:t>
      </w:r>
      <w:r w:rsidRPr="00F03289">
        <w:t>  </w:t>
      </w:r>
      <w:bookmarkStart w:id="30" w:name="_Hlk36127924"/>
      <w:r w:rsidRPr="00821BEB">
        <w:rPr>
          <w:lang w:val="bg-BG"/>
        </w:rPr>
        <w:t xml:space="preserve">Съдът припомня, че вече се е произнесъл по </w:t>
      </w:r>
      <w:r>
        <w:rPr>
          <w:lang w:val="bg-BG"/>
        </w:rPr>
        <w:t>такива</w:t>
      </w:r>
      <w:r w:rsidRPr="00821BEB">
        <w:rPr>
          <w:lang w:val="bg-BG"/>
        </w:rPr>
        <w:t xml:space="preserve"> възражения, повдигнати от </w:t>
      </w:r>
      <w:r>
        <w:rPr>
          <w:lang w:val="bg-BG"/>
        </w:rPr>
        <w:t>П</w:t>
      </w:r>
      <w:r w:rsidRPr="00821BEB">
        <w:rPr>
          <w:lang w:val="bg-BG"/>
        </w:rPr>
        <w:t xml:space="preserve">равителството по </w:t>
      </w:r>
      <w:r>
        <w:rPr>
          <w:lang w:val="bg-BG"/>
        </w:rPr>
        <w:t>сходни</w:t>
      </w:r>
      <w:r w:rsidRPr="00821BEB">
        <w:rPr>
          <w:lang w:val="bg-BG"/>
        </w:rPr>
        <w:t xml:space="preserve"> дела. В своите решения </w:t>
      </w:r>
      <w:r w:rsidRPr="00821BEB">
        <w:rPr>
          <w:i/>
          <w:lang w:val="bg-BG"/>
        </w:rPr>
        <w:t>Гуцанови</w:t>
      </w:r>
      <w:r w:rsidRPr="00821BEB">
        <w:rPr>
          <w:lang w:val="bg-BG"/>
        </w:rPr>
        <w:t xml:space="preserve"> (цитирано по-горе, </w:t>
      </w:r>
      <w:r>
        <w:rPr>
          <w:lang w:val="bg-BG"/>
        </w:rPr>
        <w:t>параграфи</w:t>
      </w:r>
      <w:r w:rsidRPr="00821BEB">
        <w:rPr>
          <w:lang w:val="bg-BG"/>
        </w:rPr>
        <w:t xml:space="preserve"> 210-212) и </w:t>
      </w:r>
      <w:r w:rsidRPr="00821BEB">
        <w:rPr>
          <w:i/>
          <w:lang w:val="bg-BG"/>
        </w:rPr>
        <w:t>Говедарски</w:t>
      </w:r>
      <w:r w:rsidRPr="00821BEB">
        <w:rPr>
          <w:lang w:val="bg-BG"/>
        </w:rPr>
        <w:t xml:space="preserve"> (цитирано по-горе, </w:t>
      </w:r>
      <w:r>
        <w:rPr>
          <w:lang w:val="bg-BG"/>
        </w:rPr>
        <w:t>параграфи</w:t>
      </w:r>
      <w:r w:rsidRPr="00821BEB">
        <w:rPr>
          <w:lang w:val="bg-BG"/>
        </w:rPr>
        <w:t xml:space="preserve"> 72-73) той </w:t>
      </w:r>
      <w:r>
        <w:rPr>
          <w:lang w:val="bg-BG"/>
        </w:rPr>
        <w:t xml:space="preserve">е </w:t>
      </w:r>
      <w:r w:rsidRPr="00821BEB">
        <w:rPr>
          <w:lang w:val="bg-BG"/>
        </w:rPr>
        <w:t>заключи</w:t>
      </w:r>
      <w:r>
        <w:rPr>
          <w:lang w:val="bg-BG"/>
        </w:rPr>
        <w:t>л</w:t>
      </w:r>
      <w:r w:rsidRPr="00821BEB">
        <w:rPr>
          <w:lang w:val="bg-BG"/>
        </w:rPr>
        <w:t xml:space="preserve">, че </w:t>
      </w:r>
      <w:r>
        <w:rPr>
          <w:lang w:val="bg-BG"/>
        </w:rPr>
        <w:t>един иск</w:t>
      </w:r>
      <w:r w:rsidRPr="00821BEB">
        <w:rPr>
          <w:lang w:val="bg-BG"/>
        </w:rPr>
        <w:t xml:space="preserve"> за обезщетение срещу държавата не </w:t>
      </w:r>
      <w:r>
        <w:rPr>
          <w:lang w:val="bg-BG"/>
        </w:rPr>
        <w:t>е</w:t>
      </w:r>
      <w:r w:rsidRPr="00821BEB">
        <w:rPr>
          <w:lang w:val="bg-BG"/>
        </w:rPr>
        <w:t xml:space="preserve"> </w:t>
      </w:r>
      <w:r>
        <w:rPr>
          <w:lang w:val="bg-BG"/>
        </w:rPr>
        <w:t>д</w:t>
      </w:r>
      <w:r w:rsidRPr="00821BEB">
        <w:rPr>
          <w:lang w:val="bg-BG"/>
        </w:rPr>
        <w:t xml:space="preserve">остатъчно ефективно </w:t>
      </w:r>
      <w:r>
        <w:rPr>
          <w:lang w:val="bg-BG"/>
        </w:rPr>
        <w:t xml:space="preserve">вътрешноправно </w:t>
      </w:r>
      <w:r w:rsidRPr="00821BEB">
        <w:rPr>
          <w:lang w:val="bg-BG"/>
        </w:rPr>
        <w:t xml:space="preserve">средство за защита за жалбоподатели, които са </w:t>
      </w:r>
      <w:r>
        <w:rPr>
          <w:lang w:val="bg-BG"/>
        </w:rPr>
        <w:t xml:space="preserve">били </w:t>
      </w:r>
      <w:r w:rsidRPr="00821BEB">
        <w:rPr>
          <w:lang w:val="bg-BG"/>
        </w:rPr>
        <w:t>поставени в ситуация, идентична с тази на жалбоподателите в настоящото дело. Съдът счита, че в настоящия случай се прилага същата констатация и поради това възражението за неизчерпване на вътреш</w:t>
      </w:r>
      <w:r>
        <w:rPr>
          <w:lang w:val="bg-BG"/>
        </w:rPr>
        <w:t>ноправнит</w:t>
      </w:r>
      <w:r w:rsidRPr="00821BEB">
        <w:rPr>
          <w:lang w:val="bg-BG"/>
        </w:rPr>
        <w:t xml:space="preserve">е средства за защита, повдигнато от </w:t>
      </w:r>
      <w:r>
        <w:rPr>
          <w:lang w:val="bg-BG"/>
        </w:rPr>
        <w:t>П</w:t>
      </w:r>
      <w:r w:rsidRPr="00821BEB">
        <w:rPr>
          <w:lang w:val="bg-BG"/>
        </w:rPr>
        <w:t>равителството, трябва да бъде отхвърлено.</w:t>
      </w:r>
    </w:p>
    <w:p w:rsidR="008D5372" w:rsidRDefault="008D5372" w:rsidP="00F03289">
      <w:pPr>
        <w:pStyle w:val="JuPara"/>
        <w:rPr>
          <w:lang w:val="bg-BG"/>
        </w:rPr>
      </w:pPr>
      <w:r w:rsidRPr="00821BEB">
        <w:rPr>
          <w:lang w:val="bg-BG"/>
        </w:rPr>
        <w:fldChar w:fldCharType="begin"/>
      </w:r>
      <w:r w:rsidRPr="00821BEB">
        <w:rPr>
          <w:lang w:val="bg-BG"/>
        </w:rPr>
        <w:instrText xml:space="preserve"> </w:instrText>
      </w:r>
      <w:r w:rsidRPr="00F03289">
        <w:instrText>SEQ</w:instrText>
      </w:r>
      <w:r w:rsidRPr="00821BEB">
        <w:rPr>
          <w:lang w:val="bg-BG"/>
        </w:rPr>
        <w:instrText xml:space="preserve"> </w:instrText>
      </w:r>
      <w:r w:rsidRPr="00F03289">
        <w:instrText>level</w:instrText>
      </w:r>
      <w:r w:rsidRPr="00821BEB">
        <w:rPr>
          <w:lang w:val="bg-BG"/>
        </w:rPr>
        <w:instrText>0 \*</w:instrText>
      </w:r>
      <w:r w:rsidRPr="00F03289">
        <w:instrText>arabic</w:instrText>
      </w:r>
      <w:r w:rsidRPr="00821BEB">
        <w:rPr>
          <w:lang w:val="bg-BG"/>
        </w:rPr>
        <w:instrText xml:space="preserve"> </w:instrText>
      </w:r>
      <w:r w:rsidRPr="00821BEB">
        <w:rPr>
          <w:lang w:val="bg-BG"/>
        </w:rPr>
        <w:fldChar w:fldCharType="separate"/>
      </w:r>
      <w:r w:rsidRPr="00821BEB">
        <w:rPr>
          <w:noProof/>
          <w:lang w:val="bg-BG"/>
        </w:rPr>
        <w:t>48</w:t>
      </w:r>
      <w:r w:rsidRPr="00821BEB">
        <w:rPr>
          <w:lang w:val="bg-BG"/>
        </w:rPr>
        <w:fldChar w:fldCharType="end"/>
      </w:r>
      <w:r w:rsidRPr="00821BEB">
        <w:rPr>
          <w:lang w:val="bg-BG"/>
        </w:rPr>
        <w:t>.</w:t>
      </w:r>
      <w:r w:rsidRPr="00F03289">
        <w:t> </w:t>
      </w:r>
      <w:r w:rsidRPr="00821BEB">
        <w:rPr>
          <w:lang w:val="bg-BG"/>
        </w:rPr>
        <w:t xml:space="preserve">Констатирайки </w:t>
      </w:r>
      <w:r>
        <w:rPr>
          <w:lang w:val="bg-BG"/>
        </w:rPr>
        <w:t>и</w:t>
      </w:r>
      <w:r w:rsidRPr="00821BEB">
        <w:rPr>
          <w:lang w:val="bg-BG"/>
        </w:rPr>
        <w:t xml:space="preserve"> че това оплакване не е явно необосновано или недопустимо на друго основание, посочено в член 35 от Конвенцията, Съдът го обявява за допустимо</w:t>
      </w:r>
      <w:r>
        <w:rPr>
          <w:lang w:val="bg-BG"/>
        </w:rPr>
        <w:t>.</w:t>
      </w:r>
    </w:p>
    <w:p w:rsidR="008D5372" w:rsidRDefault="008D5372" w:rsidP="00F03289">
      <w:pPr>
        <w:pStyle w:val="JuPara"/>
        <w:rPr>
          <w:lang w:val="bg-BG"/>
        </w:rPr>
      </w:pPr>
    </w:p>
    <w:p w:rsidR="00CF1469" w:rsidRPr="00F03289" w:rsidRDefault="00CF1469" w:rsidP="00CF1469">
      <w:pPr>
        <w:pStyle w:val="JuHA"/>
        <w:rPr>
          <w:rFonts w:eastAsia="Times New Roman"/>
        </w:rPr>
      </w:pPr>
      <w:bookmarkStart w:id="31" w:name="_Hlk36127973"/>
      <w:bookmarkEnd w:id="30"/>
      <w:r>
        <w:rPr>
          <w:rFonts w:eastAsia="Times New Roman"/>
          <w:lang w:val="bg-BG"/>
        </w:rPr>
        <w:lastRenderedPageBreak/>
        <w:t>По същество</w:t>
      </w:r>
    </w:p>
    <w:p w:rsidR="00CF1469" w:rsidRPr="00F03289" w:rsidRDefault="00CF1469" w:rsidP="00CF1469">
      <w:pPr>
        <w:pStyle w:val="JuH1"/>
        <w:rPr>
          <w:rFonts w:eastAsia="Times New Roman"/>
        </w:rPr>
      </w:pPr>
      <w:r>
        <w:rPr>
          <w:rFonts w:eastAsia="Times New Roman"/>
          <w:lang w:val="bg-BG"/>
        </w:rPr>
        <w:t>Аргументи на страните</w:t>
      </w:r>
    </w:p>
    <w:p w:rsidR="008D5372" w:rsidRPr="00D64227"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49</w:t>
      </w:r>
      <w:r w:rsidRPr="006213AD">
        <w:rPr>
          <w:lang w:val="en-GB"/>
        </w:rPr>
        <w:fldChar w:fldCharType="end"/>
      </w:r>
      <w:r w:rsidRPr="006213AD">
        <w:rPr>
          <w:lang w:val="en-GB"/>
        </w:rPr>
        <w:t>.  </w:t>
      </w:r>
      <w:r w:rsidRPr="00D64227">
        <w:rPr>
          <w:lang w:val="bg-BG"/>
        </w:rPr>
        <w:t xml:space="preserve">Жалбоподателите пледират, че нито претърсванията, извършени в </w:t>
      </w:r>
      <w:r>
        <w:rPr>
          <w:lang w:val="bg-BG"/>
        </w:rPr>
        <w:t>дома</w:t>
      </w:r>
      <w:r w:rsidRPr="00D64227">
        <w:rPr>
          <w:lang w:val="bg-BG"/>
        </w:rPr>
        <w:t xml:space="preserve"> им и в офисите и производствените помещения на тяхн</w:t>
      </w:r>
      <w:r>
        <w:rPr>
          <w:lang w:val="bg-BG"/>
        </w:rPr>
        <w:t>ото дружество</w:t>
      </w:r>
      <w:r w:rsidRPr="00D64227">
        <w:rPr>
          <w:lang w:val="bg-BG"/>
        </w:rPr>
        <w:t xml:space="preserve">, нито претърсванията на техните </w:t>
      </w:r>
      <w:r>
        <w:rPr>
          <w:lang w:val="bg-BG"/>
        </w:rPr>
        <w:t>автомобили</w:t>
      </w:r>
      <w:r w:rsidRPr="00D64227">
        <w:rPr>
          <w:lang w:val="bg-BG"/>
        </w:rPr>
        <w:t xml:space="preserve"> са извършени в съответствие с националното законодателство. Те също така твърдят, че намесата в упражняването на техните права, гарантирани от член 8, не е била пропорционална на преследваната легитимна цел.</w:t>
      </w:r>
    </w:p>
    <w:bookmarkEnd w:id="31"/>
    <w:p w:rsidR="008D5372"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50</w:t>
      </w:r>
      <w:r w:rsidRPr="006213AD">
        <w:rPr>
          <w:lang w:val="bg-BG"/>
        </w:rPr>
        <w:fldChar w:fldCharType="end"/>
      </w:r>
      <w:r w:rsidRPr="006213AD">
        <w:rPr>
          <w:lang w:val="bg-BG"/>
        </w:rPr>
        <w:t>.</w:t>
      </w:r>
      <w:r>
        <w:rPr>
          <w:lang w:val="bg-BG"/>
        </w:rPr>
        <w:t xml:space="preserve"> Правителството оспорва</w:t>
      </w:r>
      <w:r w:rsidRPr="00D64227">
        <w:rPr>
          <w:lang w:val="bg-BG"/>
        </w:rPr>
        <w:t xml:space="preserve"> този аргумент и </w:t>
      </w:r>
      <w:proofErr w:type="spellStart"/>
      <w:r>
        <w:rPr>
          <w:lang w:val="bg-BG"/>
        </w:rPr>
        <w:t>прикава</w:t>
      </w:r>
      <w:proofErr w:type="spellEnd"/>
      <w:r w:rsidRPr="00D64227">
        <w:rPr>
          <w:lang w:val="bg-BG"/>
        </w:rPr>
        <w:t xml:space="preserve"> Съда да отхвърли </w:t>
      </w:r>
      <w:r>
        <w:rPr>
          <w:lang w:val="bg-BG"/>
        </w:rPr>
        <w:t>оплакванията</w:t>
      </w:r>
      <w:r w:rsidRPr="00D64227">
        <w:rPr>
          <w:lang w:val="bg-BG"/>
        </w:rPr>
        <w:t xml:space="preserve"> на жалбоподателите. То заявява, че обжалваните мерки са извършени</w:t>
      </w:r>
      <w:r w:rsidRPr="009534CD">
        <w:rPr>
          <w:lang w:val="bg-BG"/>
        </w:rPr>
        <w:t xml:space="preserve"> </w:t>
      </w:r>
      <w:r>
        <w:rPr>
          <w:lang w:val="bg-BG"/>
        </w:rPr>
        <w:t>съобразно</w:t>
      </w:r>
      <w:r w:rsidRPr="00D64227">
        <w:rPr>
          <w:lang w:val="bg-BG"/>
        </w:rPr>
        <w:t xml:space="preserve"> съответните процесуални правила, като обяснява, че </w:t>
      </w:r>
      <w:r>
        <w:rPr>
          <w:lang w:val="bg-BG"/>
        </w:rPr>
        <w:t>същите</w:t>
      </w:r>
      <w:r w:rsidRPr="00D64227">
        <w:rPr>
          <w:lang w:val="bg-BG"/>
        </w:rPr>
        <w:t xml:space="preserve"> са </w:t>
      </w:r>
      <w:r>
        <w:rPr>
          <w:lang w:val="bg-BG"/>
        </w:rPr>
        <w:t>проведени</w:t>
      </w:r>
      <w:r w:rsidRPr="00D64227">
        <w:rPr>
          <w:lang w:val="bg-BG"/>
        </w:rPr>
        <w:t xml:space="preserve"> в контекста на наказателно производство и </w:t>
      </w:r>
      <w:r>
        <w:rPr>
          <w:lang w:val="bg-BG"/>
        </w:rPr>
        <w:t>съгласно</w:t>
      </w:r>
      <w:r w:rsidRPr="00D64227">
        <w:rPr>
          <w:lang w:val="bg-BG"/>
        </w:rPr>
        <w:t xml:space="preserve"> изискванията на Наказателно-процесуалния кодекс </w:t>
      </w:r>
      <w:r>
        <w:rPr>
          <w:lang w:val="bg-BG"/>
        </w:rPr>
        <w:t>са разрешени</w:t>
      </w:r>
      <w:r w:rsidRPr="00D64227">
        <w:rPr>
          <w:lang w:val="bg-BG"/>
        </w:rPr>
        <w:t xml:space="preserve"> от съдия. То добавя, че претърсванията и обиските </w:t>
      </w:r>
      <w:r>
        <w:rPr>
          <w:lang w:val="bg-BG"/>
        </w:rPr>
        <w:t>са имали за цел</w:t>
      </w:r>
      <w:r w:rsidRPr="00D64227">
        <w:rPr>
          <w:lang w:val="bg-BG"/>
        </w:rPr>
        <w:t xml:space="preserve"> разкриване и събиране на доказателства, </w:t>
      </w:r>
      <w:r>
        <w:rPr>
          <w:lang w:val="bg-BG"/>
        </w:rPr>
        <w:t>позволяващи</w:t>
      </w:r>
      <w:r w:rsidRPr="00D64227">
        <w:rPr>
          <w:lang w:val="bg-BG"/>
        </w:rPr>
        <w:t xml:space="preserve"> да </w:t>
      </w:r>
      <w:r>
        <w:rPr>
          <w:lang w:val="bg-BG"/>
        </w:rPr>
        <w:t xml:space="preserve">се </w:t>
      </w:r>
      <w:r w:rsidRPr="00D64227">
        <w:rPr>
          <w:lang w:val="bg-BG"/>
        </w:rPr>
        <w:t>установят фактите, предмет на въпросното наказателно производство и че са били пропорционални на тази цел.</w:t>
      </w:r>
    </w:p>
    <w:p w:rsidR="00CF1469" w:rsidRPr="00CF1469" w:rsidRDefault="00CF1469" w:rsidP="00CF1469">
      <w:pPr>
        <w:pStyle w:val="JuH1"/>
        <w:numPr>
          <w:ilvl w:val="3"/>
          <w:numId w:val="50"/>
        </w:numPr>
        <w:rPr>
          <w:rFonts w:eastAsia="Times New Roman"/>
          <w:lang w:val="fr-FR"/>
        </w:rPr>
      </w:pPr>
      <w:r>
        <w:rPr>
          <w:rFonts w:eastAsia="Times New Roman"/>
          <w:lang w:val="bg-BG"/>
        </w:rPr>
        <w:t>Пре</w:t>
      </w:r>
      <w:r w:rsidRPr="00CF1469">
        <w:rPr>
          <w:rFonts w:eastAsia="Times New Roman"/>
          <w:lang w:val="bg-BG"/>
        </w:rPr>
        <w:t>ценка на Съда</w:t>
      </w:r>
    </w:p>
    <w:p w:rsidR="008D5372" w:rsidRPr="008167FD" w:rsidRDefault="00733B59" w:rsidP="00F03289">
      <w:pPr>
        <w:pStyle w:val="JuPara"/>
        <w:rPr>
          <w:lang w:val="bg-BG"/>
        </w:rPr>
      </w:pPr>
      <w:r>
        <w:fldChar w:fldCharType="begin"/>
      </w:r>
      <w:r>
        <w:instrText xml:space="preserve"> SEQ level0 \*arabic </w:instrText>
      </w:r>
      <w:r>
        <w:fldChar w:fldCharType="separate"/>
      </w:r>
      <w:r w:rsidR="008D5372" w:rsidRPr="00F03289">
        <w:rPr>
          <w:noProof/>
        </w:rPr>
        <w:t>51</w:t>
      </w:r>
      <w:r>
        <w:rPr>
          <w:noProof/>
        </w:rPr>
        <w:fldChar w:fldCharType="end"/>
      </w:r>
      <w:r w:rsidR="008D5372" w:rsidRPr="00F03289">
        <w:t>.  </w:t>
      </w:r>
      <w:bookmarkStart w:id="32" w:name="_Hlk36128026"/>
      <w:r w:rsidR="008D5372" w:rsidRPr="008167FD">
        <w:rPr>
          <w:lang w:val="bg-BG"/>
        </w:rPr>
        <w:t xml:space="preserve">Съдът </w:t>
      </w:r>
      <w:r w:rsidR="008D5372">
        <w:rPr>
          <w:lang w:val="bg-BG"/>
        </w:rPr>
        <w:t>счита</w:t>
      </w:r>
      <w:r w:rsidR="008D5372" w:rsidRPr="008167FD">
        <w:rPr>
          <w:lang w:val="bg-BG"/>
        </w:rPr>
        <w:t xml:space="preserve">, че е имало намеса в упражняването от страна на жалбоподателите на правото им на зачитане на </w:t>
      </w:r>
      <w:r w:rsidR="008D5372">
        <w:rPr>
          <w:lang w:val="bg-BG"/>
        </w:rPr>
        <w:t>жилището</w:t>
      </w:r>
      <w:r w:rsidR="008D5372" w:rsidRPr="008167FD">
        <w:rPr>
          <w:lang w:val="bg-BG"/>
        </w:rPr>
        <w:t xml:space="preserve"> и личния им живот: претърсени са апартаментът и </w:t>
      </w:r>
      <w:r w:rsidR="008D5372">
        <w:rPr>
          <w:lang w:val="bg-BG"/>
        </w:rPr>
        <w:t>офисите</w:t>
      </w:r>
      <w:r w:rsidR="008D5372" w:rsidRPr="008167FD">
        <w:rPr>
          <w:lang w:val="bg-BG"/>
        </w:rPr>
        <w:t xml:space="preserve"> на </w:t>
      </w:r>
      <w:r w:rsidR="008D5372">
        <w:rPr>
          <w:lang w:val="bg-BG"/>
        </w:rPr>
        <w:t>тяхното дружество</w:t>
      </w:r>
      <w:r w:rsidR="008D5372" w:rsidRPr="008167FD">
        <w:rPr>
          <w:lang w:val="bg-BG"/>
        </w:rPr>
        <w:t xml:space="preserve">, </w:t>
      </w:r>
      <w:r w:rsidR="008D5372">
        <w:rPr>
          <w:lang w:val="bg-BG"/>
        </w:rPr>
        <w:t>обискирани</w:t>
      </w:r>
      <w:r w:rsidR="008D5372" w:rsidRPr="008167FD">
        <w:rPr>
          <w:lang w:val="bg-BG"/>
        </w:rPr>
        <w:t xml:space="preserve"> са техните </w:t>
      </w:r>
      <w:r w:rsidR="008D5372">
        <w:rPr>
          <w:lang w:val="bg-BG"/>
        </w:rPr>
        <w:t>автомобили, като водещите досъдебното производство са</w:t>
      </w:r>
      <w:r w:rsidR="008D5372" w:rsidRPr="008167FD">
        <w:rPr>
          <w:lang w:val="bg-BG"/>
        </w:rPr>
        <w:t xml:space="preserve"> иззели документи</w:t>
      </w:r>
      <w:r w:rsidR="008D5372">
        <w:rPr>
          <w:lang w:val="bg-BG"/>
        </w:rPr>
        <w:t xml:space="preserve"> от тях</w:t>
      </w:r>
      <w:r w:rsidR="008D5372" w:rsidRPr="008167FD">
        <w:rPr>
          <w:lang w:val="bg-BG"/>
        </w:rPr>
        <w:t>. Следователно трябва да се определи дали тази намеса е била оправдана съгласно член 8</w:t>
      </w:r>
      <w:r w:rsidR="008D5372">
        <w:rPr>
          <w:lang w:val="bg-BG"/>
        </w:rPr>
        <w:t>, ал. 2</w:t>
      </w:r>
      <w:r w:rsidR="008D5372" w:rsidRPr="008167FD">
        <w:rPr>
          <w:lang w:val="bg-BG"/>
        </w:rPr>
        <w:t xml:space="preserve"> от Конвенцията, тоест дали е била „в съответствие със закона“, дали е преследвала една или повече законни цели</w:t>
      </w:r>
      <w:r w:rsidR="008D5372">
        <w:rPr>
          <w:lang w:val="bg-BG"/>
        </w:rPr>
        <w:t xml:space="preserve"> и</w:t>
      </w:r>
      <w:r w:rsidR="008D5372" w:rsidRPr="008167FD">
        <w:rPr>
          <w:lang w:val="bg-BG"/>
        </w:rPr>
        <w:t xml:space="preserve"> дали</w:t>
      </w:r>
      <w:r w:rsidR="008D5372">
        <w:rPr>
          <w:lang w:val="bg-BG"/>
        </w:rPr>
        <w:t xml:space="preserve"> е била „необходима“ </w:t>
      </w:r>
      <w:r w:rsidR="008D5372" w:rsidRPr="008167FD">
        <w:rPr>
          <w:lang w:val="bg-BG"/>
        </w:rPr>
        <w:t>за постигане</w:t>
      </w:r>
      <w:r w:rsidR="008D5372">
        <w:rPr>
          <w:lang w:val="bg-BG"/>
        </w:rPr>
        <w:t>то</w:t>
      </w:r>
      <w:r w:rsidR="008D5372" w:rsidRPr="008167FD">
        <w:rPr>
          <w:lang w:val="bg-BG"/>
        </w:rPr>
        <w:t xml:space="preserve"> на тази или тези цели </w:t>
      </w:r>
      <w:r w:rsidR="008D5372">
        <w:rPr>
          <w:lang w:val="bg-BG"/>
        </w:rPr>
        <w:t>„</w:t>
      </w:r>
      <w:r w:rsidR="008D5372" w:rsidRPr="008167FD">
        <w:rPr>
          <w:lang w:val="bg-BG"/>
        </w:rPr>
        <w:t>в</w:t>
      </w:r>
      <w:r w:rsidR="008D5372">
        <w:rPr>
          <w:lang w:val="bg-BG"/>
        </w:rPr>
        <w:t xml:space="preserve"> едно</w:t>
      </w:r>
      <w:r w:rsidR="008D5372" w:rsidRPr="008167FD">
        <w:rPr>
          <w:lang w:val="bg-BG"/>
        </w:rPr>
        <w:t xml:space="preserve"> демократично общество</w:t>
      </w:r>
      <w:r w:rsidR="008D5372">
        <w:rPr>
          <w:lang w:val="bg-BG"/>
        </w:rPr>
        <w:t>“.</w:t>
      </w:r>
    </w:p>
    <w:bookmarkEnd w:id="32"/>
    <w:p w:rsidR="008D5372" w:rsidRPr="00633F64" w:rsidRDefault="008D5372" w:rsidP="00F03289">
      <w:pPr>
        <w:pStyle w:val="JuPara"/>
        <w:rPr>
          <w:lang w:val="bg-BG"/>
        </w:rPr>
      </w:pPr>
      <w:r w:rsidRPr="00633F64">
        <w:rPr>
          <w:lang w:val="bg-BG"/>
        </w:rPr>
        <w:fldChar w:fldCharType="begin"/>
      </w:r>
      <w:r w:rsidRPr="00633F64">
        <w:rPr>
          <w:lang w:val="bg-BG"/>
        </w:rPr>
        <w:instrText xml:space="preserve"> </w:instrText>
      </w:r>
      <w:r w:rsidRPr="00F03289">
        <w:instrText>SEQ</w:instrText>
      </w:r>
      <w:r w:rsidRPr="00633F64">
        <w:rPr>
          <w:lang w:val="bg-BG"/>
        </w:rPr>
        <w:instrText xml:space="preserve"> </w:instrText>
      </w:r>
      <w:r w:rsidRPr="00F03289">
        <w:instrText>level</w:instrText>
      </w:r>
      <w:r w:rsidRPr="00633F64">
        <w:rPr>
          <w:lang w:val="bg-BG"/>
        </w:rPr>
        <w:instrText>0 \*</w:instrText>
      </w:r>
      <w:r w:rsidRPr="00F03289">
        <w:instrText>arabic</w:instrText>
      </w:r>
      <w:r w:rsidRPr="00633F64">
        <w:rPr>
          <w:lang w:val="bg-BG"/>
        </w:rPr>
        <w:instrText xml:space="preserve"> </w:instrText>
      </w:r>
      <w:r w:rsidRPr="00633F64">
        <w:rPr>
          <w:lang w:val="bg-BG"/>
        </w:rPr>
        <w:fldChar w:fldCharType="separate"/>
      </w:r>
      <w:r w:rsidRPr="00633F64">
        <w:rPr>
          <w:noProof/>
          <w:lang w:val="bg-BG"/>
        </w:rPr>
        <w:t>52</w:t>
      </w:r>
      <w:r w:rsidRPr="00633F64">
        <w:rPr>
          <w:lang w:val="bg-BG"/>
        </w:rPr>
        <w:fldChar w:fldCharType="end"/>
      </w:r>
      <w:r w:rsidRPr="00633F64">
        <w:rPr>
          <w:lang w:val="bg-BG"/>
        </w:rPr>
        <w:t>.</w:t>
      </w:r>
      <w:r w:rsidRPr="00F03289">
        <w:t>  </w:t>
      </w:r>
      <w:r w:rsidRPr="00633F64">
        <w:rPr>
          <w:lang w:val="bg-BG"/>
        </w:rPr>
        <w:t xml:space="preserve">Съдът отбелязва, че претърсванията, извършени в </w:t>
      </w:r>
      <w:r>
        <w:rPr>
          <w:lang w:val="bg-BG"/>
        </w:rPr>
        <w:t>дома</w:t>
      </w:r>
      <w:r w:rsidRPr="00633F64">
        <w:rPr>
          <w:lang w:val="bg-BG"/>
        </w:rPr>
        <w:t xml:space="preserve"> на жалбоподателите и </w:t>
      </w:r>
      <w:r>
        <w:rPr>
          <w:lang w:val="bg-BG"/>
        </w:rPr>
        <w:t>офисите</w:t>
      </w:r>
      <w:r w:rsidRPr="00633F64">
        <w:rPr>
          <w:lang w:val="bg-BG"/>
        </w:rPr>
        <w:t xml:space="preserve"> на тяхното друж</w:t>
      </w:r>
      <w:r>
        <w:rPr>
          <w:lang w:val="bg-BG"/>
        </w:rPr>
        <w:t>ество, са били разрешени от съд</w:t>
      </w:r>
      <w:r w:rsidRPr="00633F64">
        <w:rPr>
          <w:lang w:val="bg-BG"/>
        </w:rPr>
        <w:t xml:space="preserve"> в съответствие с националното законодателство и че са преследвали </w:t>
      </w:r>
      <w:r>
        <w:rPr>
          <w:lang w:val="bg-BG"/>
        </w:rPr>
        <w:t>законна</w:t>
      </w:r>
      <w:r w:rsidRPr="00633F64">
        <w:rPr>
          <w:lang w:val="bg-BG"/>
        </w:rPr>
        <w:t xml:space="preserve"> цел, а именно събиране на доказателства в контекста на наказателно производство. Освен това той счита, че </w:t>
      </w:r>
      <w:r>
        <w:rPr>
          <w:lang w:val="bg-BG"/>
        </w:rPr>
        <w:t>същите</w:t>
      </w:r>
      <w:r w:rsidRPr="00633F64">
        <w:rPr>
          <w:lang w:val="bg-BG"/>
        </w:rPr>
        <w:t xml:space="preserve"> са били пропорционални на преследваната </w:t>
      </w:r>
      <w:r>
        <w:rPr>
          <w:lang w:val="bg-BG"/>
        </w:rPr>
        <w:t>законна</w:t>
      </w:r>
      <w:r w:rsidRPr="00633F64">
        <w:rPr>
          <w:lang w:val="bg-BG"/>
        </w:rPr>
        <w:t xml:space="preserve"> цел.</w:t>
      </w:r>
    </w:p>
    <w:p w:rsidR="008D5372" w:rsidRPr="002E1CFB" w:rsidRDefault="008D5372" w:rsidP="00F03289">
      <w:pPr>
        <w:pStyle w:val="JuPara"/>
        <w:rPr>
          <w:lang w:val="bg-BG"/>
        </w:rPr>
      </w:pPr>
      <w:r w:rsidRPr="002E1CFB">
        <w:rPr>
          <w:lang w:val="bg-BG"/>
        </w:rPr>
        <w:fldChar w:fldCharType="begin"/>
      </w:r>
      <w:r w:rsidRPr="002E1CFB">
        <w:rPr>
          <w:lang w:val="bg-BG"/>
        </w:rPr>
        <w:instrText xml:space="preserve"> </w:instrText>
      </w:r>
      <w:r w:rsidRPr="00F03289">
        <w:instrText>SEQ</w:instrText>
      </w:r>
      <w:r w:rsidRPr="002E1CFB">
        <w:rPr>
          <w:lang w:val="bg-BG"/>
        </w:rPr>
        <w:instrText xml:space="preserve"> </w:instrText>
      </w:r>
      <w:r w:rsidRPr="00F03289">
        <w:instrText>level</w:instrText>
      </w:r>
      <w:r w:rsidRPr="002E1CFB">
        <w:rPr>
          <w:lang w:val="bg-BG"/>
        </w:rPr>
        <w:instrText>0 \*</w:instrText>
      </w:r>
      <w:r w:rsidRPr="00F03289">
        <w:instrText>arabic</w:instrText>
      </w:r>
      <w:r w:rsidRPr="002E1CFB">
        <w:rPr>
          <w:lang w:val="bg-BG"/>
        </w:rPr>
        <w:instrText xml:space="preserve"> </w:instrText>
      </w:r>
      <w:r w:rsidRPr="002E1CFB">
        <w:rPr>
          <w:lang w:val="bg-BG"/>
        </w:rPr>
        <w:fldChar w:fldCharType="separate"/>
      </w:r>
      <w:r w:rsidRPr="002E1CFB">
        <w:rPr>
          <w:noProof/>
          <w:lang w:val="bg-BG"/>
        </w:rPr>
        <w:t>53</w:t>
      </w:r>
      <w:r w:rsidRPr="002E1CFB">
        <w:rPr>
          <w:lang w:val="bg-BG"/>
        </w:rPr>
        <w:fldChar w:fldCharType="end"/>
      </w:r>
      <w:r w:rsidRPr="002E1CFB">
        <w:rPr>
          <w:lang w:val="bg-BG"/>
        </w:rPr>
        <w:t>.</w:t>
      </w:r>
      <w:r>
        <w:t> </w:t>
      </w:r>
      <w:r>
        <w:rPr>
          <w:lang w:val="bg-BG"/>
        </w:rPr>
        <w:t>От друга страна</w:t>
      </w:r>
      <w:r w:rsidRPr="002E1CFB">
        <w:rPr>
          <w:lang w:val="bg-BG"/>
        </w:rPr>
        <w:t xml:space="preserve">, претърсванията на техните </w:t>
      </w:r>
      <w:r>
        <w:rPr>
          <w:lang w:val="bg-BG"/>
        </w:rPr>
        <w:t>автомобили</w:t>
      </w:r>
      <w:r w:rsidRPr="002E1CFB">
        <w:rPr>
          <w:lang w:val="bg-BG"/>
        </w:rPr>
        <w:t xml:space="preserve">, които съгласно </w:t>
      </w:r>
      <w:r>
        <w:rPr>
          <w:lang w:val="bg-BG"/>
        </w:rPr>
        <w:t>националното</w:t>
      </w:r>
      <w:r w:rsidRPr="002E1CFB">
        <w:rPr>
          <w:lang w:val="bg-BG"/>
        </w:rPr>
        <w:t xml:space="preserve"> законодателство изискват предварително съдебно разрешение или съдебен контрол </w:t>
      </w:r>
      <w:proofErr w:type="spellStart"/>
      <w:r w:rsidRPr="00B36420">
        <w:rPr>
          <w:i/>
          <w:lang w:val="bg-BG"/>
        </w:rPr>
        <w:t>ex</w:t>
      </w:r>
      <w:proofErr w:type="spellEnd"/>
      <w:r w:rsidRPr="00B36420">
        <w:rPr>
          <w:i/>
          <w:lang w:val="bg-BG"/>
        </w:rPr>
        <w:t xml:space="preserve"> </w:t>
      </w:r>
      <w:proofErr w:type="spellStart"/>
      <w:r w:rsidRPr="00B36420">
        <w:rPr>
          <w:i/>
          <w:lang w:val="bg-BG"/>
        </w:rPr>
        <w:t>post</w:t>
      </w:r>
      <w:proofErr w:type="spellEnd"/>
      <w:r w:rsidRPr="00B36420">
        <w:rPr>
          <w:i/>
          <w:lang w:val="bg-BG"/>
        </w:rPr>
        <w:t xml:space="preserve"> </w:t>
      </w:r>
      <w:proofErr w:type="spellStart"/>
      <w:r w:rsidRPr="00B36420">
        <w:rPr>
          <w:i/>
          <w:lang w:val="bg-BG"/>
        </w:rPr>
        <w:t>factum</w:t>
      </w:r>
      <w:proofErr w:type="spellEnd"/>
      <w:r w:rsidRPr="002E1CFB">
        <w:rPr>
          <w:lang w:val="bg-BG"/>
        </w:rPr>
        <w:t xml:space="preserve">, са извършени при липса на такова разрешение или одобрение (параграф </w:t>
      </w:r>
      <w:r w:rsidRPr="002E1CFB">
        <w:rPr>
          <w:lang w:val="bg-BG"/>
        </w:rPr>
        <w:lastRenderedPageBreak/>
        <w:t xml:space="preserve">17 по-горе). От това </w:t>
      </w:r>
      <w:r>
        <w:rPr>
          <w:lang w:val="bg-BG"/>
        </w:rPr>
        <w:t>произтича</w:t>
      </w:r>
      <w:r w:rsidRPr="002E1CFB">
        <w:rPr>
          <w:lang w:val="bg-BG"/>
        </w:rPr>
        <w:t>, че тези мерки не са „предвидени от закона“ по смисъла на член 8 от Конвенцията и следователно представляват необоснована намеса в правото на зачитане на личния живот</w:t>
      </w:r>
      <w:r w:rsidRPr="00B36420">
        <w:rPr>
          <w:lang w:val="bg-BG"/>
        </w:rPr>
        <w:t xml:space="preserve"> </w:t>
      </w:r>
      <w:r w:rsidRPr="002E1CFB">
        <w:rPr>
          <w:lang w:val="bg-BG"/>
        </w:rPr>
        <w:t>на жалбоподателите.</w:t>
      </w:r>
    </w:p>
    <w:p w:rsidR="008D5372" w:rsidRDefault="008D5372" w:rsidP="00F03289">
      <w:pPr>
        <w:pStyle w:val="JuPara"/>
        <w:rPr>
          <w:lang w:val="bg-BG"/>
        </w:rPr>
      </w:pPr>
      <w:r w:rsidRPr="009765E8">
        <w:rPr>
          <w:lang w:val="bg-BG"/>
        </w:rPr>
        <w:fldChar w:fldCharType="begin"/>
      </w:r>
      <w:r w:rsidRPr="009765E8">
        <w:rPr>
          <w:lang w:val="bg-BG"/>
        </w:rPr>
        <w:instrText xml:space="preserve"> </w:instrText>
      </w:r>
      <w:r w:rsidRPr="00F03289">
        <w:instrText>SEQ</w:instrText>
      </w:r>
      <w:r w:rsidRPr="009765E8">
        <w:rPr>
          <w:lang w:val="bg-BG"/>
        </w:rPr>
        <w:instrText xml:space="preserve"> </w:instrText>
      </w:r>
      <w:r w:rsidRPr="00F03289">
        <w:instrText>level</w:instrText>
      </w:r>
      <w:r w:rsidRPr="009765E8">
        <w:rPr>
          <w:lang w:val="bg-BG"/>
        </w:rPr>
        <w:instrText>0 \*</w:instrText>
      </w:r>
      <w:r w:rsidRPr="00F03289">
        <w:instrText>arabic</w:instrText>
      </w:r>
      <w:r w:rsidRPr="009765E8">
        <w:rPr>
          <w:lang w:val="bg-BG"/>
        </w:rPr>
        <w:instrText xml:space="preserve"> </w:instrText>
      </w:r>
      <w:r w:rsidRPr="009765E8">
        <w:rPr>
          <w:lang w:val="bg-BG"/>
        </w:rPr>
        <w:fldChar w:fldCharType="separate"/>
      </w:r>
      <w:r w:rsidRPr="009765E8">
        <w:rPr>
          <w:noProof/>
          <w:lang w:val="bg-BG"/>
        </w:rPr>
        <w:t>54</w:t>
      </w:r>
      <w:r w:rsidRPr="009765E8">
        <w:rPr>
          <w:lang w:val="bg-BG"/>
        </w:rPr>
        <w:fldChar w:fldCharType="end"/>
      </w:r>
      <w:r w:rsidRPr="009765E8">
        <w:rPr>
          <w:lang w:val="bg-BG"/>
        </w:rPr>
        <w:t>.</w:t>
      </w:r>
      <w:r w:rsidRPr="00F03289">
        <w:t>  </w:t>
      </w:r>
      <w:bookmarkStart w:id="33" w:name="_Hlk36128077"/>
      <w:r w:rsidRPr="009765E8">
        <w:rPr>
          <w:lang w:val="bg-BG"/>
        </w:rPr>
        <w:t>Тези елементи са достатъчни</w:t>
      </w:r>
      <w:r>
        <w:rPr>
          <w:lang w:val="bg-BG"/>
        </w:rPr>
        <w:t xml:space="preserve"> за</w:t>
      </w:r>
      <w:r w:rsidRPr="009765E8">
        <w:rPr>
          <w:lang w:val="bg-BG"/>
        </w:rPr>
        <w:t xml:space="preserve"> Съд</w:t>
      </w:r>
      <w:r>
        <w:rPr>
          <w:lang w:val="bg-BG"/>
        </w:rPr>
        <w:t>а</w:t>
      </w:r>
      <w:r w:rsidRPr="009765E8">
        <w:rPr>
          <w:lang w:val="bg-BG"/>
        </w:rPr>
        <w:t xml:space="preserve"> да заключи, че </w:t>
      </w:r>
      <w:r>
        <w:rPr>
          <w:lang w:val="bg-BG"/>
        </w:rPr>
        <w:t>по</w:t>
      </w:r>
      <w:r w:rsidRPr="009765E8">
        <w:rPr>
          <w:lang w:val="bg-BG"/>
        </w:rPr>
        <w:t xml:space="preserve"> настоящото дело е налице нарушение на член 8 от Конвенцията по отношение на претърсванията на </w:t>
      </w:r>
      <w:r>
        <w:rPr>
          <w:lang w:val="bg-BG"/>
        </w:rPr>
        <w:t>автомобилите</w:t>
      </w:r>
      <w:r w:rsidRPr="009765E8">
        <w:rPr>
          <w:lang w:val="bg-BG"/>
        </w:rPr>
        <w:t xml:space="preserve"> на жалбоподателите. </w:t>
      </w:r>
    </w:p>
    <w:p w:rsidR="00CF1469" w:rsidRPr="009765E8" w:rsidRDefault="007C661E" w:rsidP="00CF1469">
      <w:pPr>
        <w:pStyle w:val="JuHIRoman"/>
        <w:rPr>
          <w:rFonts w:eastAsia="Times New Roman"/>
          <w:lang w:val="bg-BG"/>
        </w:rPr>
      </w:pPr>
      <w:bookmarkStart w:id="34" w:name="_Hlk36128108"/>
      <w:bookmarkEnd w:id="33"/>
      <w:r>
        <w:rPr>
          <w:rFonts w:eastAsia="Times New Roman"/>
          <w:lang w:val="bg-BG"/>
        </w:rPr>
        <w:t>твърдяно</w:t>
      </w:r>
      <w:r w:rsidR="00CF1469">
        <w:rPr>
          <w:rFonts w:eastAsia="Times New Roman"/>
          <w:lang w:val="bg-BG"/>
        </w:rPr>
        <w:t xml:space="preserve"> нарушение на член 13 от конвенцията</w:t>
      </w:r>
      <w:bookmarkEnd w:id="34"/>
    </w:p>
    <w:p w:rsidR="008D5372" w:rsidRPr="009765E8"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55</w:t>
      </w:r>
      <w:r w:rsidRPr="006213AD">
        <w:rPr>
          <w:lang w:val="bg-BG"/>
        </w:rPr>
        <w:fldChar w:fldCharType="end"/>
      </w:r>
      <w:r w:rsidRPr="006213AD">
        <w:rPr>
          <w:lang w:val="bg-BG"/>
        </w:rPr>
        <w:t>.</w:t>
      </w:r>
      <w:r w:rsidRPr="00F03289">
        <w:t>  </w:t>
      </w:r>
      <w:r w:rsidRPr="009765E8">
        <w:rPr>
          <w:lang w:val="bg-BG"/>
        </w:rPr>
        <w:t xml:space="preserve">Накрая жалбоподателите се оплакват, че не са разполагали с ефективни вътрешноправни средства за защита, за да </w:t>
      </w:r>
      <w:r>
        <w:rPr>
          <w:lang w:val="bg-BG"/>
        </w:rPr>
        <w:t>предотвратят</w:t>
      </w:r>
      <w:r w:rsidRPr="009765E8">
        <w:rPr>
          <w:lang w:val="bg-BG"/>
        </w:rPr>
        <w:t xml:space="preserve"> твърдените нарушения на техните права, гарантирани от членове 3 и 8. Те се позовават на член 13 от Конвенцията, който гласи</w:t>
      </w:r>
      <w:r>
        <w:rPr>
          <w:lang w:val="bg-BG"/>
        </w:rPr>
        <w:t xml:space="preserve"> следното:</w:t>
      </w:r>
      <w:r w:rsidRPr="009765E8">
        <w:rPr>
          <w:lang w:val="bg-BG"/>
        </w:rPr>
        <w:t xml:space="preserve"> </w:t>
      </w:r>
    </w:p>
    <w:p w:rsidR="008D5372" w:rsidRPr="00A57869" w:rsidRDefault="008D5372" w:rsidP="00F03289">
      <w:pPr>
        <w:pStyle w:val="JuQuot"/>
        <w:rPr>
          <w:lang w:val="bg-BG"/>
        </w:rPr>
      </w:pPr>
      <w:r w:rsidRPr="009765E8">
        <w:rPr>
          <w:lang w:val="bg-BG"/>
        </w:rPr>
        <w:t>„ Всеки, чиито права и свободи, предвидени в тази конвенция, са нарушени, трябва да разполага с ефикасни вътрешноправни средства за тяхната защита от съответна национална институция дори и нарушението да е извършено от лица, действащи в качеството си на представители на официалните власти.</w:t>
      </w:r>
      <w:r>
        <w:rPr>
          <w:lang w:val="bg-BG"/>
        </w:rPr>
        <w:t>“</w:t>
      </w:r>
    </w:p>
    <w:p w:rsidR="008D5372" w:rsidRPr="00A57869" w:rsidRDefault="008D5372" w:rsidP="00F03289">
      <w:pPr>
        <w:pStyle w:val="JuPara"/>
        <w:rPr>
          <w:lang w:val="bg-BG"/>
        </w:rPr>
      </w:pPr>
      <w:r w:rsidRPr="00A57869">
        <w:rPr>
          <w:lang w:val="bg-BG"/>
        </w:rPr>
        <w:fldChar w:fldCharType="begin"/>
      </w:r>
      <w:r w:rsidRPr="00A57869">
        <w:rPr>
          <w:lang w:val="bg-BG"/>
        </w:rPr>
        <w:instrText xml:space="preserve"> </w:instrText>
      </w:r>
      <w:r w:rsidRPr="00F03289">
        <w:instrText>SEQ</w:instrText>
      </w:r>
      <w:r w:rsidRPr="00A57869">
        <w:rPr>
          <w:lang w:val="bg-BG"/>
        </w:rPr>
        <w:instrText xml:space="preserve"> </w:instrText>
      </w:r>
      <w:r w:rsidRPr="00F03289">
        <w:instrText>level</w:instrText>
      </w:r>
      <w:r w:rsidRPr="00A57869">
        <w:rPr>
          <w:lang w:val="bg-BG"/>
        </w:rPr>
        <w:instrText>0 \*</w:instrText>
      </w:r>
      <w:r w:rsidRPr="00F03289">
        <w:instrText>arabic</w:instrText>
      </w:r>
      <w:r w:rsidRPr="00A57869">
        <w:rPr>
          <w:lang w:val="bg-BG"/>
        </w:rPr>
        <w:instrText xml:space="preserve"> </w:instrText>
      </w:r>
      <w:r w:rsidRPr="00A57869">
        <w:rPr>
          <w:lang w:val="bg-BG"/>
        </w:rPr>
        <w:fldChar w:fldCharType="separate"/>
      </w:r>
      <w:r w:rsidRPr="00A57869">
        <w:rPr>
          <w:noProof/>
          <w:lang w:val="bg-BG"/>
        </w:rPr>
        <w:t>56</w:t>
      </w:r>
      <w:r w:rsidRPr="00A57869">
        <w:rPr>
          <w:lang w:val="bg-BG"/>
        </w:rPr>
        <w:fldChar w:fldCharType="end"/>
      </w:r>
      <w:r w:rsidRPr="00A57869">
        <w:rPr>
          <w:lang w:val="bg-BG"/>
        </w:rPr>
        <w:t>.</w:t>
      </w:r>
      <w:r w:rsidRPr="00F03289">
        <w:t>  </w:t>
      </w:r>
      <w:r w:rsidRPr="00A57869">
        <w:rPr>
          <w:lang w:val="bg-BG"/>
        </w:rPr>
        <w:t xml:space="preserve">Правителството твърди, че жалбоподателите са могли да поискат парично обезщетение </w:t>
      </w:r>
      <w:r>
        <w:rPr>
          <w:lang w:val="bg-BG"/>
        </w:rPr>
        <w:t>въз основа на</w:t>
      </w:r>
      <w:r w:rsidRPr="00A57869">
        <w:rPr>
          <w:lang w:val="bg-BG"/>
        </w:rPr>
        <w:t xml:space="preserve"> Закона за отговорността на държавата</w:t>
      </w:r>
      <w:r>
        <w:rPr>
          <w:lang w:val="bg-BG"/>
        </w:rPr>
        <w:t>, както и</w:t>
      </w:r>
      <w:r w:rsidRPr="00A57869">
        <w:rPr>
          <w:lang w:val="bg-BG"/>
        </w:rPr>
        <w:t xml:space="preserve"> </w:t>
      </w:r>
      <w:r>
        <w:rPr>
          <w:lang w:val="bg-BG"/>
        </w:rPr>
        <w:t>въз основа на</w:t>
      </w:r>
      <w:r w:rsidRPr="00A57869">
        <w:rPr>
          <w:lang w:val="bg-BG"/>
        </w:rPr>
        <w:t xml:space="preserve"> член 45 от Закона за задълженията и договорите</w:t>
      </w:r>
      <w:r>
        <w:rPr>
          <w:lang w:val="bg-BG"/>
        </w:rPr>
        <w:t>.</w:t>
      </w:r>
    </w:p>
    <w:p w:rsidR="00CF1469" w:rsidRPr="00F03289" w:rsidRDefault="00CF1469" w:rsidP="00CF1469">
      <w:pPr>
        <w:pStyle w:val="JuHA"/>
        <w:rPr>
          <w:rFonts w:eastAsia="Times New Roman"/>
        </w:rPr>
      </w:pPr>
      <w:r>
        <w:rPr>
          <w:rFonts w:eastAsia="Times New Roman"/>
          <w:lang w:val="bg-BG"/>
        </w:rPr>
        <w:t>Допустимост</w:t>
      </w:r>
    </w:p>
    <w:p w:rsidR="008D5372" w:rsidRPr="00A57869" w:rsidRDefault="008D5372" w:rsidP="00F03289">
      <w:pPr>
        <w:pStyle w:val="JuPara"/>
        <w:rPr>
          <w:lang w:val="bg-BG"/>
        </w:rPr>
      </w:pPr>
      <w:r w:rsidRPr="00A57869">
        <w:rPr>
          <w:lang w:val="en-GB"/>
        </w:rPr>
        <w:fldChar w:fldCharType="begin"/>
      </w:r>
      <w:r w:rsidRPr="00A57869">
        <w:rPr>
          <w:lang w:val="en-GB"/>
        </w:rPr>
        <w:instrText xml:space="preserve"> SEQ level0 \*arabic </w:instrText>
      </w:r>
      <w:r w:rsidRPr="00A57869">
        <w:rPr>
          <w:lang w:val="en-GB"/>
        </w:rPr>
        <w:fldChar w:fldCharType="separate"/>
      </w:r>
      <w:r w:rsidRPr="00A57869">
        <w:rPr>
          <w:noProof/>
          <w:lang w:val="en-GB"/>
        </w:rPr>
        <w:t>57</w:t>
      </w:r>
      <w:r w:rsidRPr="00A57869">
        <w:rPr>
          <w:lang w:val="en-GB"/>
        </w:rPr>
        <w:fldChar w:fldCharType="end"/>
      </w:r>
      <w:r w:rsidRPr="00A57869">
        <w:rPr>
          <w:lang w:val="en-GB"/>
        </w:rPr>
        <w:t>.  </w:t>
      </w:r>
      <w:r w:rsidRPr="00A57869">
        <w:rPr>
          <w:lang w:val="bg-BG"/>
        </w:rPr>
        <w:t xml:space="preserve">Съдът припомня, че е констатирал, че </w:t>
      </w:r>
      <w:r>
        <w:rPr>
          <w:lang w:val="bg-BG"/>
        </w:rPr>
        <w:t>оплакването</w:t>
      </w:r>
      <w:r w:rsidRPr="00A57869">
        <w:rPr>
          <w:lang w:val="bg-BG"/>
        </w:rPr>
        <w:t xml:space="preserve"> по член 3 е недопустим</w:t>
      </w:r>
      <w:r>
        <w:rPr>
          <w:lang w:val="bg-BG"/>
        </w:rPr>
        <w:t>о</w:t>
      </w:r>
      <w:r w:rsidRPr="00A57869">
        <w:rPr>
          <w:lang w:val="bg-BG"/>
        </w:rPr>
        <w:t xml:space="preserve"> с мотива, че е явно необоснован</w:t>
      </w:r>
      <w:r>
        <w:rPr>
          <w:lang w:val="bg-BG"/>
        </w:rPr>
        <w:t>о</w:t>
      </w:r>
      <w:r w:rsidRPr="00A57869">
        <w:rPr>
          <w:lang w:val="bg-BG"/>
        </w:rPr>
        <w:t xml:space="preserve"> (вж. </w:t>
      </w:r>
      <w:r>
        <w:rPr>
          <w:lang w:val="bg-BG"/>
        </w:rPr>
        <w:t>п</w:t>
      </w:r>
      <w:r w:rsidRPr="00A57869">
        <w:rPr>
          <w:lang w:val="bg-BG"/>
        </w:rPr>
        <w:t xml:space="preserve">араграф 43 по-горе). При липса на </w:t>
      </w:r>
      <w:r>
        <w:rPr>
          <w:lang w:val="bg-BG"/>
        </w:rPr>
        <w:t>спорно оплакване по</w:t>
      </w:r>
      <w:r w:rsidRPr="00A57869">
        <w:rPr>
          <w:lang w:val="bg-BG"/>
        </w:rPr>
        <w:t xml:space="preserve"> член 3 </w:t>
      </w:r>
      <w:r>
        <w:rPr>
          <w:lang w:val="bg-BG"/>
        </w:rPr>
        <w:t>оплакването</w:t>
      </w:r>
      <w:r w:rsidRPr="00A57869">
        <w:rPr>
          <w:lang w:val="bg-BG"/>
        </w:rPr>
        <w:t xml:space="preserve"> по член 13</w:t>
      </w:r>
      <w:r>
        <w:rPr>
          <w:lang w:val="bg-BG"/>
        </w:rPr>
        <w:t xml:space="preserve"> във връзка с него</w:t>
      </w:r>
      <w:r w:rsidRPr="00A57869">
        <w:rPr>
          <w:lang w:val="bg-BG"/>
        </w:rPr>
        <w:t xml:space="preserve"> също е явно необоснован</w:t>
      </w:r>
      <w:r>
        <w:rPr>
          <w:lang w:val="bg-BG"/>
        </w:rPr>
        <w:t xml:space="preserve">о </w:t>
      </w:r>
      <w:r w:rsidRPr="00A57869">
        <w:rPr>
          <w:lang w:val="bg-BG"/>
        </w:rPr>
        <w:t>и трябва да бъде отхвърлен</w:t>
      </w:r>
      <w:r>
        <w:rPr>
          <w:lang w:val="bg-BG"/>
        </w:rPr>
        <w:t>о</w:t>
      </w:r>
      <w:r w:rsidRPr="00A57869">
        <w:rPr>
          <w:lang w:val="bg-BG"/>
        </w:rPr>
        <w:t xml:space="preserve"> в съответствие с член 35</w:t>
      </w:r>
      <w:r>
        <w:rPr>
          <w:lang w:val="bg-BG"/>
        </w:rPr>
        <w:t>, алинеи</w:t>
      </w:r>
      <w:r w:rsidRPr="00A57869">
        <w:rPr>
          <w:lang w:val="bg-BG"/>
        </w:rPr>
        <w:t xml:space="preserve"> 3 а) и 4 от Конвенцията.</w:t>
      </w:r>
    </w:p>
    <w:p w:rsidR="008D5372" w:rsidRDefault="008D5372" w:rsidP="00F03289">
      <w:pPr>
        <w:pStyle w:val="JuPara"/>
      </w:pPr>
      <w:r w:rsidRPr="00A57869">
        <w:rPr>
          <w:lang w:val="bg-BG"/>
        </w:rPr>
        <w:fldChar w:fldCharType="begin"/>
      </w:r>
      <w:r w:rsidRPr="00A57869">
        <w:rPr>
          <w:lang w:val="bg-BG"/>
        </w:rPr>
        <w:instrText xml:space="preserve"> </w:instrText>
      </w:r>
      <w:r w:rsidRPr="00F03289">
        <w:instrText>SEQ</w:instrText>
      </w:r>
      <w:r w:rsidRPr="00A57869">
        <w:rPr>
          <w:lang w:val="bg-BG"/>
        </w:rPr>
        <w:instrText xml:space="preserve"> </w:instrText>
      </w:r>
      <w:r w:rsidRPr="00F03289">
        <w:instrText>level</w:instrText>
      </w:r>
      <w:r w:rsidRPr="00A57869">
        <w:rPr>
          <w:lang w:val="bg-BG"/>
        </w:rPr>
        <w:instrText>0 \*</w:instrText>
      </w:r>
      <w:r w:rsidRPr="00F03289">
        <w:instrText>arabic</w:instrText>
      </w:r>
      <w:r w:rsidRPr="00A57869">
        <w:rPr>
          <w:lang w:val="bg-BG"/>
        </w:rPr>
        <w:instrText xml:space="preserve"> </w:instrText>
      </w:r>
      <w:r w:rsidRPr="00A57869">
        <w:rPr>
          <w:lang w:val="bg-BG"/>
        </w:rPr>
        <w:fldChar w:fldCharType="separate"/>
      </w:r>
      <w:r w:rsidRPr="00A57869">
        <w:rPr>
          <w:noProof/>
          <w:lang w:val="bg-BG"/>
        </w:rPr>
        <w:t>58</w:t>
      </w:r>
      <w:r w:rsidRPr="00A57869">
        <w:rPr>
          <w:lang w:val="bg-BG"/>
        </w:rPr>
        <w:fldChar w:fldCharType="end"/>
      </w:r>
      <w:r w:rsidRPr="00A57869">
        <w:rPr>
          <w:lang w:val="bg-BG"/>
        </w:rPr>
        <w:t>.</w:t>
      </w:r>
      <w:r w:rsidRPr="00F03289">
        <w:t> </w:t>
      </w:r>
      <w:r w:rsidRPr="00A57869">
        <w:rPr>
          <w:lang w:val="bg-BG"/>
        </w:rPr>
        <w:t xml:space="preserve">По отношение на </w:t>
      </w:r>
      <w:r>
        <w:rPr>
          <w:lang w:val="bg-BG"/>
        </w:rPr>
        <w:t>оплакването</w:t>
      </w:r>
      <w:r w:rsidRPr="00A57869">
        <w:rPr>
          <w:lang w:val="bg-BG"/>
        </w:rPr>
        <w:t xml:space="preserve"> по член 13 във връзка с член 8 от Конвенцията</w:t>
      </w:r>
      <w:r>
        <w:rPr>
          <w:lang w:val="bg-BG"/>
        </w:rPr>
        <w:t xml:space="preserve"> </w:t>
      </w:r>
      <w:r w:rsidRPr="00A57869">
        <w:rPr>
          <w:lang w:val="bg-BG"/>
        </w:rPr>
        <w:t xml:space="preserve">Съдът намира, че </w:t>
      </w:r>
      <w:r>
        <w:rPr>
          <w:lang w:val="bg-BG"/>
        </w:rPr>
        <w:t>същото</w:t>
      </w:r>
      <w:r w:rsidRPr="00A57869">
        <w:rPr>
          <w:lang w:val="bg-BG"/>
        </w:rPr>
        <w:t xml:space="preserve"> не е явно необоснован</w:t>
      </w:r>
      <w:r>
        <w:rPr>
          <w:lang w:val="bg-BG"/>
        </w:rPr>
        <w:t>о</w:t>
      </w:r>
      <w:r w:rsidRPr="00A57869">
        <w:rPr>
          <w:lang w:val="bg-BG"/>
        </w:rPr>
        <w:t xml:space="preserve"> или недопустим</w:t>
      </w:r>
      <w:r>
        <w:rPr>
          <w:lang w:val="bg-BG"/>
        </w:rPr>
        <w:t>о</w:t>
      </w:r>
      <w:r w:rsidRPr="00A57869">
        <w:rPr>
          <w:lang w:val="bg-BG"/>
        </w:rPr>
        <w:t xml:space="preserve"> на друго основание, посочено в член 35 от Конвенцията. </w:t>
      </w:r>
      <w:proofErr w:type="spellStart"/>
      <w:r w:rsidRPr="00A57869">
        <w:t>Поради</w:t>
      </w:r>
      <w:proofErr w:type="spellEnd"/>
      <w:r w:rsidRPr="00A57869">
        <w:t xml:space="preserve"> </w:t>
      </w:r>
      <w:proofErr w:type="spellStart"/>
      <w:r w:rsidRPr="00A57869">
        <w:t>това</w:t>
      </w:r>
      <w:proofErr w:type="spellEnd"/>
      <w:r w:rsidRPr="00A57869">
        <w:t xml:space="preserve"> </w:t>
      </w:r>
      <w:proofErr w:type="spellStart"/>
      <w:r w:rsidRPr="00A57869">
        <w:t>го</w:t>
      </w:r>
      <w:proofErr w:type="spellEnd"/>
      <w:r w:rsidRPr="00A57869">
        <w:t xml:space="preserve"> </w:t>
      </w:r>
      <w:proofErr w:type="spellStart"/>
      <w:r w:rsidRPr="00A57869">
        <w:t>обявява</w:t>
      </w:r>
      <w:proofErr w:type="spellEnd"/>
      <w:r w:rsidRPr="00A57869">
        <w:t xml:space="preserve"> </w:t>
      </w:r>
      <w:proofErr w:type="spellStart"/>
      <w:r w:rsidRPr="00A57869">
        <w:t>за</w:t>
      </w:r>
      <w:proofErr w:type="spellEnd"/>
      <w:r w:rsidRPr="00A57869">
        <w:t xml:space="preserve"> </w:t>
      </w:r>
      <w:proofErr w:type="spellStart"/>
      <w:r w:rsidRPr="00A57869">
        <w:t>допустим</w:t>
      </w:r>
      <w:proofErr w:type="spellEnd"/>
      <w:r>
        <w:rPr>
          <w:lang w:val="bg-BG"/>
        </w:rPr>
        <w:t>о</w:t>
      </w:r>
      <w:r w:rsidRPr="00A57869">
        <w:t>.</w:t>
      </w:r>
    </w:p>
    <w:p w:rsidR="00CF1469" w:rsidRPr="00F03289" w:rsidRDefault="00CF1469" w:rsidP="00CF1469">
      <w:pPr>
        <w:pStyle w:val="JuHA"/>
        <w:rPr>
          <w:rFonts w:eastAsia="Times New Roman"/>
        </w:rPr>
      </w:pPr>
      <w:r>
        <w:rPr>
          <w:rFonts w:eastAsia="Times New Roman"/>
          <w:lang w:val="bg-BG"/>
        </w:rPr>
        <w:t>По същество</w:t>
      </w:r>
    </w:p>
    <w:p w:rsidR="008D5372" w:rsidRPr="00AF3D6F"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59</w:t>
      </w:r>
      <w:r w:rsidRPr="006213AD">
        <w:rPr>
          <w:lang w:val="en-GB"/>
        </w:rPr>
        <w:fldChar w:fldCharType="end"/>
      </w:r>
      <w:r w:rsidRPr="006213AD">
        <w:rPr>
          <w:lang w:val="en-GB"/>
        </w:rPr>
        <w:t>.  </w:t>
      </w:r>
      <w:r w:rsidRPr="00AF3D6F">
        <w:rPr>
          <w:lang w:val="bg-BG"/>
        </w:rPr>
        <w:t xml:space="preserve">Съдът отбелязва, че настоящото дело е относително </w:t>
      </w:r>
      <w:r>
        <w:rPr>
          <w:lang w:val="bg-BG"/>
        </w:rPr>
        <w:t>сходно</w:t>
      </w:r>
      <w:r w:rsidRPr="00AF3D6F">
        <w:rPr>
          <w:lang w:val="bg-BG"/>
        </w:rPr>
        <w:t xml:space="preserve"> </w:t>
      </w:r>
      <w:r>
        <w:rPr>
          <w:lang w:val="bg-BG"/>
        </w:rPr>
        <w:t>с</w:t>
      </w:r>
      <w:r w:rsidRPr="00AF3D6F">
        <w:rPr>
          <w:lang w:val="bg-BG"/>
        </w:rPr>
        <w:t xml:space="preserve"> други дела срещу България, </w:t>
      </w:r>
      <w:r>
        <w:rPr>
          <w:lang w:val="bg-BG"/>
        </w:rPr>
        <w:t>при които</w:t>
      </w:r>
      <w:r w:rsidRPr="00AF3D6F">
        <w:rPr>
          <w:lang w:val="bg-BG"/>
        </w:rPr>
        <w:t xml:space="preserve"> е установил нарушения</w:t>
      </w:r>
      <w:r>
        <w:rPr>
          <w:lang w:val="bg-BG"/>
        </w:rPr>
        <w:t xml:space="preserve"> на член 13 </w:t>
      </w:r>
      <w:r w:rsidRPr="00AF3D6F">
        <w:rPr>
          <w:lang w:val="bg-BG"/>
        </w:rPr>
        <w:t xml:space="preserve">във връзка с член 8 от Конвенцията, </w:t>
      </w:r>
      <w:r>
        <w:rPr>
          <w:lang w:val="bg-BG"/>
        </w:rPr>
        <w:t>по отношение на</w:t>
      </w:r>
      <w:r w:rsidRPr="00AF3D6F">
        <w:rPr>
          <w:lang w:val="bg-BG"/>
        </w:rPr>
        <w:t xml:space="preserve"> </w:t>
      </w:r>
      <w:r>
        <w:rPr>
          <w:lang w:val="bg-BG"/>
        </w:rPr>
        <w:t>претърсвания</w:t>
      </w:r>
      <w:r w:rsidRPr="00AF3D6F">
        <w:rPr>
          <w:lang w:val="bg-BG"/>
        </w:rPr>
        <w:t xml:space="preserve">, извършени по </w:t>
      </w:r>
      <w:r>
        <w:rPr>
          <w:lang w:val="bg-BG"/>
        </w:rPr>
        <w:t>същото</w:t>
      </w:r>
      <w:r w:rsidRPr="00AF3D6F">
        <w:rPr>
          <w:lang w:val="bg-BG"/>
        </w:rPr>
        <w:t xml:space="preserve"> време и при </w:t>
      </w:r>
      <w:r w:rsidRPr="00AF3D6F">
        <w:rPr>
          <w:lang w:val="bg-BG"/>
        </w:rPr>
        <w:lastRenderedPageBreak/>
        <w:t xml:space="preserve">обстоятелства, </w:t>
      </w:r>
      <w:r>
        <w:rPr>
          <w:lang w:val="bg-BG"/>
        </w:rPr>
        <w:t>сходни</w:t>
      </w:r>
      <w:r w:rsidRPr="00AF3D6F">
        <w:rPr>
          <w:lang w:val="bg-BG"/>
        </w:rPr>
        <w:t xml:space="preserve"> на тези </w:t>
      </w:r>
      <w:r>
        <w:rPr>
          <w:lang w:val="bg-BG"/>
        </w:rPr>
        <w:t>по</w:t>
      </w:r>
      <w:r w:rsidRPr="00AF3D6F">
        <w:rPr>
          <w:lang w:val="bg-BG"/>
        </w:rPr>
        <w:t xml:space="preserve"> настоящо дело (</w:t>
      </w:r>
      <w:r w:rsidRPr="00B14A5E">
        <w:rPr>
          <w:i/>
          <w:lang w:val="bg-BG"/>
        </w:rPr>
        <w:t>Гуцанови</w:t>
      </w:r>
      <w:r w:rsidRPr="00AF3D6F">
        <w:rPr>
          <w:lang w:val="bg-BG"/>
        </w:rPr>
        <w:t xml:space="preserve">, </w:t>
      </w:r>
      <w:r>
        <w:rPr>
          <w:lang w:val="bg-BG"/>
        </w:rPr>
        <w:t>параграф</w:t>
      </w:r>
      <w:r w:rsidRPr="00AF3D6F">
        <w:rPr>
          <w:lang w:val="bg-BG"/>
        </w:rPr>
        <w:t xml:space="preserve"> 234, </w:t>
      </w:r>
      <w:r w:rsidRPr="00B14A5E">
        <w:rPr>
          <w:i/>
          <w:lang w:val="bg-BG"/>
        </w:rPr>
        <w:t>Славов и други</w:t>
      </w:r>
      <w:r w:rsidRPr="00AF3D6F">
        <w:rPr>
          <w:lang w:val="bg-BG"/>
        </w:rPr>
        <w:t xml:space="preserve">, </w:t>
      </w:r>
      <w:r>
        <w:rPr>
          <w:lang w:val="bg-BG"/>
        </w:rPr>
        <w:t>параграфи</w:t>
      </w:r>
      <w:r w:rsidRPr="00AF3D6F">
        <w:rPr>
          <w:lang w:val="bg-BG"/>
        </w:rPr>
        <w:t xml:space="preserve"> 161 163, </w:t>
      </w:r>
      <w:r w:rsidRPr="00B14A5E">
        <w:rPr>
          <w:i/>
          <w:lang w:val="bg-BG"/>
        </w:rPr>
        <w:t>Стоянов и други</w:t>
      </w:r>
      <w:r w:rsidRPr="00AF3D6F">
        <w:rPr>
          <w:lang w:val="bg-BG"/>
        </w:rPr>
        <w:t xml:space="preserve">, </w:t>
      </w:r>
      <w:r>
        <w:rPr>
          <w:lang w:val="bg-BG"/>
        </w:rPr>
        <w:t>параграфи</w:t>
      </w:r>
      <w:r w:rsidRPr="00AF3D6F">
        <w:rPr>
          <w:lang w:val="bg-BG"/>
        </w:rPr>
        <w:t xml:space="preserve"> 152-153, и </w:t>
      </w:r>
      <w:r w:rsidRPr="00B14A5E">
        <w:rPr>
          <w:i/>
          <w:lang w:val="bg-BG"/>
        </w:rPr>
        <w:t>Говедарски</w:t>
      </w:r>
      <w:r w:rsidRPr="00AF3D6F">
        <w:rPr>
          <w:lang w:val="bg-BG"/>
        </w:rPr>
        <w:t xml:space="preserve">, </w:t>
      </w:r>
      <w:r>
        <w:rPr>
          <w:lang w:val="bg-BG"/>
        </w:rPr>
        <w:t>параграф</w:t>
      </w:r>
      <w:r w:rsidRPr="00AF3D6F">
        <w:rPr>
          <w:lang w:val="bg-BG"/>
        </w:rPr>
        <w:t xml:space="preserve"> 94, всички</w:t>
      </w:r>
      <w:r>
        <w:rPr>
          <w:lang w:val="bg-BG"/>
        </w:rPr>
        <w:t>те</w:t>
      </w:r>
      <w:r w:rsidRPr="00AF3D6F">
        <w:rPr>
          <w:lang w:val="bg-BG"/>
        </w:rPr>
        <w:t xml:space="preserve"> цитирани по-горе). </w:t>
      </w:r>
      <w:r>
        <w:rPr>
          <w:lang w:val="bg-BG"/>
        </w:rPr>
        <w:t>По тези дела</w:t>
      </w:r>
      <w:r w:rsidRPr="00AF3D6F">
        <w:rPr>
          <w:lang w:val="bg-BG"/>
        </w:rPr>
        <w:t xml:space="preserve"> Съдът </w:t>
      </w:r>
      <w:r>
        <w:rPr>
          <w:lang w:val="bg-BG"/>
        </w:rPr>
        <w:t>е счел</w:t>
      </w:r>
      <w:r w:rsidRPr="00AF3D6F">
        <w:rPr>
          <w:lang w:val="bg-BG"/>
        </w:rPr>
        <w:t xml:space="preserve">, че искът, който може да бъде предявен </w:t>
      </w:r>
      <w:r>
        <w:rPr>
          <w:lang w:val="bg-BG"/>
        </w:rPr>
        <w:t>въз основа на</w:t>
      </w:r>
      <w:r w:rsidRPr="00AF3D6F">
        <w:rPr>
          <w:lang w:val="bg-BG"/>
        </w:rPr>
        <w:t xml:space="preserve"> Закона за отговорност</w:t>
      </w:r>
      <w:r>
        <w:rPr>
          <w:lang w:val="bg-BG"/>
        </w:rPr>
        <w:t>та на държавата</w:t>
      </w:r>
      <w:r w:rsidRPr="00AF3D6F">
        <w:rPr>
          <w:lang w:val="bg-BG"/>
        </w:rPr>
        <w:t xml:space="preserve">, не представлява ефективно вътрешноправно средство за защита, което </w:t>
      </w:r>
      <w:r>
        <w:rPr>
          <w:lang w:val="bg-BG"/>
        </w:rPr>
        <w:t xml:space="preserve">да </w:t>
      </w:r>
      <w:r w:rsidRPr="00AF3D6F">
        <w:rPr>
          <w:lang w:val="bg-BG"/>
        </w:rPr>
        <w:t xml:space="preserve">може да </w:t>
      </w:r>
      <w:r>
        <w:rPr>
          <w:lang w:val="bg-BG"/>
        </w:rPr>
        <w:t>предотврати</w:t>
      </w:r>
      <w:r w:rsidRPr="00AF3D6F">
        <w:rPr>
          <w:lang w:val="bg-BG"/>
        </w:rPr>
        <w:t xml:space="preserve"> твърдените нарушения </w:t>
      </w:r>
      <w:r>
        <w:rPr>
          <w:lang w:val="bg-BG"/>
        </w:rPr>
        <w:t>по</w:t>
      </w:r>
      <w:r w:rsidRPr="00AF3D6F">
        <w:rPr>
          <w:lang w:val="bg-BG"/>
        </w:rPr>
        <w:t xml:space="preserve"> член 8. Съдът счита, че същите тези </w:t>
      </w:r>
      <w:r>
        <w:rPr>
          <w:lang w:val="bg-BG"/>
        </w:rPr>
        <w:t>основания</w:t>
      </w:r>
      <w:r w:rsidRPr="00AF3D6F">
        <w:rPr>
          <w:lang w:val="bg-BG"/>
        </w:rPr>
        <w:t xml:space="preserve"> могат да бъдат приети </w:t>
      </w:r>
      <w:r>
        <w:rPr>
          <w:lang w:val="bg-BG"/>
        </w:rPr>
        <w:t>и по</w:t>
      </w:r>
      <w:r w:rsidRPr="00AF3D6F">
        <w:rPr>
          <w:lang w:val="bg-BG"/>
        </w:rPr>
        <w:t xml:space="preserve"> настоящото дело</w:t>
      </w:r>
      <w:r>
        <w:rPr>
          <w:lang w:val="bg-BG"/>
        </w:rPr>
        <w:t>.</w:t>
      </w:r>
    </w:p>
    <w:p w:rsidR="008D5372" w:rsidRPr="000B105D" w:rsidRDefault="008D5372" w:rsidP="00F03289">
      <w:pPr>
        <w:pStyle w:val="JuPara"/>
        <w:rPr>
          <w:lang w:val="bg-BG"/>
        </w:rPr>
      </w:pPr>
      <w:r w:rsidRPr="000B105D">
        <w:rPr>
          <w:lang w:val="bg-BG"/>
        </w:rPr>
        <w:fldChar w:fldCharType="begin"/>
      </w:r>
      <w:r w:rsidRPr="000B105D">
        <w:rPr>
          <w:lang w:val="bg-BG"/>
        </w:rPr>
        <w:instrText xml:space="preserve"> </w:instrText>
      </w:r>
      <w:r w:rsidRPr="00F03289">
        <w:instrText>SEQ</w:instrText>
      </w:r>
      <w:r w:rsidRPr="000B105D">
        <w:rPr>
          <w:lang w:val="bg-BG"/>
        </w:rPr>
        <w:instrText xml:space="preserve"> </w:instrText>
      </w:r>
      <w:r w:rsidRPr="00F03289">
        <w:instrText>level</w:instrText>
      </w:r>
      <w:r w:rsidRPr="000B105D">
        <w:rPr>
          <w:lang w:val="bg-BG"/>
        </w:rPr>
        <w:instrText>0 \*</w:instrText>
      </w:r>
      <w:r w:rsidRPr="00F03289">
        <w:instrText>arabic</w:instrText>
      </w:r>
      <w:r w:rsidRPr="000B105D">
        <w:rPr>
          <w:lang w:val="bg-BG"/>
        </w:rPr>
        <w:instrText xml:space="preserve"> </w:instrText>
      </w:r>
      <w:r w:rsidRPr="000B105D">
        <w:rPr>
          <w:lang w:val="bg-BG"/>
        </w:rPr>
        <w:fldChar w:fldCharType="separate"/>
      </w:r>
      <w:r w:rsidRPr="000B105D">
        <w:rPr>
          <w:noProof/>
          <w:lang w:val="bg-BG"/>
        </w:rPr>
        <w:t>60</w:t>
      </w:r>
      <w:r w:rsidRPr="000B105D">
        <w:rPr>
          <w:lang w:val="bg-BG"/>
        </w:rPr>
        <w:fldChar w:fldCharType="end"/>
      </w:r>
      <w:r w:rsidRPr="000B105D">
        <w:rPr>
          <w:lang w:val="bg-BG"/>
        </w:rPr>
        <w:t>.</w:t>
      </w:r>
      <w:r w:rsidRPr="00F03289">
        <w:t>  </w:t>
      </w:r>
      <w:r w:rsidRPr="000B105D">
        <w:rPr>
          <w:lang w:val="bg-BG"/>
        </w:rPr>
        <w:t xml:space="preserve">Освен това Съдът отбелязва, че </w:t>
      </w:r>
      <w:r>
        <w:rPr>
          <w:lang w:val="bg-BG"/>
        </w:rPr>
        <w:t>П</w:t>
      </w:r>
      <w:r w:rsidRPr="000B105D">
        <w:rPr>
          <w:lang w:val="bg-BG"/>
        </w:rPr>
        <w:t xml:space="preserve">равителството не </w:t>
      </w:r>
      <w:r>
        <w:rPr>
          <w:lang w:val="bg-BG"/>
        </w:rPr>
        <w:t>е обосновало</w:t>
      </w:r>
      <w:r w:rsidRPr="000B105D">
        <w:rPr>
          <w:lang w:val="bg-BG"/>
        </w:rPr>
        <w:t xml:space="preserve"> аргумента си, че искът за обезщетение, основан на член 45 от Закона за задълженията и договорите, представлява ефективно вътрешноправно средство за защита в конкретните обстоятелства</w:t>
      </w:r>
      <w:r>
        <w:rPr>
          <w:lang w:val="bg-BG"/>
        </w:rPr>
        <w:t xml:space="preserve"> по настоящото дело</w:t>
      </w:r>
      <w:r w:rsidRPr="000B105D">
        <w:rPr>
          <w:lang w:val="bg-BG"/>
        </w:rPr>
        <w:t>.</w:t>
      </w:r>
    </w:p>
    <w:p w:rsidR="008D5372" w:rsidRDefault="008D5372" w:rsidP="00F03289">
      <w:pPr>
        <w:pStyle w:val="JuPara"/>
        <w:rPr>
          <w:lang w:val="bg-BG"/>
        </w:rPr>
      </w:pPr>
      <w:r w:rsidRPr="00644206">
        <w:rPr>
          <w:lang w:val="bg-BG"/>
        </w:rPr>
        <w:fldChar w:fldCharType="begin"/>
      </w:r>
      <w:r w:rsidRPr="00644206">
        <w:rPr>
          <w:lang w:val="bg-BG"/>
        </w:rPr>
        <w:instrText xml:space="preserve"> </w:instrText>
      </w:r>
      <w:r w:rsidRPr="00F03289">
        <w:instrText>SEQ</w:instrText>
      </w:r>
      <w:r w:rsidRPr="00644206">
        <w:rPr>
          <w:lang w:val="bg-BG"/>
        </w:rPr>
        <w:instrText xml:space="preserve"> </w:instrText>
      </w:r>
      <w:r w:rsidRPr="00F03289">
        <w:instrText>level</w:instrText>
      </w:r>
      <w:r w:rsidRPr="00644206">
        <w:rPr>
          <w:lang w:val="bg-BG"/>
        </w:rPr>
        <w:instrText>0 \*</w:instrText>
      </w:r>
      <w:r w:rsidRPr="00F03289">
        <w:instrText>arabic</w:instrText>
      </w:r>
      <w:r w:rsidRPr="00644206">
        <w:rPr>
          <w:lang w:val="bg-BG"/>
        </w:rPr>
        <w:instrText xml:space="preserve"> </w:instrText>
      </w:r>
      <w:r w:rsidRPr="00644206">
        <w:rPr>
          <w:lang w:val="bg-BG"/>
        </w:rPr>
        <w:fldChar w:fldCharType="separate"/>
      </w:r>
      <w:r w:rsidRPr="00644206">
        <w:rPr>
          <w:noProof/>
          <w:lang w:val="bg-BG"/>
        </w:rPr>
        <w:t>61</w:t>
      </w:r>
      <w:r w:rsidRPr="00644206">
        <w:rPr>
          <w:lang w:val="bg-BG"/>
        </w:rPr>
        <w:fldChar w:fldCharType="end"/>
      </w:r>
      <w:r w:rsidRPr="00644206">
        <w:rPr>
          <w:lang w:val="bg-BG"/>
        </w:rPr>
        <w:t>.</w:t>
      </w:r>
      <w:r w:rsidRPr="00F03289">
        <w:t>  </w:t>
      </w:r>
      <w:r w:rsidRPr="00644206">
        <w:rPr>
          <w:lang w:val="bg-BG"/>
        </w:rPr>
        <w:t>Гореизложените съображения са достатъчни, за да позвол</w:t>
      </w:r>
      <w:r>
        <w:rPr>
          <w:lang w:val="bg-BG"/>
        </w:rPr>
        <w:t>ят</w:t>
      </w:r>
      <w:r w:rsidRPr="00644206">
        <w:rPr>
          <w:lang w:val="bg-BG"/>
        </w:rPr>
        <w:t xml:space="preserve"> на Съда да заключи, че жалбоподателите не са разполагали с ефективни вътрешноправни средства за защита, за да </w:t>
      </w:r>
      <w:r>
        <w:rPr>
          <w:lang w:val="bg-BG"/>
        </w:rPr>
        <w:t>предотвратят</w:t>
      </w:r>
      <w:r w:rsidRPr="00644206">
        <w:rPr>
          <w:lang w:val="bg-BG"/>
        </w:rPr>
        <w:t xml:space="preserve"> твърдените нарушения </w:t>
      </w:r>
      <w:r>
        <w:rPr>
          <w:lang w:val="bg-BG"/>
        </w:rPr>
        <w:t>на</w:t>
      </w:r>
      <w:r w:rsidRPr="00644206">
        <w:rPr>
          <w:lang w:val="bg-BG"/>
        </w:rPr>
        <w:t xml:space="preserve"> член 8 от Конвенцията.</w:t>
      </w:r>
    </w:p>
    <w:p w:rsidR="008D5372" w:rsidRPr="00644206" w:rsidRDefault="008D5372" w:rsidP="00F03289">
      <w:pPr>
        <w:pStyle w:val="JuPara"/>
        <w:rPr>
          <w:lang w:val="bg-BG"/>
        </w:rPr>
      </w:pPr>
      <w:r w:rsidRPr="00644206">
        <w:rPr>
          <w:lang w:val="bg-BG"/>
        </w:rPr>
        <w:fldChar w:fldCharType="begin"/>
      </w:r>
      <w:r w:rsidRPr="00644206">
        <w:rPr>
          <w:lang w:val="bg-BG"/>
        </w:rPr>
        <w:instrText xml:space="preserve"> </w:instrText>
      </w:r>
      <w:r w:rsidRPr="00F03289">
        <w:instrText>SEQ</w:instrText>
      </w:r>
      <w:r w:rsidRPr="00644206">
        <w:rPr>
          <w:lang w:val="bg-BG"/>
        </w:rPr>
        <w:instrText xml:space="preserve"> </w:instrText>
      </w:r>
      <w:r w:rsidRPr="00F03289">
        <w:instrText>level</w:instrText>
      </w:r>
      <w:r w:rsidRPr="00644206">
        <w:rPr>
          <w:lang w:val="bg-BG"/>
        </w:rPr>
        <w:instrText>0 \*</w:instrText>
      </w:r>
      <w:r w:rsidRPr="00F03289">
        <w:instrText>arabic</w:instrText>
      </w:r>
      <w:r w:rsidRPr="00644206">
        <w:rPr>
          <w:lang w:val="bg-BG"/>
        </w:rPr>
        <w:instrText xml:space="preserve"> </w:instrText>
      </w:r>
      <w:r w:rsidRPr="00644206">
        <w:rPr>
          <w:lang w:val="bg-BG"/>
        </w:rPr>
        <w:fldChar w:fldCharType="separate"/>
      </w:r>
      <w:r w:rsidRPr="00644206">
        <w:rPr>
          <w:noProof/>
          <w:lang w:val="bg-BG"/>
        </w:rPr>
        <w:t>62</w:t>
      </w:r>
      <w:r w:rsidRPr="00644206">
        <w:rPr>
          <w:lang w:val="bg-BG"/>
        </w:rPr>
        <w:fldChar w:fldCharType="end"/>
      </w:r>
      <w:r w:rsidRPr="00644206">
        <w:rPr>
          <w:lang w:val="bg-BG"/>
        </w:rPr>
        <w:t>.</w:t>
      </w:r>
      <w:r w:rsidRPr="00F03289">
        <w:t>  </w:t>
      </w:r>
      <w:r>
        <w:rPr>
          <w:lang w:val="bg-BG"/>
        </w:rPr>
        <w:t>Следователно</w:t>
      </w:r>
      <w:r w:rsidRPr="00644206">
        <w:rPr>
          <w:lang w:val="bg-BG"/>
        </w:rPr>
        <w:t xml:space="preserve"> е налице нарушение на член 13 от Конвенцията.</w:t>
      </w:r>
    </w:p>
    <w:p w:rsidR="008D5372" w:rsidRPr="00644206" w:rsidRDefault="008D5372" w:rsidP="00644206">
      <w:pPr>
        <w:pStyle w:val="JuHIRoman"/>
        <w:rPr>
          <w:lang w:val="bg-BG"/>
        </w:rPr>
      </w:pPr>
      <w:r w:rsidRPr="00851929">
        <w:rPr>
          <w:lang w:val="bg-BG"/>
        </w:rPr>
        <w:t>ОТНОСНО ПРИЛАГАНЕТО НА ЧЛЕН 41 ОТ КОНВЕНЦИЯТА</w:t>
      </w:r>
    </w:p>
    <w:bookmarkStart w:id="35" w:name="_Hlk36128236"/>
    <w:p w:rsidR="008D5372" w:rsidRPr="006213AD" w:rsidRDefault="008D5372" w:rsidP="00F03289">
      <w:pPr>
        <w:pStyle w:val="JuPara"/>
        <w:rPr>
          <w:lang w:val="bg-BG"/>
        </w:rPr>
      </w:pPr>
      <w:r w:rsidRPr="006213AD">
        <w:rPr>
          <w:lang w:val="bg-BG"/>
        </w:rPr>
        <w:fldChar w:fldCharType="begin"/>
      </w:r>
      <w:r w:rsidRPr="006213AD">
        <w:rPr>
          <w:lang w:val="bg-BG"/>
        </w:rPr>
        <w:instrText xml:space="preserve"> </w:instrText>
      </w:r>
      <w:r w:rsidRPr="00F03289">
        <w:instrText>SEQ</w:instrText>
      </w:r>
      <w:r w:rsidRPr="006213AD">
        <w:rPr>
          <w:lang w:val="bg-BG"/>
        </w:rPr>
        <w:instrText xml:space="preserve"> </w:instrText>
      </w:r>
      <w:r w:rsidRPr="00F03289">
        <w:instrText>level</w:instrText>
      </w:r>
      <w:r w:rsidRPr="006213AD">
        <w:rPr>
          <w:lang w:val="bg-BG"/>
        </w:rPr>
        <w:instrText>0 \*</w:instrText>
      </w:r>
      <w:r w:rsidRPr="00F03289">
        <w:instrText>arabic</w:instrText>
      </w:r>
      <w:r w:rsidRPr="006213AD">
        <w:rPr>
          <w:lang w:val="bg-BG"/>
        </w:rPr>
        <w:instrText xml:space="preserve"> </w:instrText>
      </w:r>
      <w:r w:rsidRPr="006213AD">
        <w:rPr>
          <w:lang w:val="bg-BG"/>
        </w:rPr>
        <w:fldChar w:fldCharType="separate"/>
      </w:r>
      <w:r w:rsidRPr="006213AD">
        <w:rPr>
          <w:noProof/>
          <w:lang w:val="bg-BG"/>
        </w:rPr>
        <w:t>63</w:t>
      </w:r>
      <w:r w:rsidRPr="006213AD">
        <w:rPr>
          <w:lang w:val="bg-BG"/>
        </w:rPr>
        <w:fldChar w:fldCharType="end"/>
      </w:r>
      <w:r w:rsidRPr="006213AD">
        <w:rPr>
          <w:lang w:val="bg-BG"/>
        </w:rPr>
        <w:t>.</w:t>
      </w:r>
      <w:r>
        <w:t>  </w:t>
      </w:r>
      <w:r w:rsidRPr="00851929">
        <w:rPr>
          <w:lang w:val="bg-BG"/>
        </w:rPr>
        <w:t>Съгласно член 41 от Конвенцията</w:t>
      </w:r>
      <w:r w:rsidRPr="006213AD">
        <w:rPr>
          <w:lang w:val="bg-BG"/>
        </w:rPr>
        <w:t>:</w:t>
      </w:r>
      <w:bookmarkEnd w:id="35"/>
    </w:p>
    <w:p w:rsidR="008D5372" w:rsidRPr="00851929" w:rsidRDefault="008D5372" w:rsidP="00C0174D">
      <w:pPr>
        <w:pStyle w:val="JuQuot"/>
        <w:ind w:firstLine="0"/>
        <w:rPr>
          <w:lang w:val="bg-BG"/>
        </w:rPr>
      </w:pPr>
      <w:bookmarkStart w:id="36" w:name="_Hlk36128242"/>
      <w:r>
        <w:rPr>
          <w:lang w:val="bg-BG"/>
        </w:rPr>
        <w:t xml:space="preserve">„Ако Съдът установи, </w:t>
      </w:r>
      <w:r w:rsidRPr="00851929">
        <w:rPr>
          <w:lang w:val="bg-BG"/>
        </w:rPr>
        <w:t xml:space="preserve">че е имало нарушение на </w:t>
      </w:r>
      <w:r>
        <w:rPr>
          <w:lang w:val="bg-BG"/>
        </w:rPr>
        <w:t>К</w:t>
      </w:r>
      <w:r w:rsidRPr="00851929">
        <w:rPr>
          <w:lang w:val="bg-BG"/>
        </w:rPr>
        <w:t xml:space="preserve">онвенцията или на протоколите към нея и ако вътрешното право на </w:t>
      </w:r>
      <w:proofErr w:type="spellStart"/>
      <w:r w:rsidRPr="00851929">
        <w:rPr>
          <w:lang w:val="bg-BG"/>
        </w:rPr>
        <w:t>високод</w:t>
      </w:r>
      <w:r>
        <w:rPr>
          <w:lang w:val="bg-BG"/>
        </w:rPr>
        <w:t>оговарящата</w:t>
      </w:r>
      <w:proofErr w:type="spellEnd"/>
      <w:r>
        <w:rPr>
          <w:lang w:val="bg-BG"/>
        </w:rPr>
        <w:t xml:space="preserve"> страна допуска само частично обезщетение </w:t>
      </w:r>
      <w:r w:rsidRPr="00851929">
        <w:rPr>
          <w:lang w:val="bg-BG"/>
        </w:rPr>
        <w:t>за последиците от това нарушени</w:t>
      </w:r>
      <w:r>
        <w:rPr>
          <w:lang w:val="bg-BG"/>
        </w:rPr>
        <w:t xml:space="preserve">е, Съдът присъжда, ако това е необходимо, справедливо удовлетворение на </w:t>
      </w:r>
      <w:r w:rsidRPr="00851929">
        <w:rPr>
          <w:lang w:val="bg-BG"/>
        </w:rPr>
        <w:t>потърпевшата страна.“</w:t>
      </w:r>
    </w:p>
    <w:bookmarkEnd w:id="36"/>
    <w:p w:rsidR="00CF1469" w:rsidRPr="00F03289" w:rsidRDefault="00CF1469" w:rsidP="00CF1469">
      <w:pPr>
        <w:pStyle w:val="JuHA"/>
        <w:rPr>
          <w:rFonts w:eastAsia="Times New Roman"/>
        </w:rPr>
      </w:pPr>
      <w:r>
        <w:rPr>
          <w:rFonts w:eastAsia="Times New Roman"/>
          <w:lang w:val="bg-BG"/>
        </w:rPr>
        <w:t>Вреди</w:t>
      </w:r>
    </w:p>
    <w:p w:rsidR="008D5372" w:rsidRPr="006213AD" w:rsidRDefault="008D5372" w:rsidP="00F03289">
      <w:pPr>
        <w:pStyle w:val="JuPara"/>
        <w:rPr>
          <w:lang w:val="bg-BG"/>
        </w:rPr>
      </w:pPr>
      <w:r w:rsidRPr="006213AD">
        <w:rPr>
          <w:lang w:val="en-GB"/>
        </w:rPr>
        <w:fldChar w:fldCharType="begin"/>
      </w:r>
      <w:r w:rsidRPr="006213AD">
        <w:rPr>
          <w:lang w:val="en-GB"/>
        </w:rPr>
        <w:instrText xml:space="preserve"> SEQ level0 \*arabic </w:instrText>
      </w:r>
      <w:r w:rsidRPr="006213AD">
        <w:rPr>
          <w:lang w:val="en-GB"/>
        </w:rPr>
        <w:fldChar w:fldCharType="separate"/>
      </w:r>
      <w:r w:rsidRPr="006213AD">
        <w:rPr>
          <w:noProof/>
          <w:lang w:val="en-GB"/>
        </w:rPr>
        <w:t>64</w:t>
      </w:r>
      <w:r w:rsidRPr="006213AD">
        <w:rPr>
          <w:lang w:val="en-GB"/>
        </w:rPr>
        <w:fldChar w:fldCharType="end"/>
      </w:r>
      <w:r w:rsidRPr="006213AD">
        <w:rPr>
          <w:lang w:val="en-GB"/>
        </w:rPr>
        <w:t>.  </w:t>
      </w:r>
      <w:r w:rsidRPr="00644206">
        <w:rPr>
          <w:lang w:val="bg-BG"/>
        </w:rPr>
        <w:t xml:space="preserve">Жалбоподателите претендират съвместно 100 000 евро (EUR) за неимуществени вреди. </w:t>
      </w:r>
      <w:r>
        <w:rPr>
          <w:lang w:val="bg-BG"/>
        </w:rPr>
        <w:t>З</w:t>
      </w:r>
      <w:r w:rsidRPr="00644206">
        <w:rPr>
          <w:lang w:val="bg-BG"/>
        </w:rPr>
        <w:t xml:space="preserve">а </w:t>
      </w:r>
      <w:proofErr w:type="spellStart"/>
      <w:r>
        <w:rPr>
          <w:lang w:val="bg-BG"/>
        </w:rPr>
        <w:t>твърдяни</w:t>
      </w:r>
      <w:proofErr w:type="spellEnd"/>
      <w:r>
        <w:rPr>
          <w:lang w:val="bg-BG"/>
        </w:rPr>
        <w:t xml:space="preserve"> претърпени от тях </w:t>
      </w:r>
      <w:r w:rsidRPr="00644206">
        <w:rPr>
          <w:lang w:val="bg-BG"/>
        </w:rPr>
        <w:t xml:space="preserve">имуществените </w:t>
      </w:r>
      <w:r>
        <w:rPr>
          <w:lang w:val="bg-BG"/>
        </w:rPr>
        <w:t>вреди г</w:t>
      </w:r>
      <w:r w:rsidRPr="00644206">
        <w:rPr>
          <w:lang w:val="bg-BG"/>
        </w:rPr>
        <w:t xml:space="preserve">-жа и г-н Дермански претендират съответно 28 649,89 евро и 13 103 евро. Молят </w:t>
      </w:r>
      <w:r>
        <w:rPr>
          <w:lang w:val="bg-BG"/>
        </w:rPr>
        <w:t>присъдените</w:t>
      </w:r>
      <w:r w:rsidRPr="00644206">
        <w:rPr>
          <w:lang w:val="bg-BG"/>
        </w:rPr>
        <w:t xml:space="preserve"> суми да бъдат внесени директно в бан</w:t>
      </w:r>
      <w:r>
        <w:rPr>
          <w:lang w:val="bg-BG"/>
        </w:rPr>
        <w:t xml:space="preserve">ковата сметка на техния адвокат г-н </w:t>
      </w:r>
      <w:r w:rsidRPr="00644206">
        <w:rPr>
          <w:lang w:val="bg-BG"/>
        </w:rPr>
        <w:t>А. Маринов.</w:t>
      </w:r>
    </w:p>
    <w:p w:rsidR="008D5372" w:rsidRPr="00CC2389" w:rsidRDefault="008D5372" w:rsidP="00F03289">
      <w:pPr>
        <w:pStyle w:val="JuPara"/>
        <w:rPr>
          <w:lang w:val="bg-BG"/>
        </w:rPr>
      </w:pPr>
      <w:r w:rsidRPr="00CC2389">
        <w:rPr>
          <w:lang w:val="bg-BG"/>
        </w:rPr>
        <w:fldChar w:fldCharType="begin"/>
      </w:r>
      <w:r w:rsidRPr="00CC2389">
        <w:rPr>
          <w:lang w:val="bg-BG"/>
        </w:rPr>
        <w:instrText xml:space="preserve"> </w:instrText>
      </w:r>
      <w:r w:rsidRPr="00F03289">
        <w:instrText>SEQ</w:instrText>
      </w:r>
      <w:r w:rsidRPr="00CC2389">
        <w:rPr>
          <w:lang w:val="bg-BG"/>
        </w:rPr>
        <w:instrText xml:space="preserve"> </w:instrText>
      </w:r>
      <w:r w:rsidRPr="00F03289">
        <w:instrText>level</w:instrText>
      </w:r>
      <w:r w:rsidRPr="00CC2389">
        <w:rPr>
          <w:lang w:val="bg-BG"/>
        </w:rPr>
        <w:instrText>0 \*</w:instrText>
      </w:r>
      <w:r w:rsidRPr="00F03289">
        <w:instrText>arabic</w:instrText>
      </w:r>
      <w:r w:rsidRPr="00CC2389">
        <w:rPr>
          <w:lang w:val="bg-BG"/>
        </w:rPr>
        <w:instrText xml:space="preserve"> </w:instrText>
      </w:r>
      <w:r w:rsidRPr="00CC2389">
        <w:rPr>
          <w:lang w:val="bg-BG"/>
        </w:rPr>
        <w:fldChar w:fldCharType="separate"/>
      </w:r>
      <w:r w:rsidRPr="00CC2389">
        <w:rPr>
          <w:noProof/>
          <w:lang w:val="bg-BG"/>
        </w:rPr>
        <w:t>65</w:t>
      </w:r>
      <w:r w:rsidRPr="00CC2389">
        <w:rPr>
          <w:lang w:val="bg-BG"/>
        </w:rPr>
        <w:fldChar w:fldCharType="end"/>
      </w:r>
      <w:r w:rsidRPr="00CC2389">
        <w:rPr>
          <w:lang w:val="bg-BG"/>
        </w:rPr>
        <w:t>.</w:t>
      </w:r>
      <w:r w:rsidRPr="00F03289">
        <w:t>  </w:t>
      </w:r>
      <w:r w:rsidRPr="00CC2389">
        <w:rPr>
          <w:lang w:val="bg-BG"/>
        </w:rPr>
        <w:t xml:space="preserve">Правителството оспорва тези </w:t>
      </w:r>
      <w:r>
        <w:rPr>
          <w:lang w:val="bg-BG"/>
        </w:rPr>
        <w:t>претенции</w:t>
      </w:r>
      <w:r w:rsidRPr="00CC2389">
        <w:rPr>
          <w:lang w:val="bg-BG"/>
        </w:rPr>
        <w:t xml:space="preserve"> и счита, че </w:t>
      </w:r>
      <w:r>
        <w:rPr>
          <w:lang w:val="bg-BG"/>
        </w:rPr>
        <w:t>претендираните суми са прекомерни.</w:t>
      </w:r>
    </w:p>
    <w:p w:rsidR="008D5372" w:rsidRPr="003074EF" w:rsidRDefault="008D5372" w:rsidP="00F03289">
      <w:pPr>
        <w:pStyle w:val="JuPara"/>
        <w:rPr>
          <w:lang w:val="bg-BG"/>
        </w:rPr>
      </w:pPr>
      <w:r w:rsidRPr="00CC2389">
        <w:rPr>
          <w:lang w:val="bg-BG"/>
        </w:rPr>
        <w:fldChar w:fldCharType="begin"/>
      </w:r>
      <w:r w:rsidRPr="00CC2389">
        <w:rPr>
          <w:lang w:val="bg-BG"/>
        </w:rPr>
        <w:instrText xml:space="preserve"> </w:instrText>
      </w:r>
      <w:r w:rsidRPr="00F03289">
        <w:instrText>SEQ</w:instrText>
      </w:r>
      <w:r w:rsidRPr="00CC2389">
        <w:rPr>
          <w:lang w:val="bg-BG"/>
        </w:rPr>
        <w:instrText xml:space="preserve"> </w:instrText>
      </w:r>
      <w:r w:rsidRPr="00F03289">
        <w:instrText>level</w:instrText>
      </w:r>
      <w:r w:rsidRPr="00CC2389">
        <w:rPr>
          <w:lang w:val="bg-BG"/>
        </w:rPr>
        <w:instrText>0 \*</w:instrText>
      </w:r>
      <w:r w:rsidRPr="00F03289">
        <w:instrText>arabic</w:instrText>
      </w:r>
      <w:r w:rsidRPr="00CC2389">
        <w:rPr>
          <w:lang w:val="bg-BG"/>
        </w:rPr>
        <w:instrText xml:space="preserve"> </w:instrText>
      </w:r>
      <w:r w:rsidRPr="00CC2389">
        <w:rPr>
          <w:lang w:val="bg-BG"/>
        </w:rPr>
        <w:fldChar w:fldCharType="separate"/>
      </w:r>
      <w:r w:rsidRPr="00CC2389">
        <w:rPr>
          <w:noProof/>
          <w:lang w:val="bg-BG"/>
        </w:rPr>
        <w:t>66</w:t>
      </w:r>
      <w:r w:rsidRPr="00CC2389">
        <w:rPr>
          <w:lang w:val="bg-BG"/>
        </w:rPr>
        <w:fldChar w:fldCharType="end"/>
      </w:r>
      <w:r w:rsidRPr="00CC2389">
        <w:rPr>
          <w:lang w:val="bg-BG"/>
        </w:rPr>
        <w:t>.</w:t>
      </w:r>
      <w:r w:rsidRPr="00F03289">
        <w:t>  </w:t>
      </w:r>
      <w:r w:rsidRPr="003074EF">
        <w:rPr>
          <w:lang w:val="bg-BG"/>
        </w:rPr>
        <w:t xml:space="preserve">Съдът не </w:t>
      </w:r>
      <w:r>
        <w:rPr>
          <w:lang w:val="bg-BG"/>
        </w:rPr>
        <w:t>намира</w:t>
      </w:r>
      <w:r w:rsidRPr="003074EF">
        <w:rPr>
          <w:lang w:val="bg-BG"/>
        </w:rPr>
        <w:t xml:space="preserve"> никаква причинно-следствена връзка между констатираните нарушения и твърдените имуществени вреди. Поради това отхвърля отправено</w:t>
      </w:r>
      <w:r>
        <w:rPr>
          <w:lang w:val="bg-BG"/>
        </w:rPr>
        <w:t>то</w:t>
      </w:r>
      <w:r w:rsidRPr="003074EF">
        <w:rPr>
          <w:lang w:val="bg-BG"/>
        </w:rPr>
        <w:t xml:space="preserve"> в тази връзка </w:t>
      </w:r>
      <w:r>
        <w:rPr>
          <w:lang w:val="bg-BG"/>
        </w:rPr>
        <w:t>искане</w:t>
      </w:r>
      <w:r w:rsidRPr="003074EF">
        <w:rPr>
          <w:lang w:val="bg-BG"/>
        </w:rPr>
        <w:t xml:space="preserve">. От друга страна той счита за </w:t>
      </w:r>
      <w:r>
        <w:rPr>
          <w:lang w:val="bg-BG"/>
        </w:rPr>
        <w:t>основателно</w:t>
      </w:r>
      <w:r w:rsidRPr="003074EF">
        <w:rPr>
          <w:lang w:val="bg-BG"/>
        </w:rPr>
        <w:t xml:space="preserve"> да присъди на четиримата жалбоподатели </w:t>
      </w:r>
      <w:r>
        <w:rPr>
          <w:lang w:val="bg-BG"/>
        </w:rPr>
        <w:t xml:space="preserve">общо </w:t>
      </w:r>
      <w:r w:rsidRPr="003074EF">
        <w:rPr>
          <w:lang w:val="bg-BG"/>
        </w:rPr>
        <w:t xml:space="preserve">7 500 евро за неимуществени вреди, </w:t>
      </w:r>
      <w:r w:rsidRPr="006A5AC8">
        <w:rPr>
          <w:lang w:val="bg-BG"/>
        </w:rPr>
        <w:t xml:space="preserve">плюс </w:t>
      </w:r>
      <w:r w:rsidRPr="006A5AC8">
        <w:rPr>
          <w:lang w:val="bg-BG" w:eastAsia="en-GB"/>
        </w:rPr>
        <w:t>всякакви данъци, които биха могли</w:t>
      </w:r>
      <w:r>
        <w:rPr>
          <w:lang w:val="bg-BG" w:eastAsia="en-GB"/>
        </w:rPr>
        <w:t xml:space="preserve"> да се начислят на </w:t>
      </w:r>
      <w:r>
        <w:rPr>
          <w:lang w:val="bg-BG" w:eastAsia="en-GB"/>
        </w:rPr>
        <w:lastRenderedPageBreak/>
        <w:t>жалбоподателите</w:t>
      </w:r>
      <w:r w:rsidRPr="006A5AC8">
        <w:rPr>
          <w:lang w:val="bg-BG"/>
        </w:rPr>
        <w:t xml:space="preserve">, </w:t>
      </w:r>
      <w:r w:rsidRPr="003074EF">
        <w:rPr>
          <w:lang w:val="bg-BG"/>
        </w:rPr>
        <w:t>ко</w:t>
      </w:r>
      <w:r>
        <w:rPr>
          <w:lang w:val="bg-BG"/>
        </w:rPr>
        <w:t>и</w:t>
      </w:r>
      <w:r w:rsidRPr="003074EF">
        <w:rPr>
          <w:lang w:val="bg-BG"/>
        </w:rPr>
        <w:t xml:space="preserve">то </w:t>
      </w:r>
      <w:r>
        <w:rPr>
          <w:lang w:val="bg-BG"/>
        </w:rPr>
        <w:t>да се преведат</w:t>
      </w:r>
      <w:r w:rsidRPr="003074EF">
        <w:rPr>
          <w:lang w:val="bg-BG"/>
        </w:rPr>
        <w:t xml:space="preserve"> по банковата сметка на г-н А. Маринов.</w:t>
      </w:r>
    </w:p>
    <w:p w:rsidR="00CF1469" w:rsidRPr="00F03289" w:rsidRDefault="00CF1469" w:rsidP="00CF1469">
      <w:pPr>
        <w:pStyle w:val="JuHA"/>
        <w:rPr>
          <w:rFonts w:eastAsia="Times New Roman"/>
          <w:lang w:val="fr-FR"/>
        </w:rPr>
      </w:pPr>
      <w:r>
        <w:rPr>
          <w:rFonts w:eastAsia="Times New Roman"/>
          <w:lang w:val="bg-BG"/>
        </w:rPr>
        <w:t>Мораторни лихви</w:t>
      </w:r>
    </w:p>
    <w:p w:rsidR="008D5372" w:rsidRDefault="00733B59" w:rsidP="00F03289">
      <w:pPr>
        <w:pStyle w:val="JuPara"/>
      </w:pPr>
      <w:r>
        <w:fldChar w:fldCharType="begin"/>
      </w:r>
      <w:r>
        <w:instrText xml:space="preserve"> SEQ level0 \*arabic </w:instrText>
      </w:r>
      <w:r>
        <w:fldChar w:fldCharType="separate"/>
      </w:r>
      <w:r w:rsidR="008D5372" w:rsidRPr="00F03289">
        <w:rPr>
          <w:noProof/>
        </w:rPr>
        <w:t>67</w:t>
      </w:r>
      <w:r>
        <w:rPr>
          <w:noProof/>
        </w:rPr>
        <w:fldChar w:fldCharType="end"/>
      </w:r>
      <w:r w:rsidR="008D5372" w:rsidRPr="00F03289">
        <w:t>.  </w:t>
      </w:r>
      <w:r w:rsidR="008D5372" w:rsidRPr="00851929">
        <w:rPr>
          <w:lang w:val="bg-BG"/>
        </w:rPr>
        <w:t>Съдът счита за уместно мораторните лихви да бъдат обвързани с пределната ставка по заеми на Европейската централна банка, към която се добавят три процентни пункта</w:t>
      </w:r>
      <w:r w:rsidR="008D5372" w:rsidRPr="00F03289">
        <w:t xml:space="preserve"> </w:t>
      </w:r>
    </w:p>
    <w:p w:rsidR="008D5372" w:rsidRPr="00851929" w:rsidRDefault="008D5372" w:rsidP="005D1DC1">
      <w:pPr>
        <w:pStyle w:val="JuHHead"/>
        <w:numPr>
          <w:ilvl w:val="0"/>
          <w:numId w:val="22"/>
        </w:numPr>
        <w:jc w:val="both"/>
        <w:rPr>
          <w:lang w:val="bg-BG"/>
        </w:rPr>
      </w:pPr>
      <w:r w:rsidRPr="00851929">
        <w:rPr>
          <w:lang w:val="bg-BG"/>
        </w:rPr>
        <w:t>С ТЕЗИ СЪОБРАЖЕНИЯ СЪДЪТ ЕДИНОДУШНО</w:t>
      </w:r>
    </w:p>
    <w:p w:rsidR="008D5372" w:rsidRDefault="008D5372" w:rsidP="00F03289">
      <w:pPr>
        <w:pStyle w:val="JuList"/>
        <w:numPr>
          <w:ilvl w:val="0"/>
          <w:numId w:val="29"/>
        </w:numPr>
        <w:ind w:left="0" w:firstLine="0"/>
        <w:rPr>
          <w:lang w:val="bg-BG"/>
        </w:rPr>
      </w:pPr>
      <w:r w:rsidRPr="00851929">
        <w:rPr>
          <w:i/>
          <w:lang w:val="bg-BG"/>
        </w:rPr>
        <w:t>Обявява</w:t>
      </w:r>
      <w:r w:rsidRPr="00851929">
        <w:rPr>
          <w:lang w:val="bg-BG"/>
        </w:rPr>
        <w:t xml:space="preserve"> жалбата </w:t>
      </w:r>
      <w:r>
        <w:rPr>
          <w:lang w:val="bg-BG"/>
        </w:rPr>
        <w:t>за допустима по отношение на оплакванията по членове 8 и 13 от Конвенцията и за недопустима по отношение на всички други оплаквания.</w:t>
      </w:r>
    </w:p>
    <w:p w:rsidR="008D5372" w:rsidRPr="005D1DC1" w:rsidRDefault="008D5372" w:rsidP="00F03289">
      <w:pPr>
        <w:pStyle w:val="JuList"/>
        <w:numPr>
          <w:ilvl w:val="0"/>
          <w:numId w:val="29"/>
        </w:numPr>
        <w:ind w:left="0" w:firstLine="0"/>
        <w:rPr>
          <w:lang w:val="bg-BG"/>
        </w:rPr>
      </w:pPr>
      <w:r w:rsidRPr="006A5AC8">
        <w:rPr>
          <w:i/>
          <w:lang w:val="bg-BG"/>
        </w:rPr>
        <w:t xml:space="preserve">Приема, </w:t>
      </w:r>
      <w:r w:rsidRPr="006A5AC8">
        <w:rPr>
          <w:lang w:val="bg-BG"/>
        </w:rPr>
        <w:t xml:space="preserve">че е налице нарушение на член </w:t>
      </w:r>
      <w:r>
        <w:rPr>
          <w:lang w:val="bg-BG"/>
        </w:rPr>
        <w:t>8 от Конвенцията</w:t>
      </w:r>
      <w:r w:rsidRPr="005D1DC1">
        <w:rPr>
          <w:lang w:val="bg-BG"/>
        </w:rPr>
        <w:t>;</w:t>
      </w:r>
    </w:p>
    <w:p w:rsidR="008D5372" w:rsidRPr="005D1DC1" w:rsidRDefault="008D5372" w:rsidP="00F03289">
      <w:pPr>
        <w:pStyle w:val="JuList"/>
        <w:numPr>
          <w:ilvl w:val="0"/>
          <w:numId w:val="29"/>
        </w:numPr>
        <w:ind w:left="0" w:firstLine="0"/>
        <w:rPr>
          <w:lang w:val="bg-BG"/>
        </w:rPr>
      </w:pPr>
      <w:r w:rsidRPr="006A5AC8">
        <w:rPr>
          <w:i/>
          <w:lang w:val="bg-BG"/>
        </w:rPr>
        <w:t xml:space="preserve">Приема, </w:t>
      </w:r>
      <w:r w:rsidRPr="006A5AC8">
        <w:rPr>
          <w:lang w:val="bg-BG"/>
        </w:rPr>
        <w:t xml:space="preserve">че е налице нарушение на член </w:t>
      </w:r>
      <w:r>
        <w:rPr>
          <w:lang w:val="bg-BG"/>
        </w:rPr>
        <w:t>13 от Конвенцията</w:t>
      </w:r>
      <w:r w:rsidRPr="005D1DC1">
        <w:rPr>
          <w:lang w:val="bg-BG"/>
        </w:rPr>
        <w:t>;</w:t>
      </w:r>
    </w:p>
    <w:p w:rsidR="008D5372" w:rsidRPr="00F03289" w:rsidRDefault="008D5372" w:rsidP="00F03289">
      <w:pPr>
        <w:pStyle w:val="JuList"/>
        <w:numPr>
          <w:ilvl w:val="0"/>
          <w:numId w:val="29"/>
        </w:numPr>
        <w:ind w:left="0" w:firstLine="0"/>
      </w:pPr>
      <w:r>
        <w:rPr>
          <w:i/>
          <w:lang w:val="bg-BG"/>
        </w:rPr>
        <w:t>Приема,</w:t>
      </w:r>
    </w:p>
    <w:p w:rsidR="008D5372" w:rsidRPr="005D1DC1" w:rsidRDefault="008D5372" w:rsidP="006163C2">
      <w:pPr>
        <w:pStyle w:val="JuLista"/>
        <w:numPr>
          <w:ilvl w:val="1"/>
          <w:numId w:val="29"/>
        </w:numPr>
      </w:pPr>
      <w:r w:rsidRPr="006163C2">
        <w:rPr>
          <w:lang w:val="bg-BG"/>
        </w:rPr>
        <w:t xml:space="preserve">че в рамките на три месеца от деня, в който съдебното решение стане окончателно, държавата ответник трябва да изплати на жалбоподателите 7 500 евро (седем хиляди и петстотин евро) за неимуществени вреди, плюс </w:t>
      </w:r>
      <w:r w:rsidRPr="006163C2">
        <w:rPr>
          <w:lang w:val="bg-BG" w:eastAsia="en-GB"/>
        </w:rPr>
        <w:t xml:space="preserve">всякакви данъци, които биха могли да се начислят на жалбоподателите, </w:t>
      </w:r>
      <w:r w:rsidRPr="006163C2">
        <w:rPr>
          <w:lang w:val="bg-BG"/>
        </w:rPr>
        <w:t>конвертирани в български лева по курса, валиден към датата на плащането, които да се внесат по сметката на г-н А. Маринов;</w:t>
      </w:r>
    </w:p>
    <w:p w:rsidR="008D5372" w:rsidRPr="00F03289" w:rsidRDefault="008D5372" w:rsidP="00F03289">
      <w:pPr>
        <w:pStyle w:val="JuLista"/>
        <w:numPr>
          <w:ilvl w:val="1"/>
          <w:numId w:val="29"/>
        </w:numPr>
      </w:pPr>
      <w:r w:rsidRPr="00851929">
        <w:rPr>
          <w:lang w:val="bg-BG"/>
        </w:rP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Pr="00F03289">
        <w:t>;</w:t>
      </w:r>
    </w:p>
    <w:p w:rsidR="008D5372" w:rsidRPr="00F03289" w:rsidRDefault="008D5372" w:rsidP="00F03289">
      <w:pPr>
        <w:pStyle w:val="JuList"/>
        <w:numPr>
          <w:ilvl w:val="0"/>
          <w:numId w:val="29"/>
        </w:numPr>
        <w:ind w:left="0" w:firstLine="0"/>
      </w:pPr>
      <w:r w:rsidRPr="00851929">
        <w:rPr>
          <w:i/>
          <w:lang w:val="bg-BG"/>
        </w:rPr>
        <w:t xml:space="preserve">Отхвърля </w:t>
      </w:r>
      <w:r w:rsidRPr="00851929">
        <w:rPr>
          <w:lang w:val="bg-BG"/>
        </w:rPr>
        <w:t>останалата част от иска за справедливо обезщетение</w:t>
      </w:r>
      <w:r w:rsidRPr="00F03289">
        <w:t>.</w:t>
      </w:r>
    </w:p>
    <w:p w:rsidR="008D5372" w:rsidRPr="00F03289" w:rsidRDefault="008D5372" w:rsidP="00F03289">
      <w:pPr>
        <w:pStyle w:val="JuParaLast"/>
      </w:pPr>
      <w:r w:rsidRPr="00851929">
        <w:rPr>
          <w:lang w:val="bg-BG"/>
        </w:rPr>
        <w:t xml:space="preserve">Изготвено на френски език и оповестено писмено на </w:t>
      </w:r>
      <w:r>
        <w:rPr>
          <w:lang w:val="bg-BG"/>
        </w:rPr>
        <w:t>17</w:t>
      </w:r>
      <w:r w:rsidRPr="00851929">
        <w:rPr>
          <w:lang w:val="bg-BG"/>
        </w:rPr>
        <w:t xml:space="preserve"> декември 2020 г. в съответствие с член 77, параграф</w:t>
      </w:r>
      <w:r>
        <w:rPr>
          <w:lang w:val="bg-BG"/>
        </w:rPr>
        <w:t>и 2 и 3 от Правилника</w:t>
      </w:r>
      <w:r w:rsidRPr="00F03289">
        <w:t>.</w:t>
      </w:r>
    </w:p>
    <w:p w:rsidR="008D5372" w:rsidRPr="006163C2" w:rsidRDefault="008D5372" w:rsidP="00F03289">
      <w:pPr>
        <w:pStyle w:val="JuSigned"/>
        <w:rPr>
          <w:lang w:val="bg-BG"/>
        </w:rPr>
      </w:pPr>
      <w:r w:rsidRPr="00F03289">
        <w:tab/>
      </w:r>
      <w:r>
        <w:rPr>
          <w:lang w:val="bg-BG"/>
        </w:rPr>
        <w:t>Мартина Келер</w:t>
      </w:r>
      <w:r w:rsidRPr="00F03289">
        <w:tab/>
      </w:r>
      <w:proofErr w:type="spellStart"/>
      <w:r>
        <w:rPr>
          <w:lang w:val="bg-BG"/>
        </w:rPr>
        <w:t>Мартинш</w:t>
      </w:r>
      <w:proofErr w:type="spellEnd"/>
      <w:r>
        <w:rPr>
          <w:lang w:val="bg-BG"/>
        </w:rPr>
        <w:t xml:space="preserve"> </w:t>
      </w:r>
      <w:proofErr w:type="spellStart"/>
      <w:r>
        <w:rPr>
          <w:lang w:val="bg-BG"/>
        </w:rPr>
        <w:t>Митс</w:t>
      </w:r>
      <w:proofErr w:type="spellEnd"/>
      <w:r w:rsidRPr="00F03289">
        <w:br/>
      </w:r>
      <w:r w:rsidRPr="00F03289">
        <w:tab/>
      </w:r>
      <w:r>
        <w:rPr>
          <w:lang w:val="bg-BG"/>
        </w:rPr>
        <w:t>Заместник-секретар</w:t>
      </w:r>
      <w:r w:rsidRPr="00F03289">
        <w:tab/>
      </w:r>
      <w:r>
        <w:rPr>
          <w:lang w:val="bg-BG"/>
        </w:rPr>
        <w:t>Председател</w:t>
      </w:r>
    </w:p>
    <w:sectPr w:rsidR="008D5372" w:rsidRPr="006163C2" w:rsidSect="005377D5">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372" w:rsidRPr="000A20EB" w:rsidRDefault="008D5372" w:rsidP="00516B59">
      <w:r w:rsidRPr="000A20EB">
        <w:separator/>
      </w:r>
    </w:p>
  </w:endnote>
  <w:endnote w:type="continuationSeparator" w:id="0">
    <w:p w:rsidR="008D5372" w:rsidRPr="000A20EB" w:rsidRDefault="008D5372" w:rsidP="00516B59">
      <w:r w:rsidRPr="000A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Default="00733B59" w:rsidP="00954AD6">
    <w:pPr>
      <w:pStyle w:val="JuHead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150BFA" w:rsidRDefault="007C661E" w:rsidP="00D72633">
    <w:pPr>
      <w:jc w:val="center"/>
    </w:pPr>
    <w:r>
      <w:rPr>
        <w:noProof/>
        <w:lang w:val="en-US"/>
      </w:rPr>
      <w:drawing>
        <wp:inline distT="0" distB="0" distL="0" distR="0">
          <wp:extent cx="760095" cy="617220"/>
          <wp:effectExtent l="0" t="0" r="0" b="0"/>
          <wp:docPr id="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617220"/>
                  </a:xfrm>
                  <a:prstGeom prst="rect">
                    <a:avLst/>
                  </a:prstGeom>
                  <a:noFill/>
                  <a:ln>
                    <a:noFill/>
                  </a:ln>
                </pic:spPr>
              </pic:pic>
            </a:graphicData>
          </a:graphic>
        </wp:inline>
      </w:drawing>
    </w:r>
  </w:p>
  <w:p w:rsidR="008D5372" w:rsidRPr="000A20EB" w:rsidRDefault="008D5372"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150BFA" w:rsidRDefault="007C661E" w:rsidP="00D72633">
    <w:pPr>
      <w:jc w:val="center"/>
    </w:pPr>
    <w:r>
      <w:rPr>
        <w:noProof/>
        <w:lang w:val="en-US"/>
      </w:rPr>
      <w:drawing>
        <wp:inline distT="0" distB="0" distL="0" distR="0">
          <wp:extent cx="760095" cy="6172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617220"/>
                  </a:xfrm>
                  <a:prstGeom prst="rect">
                    <a:avLst/>
                  </a:prstGeom>
                  <a:noFill/>
                  <a:ln>
                    <a:noFill/>
                  </a:ln>
                </pic:spPr>
              </pic:pic>
            </a:graphicData>
          </a:graphic>
        </wp:inline>
      </w:drawing>
    </w:r>
  </w:p>
  <w:p w:rsidR="008D5372" w:rsidRPr="000A20EB" w:rsidRDefault="008D5372"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D01935" w:rsidRDefault="00733B59" w:rsidP="00662882">
    <w:pPr>
      <w:pStyle w:val="JuHeader"/>
    </w:pPr>
    <w:r>
      <w:fldChar w:fldCharType="begin"/>
    </w:r>
    <w:r>
      <w:instrText xml:space="preserve"> PAGE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372" w:rsidRPr="000A20EB" w:rsidRDefault="008D5372" w:rsidP="00516B59">
      <w:r w:rsidRPr="000A20EB">
        <w:separator/>
      </w:r>
    </w:p>
  </w:footnote>
  <w:footnote w:type="continuationSeparator" w:id="0">
    <w:p w:rsidR="008D5372" w:rsidRPr="000A20EB" w:rsidRDefault="008D5372" w:rsidP="00516B59">
      <w:r w:rsidRPr="000A2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469" w:rsidRDefault="00CF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A45145" w:rsidRDefault="007C661E" w:rsidP="00D72633">
    <w:pPr>
      <w:jc w:val="center"/>
    </w:pPr>
    <w:r>
      <w:rPr>
        <w:noProof/>
        <w:lang w:val="en-US"/>
      </w:rPr>
      <w:drawing>
        <wp:inline distT="0" distB="0" distL="0" distR="0">
          <wp:extent cx="2957195" cy="1223010"/>
          <wp:effectExtent l="0" t="0" r="0"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195" cy="1223010"/>
                  </a:xfrm>
                  <a:prstGeom prst="rect">
                    <a:avLst/>
                  </a:prstGeom>
                  <a:noFill/>
                  <a:ln>
                    <a:noFill/>
                  </a:ln>
                </pic:spPr>
              </pic:pic>
            </a:graphicData>
          </a:graphic>
        </wp:inline>
      </w:drawing>
    </w:r>
  </w:p>
  <w:p w:rsidR="008D5372" w:rsidRPr="000A20EB" w:rsidRDefault="008D5372" w:rsidP="00D7263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A45145" w:rsidRDefault="007C661E" w:rsidP="00D72633">
    <w:pPr>
      <w:jc w:val="center"/>
    </w:pPr>
    <w:r>
      <w:rPr>
        <w:noProof/>
        <w:lang w:val="en-US"/>
      </w:rPr>
      <w:drawing>
        <wp:inline distT="0" distB="0" distL="0" distR="0">
          <wp:extent cx="2957195" cy="1223010"/>
          <wp:effectExtent l="0" t="0" r="0" b="0"/>
          <wp:docPr id="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195" cy="1223010"/>
                  </a:xfrm>
                  <a:prstGeom prst="rect">
                    <a:avLst/>
                  </a:prstGeom>
                  <a:noFill/>
                  <a:ln>
                    <a:noFill/>
                  </a:ln>
                </pic:spPr>
              </pic:pic>
            </a:graphicData>
          </a:graphic>
        </wp:inline>
      </w:drawing>
    </w:r>
  </w:p>
  <w:p w:rsidR="008D5372" w:rsidRPr="000A20EB" w:rsidRDefault="008D5372"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662882" w:rsidRDefault="008D5372" w:rsidP="00CE36B4">
    <w:pPr>
      <w:pStyle w:val="JuHeader"/>
    </w:pPr>
    <w:r>
      <w:rPr>
        <w:lang w:val="bg-BG"/>
      </w:rPr>
      <w:t>ДЕЛО ДЕРМАНСКИ срещу БЪЛГАРИЯ</w:t>
    </w:r>
    <w:r w:rsidRPr="00592C8D">
      <w:rPr>
        <w:lang w:val="en-US"/>
      </w:rPr>
      <w:t xml:space="preserve"> </w:t>
    </w:r>
  </w:p>
  <w:p w:rsidR="008D5372" w:rsidRPr="00CE36B4" w:rsidRDefault="008D5372" w:rsidP="00CE36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372" w:rsidRPr="00662882" w:rsidRDefault="008D5372" w:rsidP="00662882">
    <w:pPr>
      <w:pStyle w:val="JuHeader"/>
    </w:pPr>
    <w:r>
      <w:rPr>
        <w:lang w:val="bg-BG"/>
      </w:rPr>
      <w:t>ДЕЛО ДЕРМАНСКИ срещу БЪЛГАРИЯ</w:t>
    </w:r>
    <w:r w:rsidRPr="00592C8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3283F32"/>
    <w:lvl w:ilvl="0">
      <w:start w:val="1"/>
      <w:numFmt w:val="decimal"/>
      <w:pStyle w:val="JuListi"/>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F369A7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3346880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52A8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C84E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12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0C0F5BFC"/>
    <w:multiLevelType w:val="multilevel"/>
    <w:tmpl w:val="8B2457E6"/>
    <w:lvl w:ilvl="0">
      <w:start w:val="1"/>
      <w:numFmt w:val="none"/>
      <w:pStyle w:val="JuHHead"/>
      <w:suff w:val="nothing"/>
      <w:lvlText w:val="%1"/>
      <w:lvlJc w:val="left"/>
      <w:rPr>
        <w:rFonts w:cs="Times New Roman" w:hint="default"/>
      </w:rPr>
    </w:lvl>
    <w:lvl w:ilvl="1">
      <w:start w:val="1"/>
      <w:numFmt w:val="upperRoman"/>
      <w:pStyle w:val="JuHIRoman"/>
      <w:suff w:val="space"/>
      <w:lvlText w:val="%2."/>
      <w:lvlJc w:val="left"/>
      <w:pPr>
        <w:ind w:left="357" w:hanging="357"/>
      </w:pPr>
      <w:rPr>
        <w:rFonts w:cs="Times New Roman" w:hint="default"/>
      </w:rPr>
    </w:lvl>
    <w:lvl w:ilvl="2">
      <w:start w:val="1"/>
      <w:numFmt w:val="upperLetter"/>
      <w:pStyle w:val="JuHA"/>
      <w:lvlText w:val="%3."/>
      <w:lvlJc w:val="left"/>
      <w:pPr>
        <w:ind w:left="584" w:hanging="352"/>
      </w:pPr>
      <w:rPr>
        <w:rFonts w:cs="Times New Roman" w:hint="default"/>
      </w:rPr>
    </w:lvl>
    <w:lvl w:ilvl="3">
      <w:start w:val="1"/>
      <w:numFmt w:val="decimal"/>
      <w:pStyle w:val="JuH1"/>
      <w:lvlText w:val="%4."/>
      <w:lvlJc w:val="left"/>
      <w:pPr>
        <w:ind w:left="731" w:hanging="300"/>
      </w:pPr>
      <w:rPr>
        <w:rFonts w:cs="Times New Roman" w:hint="default"/>
      </w:rPr>
    </w:lvl>
    <w:lvl w:ilvl="4">
      <w:start w:val="1"/>
      <w:numFmt w:val="lowerLetter"/>
      <w:pStyle w:val="JuHa0"/>
      <w:lvlText w:val="%5)"/>
      <w:lvlJc w:val="left"/>
      <w:pPr>
        <w:ind w:left="975" w:hanging="340"/>
      </w:pPr>
      <w:rPr>
        <w:rFonts w:cs="Times New Roman" w:hint="default"/>
      </w:rPr>
    </w:lvl>
    <w:lvl w:ilvl="5">
      <w:start w:val="1"/>
      <w:numFmt w:val="lowerRoman"/>
      <w:pStyle w:val="JuHi"/>
      <w:suff w:val="space"/>
      <w:lvlText w:val="%6."/>
      <w:lvlJc w:val="left"/>
      <w:pPr>
        <w:ind w:left="1191" w:hanging="358"/>
      </w:pPr>
      <w:rPr>
        <w:rFonts w:cs="Times New Roman" w:hint="default"/>
      </w:rPr>
    </w:lvl>
    <w:lvl w:ilvl="6">
      <w:start w:val="1"/>
      <w:numFmt w:val="decimal"/>
      <w:pStyle w:val="JuHalpha"/>
      <w:lvlText w:val="%7)"/>
      <w:lvlJc w:val="left"/>
      <w:pPr>
        <w:ind w:left="1372" w:hanging="334"/>
      </w:pPr>
      <w:rPr>
        <w:rFonts w:ascii="Times New Roman" w:hAnsi="Times New Roman" w:cs="Times New Roman" w:hint="default"/>
        <w:b w:val="0"/>
        <w:i w:val="0"/>
      </w:rPr>
    </w:lvl>
    <w:lvl w:ilvl="7">
      <w:start w:val="1"/>
      <w:numFmt w:val="bullet"/>
      <w:pStyle w:val="JuH"/>
      <w:lvlText w:val="‒"/>
      <w:lvlJc w:val="left"/>
      <w:pPr>
        <w:ind w:left="1418" w:hanging="182"/>
      </w:pPr>
      <w:rPr>
        <w:rFonts w:ascii="Times New Roman" w:hAnsi="Times New Roman" w:hint="default"/>
        <w:color w:val="auto"/>
      </w:rPr>
    </w:lvl>
    <w:lvl w:ilvl="8">
      <w:start w:val="1"/>
      <w:numFmt w:val="bullet"/>
      <w:pStyle w:val="ECHRHeading9"/>
      <w:lvlText w:val="▪"/>
      <w:lvlJc w:val="left"/>
      <w:pPr>
        <w:ind w:left="1644" w:hanging="221"/>
      </w:pPr>
      <w:rPr>
        <w:rFonts w:ascii="Times New Roman" w:hAnsi="Times New Roman" w:hint="default"/>
        <w:color w:val="auto"/>
      </w:rPr>
    </w:lvl>
  </w:abstractNum>
  <w:abstractNum w:abstractNumId="12" w15:restartNumberingAfterBreak="0">
    <w:nsid w:val="1AA96CEA"/>
    <w:multiLevelType w:val="multilevel"/>
    <w:tmpl w:val="040C0023"/>
    <w:styleLink w:val="ArticleSection"/>
    <w:lvl w:ilvl="0">
      <w:start w:val="1"/>
      <w:numFmt w:val="upperRoman"/>
      <w:pStyle w:val="ListNumber2"/>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15:restartNumberingAfterBreak="0">
    <w:nsid w:val="1D27094A"/>
    <w:multiLevelType w:val="multilevel"/>
    <w:tmpl w:val="040C001D"/>
    <w:styleLink w:val="1ai"/>
    <w:lvl w:ilvl="0">
      <w:start w:val="1"/>
      <w:numFmt w:val="decimal"/>
      <w:pStyle w:val="ListNumb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F32D88"/>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27D5546B"/>
    <w:multiLevelType w:val="multilevel"/>
    <w:tmpl w:val="038C4D18"/>
    <w:styleLink w:val="ECHRA1StyleList"/>
    <w:lvl w:ilvl="0">
      <w:start w:val="1"/>
      <w:numFmt w:val="decimal"/>
      <w:pStyle w:val="ListNumber4"/>
      <w:lvlText w:val="%1."/>
      <w:lvlJc w:val="left"/>
      <w:pPr>
        <w:tabs>
          <w:tab w:val="num" w:pos="340"/>
        </w:tabs>
        <w:ind w:left="340" w:hanging="340"/>
      </w:pPr>
      <w:rPr>
        <w:rFonts w:cs="Times New Roman" w:hint="default"/>
      </w:rPr>
    </w:lvl>
    <w:lvl w:ilvl="1">
      <w:start w:val="1"/>
      <w:numFmt w:val="lowerLetter"/>
      <w:lvlText w:val="%2)"/>
      <w:lvlJc w:val="left"/>
      <w:pPr>
        <w:tabs>
          <w:tab w:val="num" w:pos="680"/>
        </w:tabs>
        <w:ind w:left="680" w:hanging="340"/>
      </w:pPr>
      <w:rPr>
        <w:rFonts w:cs="Times New Roman" w:hint="default"/>
      </w:rPr>
    </w:lvl>
    <w:lvl w:ilvl="2">
      <w:start w:val="1"/>
      <w:numFmt w:val="lowerRoman"/>
      <w:suff w:val="space"/>
      <w:lvlText w:val="%3."/>
      <w:lvlJc w:val="left"/>
      <w:pPr>
        <w:ind w:left="907" w:hanging="227"/>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85E6A40"/>
    <w:multiLevelType w:val="multilevel"/>
    <w:tmpl w:val="9D487B0A"/>
    <w:lvl w:ilvl="0">
      <w:start w:val="1"/>
      <w:numFmt w:val="decimal"/>
      <w:pStyle w:val="ListBullet3"/>
      <w:lvlText w:val="%1."/>
      <w:lvlJc w:val="left"/>
      <w:pPr>
        <w:tabs>
          <w:tab w:val="num" w:pos="340"/>
        </w:tabs>
        <w:ind w:left="340" w:hanging="340"/>
      </w:pPr>
      <w:rPr>
        <w:rFonts w:cs="Times New Roman" w:hint="default"/>
      </w:rPr>
    </w:lvl>
    <w:lvl w:ilvl="1">
      <w:start w:val="1"/>
      <w:numFmt w:val="lowerLetter"/>
      <w:lvlText w:val="%2)"/>
      <w:lvlJc w:val="left"/>
      <w:pPr>
        <w:tabs>
          <w:tab w:val="num" w:pos="680"/>
        </w:tabs>
        <w:ind w:left="680" w:hanging="340"/>
      </w:pPr>
      <w:rPr>
        <w:rFonts w:cs="Times New Roman" w:hint="default"/>
      </w:rPr>
    </w:lvl>
    <w:lvl w:ilvl="2">
      <w:start w:val="1"/>
      <w:numFmt w:val="lowerRoman"/>
      <w:lvlText w:val="%3."/>
      <w:lvlJc w:val="left"/>
      <w:pPr>
        <w:tabs>
          <w:tab w:val="num" w:pos="1134"/>
        </w:tabs>
        <w:ind w:left="1134" w:hanging="45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none"/>
      <w:lvlText w:val=""/>
      <w:lvlJc w:val="left"/>
      <w:pPr>
        <w:ind w:left="2517" w:hanging="345"/>
      </w:pPr>
      <w:rPr>
        <w:rFonts w:ascii="Symbol" w:hAnsi="Symbol" w:cs="Times New Roman" w:hint="default"/>
        <w:sz w:val="2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40B939E1"/>
    <w:multiLevelType w:val="multilevel"/>
    <w:tmpl w:val="040C001F"/>
    <w:styleLink w:val="111111"/>
    <w:lvl w:ilvl="0">
      <w:start w:val="1"/>
      <w:numFmt w:val="decimal"/>
      <w:pStyle w:val="ListBullet5"/>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48540F9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20"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cs="Times New Roman" w:hint="default"/>
      </w:rPr>
    </w:lvl>
    <w:lvl w:ilvl="1">
      <w:start w:val="1"/>
      <w:numFmt w:val="lowerLetter"/>
      <w:pStyle w:val="ECHRNumberedList2"/>
      <w:lvlText w:val="%2."/>
      <w:lvlJc w:val="left"/>
      <w:pPr>
        <w:tabs>
          <w:tab w:val="num" w:pos="1361"/>
        </w:tabs>
        <w:ind w:left="1361" w:hanging="397"/>
      </w:pPr>
      <w:rPr>
        <w:rFonts w:cs="Times New Roman" w:hint="default"/>
      </w:rPr>
    </w:lvl>
    <w:lvl w:ilvl="2">
      <w:start w:val="1"/>
      <w:numFmt w:val="lowerRoman"/>
      <w:pStyle w:val="ECHRNumberedList3"/>
      <w:lvlText w:val="%3."/>
      <w:lvlJc w:val="left"/>
      <w:pPr>
        <w:tabs>
          <w:tab w:val="num" w:pos="1758"/>
        </w:tabs>
        <w:ind w:left="1758" w:hanging="397"/>
      </w:pPr>
      <w:rPr>
        <w:rFonts w:cs="Times New Roman" w:hint="default"/>
      </w:rPr>
    </w:lvl>
    <w:lvl w:ilvl="3">
      <w:start w:val="1"/>
      <w:numFmt w:val="decimal"/>
      <w:lvlText w:val="(%4)"/>
      <w:lvlJc w:val="left"/>
      <w:pPr>
        <w:tabs>
          <w:tab w:val="num" w:pos="1703"/>
        </w:tabs>
        <w:ind w:left="1703" w:hanging="284"/>
      </w:pPr>
      <w:rPr>
        <w:rFonts w:cs="Times New Roman" w:hint="default"/>
      </w:rPr>
    </w:lvl>
    <w:lvl w:ilvl="4">
      <w:start w:val="1"/>
      <w:numFmt w:val="lowerLetter"/>
      <w:lvlText w:val="(%5)"/>
      <w:lvlJc w:val="left"/>
      <w:pPr>
        <w:tabs>
          <w:tab w:val="num" w:pos="1987"/>
        </w:tabs>
        <w:ind w:left="1987" w:hanging="284"/>
      </w:pPr>
      <w:rPr>
        <w:rFonts w:cs="Times New Roman" w:hint="default"/>
      </w:rPr>
    </w:lvl>
    <w:lvl w:ilvl="5">
      <w:start w:val="1"/>
      <w:numFmt w:val="lowerRoman"/>
      <w:lvlText w:val="(%6)"/>
      <w:lvlJc w:val="left"/>
      <w:pPr>
        <w:tabs>
          <w:tab w:val="num" w:pos="2271"/>
        </w:tabs>
        <w:ind w:left="2271" w:hanging="284"/>
      </w:pPr>
      <w:rPr>
        <w:rFonts w:cs="Times New Roman" w:hint="default"/>
      </w:rPr>
    </w:lvl>
    <w:lvl w:ilvl="6">
      <w:start w:val="1"/>
      <w:numFmt w:val="decimal"/>
      <w:lvlText w:val="%7."/>
      <w:lvlJc w:val="left"/>
      <w:pPr>
        <w:tabs>
          <w:tab w:val="num" w:pos="2555"/>
        </w:tabs>
        <w:ind w:left="2555" w:hanging="284"/>
      </w:pPr>
      <w:rPr>
        <w:rFonts w:cs="Times New Roman" w:hint="default"/>
      </w:rPr>
    </w:lvl>
    <w:lvl w:ilvl="7">
      <w:start w:val="1"/>
      <w:numFmt w:val="lowerLetter"/>
      <w:lvlText w:val="%8."/>
      <w:lvlJc w:val="left"/>
      <w:pPr>
        <w:tabs>
          <w:tab w:val="num" w:pos="2839"/>
        </w:tabs>
        <w:ind w:left="2839" w:hanging="284"/>
      </w:pPr>
      <w:rPr>
        <w:rFonts w:cs="Times New Roman" w:hint="default"/>
      </w:rPr>
    </w:lvl>
    <w:lvl w:ilvl="8">
      <w:start w:val="1"/>
      <w:numFmt w:val="lowerRoman"/>
      <w:lvlText w:val="%9."/>
      <w:lvlJc w:val="left"/>
      <w:pPr>
        <w:tabs>
          <w:tab w:val="num" w:pos="3123"/>
        </w:tabs>
        <w:ind w:left="3123" w:hanging="284"/>
      </w:pPr>
      <w:rPr>
        <w:rFonts w:cs="Times New Roman" w:hint="default"/>
      </w:rPr>
    </w:lvl>
  </w:abstractNum>
  <w:abstractNum w:abstractNumId="21" w15:restartNumberingAfterBreak="0">
    <w:nsid w:val="5287458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6B9429C"/>
    <w:multiLevelType w:val="multilevel"/>
    <w:tmpl w:val="0E7285C6"/>
    <w:lvl w:ilvl="0">
      <w:start w:val="1"/>
      <w:numFmt w:val="none"/>
      <w:pStyle w:val="ListBullet2"/>
      <w:suff w:val="nothing"/>
      <w:lvlText w:val=""/>
      <w:lvlJc w:val="left"/>
      <w:rPr>
        <w:rFonts w:cs="Times New Roman" w:hint="default"/>
      </w:rPr>
    </w:lvl>
    <w:lvl w:ilvl="1">
      <w:start w:val="1"/>
      <w:numFmt w:val="upperRoman"/>
      <w:suff w:val="space"/>
      <w:lvlText w:val="%2."/>
      <w:lvlJc w:val="left"/>
      <w:pPr>
        <w:ind w:left="357" w:hanging="357"/>
      </w:pPr>
      <w:rPr>
        <w:rFonts w:cs="Times New Roman" w:hint="default"/>
        <w:sz w:val="24"/>
      </w:rPr>
    </w:lvl>
    <w:lvl w:ilvl="2">
      <w:start w:val="1"/>
      <w:numFmt w:val="upperLetter"/>
      <w:lvlText w:val="%3."/>
      <w:lvlJc w:val="left"/>
      <w:pPr>
        <w:ind w:left="584" w:hanging="352"/>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ind w:left="731" w:hanging="300"/>
      </w:pPr>
      <w:rPr>
        <w:rFonts w:cs="Times New Roman" w:hint="default"/>
      </w:rPr>
    </w:lvl>
    <w:lvl w:ilvl="4">
      <w:start w:val="1"/>
      <w:numFmt w:val="lowerLetter"/>
      <w:lvlText w:val="%5)"/>
      <w:lvlJc w:val="left"/>
      <w:pPr>
        <w:ind w:left="975" w:hanging="340"/>
      </w:pPr>
      <w:rPr>
        <w:rFonts w:cs="Times New Roman" w:hint="default"/>
      </w:rPr>
    </w:lvl>
    <w:lvl w:ilvl="5">
      <w:start w:val="1"/>
      <w:numFmt w:val="lowerRoman"/>
      <w:suff w:val="space"/>
      <w:lvlText w:val="%6."/>
      <w:lvlJc w:val="left"/>
      <w:pPr>
        <w:ind w:left="1191" w:hanging="358"/>
      </w:pPr>
      <w:rPr>
        <w:rFonts w:cs="Times New Roman" w:hint="default"/>
      </w:rPr>
    </w:lvl>
    <w:lvl w:ilvl="6">
      <w:start w:val="1"/>
      <w:numFmt w:val="lowerLetter"/>
      <w:lvlText w:val="%7)"/>
      <w:lvlJc w:val="left"/>
      <w:pPr>
        <w:ind w:left="1372" w:hanging="334"/>
      </w:pPr>
      <w:rPr>
        <w:rFonts w:ascii="Symbol" w:hAnsi="Symbol" w:cs="Times New Roman"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cs="Times New Roman" w:hint="default"/>
      </w:rPr>
    </w:lvl>
  </w:abstractNum>
  <w:abstractNum w:abstractNumId="23" w15:restartNumberingAfterBreak="0">
    <w:nsid w:val="6661758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9C1550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8C54F2"/>
    <w:multiLevelType w:val="multilevel"/>
    <w:tmpl w:val="7222064C"/>
    <w:lvl w:ilvl="0">
      <w:start w:val="1"/>
      <w:numFmt w:val="decimal"/>
      <w:lvlText w:val="%1."/>
      <w:lvlJc w:val="left"/>
      <w:pPr>
        <w:tabs>
          <w:tab w:val="num" w:pos="340"/>
        </w:tabs>
        <w:ind w:left="340" w:hanging="340"/>
      </w:pPr>
      <w:rPr>
        <w:rFonts w:cs="Times New Roman" w:hint="default"/>
      </w:rPr>
    </w:lvl>
    <w:lvl w:ilvl="1">
      <w:start w:val="1"/>
      <w:numFmt w:val="lowerLetter"/>
      <w:lvlText w:val="%2)"/>
      <w:lvlJc w:val="left"/>
      <w:pPr>
        <w:tabs>
          <w:tab w:val="num" w:pos="680"/>
        </w:tabs>
        <w:ind w:left="680" w:hanging="340"/>
      </w:pPr>
      <w:rPr>
        <w:rFonts w:cs="Times New Roman" w:hint="default"/>
      </w:rPr>
    </w:lvl>
    <w:lvl w:ilvl="2">
      <w:start w:val="1"/>
      <w:numFmt w:val="lowerRoman"/>
      <w:suff w:val="space"/>
      <w:lvlText w:val="%3."/>
      <w:lvlJc w:val="left"/>
      <w:pPr>
        <w:ind w:left="907" w:hanging="227"/>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lvlOverride w:ilvl="0">
      <w:lvl w:ilvl="0">
        <w:numFmt w:val="decimal"/>
        <w:pStyle w:val="ListNumber4"/>
        <w:lvlText w:val=""/>
        <w:lvlJc w:val="left"/>
        <w:rPr>
          <w:rFonts w:cs="Times New Roman"/>
        </w:rPr>
      </w:lvl>
    </w:lvlOverride>
    <w:lvlOverride w:ilvl="1">
      <w:lvl w:ilvl="1">
        <w:start w:val="1"/>
        <w:numFmt w:val="lowerLetter"/>
        <w:lvlText w:val="%2)"/>
        <w:lvlJc w:val="left"/>
        <w:pPr>
          <w:tabs>
            <w:tab w:val="num" w:pos="680"/>
          </w:tabs>
          <w:ind w:left="680" w:hanging="340"/>
        </w:pPr>
        <w:rPr>
          <w:rFonts w:cs="Times New Roman" w:hint="default"/>
        </w:rPr>
      </w:lvl>
    </w:lvlOverride>
  </w:num>
  <w:num w:numId="22">
    <w:abstractNumId w:val="22"/>
  </w:num>
  <w:num w:numId="23">
    <w:abstractNumId w:val="16"/>
  </w:num>
  <w:num w:numId="24">
    <w:abstractNumId w:val="11"/>
  </w:num>
  <w:num w:numId="25">
    <w:abstractNumId w:val="17"/>
  </w:num>
  <w:num w:numId="26">
    <w:abstractNumId w:val="13"/>
  </w:num>
  <w:num w:numId="27">
    <w:abstractNumId w:val="12"/>
  </w:num>
  <w:num w:numId="28">
    <w:abstractNumId w:val="19"/>
  </w:num>
  <w:num w:numId="29">
    <w:abstractNumId w:val="15"/>
    <w:lvlOverride w:ilvl="0">
      <w:lvl w:ilvl="0">
        <w:numFmt w:val="decimal"/>
        <w:pStyle w:val="ListNumber4"/>
        <w:lvlText w:val=""/>
        <w:lvlJc w:val="left"/>
        <w:rPr>
          <w:rFonts w:cs="Times New Roman"/>
        </w:rPr>
      </w:lvl>
    </w:lvlOverride>
    <w:lvlOverride w:ilvl="1">
      <w:lvl w:ilvl="1">
        <w:start w:val="1"/>
        <w:numFmt w:val="lowerLetter"/>
        <w:lvlText w:val="%2)"/>
        <w:lvlJc w:val="left"/>
        <w:pPr>
          <w:tabs>
            <w:tab w:val="num" w:pos="680"/>
          </w:tabs>
          <w:ind w:left="680" w:hanging="34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num>
  <w:num w:numId="30">
    <w:abstractNumId w:val="20"/>
  </w:num>
  <w:num w:numId="31">
    <w:abstractNumId w:val="24"/>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5"/>
  </w:num>
  <w:num w:numId="42">
    <w:abstractNumId w:val="26"/>
  </w:num>
  <w:num w:numId="43">
    <w:abstractNumId w:val="14"/>
  </w:num>
  <w:num w:numId="44">
    <w:abstractNumId w:val="23"/>
  </w:num>
  <w:num w:numId="45">
    <w:abstractNumId w:val="10"/>
  </w:num>
  <w:num w:numId="46">
    <w:abstractNumId w:val="21"/>
  </w:num>
  <w:num w:numId="47">
    <w:abstractNumId w:val="18"/>
  </w:num>
  <w:num w:numId="48">
    <w:abstractNumId w:val="25"/>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3"/>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CA10AC"/>
    <w:rsid w:val="000041F8"/>
    <w:rsid w:val="000042A8"/>
    <w:rsid w:val="00004308"/>
    <w:rsid w:val="00005BF0"/>
    <w:rsid w:val="00007154"/>
    <w:rsid w:val="000103AE"/>
    <w:rsid w:val="00011D69"/>
    <w:rsid w:val="00012AD3"/>
    <w:rsid w:val="00015C2D"/>
    <w:rsid w:val="00015F00"/>
    <w:rsid w:val="00022C1D"/>
    <w:rsid w:val="00034987"/>
    <w:rsid w:val="00051015"/>
    <w:rsid w:val="000602DF"/>
    <w:rsid w:val="00061B05"/>
    <w:rsid w:val="000632D5"/>
    <w:rsid w:val="000644EE"/>
    <w:rsid w:val="00080ECE"/>
    <w:rsid w:val="0009057B"/>
    <w:rsid w:val="000925AD"/>
    <w:rsid w:val="00092DA4"/>
    <w:rsid w:val="000A20EB"/>
    <w:rsid w:val="000A24EB"/>
    <w:rsid w:val="000B105D"/>
    <w:rsid w:val="000B5D17"/>
    <w:rsid w:val="000B6923"/>
    <w:rsid w:val="000C3FE1"/>
    <w:rsid w:val="000C57F1"/>
    <w:rsid w:val="000C5F3C"/>
    <w:rsid w:val="000C6DCC"/>
    <w:rsid w:val="000D04C2"/>
    <w:rsid w:val="000D47AA"/>
    <w:rsid w:val="000D721F"/>
    <w:rsid w:val="000E069B"/>
    <w:rsid w:val="000E0E82"/>
    <w:rsid w:val="000E1C9F"/>
    <w:rsid w:val="000E1DC5"/>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314"/>
    <w:rsid w:val="00141650"/>
    <w:rsid w:val="00144BB5"/>
    <w:rsid w:val="00150BFA"/>
    <w:rsid w:val="001625AD"/>
    <w:rsid w:val="00162967"/>
    <w:rsid w:val="00162A12"/>
    <w:rsid w:val="00166530"/>
    <w:rsid w:val="00181508"/>
    <w:rsid w:val="001832BD"/>
    <w:rsid w:val="001943B5"/>
    <w:rsid w:val="00194C5B"/>
    <w:rsid w:val="00195134"/>
    <w:rsid w:val="001A145B"/>
    <w:rsid w:val="001A674C"/>
    <w:rsid w:val="001B3B24"/>
    <w:rsid w:val="001C0E86"/>
    <w:rsid w:val="001C0F98"/>
    <w:rsid w:val="001C2A42"/>
    <w:rsid w:val="001C2B5C"/>
    <w:rsid w:val="001D63ED"/>
    <w:rsid w:val="001D7348"/>
    <w:rsid w:val="001E035B"/>
    <w:rsid w:val="001E0961"/>
    <w:rsid w:val="001E3EAE"/>
    <w:rsid w:val="001E6F32"/>
    <w:rsid w:val="001F2145"/>
    <w:rsid w:val="001F39F4"/>
    <w:rsid w:val="001F5D8A"/>
    <w:rsid w:val="001F6262"/>
    <w:rsid w:val="001F67B0"/>
    <w:rsid w:val="001F7B3D"/>
    <w:rsid w:val="00204F24"/>
    <w:rsid w:val="00205F9F"/>
    <w:rsid w:val="00210338"/>
    <w:rsid w:val="002115FC"/>
    <w:rsid w:val="00212184"/>
    <w:rsid w:val="0021423C"/>
    <w:rsid w:val="00230880"/>
    <w:rsid w:val="00230D00"/>
    <w:rsid w:val="00231364"/>
    <w:rsid w:val="00231DF7"/>
    <w:rsid w:val="00231FD1"/>
    <w:rsid w:val="002339E0"/>
    <w:rsid w:val="00233CF8"/>
    <w:rsid w:val="0023575D"/>
    <w:rsid w:val="00237148"/>
    <w:rsid w:val="0024222D"/>
    <w:rsid w:val="00244B0E"/>
    <w:rsid w:val="00244F6C"/>
    <w:rsid w:val="002532C5"/>
    <w:rsid w:val="002546AE"/>
    <w:rsid w:val="00254969"/>
    <w:rsid w:val="00256F45"/>
    <w:rsid w:val="00260C03"/>
    <w:rsid w:val="0026540E"/>
    <w:rsid w:val="00270F4F"/>
    <w:rsid w:val="00275123"/>
    <w:rsid w:val="00282240"/>
    <w:rsid w:val="00285788"/>
    <w:rsid w:val="002948AD"/>
    <w:rsid w:val="0029739C"/>
    <w:rsid w:val="002A01CC"/>
    <w:rsid w:val="002A5623"/>
    <w:rsid w:val="002A61B1"/>
    <w:rsid w:val="002A663C"/>
    <w:rsid w:val="002B444B"/>
    <w:rsid w:val="002B5887"/>
    <w:rsid w:val="002B7E83"/>
    <w:rsid w:val="002C0E27"/>
    <w:rsid w:val="002C3040"/>
    <w:rsid w:val="002D022D"/>
    <w:rsid w:val="002D24BB"/>
    <w:rsid w:val="002E0087"/>
    <w:rsid w:val="002E1CFB"/>
    <w:rsid w:val="002E3A2D"/>
    <w:rsid w:val="002F29AA"/>
    <w:rsid w:val="002F2AF7"/>
    <w:rsid w:val="002F7E1C"/>
    <w:rsid w:val="00301A75"/>
    <w:rsid w:val="00302F70"/>
    <w:rsid w:val="0030336F"/>
    <w:rsid w:val="0030375E"/>
    <w:rsid w:val="0030660C"/>
    <w:rsid w:val="00307039"/>
    <w:rsid w:val="003074EF"/>
    <w:rsid w:val="00312A30"/>
    <w:rsid w:val="00316323"/>
    <w:rsid w:val="00320F72"/>
    <w:rsid w:val="0032463E"/>
    <w:rsid w:val="00326224"/>
    <w:rsid w:val="00337EE4"/>
    <w:rsid w:val="00340FFD"/>
    <w:rsid w:val="003506B1"/>
    <w:rsid w:val="00356AC7"/>
    <w:rsid w:val="003609FA"/>
    <w:rsid w:val="00361D45"/>
    <w:rsid w:val="00367B4F"/>
    <w:rsid w:val="003710C8"/>
    <w:rsid w:val="003722CE"/>
    <w:rsid w:val="003750BE"/>
    <w:rsid w:val="00387B9D"/>
    <w:rsid w:val="0039364F"/>
    <w:rsid w:val="00396686"/>
    <w:rsid w:val="0039778E"/>
    <w:rsid w:val="003A37B8"/>
    <w:rsid w:val="003B4941"/>
    <w:rsid w:val="003B6A2E"/>
    <w:rsid w:val="003C5714"/>
    <w:rsid w:val="003C69CD"/>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02E77"/>
    <w:rsid w:val="00405522"/>
    <w:rsid w:val="0041177B"/>
    <w:rsid w:val="00414300"/>
    <w:rsid w:val="00425C67"/>
    <w:rsid w:val="00427E7A"/>
    <w:rsid w:val="00431C07"/>
    <w:rsid w:val="004344E6"/>
    <w:rsid w:val="00436C49"/>
    <w:rsid w:val="00445366"/>
    <w:rsid w:val="00447F5B"/>
    <w:rsid w:val="00456549"/>
    <w:rsid w:val="004604A0"/>
    <w:rsid w:val="00461DB0"/>
    <w:rsid w:val="00463926"/>
    <w:rsid w:val="00464C9A"/>
    <w:rsid w:val="00471EF2"/>
    <w:rsid w:val="00474F3D"/>
    <w:rsid w:val="00475EB5"/>
    <w:rsid w:val="00477E3A"/>
    <w:rsid w:val="00483E5F"/>
    <w:rsid w:val="00485FF9"/>
    <w:rsid w:val="004907F0"/>
    <w:rsid w:val="0049140B"/>
    <w:rsid w:val="004923A5"/>
    <w:rsid w:val="00496197"/>
    <w:rsid w:val="00496BFB"/>
    <w:rsid w:val="004A15C7"/>
    <w:rsid w:val="004A5C20"/>
    <w:rsid w:val="004A7522"/>
    <w:rsid w:val="004B013B"/>
    <w:rsid w:val="004B112B"/>
    <w:rsid w:val="004B27F4"/>
    <w:rsid w:val="004C01E4"/>
    <w:rsid w:val="004C086C"/>
    <w:rsid w:val="004C1A3F"/>
    <w:rsid w:val="004C1F56"/>
    <w:rsid w:val="004C27BC"/>
    <w:rsid w:val="004D15F3"/>
    <w:rsid w:val="004D5311"/>
    <w:rsid w:val="004D5DCC"/>
    <w:rsid w:val="004D75CE"/>
    <w:rsid w:val="004E22F1"/>
    <w:rsid w:val="004F10AF"/>
    <w:rsid w:val="004F11A4"/>
    <w:rsid w:val="004F2389"/>
    <w:rsid w:val="004F304D"/>
    <w:rsid w:val="004F61BE"/>
    <w:rsid w:val="004F66B1"/>
    <w:rsid w:val="00511C07"/>
    <w:rsid w:val="00516B59"/>
    <w:rsid w:val="005173A6"/>
    <w:rsid w:val="00520BAA"/>
    <w:rsid w:val="00522ABA"/>
    <w:rsid w:val="00525208"/>
    <w:rsid w:val="005257A5"/>
    <w:rsid w:val="005264C0"/>
    <w:rsid w:val="00526A8A"/>
    <w:rsid w:val="00531DF2"/>
    <w:rsid w:val="005377D5"/>
    <w:rsid w:val="005442EE"/>
    <w:rsid w:val="00547353"/>
    <w:rsid w:val="005474E7"/>
    <w:rsid w:val="005512A3"/>
    <w:rsid w:val="005578CE"/>
    <w:rsid w:val="00562781"/>
    <w:rsid w:val="00563754"/>
    <w:rsid w:val="00566E2B"/>
    <w:rsid w:val="0057271C"/>
    <w:rsid w:val="00572845"/>
    <w:rsid w:val="00574A24"/>
    <w:rsid w:val="00576986"/>
    <w:rsid w:val="00582654"/>
    <w:rsid w:val="00592772"/>
    <w:rsid w:val="00592C8D"/>
    <w:rsid w:val="0059574A"/>
    <w:rsid w:val="005A1B9B"/>
    <w:rsid w:val="005A6751"/>
    <w:rsid w:val="005B092E"/>
    <w:rsid w:val="005B152C"/>
    <w:rsid w:val="005B1EE0"/>
    <w:rsid w:val="005B2B24"/>
    <w:rsid w:val="005B4425"/>
    <w:rsid w:val="005B4B94"/>
    <w:rsid w:val="005C353F"/>
    <w:rsid w:val="005C3EE8"/>
    <w:rsid w:val="005C78BC"/>
    <w:rsid w:val="005D1DC1"/>
    <w:rsid w:val="005D34F9"/>
    <w:rsid w:val="005D4190"/>
    <w:rsid w:val="005D67A3"/>
    <w:rsid w:val="005E2988"/>
    <w:rsid w:val="005E3085"/>
    <w:rsid w:val="005F51E1"/>
    <w:rsid w:val="005F57A1"/>
    <w:rsid w:val="00611C80"/>
    <w:rsid w:val="00613B21"/>
    <w:rsid w:val="006163C2"/>
    <w:rsid w:val="00620692"/>
    <w:rsid w:val="006213AD"/>
    <w:rsid w:val="006242CA"/>
    <w:rsid w:val="00627507"/>
    <w:rsid w:val="00633717"/>
    <w:rsid w:val="00633F64"/>
    <w:rsid w:val="006344E1"/>
    <w:rsid w:val="00635540"/>
    <w:rsid w:val="00635D5C"/>
    <w:rsid w:val="00635E9A"/>
    <w:rsid w:val="006361FD"/>
    <w:rsid w:val="006418DA"/>
    <w:rsid w:val="00644206"/>
    <w:rsid w:val="006545C4"/>
    <w:rsid w:val="006567F9"/>
    <w:rsid w:val="00657B9F"/>
    <w:rsid w:val="00661971"/>
    <w:rsid w:val="00661CE8"/>
    <w:rsid w:val="006623D9"/>
    <w:rsid w:val="00662882"/>
    <w:rsid w:val="0066550C"/>
    <w:rsid w:val="006716F2"/>
    <w:rsid w:val="00682BF2"/>
    <w:rsid w:val="006859CE"/>
    <w:rsid w:val="00691270"/>
    <w:rsid w:val="00694BA8"/>
    <w:rsid w:val="006A037C"/>
    <w:rsid w:val="006A0BA7"/>
    <w:rsid w:val="006A36F4"/>
    <w:rsid w:val="006A406F"/>
    <w:rsid w:val="006A5AC8"/>
    <w:rsid w:val="006A5D3A"/>
    <w:rsid w:val="006C1A1F"/>
    <w:rsid w:val="006C23D4"/>
    <w:rsid w:val="006C2B4A"/>
    <w:rsid w:val="006C475E"/>
    <w:rsid w:val="006C7BB0"/>
    <w:rsid w:val="006D3237"/>
    <w:rsid w:val="006E2E37"/>
    <w:rsid w:val="006E3CF1"/>
    <w:rsid w:val="006E7E80"/>
    <w:rsid w:val="006F48CA"/>
    <w:rsid w:val="006F64DD"/>
    <w:rsid w:val="007147B2"/>
    <w:rsid w:val="00715127"/>
    <w:rsid w:val="00715E8E"/>
    <w:rsid w:val="007172B0"/>
    <w:rsid w:val="00723580"/>
    <w:rsid w:val="00723755"/>
    <w:rsid w:val="00723AE8"/>
    <w:rsid w:val="00724AE2"/>
    <w:rsid w:val="0073136C"/>
    <w:rsid w:val="00731F0F"/>
    <w:rsid w:val="00733250"/>
    <w:rsid w:val="00733B59"/>
    <w:rsid w:val="00733DDD"/>
    <w:rsid w:val="00735951"/>
    <w:rsid w:val="00741404"/>
    <w:rsid w:val="0074334F"/>
    <w:rsid w:val="007449E5"/>
    <w:rsid w:val="00745614"/>
    <w:rsid w:val="00747FF0"/>
    <w:rsid w:val="007612E2"/>
    <w:rsid w:val="007626BF"/>
    <w:rsid w:val="00764D4E"/>
    <w:rsid w:val="00765A1F"/>
    <w:rsid w:val="00775B6D"/>
    <w:rsid w:val="00776D68"/>
    <w:rsid w:val="007850EE"/>
    <w:rsid w:val="00785B95"/>
    <w:rsid w:val="00790AAD"/>
    <w:rsid w:val="00790E96"/>
    <w:rsid w:val="00793366"/>
    <w:rsid w:val="007971FF"/>
    <w:rsid w:val="007A4070"/>
    <w:rsid w:val="007A4DEB"/>
    <w:rsid w:val="007A716F"/>
    <w:rsid w:val="007B270A"/>
    <w:rsid w:val="007B7731"/>
    <w:rsid w:val="007C0695"/>
    <w:rsid w:val="007C419A"/>
    <w:rsid w:val="007C4CC8"/>
    <w:rsid w:val="007C5426"/>
    <w:rsid w:val="007C5798"/>
    <w:rsid w:val="007C661E"/>
    <w:rsid w:val="007D230D"/>
    <w:rsid w:val="007D4832"/>
    <w:rsid w:val="007E21B2"/>
    <w:rsid w:val="007E2C4E"/>
    <w:rsid w:val="007E7927"/>
    <w:rsid w:val="007F1905"/>
    <w:rsid w:val="00801300"/>
    <w:rsid w:val="00802C64"/>
    <w:rsid w:val="0080523A"/>
    <w:rsid w:val="00805872"/>
    <w:rsid w:val="00805E52"/>
    <w:rsid w:val="008061D0"/>
    <w:rsid w:val="00810B38"/>
    <w:rsid w:val="008157A0"/>
    <w:rsid w:val="008167FD"/>
    <w:rsid w:val="008204C7"/>
    <w:rsid w:val="00820992"/>
    <w:rsid w:val="00821BEB"/>
    <w:rsid w:val="00823602"/>
    <w:rsid w:val="008255F5"/>
    <w:rsid w:val="0083014E"/>
    <w:rsid w:val="0083214A"/>
    <w:rsid w:val="00834220"/>
    <w:rsid w:val="00845723"/>
    <w:rsid w:val="00851929"/>
    <w:rsid w:val="00851EF9"/>
    <w:rsid w:val="008577FD"/>
    <w:rsid w:val="008600B4"/>
    <w:rsid w:val="00860B03"/>
    <w:rsid w:val="0086497A"/>
    <w:rsid w:val="008713A1"/>
    <w:rsid w:val="00873D9C"/>
    <w:rsid w:val="008748BE"/>
    <w:rsid w:val="008754AB"/>
    <w:rsid w:val="00876A02"/>
    <w:rsid w:val="00876F03"/>
    <w:rsid w:val="0088060C"/>
    <w:rsid w:val="00887660"/>
    <w:rsid w:val="00891107"/>
    <w:rsid w:val="00893576"/>
    <w:rsid w:val="00893E73"/>
    <w:rsid w:val="00893F30"/>
    <w:rsid w:val="00895F5B"/>
    <w:rsid w:val="008A4655"/>
    <w:rsid w:val="008B02DC"/>
    <w:rsid w:val="008B2698"/>
    <w:rsid w:val="008B57CE"/>
    <w:rsid w:val="008C26DE"/>
    <w:rsid w:val="008D2225"/>
    <w:rsid w:val="008D4752"/>
    <w:rsid w:val="008D5372"/>
    <w:rsid w:val="008E271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3D80"/>
    <w:rsid w:val="009259AC"/>
    <w:rsid w:val="00926F38"/>
    <w:rsid w:val="00934301"/>
    <w:rsid w:val="00936CD1"/>
    <w:rsid w:val="009375A5"/>
    <w:rsid w:val="00940DAE"/>
    <w:rsid w:val="00941747"/>
    <w:rsid w:val="00941EFB"/>
    <w:rsid w:val="00947AFB"/>
    <w:rsid w:val="00951D7D"/>
    <w:rsid w:val="009534CD"/>
    <w:rsid w:val="00954AD6"/>
    <w:rsid w:val="009630C7"/>
    <w:rsid w:val="00972B55"/>
    <w:rsid w:val="009743B7"/>
    <w:rsid w:val="00975039"/>
    <w:rsid w:val="009765E8"/>
    <w:rsid w:val="00977227"/>
    <w:rsid w:val="00980C61"/>
    <w:rsid w:val="00981B20"/>
    <w:rsid w:val="0098228B"/>
    <w:rsid w:val="009828DA"/>
    <w:rsid w:val="00985BAB"/>
    <w:rsid w:val="009A40D5"/>
    <w:rsid w:val="009B1B5F"/>
    <w:rsid w:val="009B6673"/>
    <w:rsid w:val="009C191B"/>
    <w:rsid w:val="009C2BD6"/>
    <w:rsid w:val="009D2721"/>
    <w:rsid w:val="009D2F52"/>
    <w:rsid w:val="009E16D2"/>
    <w:rsid w:val="009E1F32"/>
    <w:rsid w:val="009E21CE"/>
    <w:rsid w:val="009E776C"/>
    <w:rsid w:val="00A00672"/>
    <w:rsid w:val="00A036DF"/>
    <w:rsid w:val="00A132AD"/>
    <w:rsid w:val="00A1726E"/>
    <w:rsid w:val="00A204CF"/>
    <w:rsid w:val="00A21624"/>
    <w:rsid w:val="00A23D49"/>
    <w:rsid w:val="00A27004"/>
    <w:rsid w:val="00A30C29"/>
    <w:rsid w:val="00A34DD6"/>
    <w:rsid w:val="00A36819"/>
    <w:rsid w:val="00A36989"/>
    <w:rsid w:val="00A43628"/>
    <w:rsid w:val="00A43AA3"/>
    <w:rsid w:val="00A45145"/>
    <w:rsid w:val="00A4783F"/>
    <w:rsid w:val="00A54192"/>
    <w:rsid w:val="00A57869"/>
    <w:rsid w:val="00A6035E"/>
    <w:rsid w:val="00A6144C"/>
    <w:rsid w:val="00A6481E"/>
    <w:rsid w:val="00A66617"/>
    <w:rsid w:val="00A671F8"/>
    <w:rsid w:val="00A673A4"/>
    <w:rsid w:val="00A724AE"/>
    <w:rsid w:val="00A73329"/>
    <w:rsid w:val="00A75785"/>
    <w:rsid w:val="00A82359"/>
    <w:rsid w:val="00A85A64"/>
    <w:rsid w:val="00A865D2"/>
    <w:rsid w:val="00A94C20"/>
    <w:rsid w:val="00AA227F"/>
    <w:rsid w:val="00AA3BC7"/>
    <w:rsid w:val="00AA754A"/>
    <w:rsid w:val="00AB099E"/>
    <w:rsid w:val="00AB4328"/>
    <w:rsid w:val="00AB5628"/>
    <w:rsid w:val="00AC00C2"/>
    <w:rsid w:val="00AC3F24"/>
    <w:rsid w:val="00AC5872"/>
    <w:rsid w:val="00AD1247"/>
    <w:rsid w:val="00AD1BCE"/>
    <w:rsid w:val="00AE0A2E"/>
    <w:rsid w:val="00AE354C"/>
    <w:rsid w:val="00AE5C70"/>
    <w:rsid w:val="00AF3D6F"/>
    <w:rsid w:val="00AF4B07"/>
    <w:rsid w:val="00AF6186"/>
    <w:rsid w:val="00AF7A3A"/>
    <w:rsid w:val="00B009F4"/>
    <w:rsid w:val="00B14A5E"/>
    <w:rsid w:val="00B160DB"/>
    <w:rsid w:val="00B20836"/>
    <w:rsid w:val="00B235BB"/>
    <w:rsid w:val="00B24E54"/>
    <w:rsid w:val="00B25320"/>
    <w:rsid w:val="00B25943"/>
    <w:rsid w:val="00B25D3B"/>
    <w:rsid w:val="00B277AF"/>
    <w:rsid w:val="00B27A44"/>
    <w:rsid w:val="00B30BBF"/>
    <w:rsid w:val="00B33C03"/>
    <w:rsid w:val="00B35C5F"/>
    <w:rsid w:val="00B36420"/>
    <w:rsid w:val="00B44E56"/>
    <w:rsid w:val="00B46543"/>
    <w:rsid w:val="00B47D33"/>
    <w:rsid w:val="00B52BE0"/>
    <w:rsid w:val="00B54133"/>
    <w:rsid w:val="00B60821"/>
    <w:rsid w:val="00B701ED"/>
    <w:rsid w:val="00B751F4"/>
    <w:rsid w:val="00B8086C"/>
    <w:rsid w:val="00B840F7"/>
    <w:rsid w:val="00B861B4"/>
    <w:rsid w:val="00B86DFE"/>
    <w:rsid w:val="00B90990"/>
    <w:rsid w:val="00B922FF"/>
    <w:rsid w:val="00B9281E"/>
    <w:rsid w:val="00B93925"/>
    <w:rsid w:val="00B95187"/>
    <w:rsid w:val="00B95286"/>
    <w:rsid w:val="00BA2D55"/>
    <w:rsid w:val="00BA2F78"/>
    <w:rsid w:val="00BA71B1"/>
    <w:rsid w:val="00BB0637"/>
    <w:rsid w:val="00BB345F"/>
    <w:rsid w:val="00BB68EA"/>
    <w:rsid w:val="00BC1C27"/>
    <w:rsid w:val="00BC1F03"/>
    <w:rsid w:val="00BC6BBF"/>
    <w:rsid w:val="00BC6D5C"/>
    <w:rsid w:val="00BD1572"/>
    <w:rsid w:val="00BD178C"/>
    <w:rsid w:val="00BE14E3"/>
    <w:rsid w:val="00BE3774"/>
    <w:rsid w:val="00BE3D94"/>
    <w:rsid w:val="00BE41E5"/>
    <w:rsid w:val="00BF4109"/>
    <w:rsid w:val="00BF4467"/>
    <w:rsid w:val="00BF4CC3"/>
    <w:rsid w:val="00C00E59"/>
    <w:rsid w:val="00C0174D"/>
    <w:rsid w:val="00C054C7"/>
    <w:rsid w:val="00C057B5"/>
    <w:rsid w:val="00C149F0"/>
    <w:rsid w:val="00C22687"/>
    <w:rsid w:val="00C25983"/>
    <w:rsid w:val="00C32E4D"/>
    <w:rsid w:val="00C333A0"/>
    <w:rsid w:val="00C356F6"/>
    <w:rsid w:val="00C36408"/>
    <w:rsid w:val="00C36A81"/>
    <w:rsid w:val="00C41974"/>
    <w:rsid w:val="00C45616"/>
    <w:rsid w:val="00C53F4A"/>
    <w:rsid w:val="00C54125"/>
    <w:rsid w:val="00C55B54"/>
    <w:rsid w:val="00C6098E"/>
    <w:rsid w:val="00C6152C"/>
    <w:rsid w:val="00C74810"/>
    <w:rsid w:val="00C81ACF"/>
    <w:rsid w:val="00C90D68"/>
    <w:rsid w:val="00C939FE"/>
    <w:rsid w:val="00CA10AC"/>
    <w:rsid w:val="00CA4BDA"/>
    <w:rsid w:val="00CA7C61"/>
    <w:rsid w:val="00CB1F66"/>
    <w:rsid w:val="00CB2951"/>
    <w:rsid w:val="00CC2389"/>
    <w:rsid w:val="00CD282B"/>
    <w:rsid w:val="00CD4C35"/>
    <w:rsid w:val="00CD670C"/>
    <w:rsid w:val="00CD7369"/>
    <w:rsid w:val="00CD74C9"/>
    <w:rsid w:val="00CE0B0E"/>
    <w:rsid w:val="00CE36B4"/>
    <w:rsid w:val="00CE3831"/>
    <w:rsid w:val="00CE636B"/>
    <w:rsid w:val="00CF1469"/>
    <w:rsid w:val="00D00ABB"/>
    <w:rsid w:val="00D01935"/>
    <w:rsid w:val="00D02781"/>
    <w:rsid w:val="00D02EEC"/>
    <w:rsid w:val="00D03551"/>
    <w:rsid w:val="00D06A63"/>
    <w:rsid w:val="00D07E0E"/>
    <w:rsid w:val="00D11478"/>
    <w:rsid w:val="00D15ED0"/>
    <w:rsid w:val="00D21B3E"/>
    <w:rsid w:val="00D21C26"/>
    <w:rsid w:val="00D21FED"/>
    <w:rsid w:val="00D24251"/>
    <w:rsid w:val="00D343E2"/>
    <w:rsid w:val="00D361A2"/>
    <w:rsid w:val="00D417AC"/>
    <w:rsid w:val="00D44C2E"/>
    <w:rsid w:val="00D45414"/>
    <w:rsid w:val="00D46B47"/>
    <w:rsid w:val="00D54FF1"/>
    <w:rsid w:val="00D55E2C"/>
    <w:rsid w:val="00D566BD"/>
    <w:rsid w:val="00D57A4D"/>
    <w:rsid w:val="00D60AA7"/>
    <w:rsid w:val="00D62A67"/>
    <w:rsid w:val="00D64227"/>
    <w:rsid w:val="00D6435F"/>
    <w:rsid w:val="00D72633"/>
    <w:rsid w:val="00D75385"/>
    <w:rsid w:val="00D75E28"/>
    <w:rsid w:val="00D772C2"/>
    <w:rsid w:val="00D8008E"/>
    <w:rsid w:val="00D82C45"/>
    <w:rsid w:val="00D908A8"/>
    <w:rsid w:val="00D918F3"/>
    <w:rsid w:val="00D977B6"/>
    <w:rsid w:val="00DA3634"/>
    <w:rsid w:val="00DA4A31"/>
    <w:rsid w:val="00DA7B04"/>
    <w:rsid w:val="00DB36C2"/>
    <w:rsid w:val="00DB5CBD"/>
    <w:rsid w:val="00DC169B"/>
    <w:rsid w:val="00DC2AB9"/>
    <w:rsid w:val="00DC63F0"/>
    <w:rsid w:val="00DD5382"/>
    <w:rsid w:val="00DD6EE5"/>
    <w:rsid w:val="00DE2362"/>
    <w:rsid w:val="00DE386C"/>
    <w:rsid w:val="00DE4D35"/>
    <w:rsid w:val="00DF098B"/>
    <w:rsid w:val="00DF0B55"/>
    <w:rsid w:val="00DF11C4"/>
    <w:rsid w:val="00DF210C"/>
    <w:rsid w:val="00DF4B6A"/>
    <w:rsid w:val="00E02C09"/>
    <w:rsid w:val="00E04D59"/>
    <w:rsid w:val="00E07DA1"/>
    <w:rsid w:val="00E07F99"/>
    <w:rsid w:val="00E123CB"/>
    <w:rsid w:val="00E16CC3"/>
    <w:rsid w:val="00E20E13"/>
    <w:rsid w:val="00E21DBC"/>
    <w:rsid w:val="00E275D7"/>
    <w:rsid w:val="00E27DBE"/>
    <w:rsid w:val="00E32AB1"/>
    <w:rsid w:val="00E36C71"/>
    <w:rsid w:val="00E40404"/>
    <w:rsid w:val="00E40CB7"/>
    <w:rsid w:val="00E459C6"/>
    <w:rsid w:val="00E47589"/>
    <w:rsid w:val="00E55744"/>
    <w:rsid w:val="00E56B24"/>
    <w:rsid w:val="00E64915"/>
    <w:rsid w:val="00E661D4"/>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E00"/>
    <w:rsid w:val="00EE5DD2"/>
    <w:rsid w:val="00F00A79"/>
    <w:rsid w:val="00F00E86"/>
    <w:rsid w:val="00F03289"/>
    <w:rsid w:val="00F07C1E"/>
    <w:rsid w:val="00F105DB"/>
    <w:rsid w:val="00F132BC"/>
    <w:rsid w:val="00F13D80"/>
    <w:rsid w:val="00F16AAA"/>
    <w:rsid w:val="00F21161"/>
    <w:rsid w:val="00F218EF"/>
    <w:rsid w:val="00F21BC7"/>
    <w:rsid w:val="00F266A2"/>
    <w:rsid w:val="00F27D13"/>
    <w:rsid w:val="00F32269"/>
    <w:rsid w:val="00F54B1E"/>
    <w:rsid w:val="00F56A6F"/>
    <w:rsid w:val="00F5709C"/>
    <w:rsid w:val="00F61A18"/>
    <w:rsid w:val="00F626DA"/>
    <w:rsid w:val="00F64EF1"/>
    <w:rsid w:val="00F659F3"/>
    <w:rsid w:val="00F83589"/>
    <w:rsid w:val="00F8765F"/>
    <w:rsid w:val="00F90767"/>
    <w:rsid w:val="00F912E4"/>
    <w:rsid w:val="00F94531"/>
    <w:rsid w:val="00F9588E"/>
    <w:rsid w:val="00FA685B"/>
    <w:rsid w:val="00FB0C01"/>
    <w:rsid w:val="00FC18F2"/>
    <w:rsid w:val="00FC39E5"/>
    <w:rsid w:val="00FC3A78"/>
    <w:rsid w:val="00FD1005"/>
    <w:rsid w:val="00FD61AA"/>
    <w:rsid w:val="00FD6C75"/>
    <w:rsid w:val="00FD7649"/>
    <w:rsid w:val="00FE5C2F"/>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09E5A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iPriority="0"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C70"/>
    <w:rPr>
      <w:sz w:val="24"/>
      <w:szCs w:val="24"/>
      <w:lang w:val="fr-FR"/>
    </w:rPr>
  </w:style>
  <w:style w:type="paragraph" w:styleId="Heading1">
    <w:name w:val="heading 1"/>
    <w:basedOn w:val="Normal"/>
    <w:next w:val="Normal"/>
    <w:link w:val="Heading1Char"/>
    <w:uiPriority w:val="99"/>
    <w:qFormat/>
    <w:rsid w:val="00AE5C70"/>
    <w:pPr>
      <w:spacing w:before="480"/>
      <w:contextualSpacing/>
      <w:outlineLvl w:val="0"/>
    </w:pPr>
    <w:rPr>
      <w:rFonts w:eastAsia="MS Gothic"/>
      <w:b/>
      <w:bCs/>
      <w:color w:val="333333"/>
      <w:sz w:val="28"/>
      <w:szCs w:val="28"/>
      <w:lang w:val="en-GB"/>
    </w:rPr>
  </w:style>
  <w:style w:type="paragraph" w:styleId="Heading2">
    <w:name w:val="heading 2"/>
    <w:basedOn w:val="Normal"/>
    <w:next w:val="Normal"/>
    <w:link w:val="Heading2Char"/>
    <w:uiPriority w:val="99"/>
    <w:qFormat/>
    <w:rsid w:val="00AE5C70"/>
    <w:pPr>
      <w:spacing w:before="200"/>
      <w:outlineLvl w:val="1"/>
    </w:pPr>
    <w:rPr>
      <w:rFonts w:eastAsia="MS Gothic"/>
      <w:b/>
      <w:bCs/>
      <w:color w:val="4D4D4D"/>
      <w:sz w:val="26"/>
      <w:szCs w:val="26"/>
      <w:lang w:val="en-GB"/>
    </w:rPr>
  </w:style>
  <w:style w:type="paragraph" w:styleId="Heading3">
    <w:name w:val="heading 3"/>
    <w:basedOn w:val="Normal"/>
    <w:next w:val="Normal"/>
    <w:link w:val="Heading3Char"/>
    <w:uiPriority w:val="99"/>
    <w:qFormat/>
    <w:rsid w:val="00AE5C70"/>
    <w:pPr>
      <w:spacing w:before="200" w:line="271" w:lineRule="auto"/>
      <w:outlineLvl w:val="2"/>
    </w:pPr>
    <w:rPr>
      <w:rFonts w:eastAsia="MS Gothic"/>
      <w:b/>
      <w:bCs/>
      <w:color w:val="5F5F5F"/>
      <w:sz w:val="22"/>
      <w:szCs w:val="22"/>
      <w:lang w:val="en-GB"/>
    </w:rPr>
  </w:style>
  <w:style w:type="paragraph" w:styleId="Heading4">
    <w:name w:val="heading 4"/>
    <w:basedOn w:val="Normal"/>
    <w:next w:val="Normal"/>
    <w:link w:val="Heading4Char"/>
    <w:uiPriority w:val="99"/>
    <w:qFormat/>
    <w:rsid w:val="00AE5C70"/>
    <w:pPr>
      <w:spacing w:before="200"/>
      <w:outlineLvl w:val="3"/>
    </w:pPr>
    <w:rPr>
      <w:rFonts w:eastAsia="MS Gothic"/>
      <w:b/>
      <w:bCs/>
      <w:i/>
      <w:iCs/>
      <w:color w:val="777777"/>
      <w:sz w:val="22"/>
      <w:szCs w:val="22"/>
      <w:lang w:val="en-GB"/>
    </w:rPr>
  </w:style>
  <w:style w:type="paragraph" w:styleId="Heading5">
    <w:name w:val="heading 5"/>
    <w:basedOn w:val="Normal"/>
    <w:next w:val="Normal"/>
    <w:link w:val="Heading5Char"/>
    <w:uiPriority w:val="99"/>
    <w:qFormat/>
    <w:rsid w:val="00AE5C70"/>
    <w:pPr>
      <w:spacing w:before="200"/>
      <w:outlineLvl w:val="4"/>
    </w:pPr>
    <w:rPr>
      <w:rFonts w:eastAsia="MS Gothic"/>
      <w:b/>
      <w:bCs/>
      <w:color w:val="808080"/>
      <w:sz w:val="22"/>
      <w:szCs w:val="22"/>
      <w:lang w:val="en-GB"/>
    </w:rPr>
  </w:style>
  <w:style w:type="paragraph" w:styleId="Heading6">
    <w:name w:val="heading 6"/>
    <w:basedOn w:val="Normal"/>
    <w:next w:val="Normal"/>
    <w:link w:val="Heading6Char"/>
    <w:uiPriority w:val="99"/>
    <w:qFormat/>
    <w:rsid w:val="00AE5C70"/>
    <w:pPr>
      <w:spacing w:line="271" w:lineRule="auto"/>
      <w:outlineLvl w:val="5"/>
    </w:pPr>
    <w:rPr>
      <w:rFonts w:eastAsia="MS Gothic"/>
      <w:b/>
      <w:bCs/>
      <w:i/>
      <w:iCs/>
      <w:color w:val="7F7F7F"/>
      <w:sz w:val="22"/>
      <w:szCs w:val="22"/>
      <w:lang w:val="en-GB"/>
    </w:rPr>
  </w:style>
  <w:style w:type="paragraph" w:styleId="Heading7">
    <w:name w:val="heading 7"/>
    <w:basedOn w:val="Normal"/>
    <w:next w:val="Normal"/>
    <w:link w:val="Heading7Char"/>
    <w:uiPriority w:val="99"/>
    <w:qFormat/>
    <w:rsid w:val="00AE5C70"/>
    <w:pPr>
      <w:outlineLvl w:val="6"/>
    </w:pPr>
    <w:rPr>
      <w:rFonts w:eastAsia="MS Gothic"/>
      <w:i/>
      <w:iCs/>
      <w:sz w:val="22"/>
      <w:szCs w:val="22"/>
      <w:lang w:val="en-GB"/>
    </w:rPr>
  </w:style>
  <w:style w:type="paragraph" w:styleId="Heading8">
    <w:name w:val="heading 8"/>
    <w:basedOn w:val="Normal"/>
    <w:next w:val="Normal"/>
    <w:link w:val="Heading8Char"/>
    <w:uiPriority w:val="99"/>
    <w:qFormat/>
    <w:rsid w:val="00AE5C70"/>
    <w:pPr>
      <w:outlineLvl w:val="7"/>
    </w:pPr>
    <w:rPr>
      <w:rFonts w:eastAsia="MS Gothic"/>
      <w:sz w:val="20"/>
      <w:szCs w:val="20"/>
      <w:lang w:val="en-GB"/>
    </w:rPr>
  </w:style>
  <w:style w:type="paragraph" w:styleId="Heading9">
    <w:name w:val="heading 9"/>
    <w:basedOn w:val="Normal"/>
    <w:next w:val="Normal"/>
    <w:link w:val="Heading9Char"/>
    <w:uiPriority w:val="99"/>
    <w:qFormat/>
    <w:rsid w:val="00AE5C70"/>
    <w:pPr>
      <w:outlineLvl w:val="8"/>
    </w:pPr>
    <w:rPr>
      <w:rFonts w:eastAsia="MS Gothic"/>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AE5C70"/>
    <w:rPr>
      <w:rFonts w:ascii="Times New Roman" w:eastAsia="MS Gothic" w:hAnsi="Times New Roman" w:cs="Times New Roman"/>
      <w:b/>
      <w:bCs/>
      <w:color w:val="333333"/>
      <w:sz w:val="28"/>
      <w:szCs w:val="28"/>
      <w:lang w:val="en-GB"/>
    </w:rPr>
  </w:style>
  <w:style w:type="character" w:customStyle="1" w:styleId="Heading2Char">
    <w:name w:val="Heading 2 Char"/>
    <w:basedOn w:val="DefaultParagraphFont"/>
    <w:link w:val="Heading2"/>
    <w:uiPriority w:val="99"/>
    <w:semiHidden/>
    <w:locked/>
    <w:rsid w:val="00AE5C70"/>
    <w:rPr>
      <w:rFonts w:ascii="Times New Roman" w:eastAsia="MS Gothic" w:hAnsi="Times New Roman" w:cs="Times New Roman"/>
      <w:b/>
      <w:bCs/>
      <w:color w:val="4D4D4D"/>
      <w:sz w:val="26"/>
      <w:szCs w:val="26"/>
      <w:lang w:val="en-GB"/>
    </w:rPr>
  </w:style>
  <w:style w:type="character" w:customStyle="1" w:styleId="Heading3Char">
    <w:name w:val="Heading 3 Char"/>
    <w:basedOn w:val="DefaultParagraphFont"/>
    <w:link w:val="Heading3"/>
    <w:uiPriority w:val="99"/>
    <w:semiHidden/>
    <w:locked/>
    <w:rsid w:val="00AE5C70"/>
    <w:rPr>
      <w:rFonts w:ascii="Times New Roman" w:eastAsia="MS Gothic" w:hAnsi="Times New Roman" w:cs="Times New Roman"/>
      <w:b/>
      <w:bCs/>
      <w:color w:val="5F5F5F"/>
      <w:lang w:val="en-GB"/>
    </w:rPr>
  </w:style>
  <w:style w:type="character" w:customStyle="1" w:styleId="Heading4Char">
    <w:name w:val="Heading 4 Char"/>
    <w:basedOn w:val="DefaultParagraphFont"/>
    <w:link w:val="Heading4"/>
    <w:uiPriority w:val="99"/>
    <w:semiHidden/>
    <w:locked/>
    <w:rsid w:val="00AE5C70"/>
    <w:rPr>
      <w:rFonts w:ascii="Times New Roman" w:eastAsia="MS Gothic" w:hAnsi="Times New Roman" w:cs="Times New Roman"/>
      <w:b/>
      <w:bCs/>
      <w:i/>
      <w:iCs/>
      <w:color w:val="777777"/>
      <w:lang w:val="en-GB"/>
    </w:rPr>
  </w:style>
  <w:style w:type="character" w:customStyle="1" w:styleId="Heading5Char">
    <w:name w:val="Heading 5 Char"/>
    <w:basedOn w:val="DefaultParagraphFont"/>
    <w:link w:val="Heading5"/>
    <w:uiPriority w:val="99"/>
    <w:semiHidden/>
    <w:locked/>
    <w:rsid w:val="00AE5C70"/>
    <w:rPr>
      <w:rFonts w:ascii="Times New Roman" w:eastAsia="MS Gothic" w:hAnsi="Times New Roman" w:cs="Times New Roman"/>
      <w:b/>
      <w:bCs/>
      <w:color w:val="808080"/>
      <w:lang w:val="en-GB"/>
    </w:rPr>
  </w:style>
  <w:style w:type="character" w:customStyle="1" w:styleId="Heading6Char">
    <w:name w:val="Heading 6 Char"/>
    <w:basedOn w:val="DefaultParagraphFont"/>
    <w:link w:val="Heading6"/>
    <w:uiPriority w:val="99"/>
    <w:semiHidden/>
    <w:locked/>
    <w:rsid w:val="00AE5C70"/>
    <w:rPr>
      <w:rFonts w:ascii="Times New Roman" w:eastAsia="MS Gothic" w:hAnsi="Times New Roman" w:cs="Times New Roman"/>
      <w:b/>
      <w:bCs/>
      <w:i/>
      <w:iCs/>
      <w:color w:val="7F7F7F"/>
      <w:lang w:val="en-GB"/>
    </w:rPr>
  </w:style>
  <w:style w:type="character" w:customStyle="1" w:styleId="Heading7Char">
    <w:name w:val="Heading 7 Char"/>
    <w:basedOn w:val="DefaultParagraphFont"/>
    <w:link w:val="Heading7"/>
    <w:uiPriority w:val="99"/>
    <w:semiHidden/>
    <w:locked/>
    <w:rsid w:val="00AE5C70"/>
    <w:rPr>
      <w:rFonts w:ascii="Times New Roman" w:eastAsia="MS Gothic" w:hAnsi="Times New Roman" w:cs="Times New Roman"/>
      <w:i/>
      <w:iCs/>
      <w:lang w:val="en-GB"/>
    </w:rPr>
  </w:style>
  <w:style w:type="character" w:customStyle="1" w:styleId="Heading8Char">
    <w:name w:val="Heading 8 Char"/>
    <w:basedOn w:val="DefaultParagraphFont"/>
    <w:link w:val="Heading8"/>
    <w:uiPriority w:val="99"/>
    <w:semiHidden/>
    <w:locked/>
    <w:rsid w:val="00AE5C70"/>
    <w:rPr>
      <w:rFonts w:ascii="Times New Roman" w:eastAsia="MS Gothic" w:hAnsi="Times New Roman" w:cs="Times New Roman"/>
      <w:sz w:val="20"/>
      <w:szCs w:val="20"/>
      <w:lang w:val="en-GB"/>
    </w:rPr>
  </w:style>
  <w:style w:type="character" w:customStyle="1" w:styleId="Heading9Char">
    <w:name w:val="Heading 9 Char"/>
    <w:basedOn w:val="DefaultParagraphFont"/>
    <w:link w:val="Heading9"/>
    <w:uiPriority w:val="99"/>
    <w:semiHidden/>
    <w:locked/>
    <w:rsid w:val="00AE5C70"/>
    <w:rPr>
      <w:rFonts w:ascii="Times New Roman" w:eastAsia="MS Gothic" w:hAnsi="Times New Roman" w:cs="Times New Roman"/>
      <w:i/>
      <w:iCs/>
      <w:spacing w:val="5"/>
      <w:sz w:val="20"/>
      <w:szCs w:val="20"/>
      <w:lang w:val="en-GB"/>
    </w:rPr>
  </w:style>
  <w:style w:type="paragraph" w:styleId="BalloonText">
    <w:name w:val="Balloon Text"/>
    <w:basedOn w:val="Normal"/>
    <w:link w:val="BalloonTextChar"/>
    <w:uiPriority w:val="99"/>
    <w:semiHidden/>
    <w:rsid w:val="00AE5C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5C70"/>
    <w:rPr>
      <w:rFonts w:ascii="Tahoma" w:hAnsi="Tahoma" w:cs="Tahoma"/>
      <w:sz w:val="16"/>
      <w:szCs w:val="16"/>
      <w:lang w:val="fr-FR"/>
    </w:rPr>
  </w:style>
  <w:style w:type="character" w:styleId="BookTitle">
    <w:name w:val="Book Title"/>
    <w:basedOn w:val="DefaultParagraphFont"/>
    <w:uiPriority w:val="99"/>
    <w:qFormat/>
    <w:rsid w:val="00AE5C70"/>
    <w:rPr>
      <w:i/>
      <w:smallCaps/>
      <w:spacing w:val="5"/>
    </w:rPr>
  </w:style>
  <w:style w:type="paragraph" w:customStyle="1" w:styleId="JuHeader">
    <w:name w:val="Ju_Header"/>
    <w:aliases w:val="_Header"/>
    <w:basedOn w:val="Header"/>
    <w:uiPriority w:val="99"/>
    <w:rsid w:val="00AE5C70"/>
    <w:pPr>
      <w:tabs>
        <w:tab w:val="clear" w:pos="4536"/>
        <w:tab w:val="clear" w:pos="9072"/>
      </w:tabs>
      <w:jc w:val="center"/>
    </w:pPr>
    <w:rPr>
      <w:sz w:val="18"/>
    </w:rPr>
  </w:style>
  <w:style w:type="paragraph" w:customStyle="1" w:styleId="DecList">
    <w:name w:val="Dec_List"/>
    <w:aliases w:val="_List"/>
    <w:basedOn w:val="JuList"/>
    <w:uiPriority w:val="99"/>
    <w:rsid w:val="00AE5C70"/>
    <w:pPr>
      <w:numPr>
        <w:numId w:val="0"/>
      </w:numPr>
      <w:ind w:left="284"/>
    </w:pPr>
  </w:style>
  <w:style w:type="character" w:styleId="Strong">
    <w:name w:val="Strong"/>
    <w:basedOn w:val="DefaultParagraphFont"/>
    <w:uiPriority w:val="99"/>
    <w:qFormat/>
    <w:rsid w:val="00AE5C70"/>
    <w:rPr>
      <w:rFonts w:cs="Times New Roman"/>
      <w:b/>
    </w:rPr>
  </w:style>
  <w:style w:type="paragraph" w:styleId="NoSpacing">
    <w:name w:val="No Spacing"/>
    <w:basedOn w:val="Normal"/>
    <w:link w:val="NoSpacingChar"/>
    <w:uiPriority w:val="99"/>
    <w:qFormat/>
    <w:rsid w:val="00AE5C70"/>
  </w:style>
  <w:style w:type="character" w:customStyle="1" w:styleId="NoSpacingChar">
    <w:name w:val="No Spacing Char"/>
    <w:basedOn w:val="DefaultParagraphFont"/>
    <w:link w:val="NoSpacing"/>
    <w:uiPriority w:val="99"/>
    <w:semiHidden/>
    <w:locked/>
    <w:rsid w:val="00AE5C70"/>
    <w:rPr>
      <w:rFonts w:cs="Times New Roman"/>
      <w:sz w:val="24"/>
      <w:szCs w:val="24"/>
      <w:lang w:val="fr-FR"/>
    </w:rPr>
  </w:style>
  <w:style w:type="paragraph" w:customStyle="1" w:styleId="JuQuot">
    <w:name w:val="Ju_Quot"/>
    <w:aliases w:val="_Quote"/>
    <w:basedOn w:val="NormalJustified"/>
    <w:uiPriority w:val="99"/>
    <w:rsid w:val="00AE5C70"/>
    <w:pPr>
      <w:spacing w:before="120" w:after="120"/>
      <w:ind w:left="425" w:firstLine="142"/>
    </w:pPr>
    <w:rPr>
      <w:sz w:val="20"/>
    </w:rPr>
  </w:style>
  <w:style w:type="paragraph" w:customStyle="1" w:styleId="JuList">
    <w:name w:val="Ju_List"/>
    <w:aliases w:val="_List_1"/>
    <w:basedOn w:val="NormalJustified"/>
    <w:uiPriority w:val="99"/>
    <w:rsid w:val="00AE5C70"/>
    <w:pPr>
      <w:numPr>
        <w:numId w:val="9"/>
      </w:numPr>
      <w:tabs>
        <w:tab w:val="clear" w:pos="1209"/>
      </w:tabs>
      <w:spacing w:before="280" w:after="60"/>
      <w:ind w:left="0" w:firstLine="0"/>
    </w:pPr>
  </w:style>
  <w:style w:type="paragraph" w:customStyle="1" w:styleId="JuLista">
    <w:name w:val="Ju_List_a"/>
    <w:aliases w:val="_List_2"/>
    <w:basedOn w:val="NormalJustified"/>
    <w:uiPriority w:val="99"/>
    <w:rsid w:val="00AE5C70"/>
    <w:pPr>
      <w:numPr>
        <w:ilvl w:val="1"/>
        <w:numId w:val="9"/>
      </w:numPr>
      <w:tabs>
        <w:tab w:val="clear" w:pos="1209"/>
        <w:tab w:val="num" w:pos="680"/>
      </w:tabs>
      <w:ind w:left="680" w:hanging="340"/>
    </w:pPr>
  </w:style>
  <w:style w:type="paragraph" w:customStyle="1" w:styleId="JuListi">
    <w:name w:val="Ju_List_i"/>
    <w:aliases w:val="_List_3"/>
    <w:basedOn w:val="NormalJustified"/>
    <w:uiPriority w:val="99"/>
    <w:rsid w:val="00AE5C70"/>
    <w:pPr>
      <w:numPr>
        <w:ilvl w:val="2"/>
        <w:numId w:val="9"/>
      </w:numPr>
      <w:tabs>
        <w:tab w:val="clear" w:pos="1209"/>
      </w:tabs>
      <w:ind w:left="907" w:hanging="227"/>
    </w:pPr>
  </w:style>
  <w:style w:type="paragraph" w:customStyle="1" w:styleId="DecHTitle">
    <w:name w:val="Dec_H_Title"/>
    <w:aliases w:val="_Title_1"/>
    <w:basedOn w:val="JuPara"/>
    <w:next w:val="JuPara"/>
    <w:uiPriority w:val="99"/>
    <w:rsid w:val="00AE5C70"/>
    <w:pPr>
      <w:keepNext/>
      <w:keepLines/>
      <w:spacing w:after="240"/>
      <w:ind w:firstLine="0"/>
      <w:jc w:val="center"/>
      <w:outlineLvl w:val="0"/>
    </w:pPr>
    <w:rPr>
      <w:sz w:val="28"/>
    </w:rPr>
  </w:style>
  <w:style w:type="paragraph" w:customStyle="1" w:styleId="JuHArticle">
    <w:name w:val="Ju_H_Article"/>
    <w:aliases w:val="_Title_Quote"/>
    <w:basedOn w:val="Normal"/>
    <w:next w:val="JuQuot"/>
    <w:uiPriority w:val="99"/>
    <w:rsid w:val="00AE5C70"/>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99"/>
    <w:rsid w:val="00AE5C70"/>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AE5C70"/>
    <w:pPr>
      <w:keepNext/>
      <w:keepLines/>
      <w:numPr>
        <w:numId w:val="24"/>
      </w:numPr>
      <w:spacing w:before="100" w:beforeAutospacing="1" w:after="240"/>
      <w:contextualSpacing w:val="0"/>
    </w:pPr>
    <w:rPr>
      <w:b w:val="0"/>
      <w:caps/>
      <w:color w:val="auto"/>
    </w:rPr>
  </w:style>
  <w:style w:type="paragraph" w:customStyle="1" w:styleId="JuSigned">
    <w:name w:val="Ju_Signed"/>
    <w:aliases w:val="_Signature"/>
    <w:basedOn w:val="Normal"/>
    <w:next w:val="JuPara"/>
    <w:uiPriority w:val="99"/>
    <w:rsid w:val="00AE5C70"/>
    <w:pPr>
      <w:tabs>
        <w:tab w:val="center" w:pos="851"/>
        <w:tab w:val="center" w:pos="6407"/>
      </w:tabs>
      <w:spacing w:before="720"/>
    </w:pPr>
  </w:style>
  <w:style w:type="paragraph" w:styleId="Title">
    <w:name w:val="Title"/>
    <w:basedOn w:val="Normal"/>
    <w:next w:val="Normal"/>
    <w:link w:val="TitleChar"/>
    <w:uiPriority w:val="99"/>
    <w:qFormat/>
    <w:rsid w:val="00AE5C70"/>
    <w:pPr>
      <w:pBdr>
        <w:bottom w:val="single" w:sz="4" w:space="1" w:color="auto"/>
      </w:pBdr>
      <w:contextualSpacing/>
    </w:pPr>
    <w:rPr>
      <w:rFonts w:eastAsia="MS Gothic"/>
      <w:spacing w:val="5"/>
      <w:sz w:val="52"/>
      <w:szCs w:val="52"/>
    </w:rPr>
  </w:style>
  <w:style w:type="character" w:customStyle="1" w:styleId="TitleChar">
    <w:name w:val="Title Char"/>
    <w:basedOn w:val="DefaultParagraphFont"/>
    <w:link w:val="Title"/>
    <w:uiPriority w:val="99"/>
    <w:semiHidden/>
    <w:locked/>
    <w:rsid w:val="00AE5C70"/>
    <w:rPr>
      <w:rFonts w:ascii="Times New Roman" w:eastAsia="MS Gothic" w:hAnsi="Times New Roman" w:cs="Times New Roman"/>
      <w:spacing w:val="5"/>
      <w:sz w:val="52"/>
      <w:szCs w:val="52"/>
      <w:lang w:val="fr-FR"/>
    </w:rPr>
  </w:style>
  <w:style w:type="table" w:customStyle="1" w:styleId="ECHRTable2019">
    <w:name w:val="ECHR_Table_2019"/>
    <w:uiPriority w:val="99"/>
    <w:rsid w:val="00AE5C70"/>
    <w:rPr>
      <w:sz w:val="24"/>
      <w:szCs w:val="24"/>
    </w:rPr>
    <w:tblPr>
      <w:tblStyleRowBandSize w:val="1"/>
      <w:tblStyleColBandSize w:val="1"/>
      <w:jc w:val="center"/>
      <w:tblInd w:w="0"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CellMar>
        <w:top w:w="0" w:type="dxa"/>
        <w:left w:w="108" w:type="dxa"/>
        <w:bottom w:w="0" w:type="dxa"/>
        <w:right w:w="108" w:type="dxa"/>
      </w:tblCellMar>
    </w:tblPr>
    <w:trPr>
      <w:jc w:val="center"/>
    </w:trPr>
    <w:tblStylePr w:type="firstRow">
      <w:rPr>
        <w:rFonts w:ascii="Times New Roman" w:hAnsi="Times New Roman" w:cs="Times New Roman"/>
        <w:b/>
        <w:i w:val="0"/>
        <w:color w:val="auto"/>
        <w:sz w:val="22"/>
      </w:rPr>
      <w:tblPr/>
      <w:tcPr>
        <w:shd w:val="clear" w:color="auto" w:fill="DFDFDF"/>
      </w:tcPr>
    </w:tblStylePr>
    <w:tblStylePr w:type="lastRow">
      <w:rPr>
        <w:rFonts w:cs="Times New Roman"/>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cs="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rFonts w:cs="Times New Roman"/>
        <w:b/>
        <w:i w:val="0"/>
      </w:rPr>
    </w:tblStylePr>
    <w:tblStylePr w:type="band2Vert">
      <w:rPr>
        <w:rFonts w:cs="Times New Roman"/>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rPr>
        <w:rFonts w:cs="Times New Roman"/>
      </w:rPr>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99"/>
    <w:semiHidden/>
    <w:rsid w:val="00AE5C70"/>
    <w:rPr>
      <w:sz w:val="8"/>
    </w:rPr>
  </w:style>
  <w:style w:type="paragraph" w:customStyle="1" w:styleId="JuCourt">
    <w:name w:val="Ju_Court"/>
    <w:aliases w:val="_Court_Names"/>
    <w:basedOn w:val="Normal"/>
    <w:next w:val="Normal"/>
    <w:uiPriority w:val="99"/>
    <w:rsid w:val="00AE5C70"/>
    <w:pPr>
      <w:tabs>
        <w:tab w:val="left" w:pos="907"/>
        <w:tab w:val="left" w:pos="1701"/>
        <w:tab w:val="right" w:pos="7371"/>
      </w:tabs>
      <w:spacing w:before="240"/>
      <w:ind w:left="397" w:hanging="397"/>
    </w:pPr>
  </w:style>
  <w:style w:type="paragraph" w:customStyle="1" w:styleId="JuInitialled">
    <w:name w:val="Ju_Initialled"/>
    <w:aliases w:val="_Right"/>
    <w:basedOn w:val="Normal"/>
    <w:uiPriority w:val="99"/>
    <w:rsid w:val="00AE5C70"/>
    <w:pPr>
      <w:tabs>
        <w:tab w:val="center" w:pos="6407"/>
      </w:tabs>
      <w:spacing w:before="720"/>
      <w:jc w:val="right"/>
    </w:pPr>
  </w:style>
  <w:style w:type="paragraph" w:customStyle="1" w:styleId="JuHIRoman">
    <w:name w:val="Ju_H_I_Roman"/>
    <w:aliases w:val="_Head_2"/>
    <w:basedOn w:val="Heading2"/>
    <w:next w:val="JuPara"/>
    <w:uiPriority w:val="17"/>
    <w:qFormat/>
    <w:rsid w:val="00AE5C70"/>
    <w:pPr>
      <w:keepNext/>
      <w:keepLines/>
      <w:numPr>
        <w:ilvl w:val="1"/>
        <w:numId w:val="24"/>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AE5C70"/>
    <w:pPr>
      <w:keepNext/>
      <w:keepLines/>
      <w:numPr>
        <w:ilvl w:val="2"/>
        <w:numId w:val="24"/>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AE5C70"/>
    <w:pPr>
      <w:keepNext/>
      <w:keepLines/>
      <w:numPr>
        <w:ilvl w:val="3"/>
        <w:numId w:val="24"/>
      </w:numPr>
      <w:spacing w:before="100" w:beforeAutospacing="1" w:after="120"/>
    </w:pPr>
    <w:rPr>
      <w:b w:val="0"/>
      <w:color w:val="auto"/>
      <w:sz w:val="24"/>
    </w:rPr>
  </w:style>
  <w:style w:type="paragraph" w:styleId="Header">
    <w:name w:val="header"/>
    <w:basedOn w:val="Normal"/>
    <w:link w:val="HeaderChar"/>
    <w:uiPriority w:val="99"/>
    <w:semiHidden/>
    <w:rsid w:val="00AE5C70"/>
    <w:pPr>
      <w:tabs>
        <w:tab w:val="center" w:pos="4536"/>
        <w:tab w:val="right" w:pos="9072"/>
      </w:tabs>
    </w:pPr>
  </w:style>
  <w:style w:type="character" w:customStyle="1" w:styleId="HeaderChar">
    <w:name w:val="Header Char"/>
    <w:basedOn w:val="DefaultParagraphFont"/>
    <w:link w:val="Header"/>
    <w:uiPriority w:val="99"/>
    <w:semiHidden/>
    <w:locked/>
    <w:rsid w:val="00AE5C70"/>
    <w:rPr>
      <w:rFonts w:cs="Times New Roman"/>
      <w:sz w:val="24"/>
      <w:szCs w:val="24"/>
      <w:lang w:val="fr-FR"/>
    </w:rPr>
  </w:style>
  <w:style w:type="paragraph" w:customStyle="1" w:styleId="JuHa0">
    <w:name w:val="Ju_H_a"/>
    <w:aliases w:val="_Head_5"/>
    <w:basedOn w:val="Heading5"/>
    <w:next w:val="JuPara"/>
    <w:uiPriority w:val="17"/>
    <w:rsid w:val="00AE5C70"/>
    <w:pPr>
      <w:keepNext/>
      <w:keepLines/>
      <w:numPr>
        <w:ilvl w:val="4"/>
        <w:numId w:val="24"/>
      </w:numPr>
      <w:spacing w:before="100" w:beforeAutospacing="1" w:after="120"/>
    </w:pPr>
    <w:rPr>
      <w:color w:val="auto"/>
      <w:sz w:val="20"/>
    </w:rPr>
  </w:style>
  <w:style w:type="paragraph" w:customStyle="1" w:styleId="JuHi">
    <w:name w:val="Ju_H_i"/>
    <w:aliases w:val="_Head_6"/>
    <w:basedOn w:val="Heading6"/>
    <w:next w:val="JuPara"/>
    <w:uiPriority w:val="17"/>
    <w:rsid w:val="00AE5C70"/>
    <w:pPr>
      <w:keepNext/>
      <w:keepLines/>
      <w:numPr>
        <w:ilvl w:val="5"/>
        <w:numId w:val="24"/>
      </w:numPr>
      <w:spacing w:before="100" w:beforeAutospacing="1" w:after="120"/>
    </w:pPr>
    <w:rPr>
      <w:b w:val="0"/>
      <w:color w:val="auto"/>
      <w:sz w:val="20"/>
    </w:rPr>
  </w:style>
  <w:style w:type="paragraph" w:customStyle="1" w:styleId="JuHalpha">
    <w:name w:val="Ju_H_alpha"/>
    <w:aliases w:val="_Head_7"/>
    <w:basedOn w:val="Heading7"/>
    <w:next w:val="JuPara"/>
    <w:uiPriority w:val="17"/>
    <w:rsid w:val="00AE5C70"/>
    <w:pPr>
      <w:keepNext/>
      <w:keepLines/>
      <w:numPr>
        <w:ilvl w:val="6"/>
        <w:numId w:val="24"/>
      </w:numPr>
      <w:spacing w:before="100" w:beforeAutospacing="1" w:after="120"/>
    </w:pPr>
    <w:rPr>
      <w:i w:val="0"/>
      <w:sz w:val="20"/>
    </w:rPr>
  </w:style>
  <w:style w:type="paragraph" w:customStyle="1" w:styleId="JuH">
    <w:name w:val="Ju_H_–"/>
    <w:aliases w:val="_Head_8"/>
    <w:basedOn w:val="Heading8"/>
    <w:next w:val="JuPara"/>
    <w:uiPriority w:val="17"/>
    <w:rsid w:val="00AE5C70"/>
    <w:pPr>
      <w:keepNext/>
      <w:keepLines/>
      <w:numPr>
        <w:ilvl w:val="7"/>
        <w:numId w:val="24"/>
      </w:numPr>
      <w:spacing w:before="100" w:beforeAutospacing="1" w:after="120"/>
    </w:pPr>
    <w:rPr>
      <w:i/>
    </w:rPr>
  </w:style>
  <w:style w:type="paragraph" w:customStyle="1" w:styleId="JuParaLast">
    <w:name w:val="Ju_Para_Last"/>
    <w:aliases w:val="_Para_Spaced"/>
    <w:basedOn w:val="NormalJustified"/>
    <w:uiPriority w:val="99"/>
    <w:rsid w:val="00AE5C70"/>
    <w:pPr>
      <w:keepNext/>
      <w:keepLines/>
      <w:spacing w:before="240" w:after="240"/>
      <w:ind w:firstLine="284"/>
    </w:pPr>
  </w:style>
  <w:style w:type="paragraph" w:customStyle="1" w:styleId="JuJudges">
    <w:name w:val="Ju_Judges"/>
    <w:aliases w:val="_Judges"/>
    <w:basedOn w:val="Normal"/>
    <w:uiPriority w:val="99"/>
    <w:rsid w:val="00AE5C70"/>
    <w:pPr>
      <w:tabs>
        <w:tab w:val="left" w:pos="567"/>
        <w:tab w:val="left" w:pos="1134"/>
      </w:tabs>
    </w:pPr>
  </w:style>
  <w:style w:type="character" w:customStyle="1" w:styleId="JuITMark">
    <w:name w:val="Ju_ITMark"/>
    <w:aliases w:val="_ITMark"/>
    <w:basedOn w:val="DefaultParagraphFont"/>
    <w:uiPriority w:val="99"/>
    <w:rsid w:val="00AE5C70"/>
    <w:rPr>
      <w:rFonts w:cs="Times New Roman"/>
      <w:color w:val="auto"/>
      <w:sz w:val="14"/>
      <w:shd w:val="clear" w:color="auto" w:fill="BEE5FF"/>
    </w:rPr>
  </w:style>
  <w:style w:type="character" w:customStyle="1" w:styleId="JUNAMES">
    <w:name w:val="JU_NAMES"/>
    <w:aliases w:val="_Ju_Names"/>
    <w:uiPriority w:val="99"/>
    <w:rsid w:val="00AE5C70"/>
    <w:rPr>
      <w:smallCaps/>
    </w:rPr>
  </w:style>
  <w:style w:type="paragraph" w:customStyle="1" w:styleId="NormalJustified">
    <w:name w:val="Normal_Justified"/>
    <w:basedOn w:val="Normal"/>
    <w:uiPriority w:val="99"/>
    <w:semiHidden/>
    <w:rsid w:val="00AE5C70"/>
    <w:pPr>
      <w:jc w:val="both"/>
    </w:pPr>
  </w:style>
  <w:style w:type="character" w:styleId="SubtleEmphasis">
    <w:name w:val="Subtle Emphasis"/>
    <w:basedOn w:val="DefaultParagraphFont"/>
    <w:uiPriority w:val="99"/>
    <w:qFormat/>
    <w:rsid w:val="00AE5C70"/>
    <w:rPr>
      <w:i/>
    </w:rPr>
  </w:style>
  <w:style w:type="table" w:customStyle="1" w:styleId="ECHRTable">
    <w:name w:val="ECHR_Table"/>
    <w:uiPriority w:val="99"/>
    <w:rsid w:val="00AE5C70"/>
    <w:rPr>
      <w:sz w:val="20"/>
      <w:szCs w:val="20"/>
      <w:lang w:val="en-GB"/>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cPr>
    </w:tblStylePr>
    <w:tblStylePr w:type="band2Horz">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uiPriority w:val="99"/>
    <w:rsid w:val="00AE5C70"/>
    <w:rPr>
      <w:rFonts w:ascii="Verdana" w:hAnsi="Verdana"/>
      <w:sz w:val="20"/>
      <w:szCs w:val="20"/>
      <w:lang w:val="en-GB"/>
    </w:rPr>
    <w:tblPr>
      <w:tblInd w:w="0" w:type="dxa"/>
      <w:tblCellMar>
        <w:top w:w="57" w:type="dxa"/>
        <w:left w:w="57" w:type="dxa"/>
        <w:bottom w:w="57" w:type="dxa"/>
        <w:right w:w="57" w:type="dxa"/>
      </w:tblCellMar>
    </w:tblPr>
    <w:tcPr>
      <w:shd w:val="clear" w:color="auto" w:fill="F8F8F8"/>
    </w:tcPr>
    <w:tblStylePr w:type="firstCol">
      <w:rPr>
        <w:rFonts w:cs="Times New Roman"/>
        <w:b/>
        <w:color w:val="5F5F5F"/>
      </w:rPr>
    </w:tblStylePr>
  </w:style>
  <w:style w:type="character" w:styleId="Emphasis">
    <w:name w:val="Emphasis"/>
    <w:basedOn w:val="DefaultParagraphFont"/>
    <w:uiPriority w:val="99"/>
    <w:qFormat/>
    <w:rsid w:val="00AE5C70"/>
    <w:rPr>
      <w:rFonts w:cs="Times New Roman"/>
      <w:b/>
      <w:i/>
      <w:spacing w:val="10"/>
      <w:shd w:val="clear" w:color="auto" w:fill="auto"/>
    </w:rPr>
  </w:style>
  <w:style w:type="paragraph" w:styleId="Footer0">
    <w:name w:val="footer"/>
    <w:basedOn w:val="Normal"/>
    <w:link w:val="FooterChar"/>
    <w:uiPriority w:val="99"/>
    <w:semiHidden/>
    <w:rsid w:val="00AE5C70"/>
    <w:pPr>
      <w:tabs>
        <w:tab w:val="center" w:pos="3686"/>
        <w:tab w:val="right" w:pos="7371"/>
      </w:tabs>
    </w:pPr>
  </w:style>
  <w:style w:type="character" w:customStyle="1" w:styleId="FooterChar">
    <w:name w:val="Footer Char"/>
    <w:basedOn w:val="DefaultParagraphFont"/>
    <w:link w:val="Footer0"/>
    <w:uiPriority w:val="99"/>
    <w:semiHidden/>
    <w:locked/>
    <w:rsid w:val="00AE5C70"/>
    <w:rPr>
      <w:rFonts w:cs="Times New Roman"/>
      <w:sz w:val="24"/>
      <w:szCs w:val="24"/>
      <w:lang w:val="fr-FR"/>
    </w:rPr>
  </w:style>
  <w:style w:type="character" w:styleId="FootnoteReference">
    <w:name w:val="footnote reference"/>
    <w:basedOn w:val="DefaultParagraphFont"/>
    <w:uiPriority w:val="99"/>
    <w:semiHidden/>
    <w:rsid w:val="00AE5C70"/>
    <w:rPr>
      <w:rFonts w:cs="Times New Roman"/>
      <w:vertAlign w:val="superscript"/>
    </w:rPr>
  </w:style>
  <w:style w:type="paragraph" w:styleId="FootnoteText">
    <w:name w:val="footnote text"/>
    <w:basedOn w:val="Normal"/>
    <w:link w:val="FootnoteTextChar"/>
    <w:uiPriority w:val="99"/>
    <w:semiHidden/>
    <w:rsid w:val="00AE5C70"/>
    <w:rPr>
      <w:sz w:val="20"/>
      <w:szCs w:val="20"/>
    </w:rPr>
  </w:style>
  <w:style w:type="character" w:customStyle="1" w:styleId="FootnoteTextChar">
    <w:name w:val="Footnote Text Char"/>
    <w:basedOn w:val="DefaultParagraphFont"/>
    <w:link w:val="FootnoteText"/>
    <w:uiPriority w:val="99"/>
    <w:semiHidden/>
    <w:locked/>
    <w:rsid w:val="00AE5C70"/>
    <w:rPr>
      <w:rFonts w:cs="Times New Roman"/>
      <w:sz w:val="20"/>
      <w:szCs w:val="20"/>
      <w:lang w:val="fr-FR"/>
    </w:rPr>
  </w:style>
  <w:style w:type="character" w:styleId="Hyperlink">
    <w:name w:val="Hyperlink"/>
    <w:basedOn w:val="DefaultParagraphFont"/>
    <w:uiPriority w:val="99"/>
    <w:semiHidden/>
    <w:rsid w:val="00AE5C70"/>
    <w:rPr>
      <w:rFonts w:cs="Times New Roman"/>
      <w:color w:val="0072BC"/>
      <w:u w:val="single"/>
    </w:rPr>
  </w:style>
  <w:style w:type="character" w:styleId="IntenseEmphasis">
    <w:name w:val="Intense Emphasis"/>
    <w:basedOn w:val="DefaultParagraphFont"/>
    <w:uiPriority w:val="99"/>
    <w:qFormat/>
    <w:rsid w:val="00AE5C70"/>
    <w:rPr>
      <w:b/>
    </w:rPr>
  </w:style>
  <w:style w:type="paragraph" w:styleId="IntenseQuote">
    <w:name w:val="Intense Quote"/>
    <w:basedOn w:val="Normal"/>
    <w:next w:val="Normal"/>
    <w:link w:val="IntenseQuoteChar"/>
    <w:uiPriority w:val="99"/>
    <w:qFormat/>
    <w:rsid w:val="00AE5C7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99"/>
    <w:semiHidden/>
    <w:locked/>
    <w:rsid w:val="00AE5C70"/>
    <w:rPr>
      <w:rFonts w:cs="Times New Roman"/>
      <w:b/>
      <w:bCs/>
      <w:i/>
      <w:iCs/>
      <w:sz w:val="24"/>
      <w:szCs w:val="24"/>
      <w:lang w:val="fr-FR"/>
    </w:rPr>
  </w:style>
  <w:style w:type="character" w:styleId="IntenseReference">
    <w:name w:val="Intense Reference"/>
    <w:basedOn w:val="DefaultParagraphFont"/>
    <w:uiPriority w:val="99"/>
    <w:qFormat/>
    <w:rsid w:val="00AE5C70"/>
    <w:rPr>
      <w:smallCaps/>
      <w:spacing w:val="5"/>
      <w:u w:val="single"/>
    </w:rPr>
  </w:style>
  <w:style w:type="paragraph" w:styleId="ListParagraph">
    <w:name w:val="List Paragraph"/>
    <w:basedOn w:val="Normal"/>
    <w:uiPriority w:val="99"/>
    <w:qFormat/>
    <w:rsid w:val="00AE5C70"/>
    <w:pPr>
      <w:ind w:left="720"/>
      <w:contextualSpacing/>
    </w:pPr>
  </w:style>
  <w:style w:type="table" w:customStyle="1" w:styleId="LtrTableAddress">
    <w:name w:val="Ltr_Table_Address"/>
    <w:aliases w:val="ECHR_Ltr_Table_Address"/>
    <w:uiPriority w:val="99"/>
    <w:rsid w:val="00AE5C70"/>
    <w:rPr>
      <w:sz w:val="24"/>
      <w:szCs w:val="24"/>
    </w:rPr>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qFormat/>
    <w:rsid w:val="00AE5C70"/>
    <w:pPr>
      <w:spacing w:before="200"/>
      <w:ind w:left="360" w:right="360"/>
    </w:pPr>
    <w:rPr>
      <w:i/>
      <w:iCs/>
    </w:rPr>
  </w:style>
  <w:style w:type="character" w:customStyle="1" w:styleId="QuoteChar">
    <w:name w:val="Quote Char"/>
    <w:basedOn w:val="DefaultParagraphFont"/>
    <w:link w:val="Quote"/>
    <w:uiPriority w:val="99"/>
    <w:semiHidden/>
    <w:locked/>
    <w:rsid w:val="00AE5C70"/>
    <w:rPr>
      <w:rFonts w:cs="Times New Roman"/>
      <w:i/>
      <w:iCs/>
      <w:sz w:val="24"/>
      <w:szCs w:val="24"/>
      <w:lang w:val="fr-FR"/>
    </w:rPr>
  </w:style>
  <w:style w:type="character" w:styleId="SubtleReference">
    <w:name w:val="Subtle Reference"/>
    <w:basedOn w:val="DefaultParagraphFont"/>
    <w:uiPriority w:val="99"/>
    <w:qFormat/>
    <w:rsid w:val="00AE5C70"/>
    <w:rPr>
      <w:smallCaps/>
    </w:rPr>
  </w:style>
  <w:style w:type="table" w:styleId="TableGrid">
    <w:name w:val="Table Grid"/>
    <w:basedOn w:val="TableNormal"/>
    <w:uiPriority w:val="99"/>
    <w:semiHidden/>
    <w:rsid w:val="00AE5C70"/>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E5C7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AE5C7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AE5C7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AE5C70"/>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AE5C7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qFormat/>
    <w:rsid w:val="00AE5C70"/>
    <w:pPr>
      <w:keepNext/>
      <w:keepLines/>
      <w:spacing w:before="240"/>
      <w:contextualSpacing/>
      <w:jc w:val="center"/>
    </w:pPr>
    <w:rPr>
      <w:b/>
      <w:color w:val="474747"/>
      <w:sz w:val="28"/>
    </w:rPr>
  </w:style>
  <w:style w:type="table" w:customStyle="1" w:styleId="UGTable">
    <w:name w:val="UG_Table"/>
    <w:aliases w:val="ECHR_UG_Table"/>
    <w:uiPriority w:val="99"/>
    <w:rsid w:val="00AE5C70"/>
    <w:rPr>
      <w:rFonts w:eastAsia="MS Mincho"/>
      <w:sz w:val="20"/>
      <w:szCs w:val="24"/>
      <w:lang w:val="en-GB" w:eastAsia="en-GB"/>
    </w:rPr>
    <w:tblPr>
      <w:tblInd w:w="-1191" w:type="dxa"/>
      <w:tblCellMar>
        <w:top w:w="57" w:type="dxa"/>
        <w:left w:w="0" w:type="dxa"/>
        <w:bottom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uiPriority w:val="99"/>
    <w:rsid w:val="00AE5C70"/>
    <w:rPr>
      <w:rFonts w:eastAsia="MS Mincho"/>
      <w:sz w:val="24"/>
      <w:szCs w:val="24"/>
      <w:lang w:val="en-GB" w:eastAsia="en-GB"/>
    </w:rPr>
    <w:tblPr>
      <w:tblInd w:w="0"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uiPriority w:val="99"/>
    <w:rsid w:val="00AE5C70"/>
    <w:rPr>
      <w:color w:val="000000"/>
      <w:sz w:val="18"/>
      <w:szCs w:val="24"/>
    </w:rPr>
    <w:tblPr>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blStylePr w:type="firstRow">
      <w:pPr>
        <w:spacing w:beforeLines="0" w:beforeAutospacing="0" w:afterLines="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cPr>
    </w:tblStylePr>
    <w:tblStylePr w:type="firstCol">
      <w:pPr>
        <w:jc w:val="left"/>
      </w:pPr>
      <w:rPr>
        <w:rFonts w:cs="Times New Roman"/>
      </w:rPr>
    </w:tblStylePr>
  </w:style>
  <w:style w:type="table" w:customStyle="1" w:styleId="ECHRTableFax">
    <w:name w:val="ECHR_Table_Fax"/>
    <w:uiPriority w:val="99"/>
    <w:rsid w:val="00AE5C70"/>
    <w:rPr>
      <w:color w:val="000000"/>
      <w:sz w:val="24"/>
      <w:szCs w:val="24"/>
    </w:rPr>
    <w:tblPr>
      <w:tblInd w:w="-680" w:type="dxa"/>
      <w:tblBorders>
        <w:insideH w:val="single" w:sz="4" w:space="0" w:color="C6C6C6"/>
        <w:insideV w:val="single" w:sz="4" w:space="0" w:color="C6C6C6"/>
      </w:tblBorders>
      <w:tblCellMar>
        <w:top w:w="142" w:type="dxa"/>
        <w:left w:w="108" w:type="dxa"/>
        <w:bottom w:w="142" w:type="dxa"/>
        <w:right w:w="108" w:type="dxa"/>
      </w:tblCellMar>
    </w:tblPr>
    <w:trPr>
      <w:cantSplit/>
    </w:trPr>
  </w:style>
  <w:style w:type="table" w:customStyle="1" w:styleId="ECHRTableMemo">
    <w:name w:val="ECHR_Table_Memo"/>
    <w:uiPriority w:val="99"/>
    <w:rsid w:val="00AE5C70"/>
    <w:rPr>
      <w:sz w:val="24"/>
      <w:szCs w:val="24"/>
    </w:rPr>
    <w:tblPr>
      <w:jc w:val="center"/>
      <w:tblInd w:w="0" w:type="dxa"/>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uiPriority w:val="99"/>
    <w:rsid w:val="00AE5C70"/>
    <w:rPr>
      <w:sz w:val="24"/>
      <w:szCs w:val="24"/>
    </w:rPr>
    <w:tblPr>
      <w:jc w:val="center"/>
      <w:tblInd w:w="0" w:type="dxa"/>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left w:w="108" w:type="dxa"/>
        <w:bottom w:w="57" w:type="dxa"/>
        <w:right w:w="108" w:type="dxa"/>
      </w:tblCellMar>
    </w:tblPr>
    <w:trPr>
      <w:jc w:val="center"/>
    </w:trPr>
    <w:tblStylePr w:type="firstRow">
      <w:pPr>
        <w:spacing w:beforeLines="0"/>
        <w:ind w:leftChars="0" w:left="0"/>
      </w:pPr>
      <w:rPr>
        <w:rFonts w:ascii="Times New Roman" w:hAnsi="Times New Roman" w:cs="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AE5C70"/>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9"/>
    <w:qFormat/>
    <w:rsid w:val="00AE5C70"/>
    <w:pPr>
      <w:spacing w:after="600"/>
    </w:pPr>
    <w:rPr>
      <w:rFonts w:eastAsia="MS Gothic"/>
      <w:i/>
      <w:iCs/>
      <w:spacing w:val="13"/>
    </w:rPr>
  </w:style>
  <w:style w:type="character" w:customStyle="1" w:styleId="SubtitleChar">
    <w:name w:val="Subtitle Char"/>
    <w:basedOn w:val="DefaultParagraphFont"/>
    <w:link w:val="Subtitle"/>
    <w:uiPriority w:val="99"/>
    <w:semiHidden/>
    <w:locked/>
    <w:rsid w:val="00AE5C70"/>
    <w:rPr>
      <w:rFonts w:ascii="Times New Roman" w:eastAsia="MS Gothic" w:hAnsi="Times New Roman" w:cs="Times New Roman"/>
      <w:i/>
      <w:iCs/>
      <w:spacing w:val="13"/>
      <w:sz w:val="24"/>
      <w:szCs w:val="24"/>
      <w:lang w:val="fr-FR"/>
    </w:rPr>
  </w:style>
  <w:style w:type="paragraph" w:customStyle="1" w:styleId="JuPara">
    <w:name w:val="Ju_Para"/>
    <w:aliases w:val="_Para"/>
    <w:basedOn w:val="NormalJustified"/>
    <w:link w:val="JuParaChar"/>
    <w:uiPriority w:val="99"/>
    <w:rsid w:val="00AE5C70"/>
    <w:pPr>
      <w:ind w:firstLine="284"/>
    </w:pPr>
  </w:style>
  <w:style w:type="table" w:customStyle="1" w:styleId="ECHRTableSimpleBox">
    <w:name w:val="ECHR_Table_Simple_Box"/>
    <w:uiPriority w:val="99"/>
    <w:rsid w:val="00AE5C70"/>
    <w:rPr>
      <w:sz w:val="24"/>
      <w:szCs w:val="24"/>
    </w:rPr>
    <w:tblPr>
      <w:tblInd w:w="0" w:type="dxa"/>
      <w:tblBorders>
        <w:top w:val="single" w:sz="4" w:space="0" w:color="9F9F9F"/>
        <w:left w:val="single" w:sz="4" w:space="0" w:color="9F9F9F"/>
        <w:bottom w:val="single" w:sz="4" w:space="0" w:color="9F9F9F"/>
        <w:right w:val="single" w:sz="4" w:space="0" w:color="9F9F9F"/>
      </w:tblBorders>
      <w:tblCellMar>
        <w:top w:w="113" w:type="dxa"/>
        <w:left w:w="108" w:type="dxa"/>
        <w:bottom w:w="113" w:type="dxa"/>
        <w:right w:w="108" w:type="dxa"/>
      </w:tblCellMar>
    </w:tblPr>
  </w:style>
  <w:style w:type="table" w:customStyle="1" w:styleId="ECHRTableNoLines">
    <w:name w:val="ECHR_Table_No_Lines"/>
    <w:uiPriority w:val="99"/>
    <w:rsid w:val="00AE5C70"/>
    <w:rPr>
      <w:sz w:val="24"/>
      <w:szCs w:val="24"/>
    </w:rPr>
    <w:tblPr>
      <w:tblInd w:w="0" w:type="dxa"/>
      <w:tblCellMar>
        <w:top w:w="85" w:type="dxa"/>
        <w:left w:w="142" w:type="dxa"/>
        <w:bottom w:w="28" w:type="dxa"/>
        <w:right w:w="142" w:type="dxa"/>
      </w:tblCellMar>
    </w:tblPr>
    <w:tblStylePr w:type="firstRow">
      <w:rPr>
        <w:rFonts w:ascii="Times New Roman" w:hAnsi="Times New Roman" w:cs="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uiPriority w:val="99"/>
    <w:rsid w:val="00AE5C70"/>
    <w:rPr>
      <w:color w:val="636363"/>
      <w:sz w:val="18"/>
      <w:szCs w:val="24"/>
    </w:rPr>
    <w:tblPr>
      <w:tblStyleColBandSize w:val="1"/>
      <w:jc w:val="right"/>
      <w:tblInd w:w="0" w:type="dxa"/>
      <w:tblCellMar>
        <w:top w:w="113" w:type="dxa"/>
        <w:left w:w="108" w:type="dxa"/>
        <w:bottom w:w="28" w:type="dxa"/>
        <w:right w:w="10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uiPriority w:val="99"/>
    <w:rsid w:val="00AE5C70"/>
    <w:rPr>
      <w:sz w:val="24"/>
      <w:szCs w:val="24"/>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9"/>
    <w:semiHidden/>
    <w:rsid w:val="00AE5C70"/>
  </w:style>
  <w:style w:type="paragraph" w:styleId="BlockText">
    <w:name w:val="Block Text"/>
    <w:basedOn w:val="Normal"/>
    <w:uiPriority w:val="99"/>
    <w:semiHidden/>
    <w:rsid w:val="00AE5C70"/>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uiPriority w:val="99"/>
    <w:rsid w:val="00AE5C70"/>
    <w:rPr>
      <w:sz w:val="24"/>
      <w:szCs w:val="24"/>
    </w:rPr>
    <w:tblPr>
      <w:tblInd w:w="-1474" w:type="dxa"/>
      <w:tblBorders>
        <w:bottom w:val="single" w:sz="6" w:space="0" w:color="949494"/>
      </w:tblBorders>
      <w:tblCellMar>
        <w:top w:w="0" w:type="dxa"/>
        <w:left w:w="0" w:type="dxa"/>
        <w:bottom w:w="28" w:type="dxa"/>
        <w:right w:w="0" w:type="dxa"/>
      </w:tblCellMar>
    </w:tblPr>
    <w:tblStylePr w:type="lastCol">
      <w:pPr>
        <w:jc w:val="both"/>
      </w:pPr>
      <w:rPr>
        <w:rFonts w:cs="Times New Roman"/>
      </w:rPr>
    </w:tblStylePr>
  </w:style>
  <w:style w:type="paragraph" w:styleId="BodyText">
    <w:name w:val="Body Text"/>
    <w:basedOn w:val="Normal"/>
    <w:link w:val="BodyTextChar"/>
    <w:uiPriority w:val="99"/>
    <w:semiHidden/>
    <w:rsid w:val="00AE5C70"/>
    <w:pPr>
      <w:spacing w:after="120"/>
    </w:pPr>
  </w:style>
  <w:style w:type="character" w:customStyle="1" w:styleId="BodyTextChar">
    <w:name w:val="Body Text Char"/>
    <w:basedOn w:val="DefaultParagraphFont"/>
    <w:link w:val="BodyText"/>
    <w:uiPriority w:val="99"/>
    <w:semiHidden/>
    <w:locked/>
    <w:rsid w:val="00AE5C70"/>
    <w:rPr>
      <w:rFonts w:cs="Times New Roman"/>
      <w:sz w:val="24"/>
      <w:szCs w:val="24"/>
      <w:lang w:val="fr-FR"/>
    </w:rPr>
  </w:style>
  <w:style w:type="table" w:customStyle="1" w:styleId="ECHRTableOddBanded">
    <w:name w:val="ECHR_Table_Odd_Banded"/>
    <w:uiPriority w:val="99"/>
    <w:rsid w:val="00860B03"/>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cPr>
    </w:tblStylePr>
    <w:tblStylePr w:type="band1Horz">
      <w:rPr>
        <w:rFonts w:cs="Times New Roman"/>
        <w:b/>
      </w:rPr>
      <w:tblPr/>
      <w:tcPr>
        <w:shd w:val="clear" w:color="auto" w:fill="DFDFDF"/>
      </w:tcPr>
    </w:tblStylePr>
  </w:style>
  <w:style w:type="paragraph" w:styleId="BodyText2">
    <w:name w:val="Body Text 2"/>
    <w:basedOn w:val="Normal"/>
    <w:link w:val="BodyText2Char"/>
    <w:uiPriority w:val="99"/>
    <w:semiHidden/>
    <w:rsid w:val="00AE5C70"/>
    <w:pPr>
      <w:spacing w:after="120" w:line="480" w:lineRule="auto"/>
    </w:pPr>
  </w:style>
  <w:style w:type="character" w:customStyle="1" w:styleId="BodyText2Char">
    <w:name w:val="Body Text 2 Char"/>
    <w:basedOn w:val="DefaultParagraphFont"/>
    <w:link w:val="BodyText2"/>
    <w:uiPriority w:val="99"/>
    <w:semiHidden/>
    <w:locked/>
    <w:rsid w:val="00AE5C70"/>
    <w:rPr>
      <w:rFonts w:cs="Times New Roman"/>
      <w:sz w:val="24"/>
      <w:szCs w:val="24"/>
      <w:lang w:val="fr-FR"/>
    </w:rPr>
  </w:style>
  <w:style w:type="table" w:customStyle="1" w:styleId="ECHRHeaderTableReduced">
    <w:name w:val="ECHR_Header_Table_Reduced"/>
    <w:uiPriority w:val="99"/>
    <w:rsid w:val="00AE5C70"/>
    <w:rPr>
      <w:sz w:val="24"/>
      <w:szCs w:val="24"/>
    </w:rPr>
    <w:tblPr>
      <w:tblInd w:w="-1474" w:type="dxa"/>
      <w:tblCellMar>
        <w:top w:w="0" w:type="dxa"/>
        <w:left w:w="0" w:type="dxa"/>
        <w:bottom w:w="0" w:type="dxa"/>
        <w:right w:w="0" w:type="dxa"/>
      </w:tblCellMar>
    </w:tblPr>
    <w:tblStylePr w:type="firstRow">
      <w:rPr>
        <w:rFonts w:cs="Times New Roman"/>
        <w:sz w:val="18"/>
      </w:rPr>
      <w:tblPr/>
      <w:tcPr>
        <w:tcBorders>
          <w:top w:val="nil"/>
          <w:left w:val="nil"/>
          <w:bottom w:val="single" w:sz="6" w:space="0" w:color="949494"/>
          <w:right w:val="nil"/>
          <w:insideH w:val="nil"/>
          <w:insideV w:val="nil"/>
          <w:tl2br w:val="nil"/>
          <w:tr2bl w:val="nil"/>
        </w:tcBorders>
      </w:tcPr>
    </w:tblStylePr>
    <w:tblStylePr w:type="lastRow">
      <w:pPr>
        <w:jc w:val="right"/>
      </w:pPr>
      <w:rPr>
        <w:rFonts w:cs="Times New Roman"/>
      </w:r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99"/>
    <w:rsid w:val="00AE5C70"/>
    <w:pPr>
      <w:ind w:firstLine="284"/>
    </w:pPr>
    <w:rPr>
      <w:b/>
    </w:rPr>
  </w:style>
  <w:style w:type="character" w:styleId="PageNumber">
    <w:name w:val="page number"/>
    <w:basedOn w:val="DefaultParagraphFont"/>
    <w:uiPriority w:val="99"/>
    <w:semiHidden/>
    <w:rsid w:val="00AE5C70"/>
    <w:rPr>
      <w:rFonts w:cs="Times New Roman"/>
      <w:sz w:val="18"/>
    </w:rPr>
  </w:style>
  <w:style w:type="paragraph" w:styleId="ListBullet2">
    <w:name w:val="List Bullet 2"/>
    <w:basedOn w:val="Normal"/>
    <w:uiPriority w:val="99"/>
    <w:semiHidden/>
    <w:rsid w:val="00AE5C70"/>
    <w:pPr>
      <w:numPr>
        <w:numId w:val="22"/>
      </w:numPr>
      <w:tabs>
        <w:tab w:val="num" w:pos="643"/>
      </w:tabs>
      <w:ind w:left="643" w:hanging="360"/>
      <w:contextualSpacing/>
    </w:pPr>
  </w:style>
  <w:style w:type="paragraph" w:styleId="BodyText3">
    <w:name w:val="Body Text 3"/>
    <w:basedOn w:val="Normal"/>
    <w:link w:val="BodyText3Char"/>
    <w:uiPriority w:val="99"/>
    <w:semiHidden/>
    <w:rsid w:val="00AE5C70"/>
    <w:pPr>
      <w:spacing w:after="120"/>
    </w:pPr>
    <w:rPr>
      <w:sz w:val="16"/>
      <w:szCs w:val="16"/>
    </w:rPr>
  </w:style>
  <w:style w:type="character" w:customStyle="1" w:styleId="BodyText3Char">
    <w:name w:val="Body Text 3 Char"/>
    <w:basedOn w:val="DefaultParagraphFont"/>
    <w:link w:val="BodyText3"/>
    <w:uiPriority w:val="99"/>
    <w:semiHidden/>
    <w:locked/>
    <w:rsid w:val="00AE5C70"/>
    <w:rPr>
      <w:rFonts w:cs="Times New Roman"/>
      <w:sz w:val="16"/>
      <w:szCs w:val="16"/>
      <w:lang w:val="fr-FR"/>
    </w:rPr>
  </w:style>
  <w:style w:type="paragraph" w:styleId="BodyTextFirstIndent">
    <w:name w:val="Body Text First Indent"/>
    <w:basedOn w:val="BodyText"/>
    <w:link w:val="BodyTextFirstIndentChar"/>
    <w:uiPriority w:val="99"/>
    <w:semiHidden/>
    <w:rsid w:val="00AE5C70"/>
    <w:pPr>
      <w:spacing w:after="0"/>
      <w:ind w:firstLine="360"/>
    </w:pPr>
  </w:style>
  <w:style w:type="character" w:customStyle="1" w:styleId="BodyTextFirstIndentChar">
    <w:name w:val="Body Text First Indent Char"/>
    <w:basedOn w:val="BodyTextChar"/>
    <w:link w:val="BodyTextFirstIndent"/>
    <w:uiPriority w:val="99"/>
    <w:semiHidden/>
    <w:locked/>
    <w:rsid w:val="00AE5C70"/>
    <w:rPr>
      <w:rFonts w:cs="Times New Roman"/>
      <w:sz w:val="24"/>
      <w:szCs w:val="24"/>
      <w:lang w:val="fr-FR"/>
    </w:rPr>
  </w:style>
  <w:style w:type="paragraph" w:styleId="BodyTextIndent">
    <w:name w:val="Body Text Indent"/>
    <w:basedOn w:val="Normal"/>
    <w:link w:val="BodyTextIndentChar"/>
    <w:uiPriority w:val="99"/>
    <w:semiHidden/>
    <w:rsid w:val="00AE5C70"/>
    <w:pPr>
      <w:spacing w:after="120"/>
      <w:ind w:left="283"/>
    </w:pPr>
  </w:style>
  <w:style w:type="character" w:customStyle="1" w:styleId="BodyTextIndentChar">
    <w:name w:val="Body Text Indent Char"/>
    <w:basedOn w:val="DefaultParagraphFont"/>
    <w:link w:val="BodyTextIndent"/>
    <w:uiPriority w:val="99"/>
    <w:semiHidden/>
    <w:locked/>
    <w:rsid w:val="00AE5C70"/>
    <w:rPr>
      <w:rFonts w:cs="Times New Roman"/>
      <w:sz w:val="24"/>
      <w:szCs w:val="24"/>
      <w:lang w:val="fr-FR"/>
    </w:rPr>
  </w:style>
  <w:style w:type="paragraph" w:styleId="BodyTextFirstIndent2">
    <w:name w:val="Body Text First Indent 2"/>
    <w:basedOn w:val="BodyTextIndent"/>
    <w:link w:val="BodyTextFirstIndent2Char"/>
    <w:uiPriority w:val="99"/>
    <w:semiHidden/>
    <w:rsid w:val="00AE5C70"/>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AE5C70"/>
    <w:rPr>
      <w:rFonts w:cs="Times New Roman"/>
      <w:sz w:val="24"/>
      <w:szCs w:val="24"/>
      <w:lang w:val="fr-FR"/>
    </w:rPr>
  </w:style>
  <w:style w:type="paragraph" w:styleId="BodyTextIndent2">
    <w:name w:val="Body Text Indent 2"/>
    <w:basedOn w:val="Normal"/>
    <w:link w:val="BodyTextIndent2Char"/>
    <w:uiPriority w:val="99"/>
    <w:semiHidden/>
    <w:rsid w:val="00AE5C7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E5C70"/>
    <w:rPr>
      <w:rFonts w:cs="Times New Roman"/>
      <w:sz w:val="24"/>
      <w:szCs w:val="24"/>
      <w:lang w:val="fr-FR"/>
    </w:rPr>
  </w:style>
  <w:style w:type="paragraph" w:styleId="BodyTextIndent3">
    <w:name w:val="Body Text Indent 3"/>
    <w:basedOn w:val="Normal"/>
    <w:link w:val="BodyTextIndent3Char"/>
    <w:uiPriority w:val="99"/>
    <w:semiHidden/>
    <w:rsid w:val="00AE5C7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E5C70"/>
    <w:rPr>
      <w:rFonts w:cs="Times New Roman"/>
      <w:sz w:val="16"/>
      <w:szCs w:val="16"/>
      <w:lang w:val="fr-FR"/>
    </w:rPr>
  </w:style>
  <w:style w:type="paragraph" w:styleId="Caption">
    <w:name w:val="caption"/>
    <w:basedOn w:val="Normal"/>
    <w:next w:val="Normal"/>
    <w:uiPriority w:val="99"/>
    <w:qFormat/>
    <w:rsid w:val="00AE5C70"/>
    <w:pPr>
      <w:spacing w:after="200"/>
    </w:pPr>
    <w:rPr>
      <w:b/>
      <w:bCs/>
      <w:color w:val="0072BC"/>
      <w:sz w:val="18"/>
      <w:szCs w:val="18"/>
    </w:rPr>
  </w:style>
  <w:style w:type="paragraph" w:styleId="Closing">
    <w:name w:val="Closing"/>
    <w:basedOn w:val="Normal"/>
    <w:link w:val="ClosingChar"/>
    <w:uiPriority w:val="99"/>
    <w:semiHidden/>
    <w:rsid w:val="00AE5C70"/>
    <w:pPr>
      <w:ind w:left="4252"/>
    </w:pPr>
  </w:style>
  <w:style w:type="character" w:customStyle="1" w:styleId="ClosingChar">
    <w:name w:val="Closing Char"/>
    <w:basedOn w:val="DefaultParagraphFont"/>
    <w:link w:val="Closing"/>
    <w:uiPriority w:val="99"/>
    <w:semiHidden/>
    <w:locked/>
    <w:rsid w:val="00AE5C70"/>
    <w:rPr>
      <w:rFonts w:cs="Times New Roman"/>
      <w:sz w:val="24"/>
      <w:szCs w:val="24"/>
      <w:lang w:val="fr-FR"/>
    </w:rPr>
  </w:style>
  <w:style w:type="table" w:styleId="ColorfulGrid">
    <w:name w:val="Colorful Grid"/>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AE5C70"/>
    <w:rPr>
      <w:color w:val="000000"/>
      <w:sz w:val="24"/>
      <w:szCs w:val="24"/>
    </w:rPr>
    <w:tblPr>
      <w:tblStyleRowBandSize w:val="1"/>
      <w:tblStyleColBandSize w:val="1"/>
      <w:tblBorders>
        <w:insideH w:val="single" w:sz="4" w:space="0" w:color="0072BC"/>
      </w:tblBorders>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AE5C70"/>
    <w:rPr>
      <w:color w:val="000000"/>
      <w:sz w:val="24"/>
      <w:szCs w:val="24"/>
    </w:rPr>
    <w:tblPr>
      <w:tblStyleRowBandSize w:val="1"/>
      <w:tblStyleColBandSize w:val="1"/>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AE5C70"/>
    <w:rPr>
      <w:color w:val="000000"/>
      <w:sz w:val="24"/>
      <w:szCs w:val="24"/>
    </w:rPr>
    <w:tblPr>
      <w:tblStyleRowBandSize w:val="1"/>
      <w:tblStyleColBandSize w:val="1"/>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AE5C70"/>
    <w:rPr>
      <w:color w:val="000000"/>
      <w:sz w:val="24"/>
      <w:szCs w:val="24"/>
    </w:rPr>
    <w:tblPr>
      <w:tblStyleRowBandSize w:val="1"/>
      <w:tblStyleColBandSize w:val="1"/>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AE5C70"/>
    <w:rPr>
      <w:color w:val="000000"/>
      <w:sz w:val="24"/>
      <w:szCs w:val="24"/>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AE5C70"/>
    <w:rPr>
      <w:color w:val="000000"/>
      <w:sz w:val="24"/>
      <w:szCs w:val="24"/>
    </w:rPr>
    <w:tblPr>
      <w:tblStyleRowBandSize w:val="1"/>
      <w:tblStyleColBandSize w:val="1"/>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AE5C70"/>
    <w:rPr>
      <w:color w:val="000000"/>
      <w:sz w:val="24"/>
      <w:szCs w:val="24"/>
    </w:rPr>
    <w:tblPr>
      <w:tblStyleRowBandSize w:val="1"/>
      <w:tblStyleColBandSize w:val="1"/>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AE5C70"/>
    <w:rPr>
      <w:color w:val="000000"/>
      <w:sz w:val="24"/>
      <w:szCs w:val="24"/>
    </w:rPr>
    <w:tblPr>
      <w:tblStyleRowBandSize w:val="1"/>
      <w:tblStyleColBandSize w:val="1"/>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AE5C70"/>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AE5C70"/>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AE5C70"/>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AE5C70"/>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AE5C70"/>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AE5C70"/>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AE5C70"/>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character" w:styleId="CommentReference">
    <w:name w:val="annotation reference"/>
    <w:basedOn w:val="DefaultParagraphFont"/>
    <w:uiPriority w:val="99"/>
    <w:semiHidden/>
    <w:rsid w:val="00AE5C70"/>
    <w:rPr>
      <w:rFonts w:cs="Times New Roman"/>
      <w:sz w:val="16"/>
      <w:szCs w:val="16"/>
    </w:rPr>
  </w:style>
  <w:style w:type="paragraph" w:styleId="CommentText">
    <w:name w:val="annotation text"/>
    <w:basedOn w:val="Normal"/>
    <w:link w:val="CommentTextChar"/>
    <w:uiPriority w:val="99"/>
    <w:semiHidden/>
    <w:rsid w:val="00AE5C70"/>
    <w:rPr>
      <w:sz w:val="20"/>
      <w:szCs w:val="20"/>
    </w:rPr>
  </w:style>
  <w:style w:type="character" w:customStyle="1" w:styleId="CommentTextChar">
    <w:name w:val="Comment Text Char"/>
    <w:basedOn w:val="DefaultParagraphFont"/>
    <w:link w:val="CommentText"/>
    <w:uiPriority w:val="99"/>
    <w:semiHidden/>
    <w:locked/>
    <w:rsid w:val="00AE5C70"/>
    <w:rPr>
      <w:rFonts w:cs="Times New Roman"/>
      <w:sz w:val="20"/>
      <w:szCs w:val="20"/>
      <w:lang w:val="fr-FR"/>
    </w:rPr>
  </w:style>
  <w:style w:type="paragraph" w:styleId="CommentSubject">
    <w:name w:val="annotation subject"/>
    <w:basedOn w:val="CommentText"/>
    <w:next w:val="CommentText"/>
    <w:link w:val="CommentSubjectChar"/>
    <w:uiPriority w:val="99"/>
    <w:semiHidden/>
    <w:rsid w:val="00AE5C70"/>
    <w:rPr>
      <w:b/>
      <w:bCs/>
    </w:rPr>
  </w:style>
  <w:style w:type="character" w:customStyle="1" w:styleId="CommentSubjectChar">
    <w:name w:val="Comment Subject Char"/>
    <w:basedOn w:val="CommentTextChar"/>
    <w:link w:val="CommentSubject"/>
    <w:uiPriority w:val="99"/>
    <w:semiHidden/>
    <w:locked/>
    <w:rsid w:val="00AE5C70"/>
    <w:rPr>
      <w:rFonts w:cs="Times New Roman"/>
      <w:b/>
      <w:bCs/>
      <w:sz w:val="20"/>
      <w:szCs w:val="20"/>
      <w:lang w:val="fr-FR"/>
    </w:rPr>
  </w:style>
  <w:style w:type="table" w:styleId="DarkList">
    <w:name w:val="Dark List"/>
    <w:basedOn w:val="TableNormal"/>
    <w:uiPriority w:val="99"/>
    <w:semiHidden/>
    <w:rsid w:val="00AE5C70"/>
    <w:rPr>
      <w:color w:val="0072BC"/>
      <w:sz w:val="24"/>
      <w:szCs w:val="24"/>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AE5C70"/>
    <w:rPr>
      <w:color w:val="0072BC"/>
      <w:sz w:val="24"/>
      <w:szCs w:val="24"/>
    </w:rPr>
    <w:tblPr>
      <w:tblStyleRowBandSize w:val="1"/>
      <w:tblStyleColBandSize w:val="1"/>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AE5C70"/>
    <w:rPr>
      <w:color w:val="0072BC"/>
      <w:sz w:val="24"/>
      <w:szCs w:val="24"/>
    </w:rPr>
    <w:tblPr>
      <w:tblStyleRowBandSize w:val="1"/>
      <w:tblStyleColBandSize w:val="1"/>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AE5C70"/>
    <w:rPr>
      <w:color w:val="0072BC"/>
      <w:sz w:val="24"/>
      <w:szCs w:val="24"/>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AE5C70"/>
    <w:rPr>
      <w:color w:val="0072BC"/>
      <w:sz w:val="24"/>
      <w:szCs w:val="24"/>
    </w:rPr>
    <w:tblPr>
      <w:tblStyleRowBandSize w:val="1"/>
      <w:tblStyleColBandSize w:val="1"/>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AE5C70"/>
    <w:rPr>
      <w:color w:val="0072BC"/>
      <w:sz w:val="24"/>
      <w:szCs w:val="24"/>
    </w:rPr>
    <w:tblPr>
      <w:tblStyleRowBandSize w:val="1"/>
      <w:tblStyleColBandSize w:val="1"/>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AE5C70"/>
    <w:rPr>
      <w:color w:val="0072BC"/>
      <w:sz w:val="24"/>
      <w:szCs w:val="24"/>
    </w:rPr>
    <w:tblPr>
      <w:tblStyleRowBandSize w:val="1"/>
      <w:tblStyleColBandSize w:val="1"/>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AE5C70"/>
  </w:style>
  <w:style w:type="character" w:customStyle="1" w:styleId="DateChar">
    <w:name w:val="Date Char"/>
    <w:basedOn w:val="DefaultParagraphFont"/>
    <w:link w:val="Date"/>
    <w:uiPriority w:val="99"/>
    <w:semiHidden/>
    <w:locked/>
    <w:rsid w:val="00AE5C70"/>
    <w:rPr>
      <w:rFonts w:cs="Times New Roman"/>
      <w:sz w:val="24"/>
      <w:szCs w:val="24"/>
      <w:lang w:val="fr-FR"/>
    </w:rPr>
  </w:style>
  <w:style w:type="paragraph" w:styleId="DocumentMap">
    <w:name w:val="Document Map"/>
    <w:basedOn w:val="Normal"/>
    <w:link w:val="DocumentMapChar"/>
    <w:uiPriority w:val="99"/>
    <w:semiHidden/>
    <w:rsid w:val="00AE5C7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E5C70"/>
    <w:rPr>
      <w:rFonts w:ascii="Tahoma" w:hAnsi="Tahoma" w:cs="Tahoma"/>
      <w:sz w:val="16"/>
      <w:szCs w:val="16"/>
      <w:lang w:val="fr-FR"/>
    </w:rPr>
  </w:style>
  <w:style w:type="paragraph" w:styleId="E-mailSignature">
    <w:name w:val="E-mail Signature"/>
    <w:basedOn w:val="Normal"/>
    <w:link w:val="E-mailSignatureChar"/>
    <w:uiPriority w:val="99"/>
    <w:semiHidden/>
    <w:rsid w:val="00AE5C70"/>
  </w:style>
  <w:style w:type="character" w:customStyle="1" w:styleId="E-mailSignatureChar">
    <w:name w:val="E-mail Signature Char"/>
    <w:basedOn w:val="DefaultParagraphFont"/>
    <w:link w:val="E-mailSignature"/>
    <w:uiPriority w:val="99"/>
    <w:semiHidden/>
    <w:locked/>
    <w:rsid w:val="00AE5C70"/>
    <w:rPr>
      <w:rFonts w:cs="Times New Roman"/>
      <w:sz w:val="24"/>
      <w:szCs w:val="24"/>
      <w:lang w:val="fr-FR"/>
    </w:rPr>
  </w:style>
  <w:style w:type="character" w:styleId="EndnoteReference">
    <w:name w:val="endnote reference"/>
    <w:basedOn w:val="DefaultParagraphFont"/>
    <w:uiPriority w:val="99"/>
    <w:semiHidden/>
    <w:rsid w:val="00AE5C70"/>
    <w:rPr>
      <w:rFonts w:cs="Times New Roman"/>
      <w:vertAlign w:val="superscript"/>
    </w:rPr>
  </w:style>
  <w:style w:type="paragraph" w:styleId="EndnoteText">
    <w:name w:val="endnote text"/>
    <w:basedOn w:val="Normal"/>
    <w:link w:val="EndnoteTextChar"/>
    <w:uiPriority w:val="99"/>
    <w:semiHidden/>
    <w:rsid w:val="00AE5C70"/>
    <w:rPr>
      <w:sz w:val="20"/>
      <w:szCs w:val="20"/>
    </w:rPr>
  </w:style>
  <w:style w:type="character" w:customStyle="1" w:styleId="EndnoteTextChar">
    <w:name w:val="Endnote Text Char"/>
    <w:basedOn w:val="DefaultParagraphFont"/>
    <w:link w:val="EndnoteText"/>
    <w:uiPriority w:val="99"/>
    <w:semiHidden/>
    <w:locked/>
    <w:rsid w:val="00AE5C70"/>
    <w:rPr>
      <w:rFonts w:cs="Times New Roman"/>
      <w:sz w:val="20"/>
      <w:szCs w:val="20"/>
      <w:lang w:val="fr-FR"/>
    </w:rPr>
  </w:style>
  <w:style w:type="paragraph" w:styleId="EnvelopeAddress">
    <w:name w:val="envelope address"/>
    <w:basedOn w:val="Normal"/>
    <w:uiPriority w:val="99"/>
    <w:semiHidden/>
    <w:rsid w:val="00AE5C70"/>
    <w:pPr>
      <w:framePr w:w="7938" w:h="1985" w:hRule="exact" w:hSpace="141" w:wrap="auto" w:hAnchor="page" w:xAlign="center" w:yAlign="bottom"/>
      <w:ind w:left="2835"/>
    </w:pPr>
    <w:rPr>
      <w:rFonts w:eastAsia="MS Gothic"/>
    </w:rPr>
  </w:style>
  <w:style w:type="paragraph" w:styleId="EnvelopeReturn">
    <w:name w:val="envelope return"/>
    <w:basedOn w:val="Normal"/>
    <w:uiPriority w:val="99"/>
    <w:semiHidden/>
    <w:rsid w:val="00AE5C70"/>
    <w:rPr>
      <w:rFonts w:eastAsia="MS Gothic"/>
      <w:sz w:val="20"/>
      <w:szCs w:val="20"/>
    </w:rPr>
  </w:style>
  <w:style w:type="character" w:styleId="FollowedHyperlink">
    <w:name w:val="FollowedHyperlink"/>
    <w:basedOn w:val="DefaultParagraphFont"/>
    <w:uiPriority w:val="99"/>
    <w:semiHidden/>
    <w:rsid w:val="00AE5C70"/>
    <w:rPr>
      <w:rFonts w:cs="Times New Roman"/>
      <w:color w:val="7030A0"/>
      <w:u w:val="single"/>
    </w:rPr>
  </w:style>
  <w:style w:type="character" w:styleId="HTMLAcronym">
    <w:name w:val="HTML Acronym"/>
    <w:basedOn w:val="DefaultParagraphFont"/>
    <w:uiPriority w:val="99"/>
    <w:semiHidden/>
    <w:rsid w:val="00AE5C70"/>
    <w:rPr>
      <w:rFonts w:cs="Times New Roman"/>
    </w:rPr>
  </w:style>
  <w:style w:type="paragraph" w:styleId="HTMLAddress">
    <w:name w:val="HTML Address"/>
    <w:basedOn w:val="Normal"/>
    <w:link w:val="HTMLAddressChar"/>
    <w:uiPriority w:val="99"/>
    <w:semiHidden/>
    <w:rsid w:val="00AE5C70"/>
    <w:rPr>
      <w:i/>
      <w:iCs/>
    </w:rPr>
  </w:style>
  <w:style w:type="character" w:customStyle="1" w:styleId="HTMLAddressChar">
    <w:name w:val="HTML Address Char"/>
    <w:basedOn w:val="DefaultParagraphFont"/>
    <w:link w:val="HTMLAddress"/>
    <w:uiPriority w:val="99"/>
    <w:semiHidden/>
    <w:locked/>
    <w:rsid w:val="00AE5C70"/>
    <w:rPr>
      <w:rFonts w:cs="Times New Roman"/>
      <w:i/>
      <w:iCs/>
      <w:sz w:val="24"/>
      <w:szCs w:val="24"/>
      <w:lang w:val="fr-FR"/>
    </w:rPr>
  </w:style>
  <w:style w:type="character" w:styleId="HTMLCite">
    <w:name w:val="HTML Cite"/>
    <w:basedOn w:val="DefaultParagraphFont"/>
    <w:uiPriority w:val="99"/>
    <w:semiHidden/>
    <w:rsid w:val="00AE5C70"/>
    <w:rPr>
      <w:rFonts w:cs="Times New Roman"/>
      <w:i/>
      <w:iCs/>
    </w:rPr>
  </w:style>
  <w:style w:type="character" w:styleId="HTMLCode">
    <w:name w:val="HTML Code"/>
    <w:basedOn w:val="DefaultParagraphFont"/>
    <w:uiPriority w:val="99"/>
    <w:semiHidden/>
    <w:rsid w:val="00AE5C70"/>
    <w:rPr>
      <w:rFonts w:ascii="Consolas" w:hAnsi="Consolas" w:cs="Consolas"/>
      <w:sz w:val="20"/>
      <w:szCs w:val="20"/>
    </w:rPr>
  </w:style>
  <w:style w:type="character" w:styleId="HTMLDefinition">
    <w:name w:val="HTML Definition"/>
    <w:basedOn w:val="DefaultParagraphFont"/>
    <w:uiPriority w:val="99"/>
    <w:semiHidden/>
    <w:rsid w:val="00AE5C70"/>
    <w:rPr>
      <w:rFonts w:cs="Times New Roman"/>
      <w:i/>
      <w:iCs/>
    </w:rPr>
  </w:style>
  <w:style w:type="character" w:styleId="HTMLKeyboard">
    <w:name w:val="HTML Keyboard"/>
    <w:basedOn w:val="DefaultParagraphFont"/>
    <w:uiPriority w:val="99"/>
    <w:semiHidden/>
    <w:rsid w:val="00AE5C70"/>
    <w:rPr>
      <w:rFonts w:ascii="Consolas" w:hAnsi="Consolas" w:cs="Consolas"/>
      <w:sz w:val="20"/>
      <w:szCs w:val="20"/>
    </w:rPr>
  </w:style>
  <w:style w:type="paragraph" w:styleId="HTMLPreformatted">
    <w:name w:val="HTML Preformatted"/>
    <w:basedOn w:val="Normal"/>
    <w:link w:val="HTMLPreformattedChar"/>
    <w:uiPriority w:val="99"/>
    <w:semiHidden/>
    <w:rsid w:val="00AE5C7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AE5C70"/>
    <w:rPr>
      <w:rFonts w:ascii="Consolas" w:hAnsi="Consolas" w:cs="Consolas"/>
      <w:sz w:val="20"/>
      <w:szCs w:val="20"/>
      <w:lang w:val="fr-FR"/>
    </w:rPr>
  </w:style>
  <w:style w:type="character" w:styleId="HTMLSample">
    <w:name w:val="HTML Sample"/>
    <w:basedOn w:val="DefaultParagraphFont"/>
    <w:uiPriority w:val="99"/>
    <w:semiHidden/>
    <w:rsid w:val="00AE5C70"/>
    <w:rPr>
      <w:rFonts w:ascii="Consolas" w:hAnsi="Consolas" w:cs="Consolas"/>
      <w:sz w:val="24"/>
      <w:szCs w:val="24"/>
    </w:rPr>
  </w:style>
  <w:style w:type="character" w:styleId="HTMLTypewriter">
    <w:name w:val="HTML Typewriter"/>
    <w:basedOn w:val="DefaultParagraphFont"/>
    <w:uiPriority w:val="99"/>
    <w:semiHidden/>
    <w:rsid w:val="00AE5C70"/>
    <w:rPr>
      <w:rFonts w:ascii="Consolas" w:hAnsi="Consolas" w:cs="Consolas"/>
      <w:sz w:val="20"/>
      <w:szCs w:val="20"/>
    </w:rPr>
  </w:style>
  <w:style w:type="character" w:styleId="HTMLVariable">
    <w:name w:val="HTML Variable"/>
    <w:basedOn w:val="DefaultParagraphFont"/>
    <w:uiPriority w:val="99"/>
    <w:semiHidden/>
    <w:rsid w:val="00AE5C70"/>
    <w:rPr>
      <w:rFonts w:cs="Times New Roman"/>
      <w:i/>
      <w:iCs/>
    </w:rPr>
  </w:style>
  <w:style w:type="paragraph" w:styleId="Index1">
    <w:name w:val="index 1"/>
    <w:basedOn w:val="Normal"/>
    <w:next w:val="Normal"/>
    <w:autoRedefine/>
    <w:uiPriority w:val="99"/>
    <w:semiHidden/>
    <w:rsid w:val="00AE5C70"/>
    <w:pPr>
      <w:ind w:left="240" w:hanging="240"/>
    </w:pPr>
  </w:style>
  <w:style w:type="paragraph" w:styleId="Index2">
    <w:name w:val="index 2"/>
    <w:basedOn w:val="Normal"/>
    <w:next w:val="Normal"/>
    <w:autoRedefine/>
    <w:uiPriority w:val="99"/>
    <w:semiHidden/>
    <w:rsid w:val="00AE5C70"/>
    <w:pPr>
      <w:ind w:left="480" w:hanging="240"/>
    </w:pPr>
  </w:style>
  <w:style w:type="paragraph" w:styleId="Index3">
    <w:name w:val="index 3"/>
    <w:basedOn w:val="Normal"/>
    <w:next w:val="Normal"/>
    <w:autoRedefine/>
    <w:uiPriority w:val="99"/>
    <w:semiHidden/>
    <w:rsid w:val="00AE5C70"/>
    <w:pPr>
      <w:ind w:left="720" w:hanging="240"/>
    </w:pPr>
  </w:style>
  <w:style w:type="paragraph" w:styleId="Index4">
    <w:name w:val="index 4"/>
    <w:basedOn w:val="Normal"/>
    <w:next w:val="Normal"/>
    <w:autoRedefine/>
    <w:uiPriority w:val="99"/>
    <w:semiHidden/>
    <w:rsid w:val="00AE5C70"/>
    <w:pPr>
      <w:ind w:left="960" w:hanging="240"/>
    </w:pPr>
  </w:style>
  <w:style w:type="paragraph" w:styleId="Index5">
    <w:name w:val="index 5"/>
    <w:basedOn w:val="Normal"/>
    <w:next w:val="Normal"/>
    <w:autoRedefine/>
    <w:uiPriority w:val="99"/>
    <w:semiHidden/>
    <w:rsid w:val="00AE5C70"/>
    <w:pPr>
      <w:ind w:left="1200" w:hanging="240"/>
    </w:pPr>
  </w:style>
  <w:style w:type="paragraph" w:styleId="Index6">
    <w:name w:val="index 6"/>
    <w:basedOn w:val="Normal"/>
    <w:next w:val="Normal"/>
    <w:autoRedefine/>
    <w:uiPriority w:val="99"/>
    <w:semiHidden/>
    <w:rsid w:val="00AE5C70"/>
    <w:pPr>
      <w:ind w:left="1440" w:hanging="240"/>
    </w:pPr>
  </w:style>
  <w:style w:type="paragraph" w:styleId="Index7">
    <w:name w:val="index 7"/>
    <w:basedOn w:val="Normal"/>
    <w:next w:val="Normal"/>
    <w:autoRedefine/>
    <w:uiPriority w:val="99"/>
    <w:semiHidden/>
    <w:rsid w:val="00AE5C70"/>
    <w:pPr>
      <w:ind w:left="1680" w:hanging="240"/>
    </w:pPr>
  </w:style>
  <w:style w:type="paragraph" w:styleId="Index8">
    <w:name w:val="index 8"/>
    <w:basedOn w:val="Normal"/>
    <w:next w:val="Normal"/>
    <w:autoRedefine/>
    <w:uiPriority w:val="99"/>
    <w:semiHidden/>
    <w:rsid w:val="00AE5C70"/>
    <w:pPr>
      <w:ind w:left="1920" w:hanging="240"/>
    </w:pPr>
  </w:style>
  <w:style w:type="paragraph" w:styleId="Index9">
    <w:name w:val="index 9"/>
    <w:basedOn w:val="Normal"/>
    <w:next w:val="Normal"/>
    <w:autoRedefine/>
    <w:uiPriority w:val="99"/>
    <w:semiHidden/>
    <w:rsid w:val="00AE5C70"/>
    <w:pPr>
      <w:ind w:left="2160" w:hanging="240"/>
    </w:pPr>
  </w:style>
  <w:style w:type="paragraph" w:styleId="IndexHeading">
    <w:name w:val="index heading"/>
    <w:basedOn w:val="Normal"/>
    <w:next w:val="Index1"/>
    <w:uiPriority w:val="99"/>
    <w:semiHidden/>
    <w:rsid w:val="00AE5C70"/>
    <w:rPr>
      <w:rFonts w:eastAsia="MS Gothic"/>
      <w:b/>
      <w:bCs/>
    </w:rPr>
  </w:style>
  <w:style w:type="table" w:styleId="LightGrid">
    <w:name w:val="Light Grid"/>
    <w:basedOn w:val="TableNormal"/>
    <w:uiPriority w:val="99"/>
    <w:semiHidden/>
    <w:rsid w:val="00AE5C70"/>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AE5C70"/>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AE5C70"/>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AE5C70"/>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AE5C70"/>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AE5C70"/>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AE5C70"/>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AE5C70"/>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AE5C70"/>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AE5C70"/>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AE5C70"/>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AE5C70"/>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AE5C70"/>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AE5C70"/>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AE5C70"/>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AE5C70"/>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AE5C70"/>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AE5C70"/>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AE5C70"/>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AE5C70"/>
    <w:rPr>
      <w:rFonts w:cs="Times New Roman"/>
    </w:rPr>
  </w:style>
  <w:style w:type="paragraph" w:styleId="List">
    <w:name w:val="List"/>
    <w:basedOn w:val="Normal"/>
    <w:uiPriority w:val="99"/>
    <w:semiHidden/>
    <w:rsid w:val="00AE5C70"/>
    <w:pPr>
      <w:ind w:left="283" w:hanging="283"/>
      <w:contextualSpacing/>
    </w:pPr>
  </w:style>
  <w:style w:type="paragraph" w:styleId="List2">
    <w:name w:val="List 2"/>
    <w:basedOn w:val="Normal"/>
    <w:uiPriority w:val="99"/>
    <w:semiHidden/>
    <w:rsid w:val="00AE5C70"/>
    <w:pPr>
      <w:ind w:left="566" w:hanging="283"/>
      <w:contextualSpacing/>
    </w:pPr>
  </w:style>
  <w:style w:type="paragraph" w:styleId="List3">
    <w:name w:val="List 3"/>
    <w:basedOn w:val="Normal"/>
    <w:uiPriority w:val="99"/>
    <w:semiHidden/>
    <w:rsid w:val="00AE5C70"/>
    <w:pPr>
      <w:ind w:left="849" w:hanging="283"/>
      <w:contextualSpacing/>
    </w:pPr>
  </w:style>
  <w:style w:type="paragraph" w:styleId="List4">
    <w:name w:val="List 4"/>
    <w:basedOn w:val="Normal"/>
    <w:uiPriority w:val="99"/>
    <w:semiHidden/>
    <w:rsid w:val="00AE5C70"/>
    <w:pPr>
      <w:ind w:left="1132" w:hanging="283"/>
      <w:contextualSpacing/>
    </w:pPr>
  </w:style>
  <w:style w:type="paragraph" w:styleId="List5">
    <w:name w:val="List 5"/>
    <w:basedOn w:val="Normal"/>
    <w:uiPriority w:val="99"/>
    <w:semiHidden/>
    <w:rsid w:val="00AE5C70"/>
    <w:pPr>
      <w:ind w:left="1415" w:hanging="283"/>
      <w:contextualSpacing/>
    </w:pPr>
  </w:style>
  <w:style w:type="paragraph" w:styleId="ListBullet">
    <w:name w:val="List Bullet"/>
    <w:basedOn w:val="Normal"/>
    <w:uiPriority w:val="99"/>
    <w:semiHidden/>
    <w:rsid w:val="00AE5C70"/>
    <w:pPr>
      <w:numPr>
        <w:numId w:val="31"/>
      </w:numPr>
    </w:pPr>
  </w:style>
  <w:style w:type="paragraph" w:styleId="ListBullet3">
    <w:name w:val="List Bullet 3"/>
    <w:basedOn w:val="Normal"/>
    <w:uiPriority w:val="99"/>
    <w:semiHidden/>
    <w:rsid w:val="00AE5C70"/>
    <w:pPr>
      <w:numPr>
        <w:numId w:val="23"/>
      </w:numPr>
      <w:tabs>
        <w:tab w:val="clear" w:pos="340"/>
        <w:tab w:val="num" w:pos="1080"/>
      </w:tabs>
      <w:ind w:left="1080" w:hanging="360"/>
      <w:contextualSpacing/>
    </w:pPr>
  </w:style>
  <w:style w:type="paragraph" w:styleId="ListBullet4">
    <w:name w:val="List Bullet 4"/>
    <w:basedOn w:val="Normal"/>
    <w:uiPriority w:val="99"/>
    <w:semiHidden/>
    <w:rsid w:val="00AE5C70"/>
    <w:pPr>
      <w:tabs>
        <w:tab w:val="num" w:pos="1209"/>
      </w:tabs>
      <w:ind w:left="1209" w:hanging="360"/>
      <w:contextualSpacing/>
    </w:pPr>
  </w:style>
  <w:style w:type="paragraph" w:styleId="ListBullet5">
    <w:name w:val="List Bullet 5"/>
    <w:basedOn w:val="Normal"/>
    <w:uiPriority w:val="99"/>
    <w:semiHidden/>
    <w:rsid w:val="00AE5C70"/>
    <w:pPr>
      <w:numPr>
        <w:numId w:val="25"/>
      </w:numPr>
      <w:tabs>
        <w:tab w:val="num" w:pos="1492"/>
      </w:tabs>
      <w:ind w:left="1492"/>
      <w:contextualSpacing/>
    </w:pPr>
  </w:style>
  <w:style w:type="paragraph" w:styleId="ListContinue">
    <w:name w:val="List Continue"/>
    <w:basedOn w:val="Normal"/>
    <w:uiPriority w:val="99"/>
    <w:semiHidden/>
    <w:rsid w:val="00AE5C70"/>
    <w:pPr>
      <w:spacing w:after="120"/>
      <w:ind w:left="283"/>
      <w:contextualSpacing/>
    </w:pPr>
  </w:style>
  <w:style w:type="paragraph" w:styleId="ListContinue2">
    <w:name w:val="List Continue 2"/>
    <w:basedOn w:val="Normal"/>
    <w:uiPriority w:val="99"/>
    <w:semiHidden/>
    <w:rsid w:val="00AE5C70"/>
    <w:pPr>
      <w:spacing w:after="120"/>
      <w:ind w:left="566"/>
      <w:contextualSpacing/>
    </w:pPr>
  </w:style>
  <w:style w:type="paragraph" w:styleId="ListContinue3">
    <w:name w:val="List Continue 3"/>
    <w:basedOn w:val="Normal"/>
    <w:uiPriority w:val="99"/>
    <w:semiHidden/>
    <w:rsid w:val="00AE5C70"/>
    <w:pPr>
      <w:spacing w:after="120"/>
      <w:ind w:left="849"/>
      <w:contextualSpacing/>
    </w:pPr>
  </w:style>
  <w:style w:type="paragraph" w:styleId="ListContinue4">
    <w:name w:val="List Continue 4"/>
    <w:basedOn w:val="Normal"/>
    <w:uiPriority w:val="99"/>
    <w:semiHidden/>
    <w:rsid w:val="00AE5C70"/>
    <w:pPr>
      <w:spacing w:after="120"/>
      <w:ind w:left="1132"/>
      <w:contextualSpacing/>
    </w:pPr>
  </w:style>
  <w:style w:type="paragraph" w:styleId="ListContinue5">
    <w:name w:val="List Continue 5"/>
    <w:basedOn w:val="Normal"/>
    <w:uiPriority w:val="99"/>
    <w:semiHidden/>
    <w:rsid w:val="00AE5C70"/>
    <w:pPr>
      <w:spacing w:after="120"/>
      <w:ind w:left="1415"/>
      <w:contextualSpacing/>
    </w:pPr>
  </w:style>
  <w:style w:type="paragraph" w:styleId="ListNumber">
    <w:name w:val="List Number"/>
    <w:basedOn w:val="Normal"/>
    <w:uiPriority w:val="99"/>
    <w:semiHidden/>
    <w:rsid w:val="00AE5C70"/>
    <w:pPr>
      <w:numPr>
        <w:numId w:val="26"/>
      </w:numPr>
      <w:tabs>
        <w:tab w:val="num" w:pos="360"/>
      </w:tabs>
      <w:contextualSpacing/>
    </w:pPr>
  </w:style>
  <w:style w:type="paragraph" w:styleId="ListNumber2">
    <w:name w:val="List Number 2"/>
    <w:basedOn w:val="Normal"/>
    <w:uiPriority w:val="99"/>
    <w:semiHidden/>
    <w:rsid w:val="00AE5C70"/>
    <w:pPr>
      <w:numPr>
        <w:numId w:val="27"/>
      </w:numPr>
      <w:tabs>
        <w:tab w:val="num" w:pos="643"/>
      </w:tabs>
      <w:ind w:left="643" w:hanging="360"/>
      <w:contextualSpacing/>
    </w:pPr>
  </w:style>
  <w:style w:type="paragraph" w:styleId="ListNumber3">
    <w:name w:val="List Number 3"/>
    <w:basedOn w:val="Normal"/>
    <w:uiPriority w:val="99"/>
    <w:semiHidden/>
    <w:rsid w:val="00AE5C70"/>
    <w:pPr>
      <w:tabs>
        <w:tab w:val="num" w:pos="926"/>
      </w:tabs>
      <w:ind w:left="926" w:hanging="360"/>
      <w:contextualSpacing/>
    </w:pPr>
  </w:style>
  <w:style w:type="paragraph" w:styleId="ListNumber4">
    <w:name w:val="List Number 4"/>
    <w:basedOn w:val="Normal"/>
    <w:uiPriority w:val="99"/>
    <w:semiHidden/>
    <w:rsid w:val="00AE5C70"/>
    <w:pPr>
      <w:numPr>
        <w:numId w:val="29"/>
      </w:numPr>
      <w:tabs>
        <w:tab w:val="num" w:pos="1209"/>
      </w:tabs>
      <w:ind w:left="1209" w:hanging="360"/>
      <w:contextualSpacing/>
    </w:pPr>
  </w:style>
  <w:style w:type="paragraph" w:styleId="ListNumber5">
    <w:name w:val="List Number 5"/>
    <w:basedOn w:val="Normal"/>
    <w:uiPriority w:val="99"/>
    <w:semiHidden/>
    <w:rsid w:val="00AE5C70"/>
    <w:pPr>
      <w:tabs>
        <w:tab w:val="num" w:pos="1492"/>
      </w:tabs>
      <w:ind w:left="1492" w:hanging="360"/>
      <w:contextualSpacing/>
    </w:pPr>
  </w:style>
  <w:style w:type="paragraph" w:styleId="MacroText">
    <w:name w:val="macro"/>
    <w:link w:val="MacroTextChar"/>
    <w:uiPriority w:val="99"/>
    <w:semiHidden/>
    <w:rsid w:val="00AE5C70"/>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sz w:val="20"/>
      <w:szCs w:val="20"/>
    </w:rPr>
  </w:style>
  <w:style w:type="character" w:customStyle="1" w:styleId="MacroTextChar">
    <w:name w:val="Macro Text Char"/>
    <w:basedOn w:val="DefaultParagraphFont"/>
    <w:link w:val="MacroText"/>
    <w:uiPriority w:val="99"/>
    <w:semiHidden/>
    <w:locked/>
    <w:rsid w:val="00AE5C70"/>
    <w:rPr>
      <w:rFonts w:ascii="Consolas" w:eastAsia="MS Mincho" w:hAnsi="Consolas" w:cs="Consolas"/>
      <w:lang w:val="en-US" w:eastAsia="en-US" w:bidi="ar-SA"/>
    </w:rPr>
  </w:style>
  <w:style w:type="table" w:styleId="MediumGrid1">
    <w:name w:val="Medium Grid 1"/>
    <w:basedOn w:val="TableNormal"/>
    <w:uiPriority w:val="99"/>
    <w:semiHidden/>
    <w:rsid w:val="00AE5C70"/>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AE5C70"/>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AE5C70"/>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AE5C70"/>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AE5C70"/>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AE5C70"/>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AE5C70"/>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AE5C70"/>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AE5C70"/>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AE5C70"/>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AE5C70"/>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AE5C70"/>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AE5C70"/>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AE5C70"/>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AE5C70"/>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AE5C70"/>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AE5C70"/>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AE5C70"/>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AE5C70"/>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AE5C70"/>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AE5C70"/>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AE5C70"/>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AE5C70"/>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AE5C70"/>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AE5C70"/>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AE5C70"/>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AE5C70"/>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AE5C70"/>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AE5C70"/>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AE5C70"/>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AE5C70"/>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AE5C70"/>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AE5C70"/>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AE5C70"/>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AE5C70"/>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AE5C70"/>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AE5C70"/>
    <w:rPr>
      <w:sz w:val="24"/>
      <w:szCs w:val="24"/>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AE5C70"/>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basedOn w:val="DefaultParagraphFont"/>
    <w:link w:val="MessageHeader"/>
    <w:uiPriority w:val="99"/>
    <w:semiHidden/>
    <w:locked/>
    <w:rsid w:val="00AE5C70"/>
    <w:rPr>
      <w:rFonts w:ascii="Times New Roman" w:eastAsia="MS Gothic" w:hAnsi="Times New Roman" w:cs="Times New Roman"/>
      <w:sz w:val="24"/>
      <w:szCs w:val="24"/>
      <w:shd w:val="pct20" w:color="auto" w:fill="auto"/>
      <w:lang w:val="fr-FR"/>
    </w:rPr>
  </w:style>
  <w:style w:type="paragraph" w:styleId="NormalWeb">
    <w:name w:val="Normal (Web)"/>
    <w:basedOn w:val="Normal"/>
    <w:uiPriority w:val="99"/>
    <w:semiHidden/>
    <w:rsid w:val="00AE5C70"/>
  </w:style>
  <w:style w:type="paragraph" w:styleId="NormalIndent">
    <w:name w:val="Normal Indent"/>
    <w:basedOn w:val="Normal"/>
    <w:uiPriority w:val="99"/>
    <w:semiHidden/>
    <w:rsid w:val="00AE5C70"/>
    <w:pPr>
      <w:ind w:left="720"/>
    </w:pPr>
  </w:style>
  <w:style w:type="paragraph" w:styleId="NoteHeading">
    <w:name w:val="Note Heading"/>
    <w:basedOn w:val="Normal"/>
    <w:next w:val="Normal"/>
    <w:link w:val="NoteHeadingChar"/>
    <w:uiPriority w:val="99"/>
    <w:semiHidden/>
    <w:rsid w:val="00AE5C70"/>
  </w:style>
  <w:style w:type="character" w:customStyle="1" w:styleId="NoteHeadingChar">
    <w:name w:val="Note Heading Char"/>
    <w:basedOn w:val="DefaultParagraphFont"/>
    <w:link w:val="NoteHeading"/>
    <w:uiPriority w:val="99"/>
    <w:semiHidden/>
    <w:locked/>
    <w:rsid w:val="00AE5C70"/>
    <w:rPr>
      <w:rFonts w:cs="Times New Roman"/>
      <w:sz w:val="24"/>
      <w:szCs w:val="24"/>
      <w:lang w:val="fr-FR"/>
    </w:rPr>
  </w:style>
  <w:style w:type="character" w:styleId="PlaceholderText">
    <w:name w:val="Placeholder Text"/>
    <w:basedOn w:val="DefaultParagraphFont"/>
    <w:uiPriority w:val="99"/>
    <w:semiHidden/>
    <w:rsid w:val="00AE5C70"/>
    <w:rPr>
      <w:rFonts w:cs="Times New Roman"/>
      <w:color w:val="auto"/>
      <w:shd w:val="clear" w:color="auto" w:fill="DFDFDF"/>
    </w:rPr>
  </w:style>
  <w:style w:type="paragraph" w:styleId="PlainText">
    <w:name w:val="Plain Text"/>
    <w:basedOn w:val="Normal"/>
    <w:link w:val="PlainTextChar"/>
    <w:uiPriority w:val="99"/>
    <w:semiHidden/>
    <w:rsid w:val="00AE5C70"/>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AE5C70"/>
    <w:rPr>
      <w:rFonts w:ascii="Consolas" w:hAnsi="Consolas" w:cs="Consolas"/>
      <w:sz w:val="21"/>
      <w:szCs w:val="21"/>
      <w:lang w:val="fr-FR"/>
    </w:rPr>
  </w:style>
  <w:style w:type="paragraph" w:styleId="Salutation">
    <w:name w:val="Salutation"/>
    <w:basedOn w:val="Normal"/>
    <w:next w:val="Normal"/>
    <w:link w:val="SalutationChar"/>
    <w:uiPriority w:val="99"/>
    <w:semiHidden/>
    <w:rsid w:val="00AE5C70"/>
  </w:style>
  <w:style w:type="character" w:customStyle="1" w:styleId="SalutationChar">
    <w:name w:val="Salutation Char"/>
    <w:basedOn w:val="DefaultParagraphFont"/>
    <w:link w:val="Salutation"/>
    <w:uiPriority w:val="99"/>
    <w:semiHidden/>
    <w:locked/>
    <w:rsid w:val="00AE5C70"/>
    <w:rPr>
      <w:rFonts w:cs="Times New Roman"/>
      <w:sz w:val="24"/>
      <w:szCs w:val="24"/>
      <w:lang w:val="fr-FR"/>
    </w:rPr>
  </w:style>
  <w:style w:type="paragraph" w:styleId="Signature">
    <w:name w:val="Signature"/>
    <w:basedOn w:val="Normal"/>
    <w:link w:val="SignatureChar"/>
    <w:uiPriority w:val="99"/>
    <w:semiHidden/>
    <w:rsid w:val="00AE5C70"/>
    <w:pPr>
      <w:ind w:left="4252"/>
    </w:pPr>
  </w:style>
  <w:style w:type="character" w:customStyle="1" w:styleId="SignatureChar">
    <w:name w:val="Signature Char"/>
    <w:basedOn w:val="DefaultParagraphFont"/>
    <w:link w:val="Signature"/>
    <w:uiPriority w:val="99"/>
    <w:semiHidden/>
    <w:locked/>
    <w:rsid w:val="00AE5C70"/>
    <w:rPr>
      <w:rFonts w:cs="Times New Roman"/>
      <w:sz w:val="24"/>
      <w:szCs w:val="24"/>
      <w:lang w:val="fr-FR"/>
    </w:rPr>
  </w:style>
  <w:style w:type="table" w:styleId="Table3Deffects1">
    <w:name w:val="Table 3D effects 1"/>
    <w:basedOn w:val="TableNormal"/>
    <w:uiPriority w:val="99"/>
    <w:semiHidden/>
    <w:rsid w:val="00AE5C70"/>
    <w:pPr>
      <w:jc w:val="both"/>
    </w:pPr>
    <w:rPr>
      <w:sz w:val="24"/>
      <w:szCs w:val="24"/>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E5C70"/>
    <w:pPr>
      <w:jc w:val="both"/>
    </w:pPr>
    <w:rPr>
      <w:sz w:val="24"/>
      <w:szCs w:val="24"/>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E5C70"/>
    <w:pPr>
      <w:jc w:val="both"/>
    </w:pPr>
    <w:rPr>
      <w:sz w:val="24"/>
      <w:szCs w:val="24"/>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E5C70"/>
    <w:pPr>
      <w:jc w:val="both"/>
    </w:pPr>
    <w:rPr>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E5C70"/>
    <w:pPr>
      <w:jc w:val="both"/>
    </w:pPr>
    <w:rPr>
      <w:sz w:val="24"/>
      <w:szCs w:val="24"/>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E5C7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E5C70"/>
    <w:pPr>
      <w:jc w:val="both"/>
    </w:pPr>
    <w:rPr>
      <w:sz w:val="24"/>
      <w:szCs w:val="24"/>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E5C7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E5C70"/>
    <w:pPr>
      <w:jc w:val="both"/>
    </w:pPr>
    <w:rPr>
      <w:sz w:val="24"/>
      <w:szCs w:val="24"/>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E5C7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E5C7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E5C70"/>
    <w:pPr>
      <w:jc w:val="both"/>
    </w:pPr>
    <w:rPr>
      <w:b/>
      <w:bCs/>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E5C7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E5C70"/>
    <w:pPr>
      <w:jc w:val="both"/>
    </w:pPr>
    <w:rPr>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E5C7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E5C70"/>
    <w:pPr>
      <w:jc w:val="both"/>
    </w:pPr>
    <w:rPr>
      <w:sz w:val="24"/>
      <w:szCs w:val="24"/>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E5C7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AE5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E5C70"/>
    <w:pPr>
      <w:jc w:val="both"/>
    </w:pPr>
    <w:rPr>
      <w:sz w:val="24"/>
      <w:szCs w:val="24"/>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E5C7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E5C7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E5C7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E5C7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E5C7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E5C7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E5C7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E5C70"/>
    <w:pPr>
      <w:jc w:val="both"/>
    </w:pPr>
    <w:rPr>
      <w:sz w:val="24"/>
      <w:szCs w:val="24"/>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E5C70"/>
    <w:pPr>
      <w:jc w:val="both"/>
    </w:pPr>
    <w:rPr>
      <w:sz w:val="24"/>
      <w:szCs w:val="24"/>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E5C7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E5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E5C7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E5C7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E5C7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E5C70"/>
    <w:pPr>
      <w:ind w:left="240" w:hanging="240"/>
    </w:pPr>
  </w:style>
  <w:style w:type="paragraph" w:styleId="TableofFigures">
    <w:name w:val="table of figures"/>
    <w:basedOn w:val="Normal"/>
    <w:next w:val="Normal"/>
    <w:uiPriority w:val="99"/>
    <w:semiHidden/>
    <w:rsid w:val="00AE5C70"/>
  </w:style>
  <w:style w:type="table" w:styleId="TableProfessional">
    <w:name w:val="Table Professional"/>
    <w:basedOn w:val="TableNormal"/>
    <w:uiPriority w:val="99"/>
    <w:semiHidden/>
    <w:rsid w:val="00AE5C7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E5C70"/>
    <w:pPr>
      <w:jc w:val="both"/>
    </w:pPr>
    <w:rPr>
      <w:sz w:val="24"/>
      <w:szCs w:val="24"/>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E5C70"/>
    <w:pPr>
      <w:jc w:val="both"/>
    </w:pPr>
    <w:rPr>
      <w:sz w:val="24"/>
      <w:szCs w:val="24"/>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E5C70"/>
    <w:pPr>
      <w:jc w:val="both"/>
    </w:pPr>
    <w:rPr>
      <w:sz w:val="24"/>
      <w:szCs w:val="24"/>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E5C70"/>
    <w:pPr>
      <w:jc w:val="both"/>
    </w:pPr>
    <w:rPr>
      <w:sz w:val="24"/>
      <w:szCs w:val="24"/>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E5C70"/>
    <w:pPr>
      <w:jc w:val="both"/>
    </w:pPr>
    <w:rPr>
      <w:sz w:val="24"/>
      <w:szCs w:val="24"/>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E5C7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E5C7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E5C7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E5C7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AE5C7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AE5C7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AE5C70"/>
    <w:pPr>
      <w:spacing w:after="100"/>
      <w:ind w:left="1680"/>
    </w:pPr>
  </w:style>
  <w:style w:type="paragraph" w:styleId="TOC9">
    <w:name w:val="toc 9"/>
    <w:basedOn w:val="Normal"/>
    <w:next w:val="Normal"/>
    <w:autoRedefine/>
    <w:uiPriority w:val="99"/>
    <w:semiHidden/>
    <w:rsid w:val="00AE5C70"/>
    <w:pPr>
      <w:spacing w:after="100"/>
      <w:ind w:left="1920"/>
    </w:pPr>
  </w:style>
  <w:style w:type="paragraph" w:customStyle="1" w:styleId="ECHRFooter">
    <w:name w:val="ECHR_Footer"/>
    <w:aliases w:val="Footer_ECHR"/>
    <w:basedOn w:val="Footer0"/>
    <w:uiPriority w:val="99"/>
    <w:semiHidden/>
    <w:rsid w:val="00893F30"/>
    <w:rPr>
      <w:sz w:val="8"/>
    </w:rPr>
  </w:style>
  <w:style w:type="paragraph" w:customStyle="1" w:styleId="FooterLine">
    <w:name w:val="_Footer_Line"/>
    <w:aliases w:val="Footer_Line"/>
    <w:basedOn w:val="Normal"/>
    <w:next w:val="Footer"/>
    <w:uiPriority w:val="99"/>
    <w:semiHidden/>
    <w:rsid w:val="00AE5C7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99"/>
    <w:rsid w:val="00AE5C70"/>
    <w:pPr>
      <w:keepNext/>
      <w:keepLines/>
      <w:spacing w:after="280"/>
      <w:ind w:firstLine="0"/>
      <w:jc w:val="center"/>
    </w:pPr>
  </w:style>
  <w:style w:type="paragraph" w:customStyle="1" w:styleId="JuTitle">
    <w:name w:val="Ju_Title"/>
    <w:aliases w:val="_Title_2"/>
    <w:basedOn w:val="Normal"/>
    <w:next w:val="JuPara"/>
    <w:uiPriority w:val="99"/>
    <w:rsid w:val="00AE5C70"/>
    <w:pPr>
      <w:keepNext/>
      <w:keepLines/>
      <w:spacing w:before="1320" w:after="280"/>
      <w:contextualSpacing/>
      <w:jc w:val="center"/>
    </w:pPr>
    <w:rPr>
      <w:b/>
    </w:rPr>
  </w:style>
  <w:style w:type="paragraph" w:customStyle="1" w:styleId="DummyStyle">
    <w:name w:val="Dummy_Style"/>
    <w:aliases w:val="_Dummy"/>
    <w:basedOn w:val="Normal"/>
    <w:uiPriority w:val="99"/>
    <w:semiHidden/>
    <w:rsid w:val="00AE5C70"/>
    <w:rPr>
      <w:color w:val="00B050"/>
      <w:sz w:val="22"/>
    </w:rPr>
  </w:style>
  <w:style w:type="paragraph" w:customStyle="1" w:styleId="ECHRBullet1">
    <w:name w:val="ECHR_Bullet_1"/>
    <w:aliases w:val="_Bul_1"/>
    <w:basedOn w:val="NormalJustified"/>
    <w:uiPriority w:val="99"/>
    <w:semiHidden/>
    <w:rsid w:val="00AE5C70"/>
    <w:pPr>
      <w:numPr>
        <w:numId w:val="28"/>
      </w:numPr>
      <w:spacing w:before="60" w:after="60"/>
    </w:pPr>
  </w:style>
  <w:style w:type="paragraph" w:customStyle="1" w:styleId="ECHRBullet2">
    <w:name w:val="ECHR_Bullet_2"/>
    <w:aliases w:val="_Bul_2"/>
    <w:basedOn w:val="ECHRBullet1"/>
    <w:uiPriority w:val="99"/>
    <w:semiHidden/>
    <w:rsid w:val="00AE5C70"/>
    <w:pPr>
      <w:numPr>
        <w:ilvl w:val="1"/>
      </w:numPr>
      <w:tabs>
        <w:tab w:val="num" w:pos="926"/>
      </w:tabs>
      <w:ind w:hanging="360"/>
    </w:pPr>
  </w:style>
  <w:style w:type="paragraph" w:customStyle="1" w:styleId="ECHRBullet3">
    <w:name w:val="ECHR_Bullet_3"/>
    <w:aliases w:val="_Bul_3"/>
    <w:basedOn w:val="ECHRBullet2"/>
    <w:uiPriority w:val="99"/>
    <w:semiHidden/>
    <w:rsid w:val="00AE5C70"/>
    <w:pPr>
      <w:numPr>
        <w:ilvl w:val="2"/>
      </w:numPr>
      <w:tabs>
        <w:tab w:val="num" w:pos="926"/>
        <w:tab w:val="num" w:pos="1134"/>
      </w:tabs>
      <w:ind w:hanging="360"/>
    </w:pPr>
  </w:style>
  <w:style w:type="paragraph" w:customStyle="1" w:styleId="ECHRBullet4">
    <w:name w:val="ECHR_Bullet_4"/>
    <w:aliases w:val="_Bul_4"/>
    <w:basedOn w:val="ECHRBullet3"/>
    <w:uiPriority w:val="99"/>
    <w:semiHidden/>
    <w:rsid w:val="00AE5C70"/>
    <w:pPr>
      <w:numPr>
        <w:ilvl w:val="3"/>
      </w:numPr>
      <w:tabs>
        <w:tab w:val="num" w:pos="926"/>
        <w:tab w:val="num" w:pos="1134"/>
      </w:tabs>
      <w:ind w:hanging="360"/>
    </w:pPr>
  </w:style>
  <w:style w:type="paragraph" w:customStyle="1" w:styleId="ECHRConfidential">
    <w:name w:val="ECHR_Confidential"/>
    <w:aliases w:val="_Confidential"/>
    <w:basedOn w:val="Normal"/>
    <w:next w:val="Normal"/>
    <w:uiPriority w:val="99"/>
    <w:semiHidden/>
    <w:rsid w:val="00AE5C70"/>
    <w:pPr>
      <w:jc w:val="right"/>
    </w:pPr>
    <w:rPr>
      <w:color w:val="C00000"/>
      <w:sz w:val="20"/>
    </w:rPr>
  </w:style>
  <w:style w:type="paragraph" w:customStyle="1" w:styleId="ECHRDecisionBody">
    <w:name w:val="ECHR_Decision_Body"/>
    <w:aliases w:val="_Decision_Body"/>
    <w:basedOn w:val="NormalJustified"/>
    <w:uiPriority w:val="99"/>
    <w:semiHidden/>
    <w:rsid w:val="00AE5C7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99"/>
    <w:semiHidden/>
    <w:rsid w:val="00AE5C7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99"/>
    <w:semiHidden/>
    <w:locked/>
    <w:rsid w:val="00AE5C70"/>
    <w:rPr>
      <w:rFonts w:ascii="Arial" w:hAnsi="Arial" w:cs="Times New Roman"/>
      <w:i/>
      <w:color w:val="002856"/>
      <w:sz w:val="24"/>
      <w:szCs w:val="24"/>
      <w:lang w:val="fr-FR"/>
    </w:rPr>
  </w:style>
  <w:style w:type="paragraph" w:customStyle="1" w:styleId="ECHRFooterLineLandscape">
    <w:name w:val="ECHR_Footer_Line_Landscape"/>
    <w:aliases w:val="_Footer_Line_Landscape"/>
    <w:basedOn w:val="Normal"/>
    <w:uiPriority w:val="99"/>
    <w:semiHidden/>
    <w:rsid w:val="00AE5C70"/>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99"/>
    <w:semiHidden/>
    <w:rsid w:val="00AE5C70"/>
    <w:pPr>
      <w:jc w:val="right"/>
    </w:pPr>
    <w:rPr>
      <w:sz w:val="20"/>
    </w:rPr>
  </w:style>
  <w:style w:type="paragraph" w:customStyle="1" w:styleId="ECHRHeaderRefIt">
    <w:name w:val="ECHR_Header_Ref_It"/>
    <w:aliases w:val="_Ref_Ital"/>
    <w:basedOn w:val="Normal"/>
    <w:next w:val="ECHRHeaderDate"/>
    <w:uiPriority w:val="99"/>
    <w:rsid w:val="00AE5C70"/>
    <w:pPr>
      <w:jc w:val="right"/>
    </w:pPr>
    <w:rPr>
      <w:i/>
      <w:sz w:val="20"/>
    </w:rPr>
  </w:style>
  <w:style w:type="paragraph" w:customStyle="1" w:styleId="ECHRHeading9">
    <w:name w:val="ECHR_Heading_9"/>
    <w:aliases w:val="_Head_9"/>
    <w:basedOn w:val="Heading9"/>
    <w:uiPriority w:val="19"/>
    <w:semiHidden/>
    <w:rsid w:val="00AE5C70"/>
    <w:pPr>
      <w:keepNext/>
      <w:keepLines/>
      <w:numPr>
        <w:ilvl w:val="8"/>
        <w:numId w:val="24"/>
      </w:numPr>
      <w:spacing w:before="100" w:beforeAutospacing="1"/>
      <w:contextualSpacing/>
    </w:pPr>
    <w:rPr>
      <w:i w:val="0"/>
      <w:sz w:val="18"/>
    </w:rPr>
  </w:style>
  <w:style w:type="paragraph" w:customStyle="1" w:styleId="ECHRLine">
    <w:name w:val="ECHR_Line"/>
    <w:aliases w:val="_Line"/>
    <w:basedOn w:val="NormalJustified"/>
    <w:next w:val="Normal"/>
    <w:uiPriority w:val="99"/>
    <w:semiHidden/>
    <w:rsid w:val="00AE5C70"/>
    <w:pPr>
      <w:pBdr>
        <w:bottom w:val="single" w:sz="12" w:space="1" w:color="949494"/>
      </w:pBdr>
      <w:spacing w:after="120"/>
    </w:pPr>
    <w:rPr>
      <w:sz w:val="12"/>
    </w:rPr>
  </w:style>
  <w:style w:type="paragraph" w:customStyle="1" w:styleId="ECHRNumberedList1">
    <w:name w:val="ECHR_Numbered_List_1"/>
    <w:aliases w:val="_Num_1"/>
    <w:basedOn w:val="Normal"/>
    <w:uiPriority w:val="99"/>
    <w:semiHidden/>
    <w:rsid w:val="00AE5C70"/>
    <w:pPr>
      <w:numPr>
        <w:numId w:val="30"/>
      </w:numPr>
      <w:spacing w:before="60" w:after="60"/>
    </w:pPr>
  </w:style>
  <w:style w:type="paragraph" w:customStyle="1" w:styleId="ECHRNumberedList2">
    <w:name w:val="ECHR_Numbered_List_2"/>
    <w:aliases w:val="_Num_2"/>
    <w:basedOn w:val="ECHRNumberedList1"/>
    <w:uiPriority w:val="99"/>
    <w:semiHidden/>
    <w:rsid w:val="00AE5C70"/>
    <w:pPr>
      <w:numPr>
        <w:ilvl w:val="1"/>
      </w:numPr>
      <w:tabs>
        <w:tab w:val="num" w:pos="1492"/>
      </w:tabs>
      <w:ind w:hanging="360"/>
    </w:pPr>
  </w:style>
  <w:style w:type="paragraph" w:customStyle="1" w:styleId="ECHRNumberedList3">
    <w:name w:val="ECHR_Numbered_List_3"/>
    <w:aliases w:val="_Num_3"/>
    <w:basedOn w:val="ECHRNumberedList2"/>
    <w:uiPriority w:val="99"/>
    <w:semiHidden/>
    <w:rsid w:val="00AE5C70"/>
    <w:pPr>
      <w:numPr>
        <w:ilvl w:val="2"/>
      </w:numPr>
      <w:tabs>
        <w:tab w:val="num" w:pos="1492"/>
      </w:tabs>
      <w:ind w:hanging="360"/>
    </w:pPr>
  </w:style>
  <w:style w:type="paragraph" w:customStyle="1" w:styleId="ECHRParaHanging">
    <w:name w:val="ECHR_Para_Hanging"/>
    <w:aliases w:val="_Hanging"/>
    <w:basedOn w:val="Normal"/>
    <w:uiPriority w:val="99"/>
    <w:semiHidden/>
    <w:rsid w:val="00AE5C70"/>
    <w:pPr>
      <w:ind w:left="567" w:hanging="567"/>
      <w:jc w:val="both"/>
    </w:pPr>
  </w:style>
  <w:style w:type="paragraph" w:customStyle="1" w:styleId="ECHRParaIndent">
    <w:name w:val="ECHR_Para_Indent"/>
    <w:aliases w:val="_Indent"/>
    <w:basedOn w:val="Normal"/>
    <w:uiPriority w:val="99"/>
    <w:semiHidden/>
    <w:rsid w:val="00AE5C70"/>
    <w:pPr>
      <w:spacing w:before="120" w:after="120"/>
      <w:ind w:left="567"/>
      <w:jc w:val="both"/>
    </w:pPr>
  </w:style>
  <w:style w:type="character" w:customStyle="1" w:styleId="ECHRRed">
    <w:name w:val="ECHR_Red"/>
    <w:aliases w:val="_Red"/>
    <w:basedOn w:val="DefaultParagraphFont"/>
    <w:uiPriority w:val="99"/>
    <w:semiHidden/>
    <w:rsid w:val="00AE5C70"/>
    <w:rPr>
      <w:rFonts w:cs="Times New Roman"/>
      <w:color w:val="C00000"/>
    </w:rPr>
  </w:style>
  <w:style w:type="paragraph" w:customStyle="1" w:styleId="ECHRSpacer">
    <w:name w:val="ECHR_Spacer"/>
    <w:aliases w:val="_Spacer"/>
    <w:basedOn w:val="Normal"/>
    <w:uiPriority w:val="99"/>
    <w:semiHidden/>
    <w:rsid w:val="00AE5C70"/>
    <w:rPr>
      <w:sz w:val="4"/>
    </w:rPr>
  </w:style>
  <w:style w:type="table" w:customStyle="1" w:styleId="ECHRTable2">
    <w:name w:val="ECHR_Table_2"/>
    <w:uiPriority w:val="99"/>
    <w:rsid w:val="00AE5C70"/>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rFonts w:cs="Times New Roman"/>
        <w:b/>
        <w:sz w:val="24"/>
      </w:rPr>
      <w:tblPr/>
      <w:tcPr>
        <w:tcBorders>
          <w:top w:val="nil"/>
          <w:left w:val="nil"/>
          <w:bottom w:val="nil"/>
          <w:right w:val="nil"/>
          <w:insideH w:val="nil"/>
          <w:insideV w:val="nil"/>
          <w:tl2br w:val="nil"/>
          <w:tr2bl w:val="nil"/>
        </w:tcBorders>
        <w:shd w:val="clear" w:color="auto" w:fill="DFDFDF"/>
      </w:tcPr>
    </w:tblStylePr>
    <w:tblStylePr w:type="lastRow">
      <w:rPr>
        <w:rFonts w:cs="Times New Roman"/>
        <w:b/>
      </w:rPr>
      <w:tblPr/>
      <w:tcPr>
        <w:tcBorders>
          <w:top w:val="nil"/>
          <w:left w:val="nil"/>
          <w:bottom w:val="nil"/>
          <w:right w:val="nil"/>
          <w:insideH w:val="nil"/>
          <w:insideV w:val="nil"/>
          <w:tl2br w:val="nil"/>
          <w:tr2bl w:val="nil"/>
        </w:tcBorders>
        <w:shd w:val="clear" w:color="auto" w:fill="ECECEC"/>
      </w:tcPr>
    </w:tblStylePr>
    <w:tblStylePr w:type="firstCol">
      <w:rPr>
        <w:rFonts w:cs="Times New Roman"/>
      </w:rPr>
      <w:tblPr/>
      <w:tcPr>
        <w:tcBorders>
          <w:top w:val="nil"/>
          <w:left w:val="nil"/>
          <w:bottom w:val="nil"/>
          <w:right w:val="nil"/>
          <w:insideH w:val="nil"/>
          <w:insideV w:val="nil"/>
          <w:tl2br w:val="nil"/>
          <w:tr2bl w:val="nil"/>
        </w:tcBorders>
        <w:shd w:val="clear" w:color="auto" w:fill="EFF8FF"/>
      </w:tcPr>
    </w:tblStylePr>
    <w:tblStylePr w:type="lastCol">
      <w:rPr>
        <w:rFonts w:cs="Times New Roman"/>
      </w:rPr>
      <w:tblPr/>
      <w:tcPr>
        <w:tcBorders>
          <w:top w:val="nil"/>
          <w:left w:val="nil"/>
          <w:bottom w:val="nil"/>
          <w:right w:val="nil"/>
          <w:insideH w:val="nil"/>
          <w:insideV w:val="nil"/>
          <w:tl2br w:val="nil"/>
          <w:tr2bl w:val="nil"/>
        </w:tcBorders>
        <w:shd w:val="clear" w:color="auto" w:fill="F3FCE8"/>
      </w:tcPr>
    </w:tblStylePr>
    <w:tblStylePr w:type="band1Vert">
      <w:pPr>
        <w:jc w:val="center"/>
      </w:pPr>
      <w:rPr>
        <w:rFonts w:cs="Times New Roman"/>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rFonts w:cs="Times New Roman"/>
        <w:b/>
        <w:sz w:val="28"/>
      </w:rPr>
      <w:tblPr/>
      <w:tcPr>
        <w:tcBorders>
          <w:top w:val="nil"/>
          <w:left w:val="nil"/>
          <w:bottom w:val="nil"/>
          <w:right w:val="nil"/>
          <w:insideH w:val="nil"/>
          <w:insideV w:val="nil"/>
          <w:tl2br w:val="nil"/>
          <w:tr2bl w:val="nil"/>
        </w:tcBorders>
        <w:shd w:val="clear" w:color="auto" w:fill="C6F094"/>
      </w:tcPr>
    </w:tblStylePr>
    <w:tblStylePr w:type="band1Horz">
      <w:rPr>
        <w:rFonts w:cs="Times New Roman"/>
      </w:rPr>
      <w:tblPr/>
      <w:tcPr>
        <w:tcBorders>
          <w:top w:val="nil"/>
          <w:left w:val="nil"/>
          <w:bottom w:val="nil"/>
          <w:right w:val="nil"/>
          <w:insideH w:val="nil"/>
          <w:insideV w:val="nil"/>
          <w:tl2br w:val="nil"/>
          <w:tr2bl w:val="nil"/>
        </w:tcBorders>
      </w:tcPr>
    </w:tblStylePr>
    <w:tblStylePr w:type="band2Horz">
      <w:rPr>
        <w:rFonts w:cs="Times New Roman"/>
      </w:rPr>
      <w:tblPr/>
      <w:tcPr>
        <w:tcBorders>
          <w:top w:val="nil"/>
          <w:left w:val="nil"/>
          <w:bottom w:val="nil"/>
          <w:right w:val="nil"/>
          <w:insideH w:val="nil"/>
          <w:insideV w:val="nil"/>
          <w:tl2br w:val="nil"/>
          <w:tr2bl w:val="nil"/>
        </w:tcBorders>
        <w:shd w:val="clear" w:color="auto" w:fill="F8F8F8"/>
      </w:tcPr>
    </w:tblStylePr>
    <w:tblStylePr w:type="neCell">
      <w:pPr>
        <w:jc w:val="center"/>
      </w:pPr>
      <w:rPr>
        <w:rFonts w:cs="Times New Roman"/>
        <w:b/>
      </w:rPr>
      <w:tblPr/>
      <w:tcPr>
        <w:tcBorders>
          <w:top w:val="nil"/>
          <w:left w:val="nil"/>
          <w:bottom w:val="nil"/>
          <w:right w:val="nil"/>
          <w:insideH w:val="nil"/>
          <w:insideV w:val="nil"/>
          <w:tl2br w:val="nil"/>
          <w:tr2bl w:val="nil"/>
        </w:tcBorders>
        <w:shd w:val="clear" w:color="auto" w:fill="DCF6BC"/>
      </w:tcPr>
    </w:tblStylePr>
    <w:tblStylePr w:type="nwCell">
      <w:pPr>
        <w:jc w:val="center"/>
      </w:pPr>
      <w:rPr>
        <w:rFonts w:cs="Times New Roman"/>
        <w:b/>
      </w:rPr>
      <w:tblPr/>
      <w:tcPr>
        <w:tcBorders>
          <w:top w:val="nil"/>
          <w:left w:val="nil"/>
          <w:bottom w:val="nil"/>
          <w:right w:val="nil"/>
          <w:insideH w:val="nil"/>
          <w:insideV w:val="nil"/>
          <w:tl2br w:val="nil"/>
          <w:tr2bl w:val="nil"/>
        </w:tcBorders>
        <w:shd w:val="clear" w:color="auto" w:fill="CDEBFF"/>
      </w:tcPr>
    </w:tblStylePr>
    <w:tblStylePr w:type="seCell">
      <w:rPr>
        <w:rFonts w:cs="Times New Roman"/>
      </w:rPr>
      <w:tblPr/>
      <w:tcPr>
        <w:tcBorders>
          <w:top w:val="nil"/>
          <w:left w:val="nil"/>
          <w:bottom w:val="nil"/>
          <w:right w:val="nil"/>
          <w:insideH w:val="nil"/>
          <w:insideV w:val="nil"/>
          <w:tl2br w:val="nil"/>
          <w:tr2bl w:val="nil"/>
        </w:tcBorders>
        <w:shd w:val="clear" w:color="auto" w:fill="C6F094"/>
      </w:tcPr>
    </w:tblStylePr>
    <w:tblStylePr w:type="swCell">
      <w:rPr>
        <w:rFonts w:cs="Times New Roman"/>
      </w:rPr>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uiPriority w:val="99"/>
    <w:rsid w:val="00AE5C70"/>
    <w:rPr>
      <w:sz w:val="24"/>
      <w:szCs w:val="24"/>
    </w:rPr>
    <w:tblPr>
      <w:tblStyleRowBandSize w:val="1"/>
      <w:tblStyleColBandSize w:val="1"/>
      <w:jc w:val="center"/>
      <w:tblInd w:w="0"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CellMar>
        <w:top w:w="0" w:type="dxa"/>
        <w:left w:w="108" w:type="dxa"/>
        <w:bottom w:w="0" w:type="dxa"/>
        <w:right w:w="108" w:type="dxa"/>
      </w:tblCellMar>
    </w:tblPr>
    <w:trPr>
      <w:jc w:val="center"/>
    </w:trPr>
    <w:tblStylePr w:type="firstRow">
      <w:rPr>
        <w:rFonts w:ascii="Times New Roman" w:hAnsi="Times New Roman" w:cs="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rFonts w:cs="Times New Roman"/>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cs="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rFonts w:cs="Times New Roman"/>
        <w:b/>
        <w:i w:val="0"/>
      </w:rPr>
    </w:tblStylePr>
    <w:tblStylePr w:type="band2Vert">
      <w:rPr>
        <w:rFonts w:cs="Times New Roman"/>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rPr>
        <w:rFonts w:cs="Times New Roman"/>
      </w:rPr>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99"/>
    <w:semiHidden/>
    <w:rsid w:val="00AE5C70"/>
    <w:pPr>
      <w:keepNext/>
      <w:keepLines/>
      <w:spacing w:before="240"/>
      <w:contextualSpacing/>
    </w:pPr>
    <w:rPr>
      <w:b/>
      <w:color w:val="2F2F2F"/>
      <w:sz w:val="32"/>
    </w:rPr>
  </w:style>
  <w:style w:type="paragraph" w:customStyle="1" w:styleId="ECHRTitle2">
    <w:name w:val="ECHR_Title_2"/>
    <w:aliases w:val="_Title_L_2"/>
    <w:basedOn w:val="Normal"/>
    <w:next w:val="Normal"/>
    <w:uiPriority w:val="99"/>
    <w:semiHidden/>
    <w:rsid w:val="00AE5C70"/>
    <w:pPr>
      <w:keepNext/>
      <w:keepLines/>
      <w:spacing w:before="240"/>
      <w:contextualSpacing/>
    </w:pPr>
    <w:rPr>
      <w:b/>
      <w:color w:val="474747"/>
      <w:sz w:val="28"/>
    </w:rPr>
  </w:style>
  <w:style w:type="paragraph" w:customStyle="1" w:styleId="ECHRTitle3">
    <w:name w:val="ECHR_Title_3"/>
    <w:aliases w:val="_Title_L_3"/>
    <w:basedOn w:val="Normal"/>
    <w:next w:val="Normal"/>
    <w:uiPriority w:val="99"/>
    <w:semiHidden/>
    <w:rsid w:val="00AE5C70"/>
    <w:pPr>
      <w:keepNext/>
      <w:keepLines/>
      <w:spacing w:before="240"/>
      <w:contextualSpacing/>
    </w:pPr>
    <w:rPr>
      <w:b/>
      <w:color w:val="474747"/>
    </w:rPr>
  </w:style>
  <w:style w:type="paragraph" w:customStyle="1" w:styleId="ECHRTitleCentre1">
    <w:name w:val="ECHR_Title_Centre_1"/>
    <w:aliases w:val="_Title_C_1"/>
    <w:basedOn w:val="Normal"/>
    <w:next w:val="Normal"/>
    <w:uiPriority w:val="99"/>
    <w:semiHidden/>
    <w:rsid w:val="00AE5C70"/>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99"/>
    <w:semiHidden/>
    <w:rsid w:val="00AE5C70"/>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99"/>
    <w:semiHidden/>
    <w:rsid w:val="00AE5C70"/>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99"/>
    <w:semiHidden/>
    <w:rsid w:val="00AE5C70"/>
    <w:pPr>
      <w:outlineLvl w:val="0"/>
    </w:pPr>
  </w:style>
  <w:style w:type="paragraph" w:customStyle="1" w:styleId="ECHRTitleTOC1">
    <w:name w:val="ECHR_Title_TOC_1"/>
    <w:aliases w:val="_Title_L_TOC"/>
    <w:basedOn w:val="ECHRTitle1"/>
    <w:next w:val="Normal"/>
    <w:uiPriority w:val="99"/>
    <w:semiHidden/>
    <w:rsid w:val="00AE5C70"/>
    <w:pPr>
      <w:outlineLvl w:val="0"/>
    </w:pPr>
  </w:style>
  <w:style w:type="character" w:customStyle="1" w:styleId="JuParaChar">
    <w:name w:val="Ju_Para Char"/>
    <w:aliases w:val="_Para Char"/>
    <w:link w:val="JuPara"/>
    <w:uiPriority w:val="99"/>
    <w:locked/>
    <w:rsid w:val="00CA10AC"/>
    <w:rPr>
      <w:sz w:val="24"/>
      <w:lang w:val="fr-FR"/>
    </w:rPr>
  </w:style>
  <w:style w:type="character" w:customStyle="1" w:styleId="JuNames0">
    <w:name w:val="Ju_Names"/>
    <w:uiPriority w:val="99"/>
    <w:rsid w:val="00CA10AC"/>
    <w:rPr>
      <w:smallCaps/>
    </w:rPr>
  </w:style>
  <w:style w:type="paragraph" w:customStyle="1" w:styleId="JuList4">
    <w:name w:val="Ju_List_4"/>
    <w:aliases w:val="N_Bul_4"/>
    <w:basedOn w:val="JuListi"/>
    <w:uiPriority w:val="99"/>
    <w:rsid w:val="00CA10AC"/>
    <w:pPr>
      <w:numPr>
        <w:ilvl w:val="0"/>
        <w:numId w:val="0"/>
      </w:numPr>
      <w:tabs>
        <w:tab w:val="num" w:pos="1701"/>
      </w:tabs>
      <w:spacing w:before="60" w:after="60" w:line="240" w:lineRule="exact"/>
      <w:ind w:left="1703" w:hanging="284"/>
      <w:contextualSpacing/>
    </w:pPr>
    <w:rPr>
      <w:sz w:val="22"/>
      <w:lang w:eastAsia="fr-FR"/>
    </w:rPr>
  </w:style>
  <w:style w:type="paragraph" w:styleId="Revision">
    <w:name w:val="Revision"/>
    <w:hidden/>
    <w:uiPriority w:val="99"/>
    <w:semiHidden/>
    <w:rsid w:val="00CA10AC"/>
    <w:rPr>
      <w:sz w:val="24"/>
      <w:szCs w:val="24"/>
      <w:lang w:val="fr-FR"/>
    </w:rPr>
  </w:style>
  <w:style w:type="table" w:customStyle="1" w:styleId="GridTable1Light1">
    <w:name w:val="Grid Table 1 Light1"/>
    <w:uiPriority w:val="99"/>
    <w:semiHidden/>
    <w:rsid w:val="00CA10AC"/>
    <w:rPr>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Accent11">
    <w:name w:val="Grid Table 1 Light - Accent 11"/>
    <w:uiPriority w:val="99"/>
    <w:semiHidden/>
    <w:rsid w:val="00CA10AC"/>
    <w:rPr>
      <w:sz w:val="20"/>
      <w:szCs w:val="20"/>
    </w:rPr>
    <w:tblPr>
      <w:tblStyleRowBandSize w:val="1"/>
      <w:tblStyleColBandSize w:val="1"/>
      <w:tblInd w:w="0" w:type="dxa"/>
      <w:tblBorders>
        <w:top w:val="single" w:sz="4" w:space="0" w:color="7ECBFF"/>
        <w:left w:val="single" w:sz="4" w:space="0" w:color="7ECBFF"/>
        <w:bottom w:val="single" w:sz="4" w:space="0" w:color="7ECBFF"/>
        <w:right w:val="single" w:sz="4" w:space="0" w:color="7ECBFF"/>
        <w:insideH w:val="single" w:sz="4" w:space="0" w:color="7ECBFF"/>
        <w:insideV w:val="single" w:sz="4" w:space="0" w:color="7ECBFF"/>
      </w:tblBorders>
      <w:tblCellMar>
        <w:top w:w="0" w:type="dxa"/>
        <w:left w:w="108" w:type="dxa"/>
        <w:bottom w:w="0" w:type="dxa"/>
        <w:right w:w="108" w:type="dxa"/>
      </w:tblCellMar>
    </w:tblPr>
    <w:tblStylePr w:type="firstRow">
      <w:rPr>
        <w:rFonts w:cs="Times New Roman"/>
        <w:b/>
        <w:bCs/>
      </w:rPr>
      <w:tblPr/>
      <w:tcPr>
        <w:tcBorders>
          <w:bottom w:val="single" w:sz="12" w:space="0" w:color="3DB2FF"/>
        </w:tcBorders>
      </w:tcPr>
    </w:tblStylePr>
    <w:tblStylePr w:type="lastRow">
      <w:rPr>
        <w:rFonts w:cs="Times New Roman"/>
        <w:b/>
        <w:bCs/>
      </w:rPr>
      <w:tblPr/>
      <w:tcPr>
        <w:tcBorders>
          <w:top w:val="double" w:sz="2" w:space="0" w:color="3DB2FF"/>
        </w:tcBorders>
      </w:tcPr>
    </w:tblStylePr>
    <w:tblStylePr w:type="firstCol">
      <w:rPr>
        <w:rFonts w:cs="Times New Roman"/>
        <w:b/>
        <w:bCs/>
      </w:rPr>
    </w:tblStylePr>
    <w:tblStylePr w:type="lastCol">
      <w:rPr>
        <w:rFonts w:cs="Times New Roman"/>
        <w:b/>
        <w:bCs/>
      </w:rPr>
    </w:tblStylePr>
  </w:style>
  <w:style w:type="table" w:customStyle="1" w:styleId="GridTable1Light-Accent21">
    <w:name w:val="Grid Table 1 Light - Accent 21"/>
    <w:uiPriority w:val="99"/>
    <w:semiHidden/>
    <w:rsid w:val="00CA10AC"/>
    <w:rPr>
      <w:sz w:val="20"/>
      <w:szCs w:val="20"/>
    </w:rPr>
    <w:tblPr>
      <w:tblStyleRowBandSize w:val="1"/>
      <w:tblStyleColBandSize w:val="1"/>
      <w:tblInd w:w="0" w:type="dxa"/>
      <w:tblBorders>
        <w:top w:val="single" w:sz="4" w:space="0" w:color="FF7F7F"/>
        <w:left w:val="single" w:sz="4" w:space="0" w:color="FF7F7F"/>
        <w:bottom w:val="single" w:sz="4" w:space="0" w:color="FF7F7F"/>
        <w:right w:val="single" w:sz="4" w:space="0" w:color="FF7F7F"/>
        <w:insideH w:val="single" w:sz="4" w:space="0" w:color="FF7F7F"/>
        <w:insideV w:val="single" w:sz="4" w:space="0" w:color="FF7F7F"/>
      </w:tblBorders>
      <w:tblCellMar>
        <w:top w:w="0" w:type="dxa"/>
        <w:left w:w="108" w:type="dxa"/>
        <w:bottom w:w="0" w:type="dxa"/>
        <w:right w:w="108" w:type="dxa"/>
      </w:tblCellMar>
    </w:tblPr>
    <w:tblStylePr w:type="firstRow">
      <w:rPr>
        <w:rFonts w:cs="Times New Roman"/>
        <w:b/>
        <w:bCs/>
      </w:rPr>
      <w:tblPr/>
      <w:tcPr>
        <w:tcBorders>
          <w:bottom w:val="single" w:sz="12" w:space="0" w:color="FF4040"/>
        </w:tcBorders>
      </w:tcPr>
    </w:tblStylePr>
    <w:tblStylePr w:type="lastRow">
      <w:rPr>
        <w:rFonts w:cs="Times New Roman"/>
        <w:b/>
        <w:bCs/>
      </w:rPr>
      <w:tblPr/>
      <w:tcPr>
        <w:tcBorders>
          <w:top w:val="double" w:sz="2" w:space="0" w:color="FF4040"/>
        </w:tcBorders>
      </w:tcPr>
    </w:tblStylePr>
    <w:tblStylePr w:type="firstCol">
      <w:rPr>
        <w:rFonts w:cs="Times New Roman"/>
        <w:b/>
        <w:bCs/>
      </w:rPr>
    </w:tblStylePr>
    <w:tblStylePr w:type="lastCol">
      <w:rPr>
        <w:rFonts w:cs="Times New Roman"/>
        <w:b/>
        <w:bCs/>
      </w:rPr>
    </w:tblStylePr>
  </w:style>
  <w:style w:type="table" w:customStyle="1" w:styleId="GridTable1Light-Accent31">
    <w:name w:val="Grid Table 1 Light - Accent 31"/>
    <w:uiPriority w:val="99"/>
    <w:semiHidden/>
    <w:rsid w:val="00CA10AC"/>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Pr/>
      <w:tcPr>
        <w:tcBorders>
          <w:bottom w:val="single" w:sz="12" w:space="0" w:color="9F9F9F"/>
        </w:tcBorders>
      </w:tcPr>
    </w:tblStylePr>
    <w:tblStylePr w:type="lastRow">
      <w:rPr>
        <w:rFonts w:cs="Times New Roman"/>
        <w:b/>
        <w:bCs/>
      </w:rPr>
      <w:tblPr/>
      <w:tcPr>
        <w:tcBorders>
          <w:top w:val="double" w:sz="2" w:space="0" w:color="9F9F9F"/>
        </w:tcBorders>
      </w:tcPr>
    </w:tblStylePr>
    <w:tblStylePr w:type="firstCol">
      <w:rPr>
        <w:rFonts w:cs="Times New Roman"/>
        <w:b/>
        <w:bCs/>
      </w:rPr>
    </w:tblStylePr>
    <w:tblStylePr w:type="lastCol">
      <w:rPr>
        <w:rFonts w:cs="Times New Roman"/>
        <w:b/>
        <w:bCs/>
      </w:rPr>
    </w:tblStylePr>
  </w:style>
  <w:style w:type="table" w:customStyle="1" w:styleId="GridTable1Light-Accent41">
    <w:name w:val="Grid Table 1 Light - Accent 41"/>
    <w:uiPriority w:val="99"/>
    <w:semiHidden/>
    <w:rsid w:val="00CA10AC"/>
    <w:rPr>
      <w:sz w:val="20"/>
      <w:szCs w:val="20"/>
    </w:rPr>
    <w:tblPr>
      <w:tblStyleRowBandSize w:val="1"/>
      <w:tblStyleColBandSize w:val="1"/>
      <w:tblInd w:w="0" w:type="dxa"/>
      <w:tblBorders>
        <w:top w:val="single" w:sz="4" w:space="0" w:color="D5D5D5"/>
        <w:left w:val="single" w:sz="4" w:space="0" w:color="D5D5D5"/>
        <w:bottom w:val="single" w:sz="4" w:space="0" w:color="D5D5D5"/>
        <w:right w:val="single" w:sz="4" w:space="0" w:color="D5D5D5"/>
        <w:insideH w:val="single" w:sz="4" w:space="0" w:color="D5D5D5"/>
        <w:insideV w:val="single" w:sz="4" w:space="0" w:color="D5D5D5"/>
      </w:tblBorders>
      <w:tblCellMar>
        <w:top w:w="0" w:type="dxa"/>
        <w:left w:w="108" w:type="dxa"/>
        <w:bottom w:w="0" w:type="dxa"/>
        <w:right w:w="108" w:type="dxa"/>
      </w:tblCellMar>
    </w:tblPr>
    <w:tblStylePr w:type="firstRow">
      <w:rPr>
        <w:rFonts w:cs="Times New Roman"/>
        <w:b/>
        <w:bCs/>
      </w:rPr>
      <w:tblPr/>
      <w:tcPr>
        <w:tcBorders>
          <w:bottom w:val="single" w:sz="12" w:space="0" w:color="C0C0C0"/>
        </w:tcBorders>
      </w:tcPr>
    </w:tblStylePr>
    <w:tblStylePr w:type="lastRow">
      <w:rPr>
        <w:rFonts w:cs="Times New Roman"/>
        <w:b/>
        <w:bCs/>
      </w:rPr>
      <w:tblPr/>
      <w:tcPr>
        <w:tcBorders>
          <w:top w:val="double" w:sz="2" w:space="0" w:color="C0C0C0"/>
        </w:tcBorders>
      </w:tcPr>
    </w:tblStylePr>
    <w:tblStylePr w:type="firstCol">
      <w:rPr>
        <w:rFonts w:cs="Times New Roman"/>
        <w:b/>
        <w:bCs/>
      </w:rPr>
    </w:tblStylePr>
    <w:tblStylePr w:type="lastCol">
      <w:rPr>
        <w:rFonts w:cs="Times New Roman"/>
        <w:b/>
        <w:bCs/>
      </w:rPr>
    </w:tblStylePr>
  </w:style>
  <w:style w:type="table" w:customStyle="1" w:styleId="GridTable1Light-Accent51">
    <w:name w:val="Grid Table 1 Light - Accent 51"/>
    <w:uiPriority w:val="99"/>
    <w:semiHidden/>
    <w:rsid w:val="00CA10AC"/>
    <w:rPr>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Pr/>
      <w:tcPr>
        <w:tcBorders>
          <w:bottom w:val="single" w:sz="12" w:space="0" w:color="9F9F9F"/>
        </w:tcBorders>
      </w:tcPr>
    </w:tblStylePr>
    <w:tblStylePr w:type="lastRow">
      <w:rPr>
        <w:rFonts w:cs="Times New Roman"/>
        <w:b/>
        <w:bCs/>
      </w:rPr>
      <w:tblPr/>
      <w:tcPr>
        <w:tcBorders>
          <w:top w:val="double" w:sz="2" w:space="0" w:color="9F9F9F"/>
        </w:tcBorders>
      </w:tcPr>
    </w:tblStylePr>
    <w:tblStylePr w:type="firstCol">
      <w:rPr>
        <w:rFonts w:cs="Times New Roman"/>
        <w:b/>
        <w:bCs/>
      </w:rPr>
    </w:tblStylePr>
    <w:tblStylePr w:type="lastCol">
      <w:rPr>
        <w:rFonts w:cs="Times New Roman"/>
        <w:b/>
        <w:bCs/>
      </w:rPr>
    </w:tblStylePr>
  </w:style>
  <w:style w:type="table" w:customStyle="1" w:styleId="GridTable1Light-Accent61">
    <w:name w:val="Grid Table 1 Light - Accent 61"/>
    <w:uiPriority w:val="99"/>
    <w:semiHidden/>
    <w:rsid w:val="00CA10AC"/>
    <w:rPr>
      <w:sz w:val="20"/>
      <w:szCs w:val="20"/>
    </w:rPr>
    <w:tblPr>
      <w:tblStyleRowBandSize w:val="1"/>
      <w:tblStyleColBandSize w:val="1"/>
      <w:tblInd w:w="0"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CellMar>
        <w:top w:w="0" w:type="dxa"/>
        <w:left w:w="108" w:type="dxa"/>
        <w:bottom w:w="0" w:type="dxa"/>
        <w:right w:w="108" w:type="dxa"/>
      </w:tblCellMar>
    </w:tblPr>
    <w:tblStylePr w:type="firstRow">
      <w:rPr>
        <w:rFonts w:cs="Times New Roman"/>
        <w:b/>
        <w:bCs/>
      </w:rPr>
      <w:tblPr/>
      <w:tcPr>
        <w:tcBorders>
          <w:bottom w:val="single" w:sz="12" w:space="0" w:color="949494"/>
        </w:tcBorders>
      </w:tcPr>
    </w:tblStylePr>
    <w:tblStylePr w:type="lastRow">
      <w:rPr>
        <w:rFonts w:cs="Times New Roman"/>
        <w:b/>
        <w:bCs/>
      </w:rPr>
      <w:tblPr/>
      <w:tcPr>
        <w:tcBorders>
          <w:top w:val="double" w:sz="2" w:space="0" w:color="949494"/>
        </w:tcBorders>
      </w:tcPr>
    </w:tblStylePr>
    <w:tblStylePr w:type="firstCol">
      <w:rPr>
        <w:rFonts w:cs="Times New Roman"/>
        <w:b/>
        <w:bCs/>
      </w:rPr>
    </w:tblStylePr>
    <w:tblStylePr w:type="lastCol">
      <w:rPr>
        <w:rFonts w:cs="Times New Roman"/>
        <w:b/>
        <w:bCs/>
      </w:rPr>
    </w:tblStylePr>
  </w:style>
  <w:style w:type="table" w:customStyle="1" w:styleId="GridTable21">
    <w:name w:val="Grid Table 21"/>
    <w:uiPriority w:val="99"/>
    <w:semiHidden/>
    <w:rsid w:val="00CA10AC"/>
    <w:rPr>
      <w:sz w:val="20"/>
      <w:szCs w:val="20"/>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rFonts w:cs="Times New Roman"/>
        <w:b/>
        <w:bCs/>
      </w:rPr>
      <w:tblPr/>
      <w:tcPr>
        <w:tcBorders>
          <w:top w:val="nil"/>
          <w:bottom w:val="single" w:sz="12" w:space="0" w:color="666666"/>
          <w:insideH w:val="nil"/>
          <w:insideV w:val="nil"/>
        </w:tcBorders>
        <w:shd w:val="clear" w:color="auto" w:fill="0072BC"/>
      </w:tcPr>
    </w:tblStylePr>
    <w:tblStylePr w:type="lastRow">
      <w:rPr>
        <w:rFonts w:cs="Times New Roman"/>
        <w:b/>
        <w:bCs/>
      </w:rPr>
      <w:tblPr/>
      <w:tcPr>
        <w:tcBorders>
          <w:top w:val="double" w:sz="2" w:space="0" w:color="666666"/>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2-Accent11">
    <w:name w:val="Grid Table 2 - Accent 11"/>
    <w:uiPriority w:val="99"/>
    <w:semiHidden/>
    <w:rsid w:val="00CA10AC"/>
    <w:rPr>
      <w:sz w:val="20"/>
      <w:szCs w:val="20"/>
    </w:rPr>
    <w:tblPr>
      <w:tblStyleRowBandSize w:val="1"/>
      <w:tblStyleColBandSize w:val="1"/>
      <w:tblInd w:w="0" w:type="dxa"/>
      <w:tblBorders>
        <w:top w:val="single" w:sz="2" w:space="0" w:color="3DB2FF"/>
        <w:bottom w:val="single" w:sz="2" w:space="0" w:color="3DB2FF"/>
        <w:insideH w:val="single" w:sz="2" w:space="0" w:color="3DB2FF"/>
        <w:insideV w:val="single" w:sz="2" w:space="0" w:color="3DB2FF"/>
      </w:tblBorders>
      <w:tblCellMar>
        <w:top w:w="0" w:type="dxa"/>
        <w:left w:w="108" w:type="dxa"/>
        <w:bottom w:w="0" w:type="dxa"/>
        <w:right w:w="108" w:type="dxa"/>
      </w:tblCellMar>
    </w:tblPr>
    <w:tblStylePr w:type="firstRow">
      <w:rPr>
        <w:rFonts w:cs="Times New Roman"/>
        <w:b/>
        <w:bCs/>
      </w:rPr>
      <w:tblPr/>
      <w:tcPr>
        <w:tcBorders>
          <w:top w:val="nil"/>
          <w:bottom w:val="single" w:sz="12" w:space="0" w:color="3DB2FF"/>
          <w:insideH w:val="nil"/>
          <w:insideV w:val="nil"/>
        </w:tcBorders>
        <w:shd w:val="clear" w:color="auto" w:fill="0072BC"/>
      </w:tcPr>
    </w:tblStylePr>
    <w:tblStylePr w:type="lastRow">
      <w:rPr>
        <w:rFonts w:cs="Times New Roman"/>
        <w:b/>
        <w:bCs/>
      </w:rPr>
      <w:tblPr/>
      <w:tcPr>
        <w:tcBorders>
          <w:top w:val="double" w:sz="2" w:space="0" w:color="3DB2FF"/>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GridTable2-Accent21">
    <w:name w:val="Grid Table 2 - Accent 21"/>
    <w:uiPriority w:val="99"/>
    <w:semiHidden/>
    <w:rsid w:val="00CA10AC"/>
    <w:rPr>
      <w:sz w:val="20"/>
      <w:szCs w:val="20"/>
    </w:rPr>
    <w:tblPr>
      <w:tblStyleRowBandSize w:val="1"/>
      <w:tblStyleColBandSize w:val="1"/>
      <w:tblInd w:w="0" w:type="dxa"/>
      <w:tblBorders>
        <w:top w:val="single" w:sz="2" w:space="0" w:color="FF4040"/>
        <w:bottom w:val="single" w:sz="2" w:space="0" w:color="FF4040"/>
        <w:insideH w:val="single" w:sz="2" w:space="0" w:color="FF4040"/>
        <w:insideV w:val="single" w:sz="2" w:space="0" w:color="FF4040"/>
      </w:tblBorders>
      <w:tblCellMar>
        <w:top w:w="0" w:type="dxa"/>
        <w:left w:w="108" w:type="dxa"/>
        <w:bottom w:w="0" w:type="dxa"/>
        <w:right w:w="108" w:type="dxa"/>
      </w:tblCellMar>
    </w:tblPr>
    <w:tblStylePr w:type="firstRow">
      <w:rPr>
        <w:rFonts w:cs="Times New Roman"/>
        <w:b/>
        <w:bCs/>
      </w:rPr>
      <w:tblPr/>
      <w:tcPr>
        <w:tcBorders>
          <w:top w:val="nil"/>
          <w:bottom w:val="single" w:sz="12" w:space="0" w:color="FF4040"/>
          <w:insideH w:val="nil"/>
          <w:insideV w:val="nil"/>
        </w:tcBorders>
        <w:shd w:val="clear" w:color="auto" w:fill="0072BC"/>
      </w:tcPr>
    </w:tblStylePr>
    <w:tblStylePr w:type="lastRow">
      <w:rPr>
        <w:rFonts w:cs="Times New Roman"/>
        <w:b/>
        <w:bCs/>
      </w:rPr>
      <w:tblPr/>
      <w:tcPr>
        <w:tcBorders>
          <w:top w:val="double" w:sz="2" w:space="0" w:color="FF4040"/>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GridTable2-Accent31">
    <w:name w:val="Grid Table 2 - Accent 31"/>
    <w:uiPriority w:val="99"/>
    <w:semiHidden/>
    <w:rsid w:val="00CA10AC"/>
    <w:rPr>
      <w:sz w:val="20"/>
      <w:szCs w:val="20"/>
    </w:rPr>
    <w:tblPr>
      <w:tblStyleRowBandSize w:val="1"/>
      <w:tblStyleColBandSize w:val="1"/>
      <w:tblInd w:w="0" w:type="dxa"/>
      <w:tblBorders>
        <w:top w:val="single" w:sz="2" w:space="0" w:color="9F9F9F"/>
        <w:bottom w:val="single" w:sz="2" w:space="0" w:color="9F9F9F"/>
        <w:insideH w:val="single" w:sz="2" w:space="0" w:color="9F9F9F"/>
        <w:insideV w:val="single" w:sz="2" w:space="0" w:color="9F9F9F"/>
      </w:tblBorders>
      <w:tblCellMar>
        <w:top w:w="0" w:type="dxa"/>
        <w:left w:w="108" w:type="dxa"/>
        <w:bottom w:w="0" w:type="dxa"/>
        <w:right w:w="108" w:type="dxa"/>
      </w:tblCellMar>
    </w:tblPr>
    <w:tblStylePr w:type="firstRow">
      <w:rPr>
        <w:rFonts w:cs="Times New Roman"/>
        <w:b/>
        <w:bCs/>
      </w:rPr>
      <w:tblPr/>
      <w:tcPr>
        <w:tcBorders>
          <w:top w:val="nil"/>
          <w:bottom w:val="single" w:sz="12" w:space="0" w:color="9F9F9F"/>
          <w:insideH w:val="nil"/>
          <w:insideV w:val="nil"/>
        </w:tcBorders>
        <w:shd w:val="clear" w:color="auto" w:fill="0072BC"/>
      </w:tcPr>
    </w:tblStylePr>
    <w:tblStylePr w:type="lastRow">
      <w:rPr>
        <w:rFonts w:cs="Times New Roman"/>
        <w:b/>
        <w:bCs/>
      </w:rPr>
      <w:tblPr/>
      <w:tcPr>
        <w:tcBorders>
          <w:top w:val="double" w:sz="2" w:space="0" w:color="9F9F9F"/>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2-Accent41">
    <w:name w:val="Grid Table 2 - Accent 41"/>
    <w:uiPriority w:val="99"/>
    <w:semiHidden/>
    <w:rsid w:val="00CA10AC"/>
    <w:rPr>
      <w:sz w:val="20"/>
      <w:szCs w:val="20"/>
    </w:rPr>
    <w:tblPr>
      <w:tblStyleRowBandSize w:val="1"/>
      <w:tblStyleColBandSize w:val="1"/>
      <w:tblInd w:w="0" w:type="dxa"/>
      <w:tblBorders>
        <w:top w:val="single" w:sz="2" w:space="0" w:color="C0C0C0"/>
        <w:bottom w:val="single" w:sz="2" w:space="0" w:color="C0C0C0"/>
        <w:insideH w:val="single" w:sz="2" w:space="0" w:color="C0C0C0"/>
        <w:insideV w:val="single" w:sz="2" w:space="0" w:color="C0C0C0"/>
      </w:tblBorders>
      <w:tblCellMar>
        <w:top w:w="0" w:type="dxa"/>
        <w:left w:w="108" w:type="dxa"/>
        <w:bottom w:w="0" w:type="dxa"/>
        <w:right w:w="108" w:type="dxa"/>
      </w:tblCellMar>
    </w:tblPr>
    <w:tblStylePr w:type="firstRow">
      <w:rPr>
        <w:rFonts w:cs="Times New Roman"/>
        <w:b/>
        <w:bCs/>
      </w:rPr>
      <w:tblPr/>
      <w:tcPr>
        <w:tcBorders>
          <w:top w:val="nil"/>
          <w:bottom w:val="single" w:sz="12" w:space="0" w:color="C0C0C0"/>
          <w:insideH w:val="nil"/>
          <w:insideV w:val="nil"/>
        </w:tcBorders>
        <w:shd w:val="clear" w:color="auto" w:fill="0072BC"/>
      </w:tcPr>
    </w:tblStylePr>
    <w:tblStylePr w:type="lastRow">
      <w:rPr>
        <w:rFonts w:cs="Times New Roman"/>
        <w:b/>
        <w:bCs/>
      </w:rPr>
      <w:tblPr/>
      <w:tcPr>
        <w:tcBorders>
          <w:top w:val="double" w:sz="2" w:space="0" w:color="C0C0C0"/>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GridTable2-Accent51">
    <w:name w:val="Grid Table 2 - Accent 51"/>
    <w:uiPriority w:val="99"/>
    <w:semiHidden/>
    <w:rsid w:val="00CA10AC"/>
    <w:rPr>
      <w:sz w:val="20"/>
      <w:szCs w:val="20"/>
    </w:rPr>
    <w:tblPr>
      <w:tblStyleRowBandSize w:val="1"/>
      <w:tblStyleColBandSize w:val="1"/>
      <w:tblInd w:w="0" w:type="dxa"/>
      <w:tblBorders>
        <w:top w:val="single" w:sz="2" w:space="0" w:color="9F9F9F"/>
        <w:bottom w:val="single" w:sz="2" w:space="0" w:color="9F9F9F"/>
        <w:insideH w:val="single" w:sz="2" w:space="0" w:color="9F9F9F"/>
        <w:insideV w:val="single" w:sz="2" w:space="0" w:color="9F9F9F"/>
      </w:tblBorders>
      <w:tblCellMar>
        <w:top w:w="0" w:type="dxa"/>
        <w:left w:w="108" w:type="dxa"/>
        <w:bottom w:w="0" w:type="dxa"/>
        <w:right w:w="108" w:type="dxa"/>
      </w:tblCellMar>
    </w:tblPr>
    <w:tblStylePr w:type="firstRow">
      <w:rPr>
        <w:rFonts w:cs="Times New Roman"/>
        <w:b/>
        <w:bCs/>
      </w:rPr>
      <w:tblPr/>
      <w:tcPr>
        <w:tcBorders>
          <w:top w:val="nil"/>
          <w:bottom w:val="single" w:sz="12" w:space="0" w:color="9F9F9F"/>
          <w:insideH w:val="nil"/>
          <w:insideV w:val="nil"/>
        </w:tcBorders>
        <w:shd w:val="clear" w:color="auto" w:fill="0072BC"/>
      </w:tcPr>
    </w:tblStylePr>
    <w:tblStylePr w:type="lastRow">
      <w:rPr>
        <w:rFonts w:cs="Times New Roman"/>
        <w:b/>
        <w:bCs/>
      </w:rPr>
      <w:tblPr/>
      <w:tcPr>
        <w:tcBorders>
          <w:top w:val="double" w:sz="2" w:space="0" w:color="9F9F9F"/>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2-Accent61">
    <w:name w:val="Grid Table 2 - Accent 61"/>
    <w:uiPriority w:val="99"/>
    <w:semiHidden/>
    <w:rsid w:val="00CA10AC"/>
    <w:rPr>
      <w:sz w:val="20"/>
      <w:szCs w:val="20"/>
    </w:rPr>
    <w:tblPr>
      <w:tblStyleRowBandSize w:val="1"/>
      <w:tblStyleColBandSize w:val="1"/>
      <w:tblInd w:w="0" w:type="dxa"/>
      <w:tblBorders>
        <w:top w:val="single" w:sz="2" w:space="0" w:color="949494"/>
        <w:bottom w:val="single" w:sz="2" w:space="0" w:color="949494"/>
        <w:insideH w:val="single" w:sz="2" w:space="0" w:color="949494"/>
        <w:insideV w:val="single" w:sz="2" w:space="0" w:color="949494"/>
      </w:tblBorders>
      <w:tblCellMar>
        <w:top w:w="0" w:type="dxa"/>
        <w:left w:w="108" w:type="dxa"/>
        <w:bottom w:w="0" w:type="dxa"/>
        <w:right w:w="108" w:type="dxa"/>
      </w:tblCellMar>
    </w:tblPr>
    <w:tblStylePr w:type="firstRow">
      <w:rPr>
        <w:rFonts w:cs="Times New Roman"/>
        <w:b/>
        <w:bCs/>
      </w:rPr>
      <w:tblPr/>
      <w:tcPr>
        <w:tcBorders>
          <w:top w:val="nil"/>
          <w:bottom w:val="single" w:sz="12" w:space="0" w:color="949494"/>
          <w:insideH w:val="nil"/>
          <w:insideV w:val="nil"/>
        </w:tcBorders>
        <w:shd w:val="clear" w:color="auto" w:fill="0072BC"/>
      </w:tcPr>
    </w:tblStylePr>
    <w:tblStylePr w:type="lastRow">
      <w:rPr>
        <w:rFonts w:cs="Times New Roman"/>
        <w:b/>
        <w:bCs/>
      </w:rPr>
      <w:tblPr/>
      <w:tcPr>
        <w:tcBorders>
          <w:top w:val="double" w:sz="2" w:space="0" w:color="949494"/>
          <w:bottom w:val="nil"/>
          <w:insideH w:val="nil"/>
          <w:insideV w:val="nil"/>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GridTable31">
    <w:name w:val="Grid Table 31"/>
    <w:uiPriority w:val="99"/>
    <w:semiHidden/>
    <w:rsid w:val="00CA10A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GridTable3-Accent11">
    <w:name w:val="Grid Table 3 - Accent 11"/>
    <w:uiPriority w:val="99"/>
    <w:semiHidden/>
    <w:rsid w:val="00CA10AC"/>
    <w:rPr>
      <w:sz w:val="20"/>
      <w:szCs w:val="20"/>
    </w:rPr>
    <w:tblPr>
      <w:tblStyleRowBandSize w:val="1"/>
      <w:tblStyleColBandSize w:val="1"/>
      <w:tblInd w:w="0" w:type="dxa"/>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tblStylePr w:type="neCell">
      <w:rPr>
        <w:rFonts w:cs="Times New Roman"/>
      </w:rPr>
      <w:tblPr/>
      <w:tcPr>
        <w:tcBorders>
          <w:bottom w:val="single" w:sz="4" w:space="0" w:color="3DB2FF"/>
        </w:tcBorders>
      </w:tcPr>
    </w:tblStylePr>
    <w:tblStylePr w:type="nwCell">
      <w:rPr>
        <w:rFonts w:cs="Times New Roman"/>
      </w:rPr>
      <w:tblPr/>
      <w:tcPr>
        <w:tcBorders>
          <w:bottom w:val="single" w:sz="4" w:space="0" w:color="3DB2FF"/>
        </w:tcBorders>
      </w:tcPr>
    </w:tblStylePr>
    <w:tblStylePr w:type="seCell">
      <w:rPr>
        <w:rFonts w:cs="Times New Roman"/>
      </w:rPr>
      <w:tblPr/>
      <w:tcPr>
        <w:tcBorders>
          <w:top w:val="single" w:sz="4" w:space="0" w:color="3DB2FF"/>
        </w:tcBorders>
      </w:tcPr>
    </w:tblStylePr>
    <w:tblStylePr w:type="swCell">
      <w:rPr>
        <w:rFonts w:cs="Times New Roman"/>
      </w:rPr>
      <w:tblPr/>
      <w:tcPr>
        <w:tcBorders>
          <w:top w:val="single" w:sz="4" w:space="0" w:color="3DB2FF"/>
        </w:tcBorders>
      </w:tcPr>
    </w:tblStylePr>
  </w:style>
  <w:style w:type="table" w:customStyle="1" w:styleId="GridTable3-Accent21">
    <w:name w:val="Grid Table 3 - Accent 21"/>
    <w:uiPriority w:val="99"/>
    <w:semiHidden/>
    <w:rsid w:val="00CA10AC"/>
    <w:rPr>
      <w:sz w:val="20"/>
      <w:szCs w:val="20"/>
    </w:rPr>
    <w:tblPr>
      <w:tblStyleRowBandSize w:val="1"/>
      <w:tblStyleColBandSize w:val="1"/>
      <w:tblInd w:w="0" w:type="dxa"/>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tblStylePr w:type="neCell">
      <w:rPr>
        <w:rFonts w:cs="Times New Roman"/>
      </w:rPr>
      <w:tblPr/>
      <w:tcPr>
        <w:tcBorders>
          <w:bottom w:val="single" w:sz="4" w:space="0" w:color="FF4040"/>
        </w:tcBorders>
      </w:tcPr>
    </w:tblStylePr>
    <w:tblStylePr w:type="nwCell">
      <w:rPr>
        <w:rFonts w:cs="Times New Roman"/>
      </w:rPr>
      <w:tblPr/>
      <w:tcPr>
        <w:tcBorders>
          <w:bottom w:val="single" w:sz="4" w:space="0" w:color="FF4040"/>
        </w:tcBorders>
      </w:tcPr>
    </w:tblStylePr>
    <w:tblStylePr w:type="seCell">
      <w:rPr>
        <w:rFonts w:cs="Times New Roman"/>
      </w:rPr>
      <w:tblPr/>
      <w:tcPr>
        <w:tcBorders>
          <w:top w:val="single" w:sz="4" w:space="0" w:color="FF4040"/>
        </w:tcBorders>
      </w:tcPr>
    </w:tblStylePr>
    <w:tblStylePr w:type="swCell">
      <w:rPr>
        <w:rFonts w:cs="Times New Roman"/>
      </w:rPr>
      <w:tblPr/>
      <w:tcPr>
        <w:tcBorders>
          <w:top w:val="single" w:sz="4" w:space="0" w:color="FF4040"/>
        </w:tcBorders>
      </w:tcPr>
    </w:tblStylePr>
  </w:style>
  <w:style w:type="table" w:customStyle="1" w:styleId="GridTable3-Accent31">
    <w:name w:val="Grid Table 3 - Accent 3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bottom w:val="single" w:sz="4" w:space="0" w:color="9F9F9F"/>
        </w:tcBorders>
      </w:tcPr>
    </w:tblStylePr>
    <w:tblStylePr w:type="nwCell">
      <w:rPr>
        <w:rFonts w:cs="Times New Roman"/>
      </w:rPr>
      <w:tblPr/>
      <w:tcPr>
        <w:tcBorders>
          <w:bottom w:val="single" w:sz="4" w:space="0" w:color="9F9F9F"/>
        </w:tcBorders>
      </w:tcPr>
    </w:tblStylePr>
    <w:tblStylePr w:type="seCell">
      <w:rPr>
        <w:rFonts w:cs="Times New Roman"/>
      </w:rPr>
      <w:tblPr/>
      <w:tcPr>
        <w:tcBorders>
          <w:top w:val="single" w:sz="4" w:space="0" w:color="9F9F9F"/>
        </w:tcBorders>
      </w:tcPr>
    </w:tblStylePr>
    <w:tblStylePr w:type="swCell">
      <w:rPr>
        <w:rFonts w:cs="Times New Roman"/>
      </w:rPr>
      <w:tblPr/>
      <w:tcPr>
        <w:tcBorders>
          <w:top w:val="single" w:sz="4" w:space="0" w:color="9F9F9F"/>
        </w:tcBorders>
      </w:tcPr>
    </w:tblStylePr>
  </w:style>
  <w:style w:type="table" w:customStyle="1" w:styleId="GridTable3-Accent41">
    <w:name w:val="Grid Table 3 - Accent 41"/>
    <w:uiPriority w:val="99"/>
    <w:semiHidden/>
    <w:rsid w:val="00CA10AC"/>
    <w:rPr>
      <w:sz w:val="20"/>
      <w:szCs w:val="20"/>
    </w:rPr>
    <w:tblPr>
      <w:tblStyleRowBandSize w:val="1"/>
      <w:tblStyleCol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tblStylePr w:type="neCell">
      <w:rPr>
        <w:rFonts w:cs="Times New Roman"/>
      </w:rPr>
      <w:tblPr/>
      <w:tcPr>
        <w:tcBorders>
          <w:bottom w:val="single" w:sz="4" w:space="0" w:color="C0C0C0"/>
        </w:tcBorders>
      </w:tcPr>
    </w:tblStylePr>
    <w:tblStylePr w:type="nwCell">
      <w:rPr>
        <w:rFonts w:cs="Times New Roman"/>
      </w:rPr>
      <w:tblPr/>
      <w:tcPr>
        <w:tcBorders>
          <w:bottom w:val="single" w:sz="4" w:space="0" w:color="C0C0C0"/>
        </w:tcBorders>
      </w:tcPr>
    </w:tblStylePr>
    <w:tblStylePr w:type="seCell">
      <w:rPr>
        <w:rFonts w:cs="Times New Roman"/>
      </w:rPr>
      <w:tblPr/>
      <w:tcPr>
        <w:tcBorders>
          <w:top w:val="single" w:sz="4" w:space="0" w:color="C0C0C0"/>
        </w:tcBorders>
      </w:tcPr>
    </w:tblStylePr>
    <w:tblStylePr w:type="swCell">
      <w:rPr>
        <w:rFonts w:cs="Times New Roman"/>
      </w:rPr>
      <w:tblPr/>
      <w:tcPr>
        <w:tcBorders>
          <w:top w:val="single" w:sz="4" w:space="0" w:color="C0C0C0"/>
        </w:tcBorders>
      </w:tcPr>
    </w:tblStylePr>
  </w:style>
  <w:style w:type="table" w:customStyle="1" w:styleId="GridTable3-Accent51">
    <w:name w:val="Grid Table 3 - Accent 5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bottom w:val="single" w:sz="4" w:space="0" w:color="9F9F9F"/>
        </w:tcBorders>
      </w:tcPr>
    </w:tblStylePr>
    <w:tblStylePr w:type="nwCell">
      <w:rPr>
        <w:rFonts w:cs="Times New Roman"/>
      </w:rPr>
      <w:tblPr/>
      <w:tcPr>
        <w:tcBorders>
          <w:bottom w:val="single" w:sz="4" w:space="0" w:color="9F9F9F"/>
        </w:tcBorders>
      </w:tcPr>
    </w:tblStylePr>
    <w:tblStylePr w:type="seCell">
      <w:rPr>
        <w:rFonts w:cs="Times New Roman"/>
      </w:rPr>
      <w:tblPr/>
      <w:tcPr>
        <w:tcBorders>
          <w:top w:val="single" w:sz="4" w:space="0" w:color="9F9F9F"/>
        </w:tcBorders>
      </w:tcPr>
    </w:tblStylePr>
    <w:tblStylePr w:type="swCell">
      <w:rPr>
        <w:rFonts w:cs="Times New Roman"/>
      </w:rPr>
      <w:tblPr/>
      <w:tcPr>
        <w:tcBorders>
          <w:top w:val="single" w:sz="4" w:space="0" w:color="9F9F9F"/>
        </w:tcBorders>
      </w:tcPr>
    </w:tblStylePr>
  </w:style>
  <w:style w:type="table" w:customStyle="1" w:styleId="GridTable3-Accent61">
    <w:name w:val="Grid Table 3 - Accent 61"/>
    <w:uiPriority w:val="99"/>
    <w:semiHidden/>
    <w:rsid w:val="00CA10AC"/>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tblStylePr w:type="neCell">
      <w:rPr>
        <w:rFonts w:cs="Times New Roman"/>
      </w:rPr>
      <w:tblPr/>
      <w:tcPr>
        <w:tcBorders>
          <w:bottom w:val="single" w:sz="4" w:space="0" w:color="949494"/>
        </w:tcBorders>
      </w:tcPr>
    </w:tblStylePr>
    <w:tblStylePr w:type="nwCell">
      <w:rPr>
        <w:rFonts w:cs="Times New Roman"/>
      </w:rPr>
      <w:tblPr/>
      <w:tcPr>
        <w:tcBorders>
          <w:bottom w:val="single" w:sz="4" w:space="0" w:color="949494"/>
        </w:tcBorders>
      </w:tcPr>
    </w:tblStylePr>
    <w:tblStylePr w:type="seCell">
      <w:rPr>
        <w:rFonts w:cs="Times New Roman"/>
      </w:rPr>
      <w:tblPr/>
      <w:tcPr>
        <w:tcBorders>
          <w:top w:val="single" w:sz="4" w:space="0" w:color="949494"/>
        </w:tcBorders>
      </w:tcPr>
    </w:tblStylePr>
    <w:tblStylePr w:type="swCell">
      <w:rPr>
        <w:rFonts w:cs="Times New Roman"/>
      </w:rPr>
      <w:tblPr/>
      <w:tcPr>
        <w:tcBorders>
          <w:top w:val="single" w:sz="4" w:space="0" w:color="949494"/>
        </w:tcBorders>
      </w:tcPr>
    </w:tblStylePr>
  </w:style>
  <w:style w:type="table" w:customStyle="1" w:styleId="GridTable41">
    <w:name w:val="Grid Table 41"/>
    <w:uiPriority w:val="99"/>
    <w:semiHidden/>
    <w:rsid w:val="00CA10A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color w:val="0072BC"/>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4-Accent11">
    <w:name w:val="Grid Table 4 - Accent 11"/>
    <w:uiPriority w:val="99"/>
    <w:semiHidden/>
    <w:rsid w:val="00CA10AC"/>
    <w:rPr>
      <w:sz w:val="20"/>
      <w:szCs w:val="20"/>
    </w:rPr>
    <w:tblPr>
      <w:tblStyleRowBandSize w:val="1"/>
      <w:tblStyleColBandSize w:val="1"/>
      <w:tblInd w:w="0" w:type="dxa"/>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CellMar>
        <w:top w:w="0" w:type="dxa"/>
        <w:left w:w="108" w:type="dxa"/>
        <w:bottom w:w="0" w:type="dxa"/>
        <w:right w:w="108" w:type="dxa"/>
      </w:tblCellMar>
    </w:tblPr>
    <w:tblStylePr w:type="firstRow">
      <w:rPr>
        <w:rFonts w:cs="Times New Roman"/>
        <w:b/>
        <w:bCs/>
        <w:color w:val="0072BC"/>
      </w:rPr>
      <w:tblPr/>
      <w:tcPr>
        <w:tcBorders>
          <w:top w:val="single" w:sz="4" w:space="0" w:color="0072BC"/>
          <w:left w:val="single" w:sz="4" w:space="0" w:color="0072BC"/>
          <w:bottom w:val="single" w:sz="4" w:space="0" w:color="0072BC"/>
          <w:right w:val="single" w:sz="4" w:space="0" w:color="0072BC"/>
          <w:insideH w:val="nil"/>
          <w:insideV w:val="nil"/>
        </w:tcBorders>
        <w:shd w:val="clear" w:color="auto" w:fill="0072BC"/>
      </w:tcPr>
    </w:tblStylePr>
    <w:tblStylePr w:type="lastRow">
      <w:rPr>
        <w:rFonts w:cs="Times New Roman"/>
        <w:b/>
        <w:bCs/>
      </w:rPr>
      <w:tblPr/>
      <w:tcPr>
        <w:tcBorders>
          <w:top w:val="double" w:sz="4"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GridTable4-Accent21">
    <w:name w:val="Grid Table 4 - Accent 21"/>
    <w:uiPriority w:val="99"/>
    <w:semiHidden/>
    <w:rsid w:val="00CA10AC"/>
    <w:rPr>
      <w:sz w:val="20"/>
      <w:szCs w:val="20"/>
    </w:rPr>
    <w:tblPr>
      <w:tblStyleRowBandSize w:val="1"/>
      <w:tblStyleColBandSize w:val="1"/>
      <w:tblInd w:w="0" w:type="dxa"/>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CellMar>
        <w:top w:w="0" w:type="dxa"/>
        <w:left w:w="108" w:type="dxa"/>
        <w:bottom w:w="0" w:type="dxa"/>
        <w:right w:w="108" w:type="dxa"/>
      </w:tblCellMar>
    </w:tblPr>
    <w:tblStylePr w:type="firstRow">
      <w:rPr>
        <w:rFonts w:cs="Times New Roman"/>
        <w:b/>
        <w:bCs/>
        <w:color w:val="0072BC"/>
      </w:rPr>
      <w:tblPr/>
      <w:tcPr>
        <w:tcBorders>
          <w:top w:val="single" w:sz="4" w:space="0" w:color="C00000"/>
          <w:left w:val="single" w:sz="4" w:space="0" w:color="C00000"/>
          <w:bottom w:val="single" w:sz="4" w:space="0" w:color="C00000"/>
          <w:right w:val="single" w:sz="4" w:space="0" w:color="C00000"/>
          <w:insideH w:val="nil"/>
          <w:insideV w:val="nil"/>
        </w:tcBorders>
        <w:shd w:val="clear" w:color="auto" w:fill="C00000"/>
      </w:tcPr>
    </w:tblStylePr>
    <w:tblStylePr w:type="lastRow">
      <w:rPr>
        <w:rFonts w:cs="Times New Roman"/>
        <w:b/>
        <w:bCs/>
      </w:rPr>
      <w:tblPr/>
      <w:tcPr>
        <w:tcBorders>
          <w:top w:val="double" w:sz="4"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GridTable4-Accent31">
    <w:name w:val="Grid Table 4 - Accent 3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rFonts w:cs="Times New Roman"/>
        <w:b/>
        <w:bCs/>
      </w:rPr>
      <w:tblPr/>
      <w:tcPr>
        <w:tcBorders>
          <w:top w:val="double" w:sz="4"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4-Accent41">
    <w:name w:val="Grid Table 4 - Accent 41"/>
    <w:uiPriority w:val="99"/>
    <w:semiHidden/>
    <w:rsid w:val="00CA10AC"/>
    <w:rPr>
      <w:sz w:val="20"/>
      <w:szCs w:val="20"/>
    </w:rPr>
    <w:tblPr>
      <w:tblStyleRowBandSize w:val="1"/>
      <w:tblStyleCol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bCs/>
        <w:color w:val="0072BC"/>
      </w:rPr>
      <w:tblPr/>
      <w:tcPr>
        <w:tcBorders>
          <w:top w:val="single" w:sz="4" w:space="0" w:color="969696"/>
          <w:left w:val="single" w:sz="4" w:space="0" w:color="969696"/>
          <w:bottom w:val="single" w:sz="4" w:space="0" w:color="969696"/>
          <w:right w:val="single" w:sz="4" w:space="0" w:color="969696"/>
          <w:insideH w:val="nil"/>
          <w:insideV w:val="nil"/>
        </w:tcBorders>
        <w:shd w:val="clear" w:color="auto" w:fill="969696"/>
      </w:tcPr>
    </w:tblStylePr>
    <w:tblStylePr w:type="lastRow">
      <w:rPr>
        <w:rFonts w:cs="Times New Roman"/>
        <w:b/>
        <w:bCs/>
      </w:rPr>
      <w:tblPr/>
      <w:tcPr>
        <w:tcBorders>
          <w:top w:val="double" w:sz="4"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GridTable4-Accent51">
    <w:name w:val="Grid Table 4 - Accent 5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color w:val="0072BC"/>
      </w:rPr>
      <w:tblPr/>
      <w:tcPr>
        <w:tcBorders>
          <w:top w:val="single" w:sz="4" w:space="0" w:color="5F5F5F"/>
          <w:left w:val="single" w:sz="4" w:space="0" w:color="5F5F5F"/>
          <w:bottom w:val="single" w:sz="4" w:space="0" w:color="5F5F5F"/>
          <w:right w:val="single" w:sz="4" w:space="0" w:color="5F5F5F"/>
          <w:insideH w:val="nil"/>
          <w:insideV w:val="nil"/>
        </w:tcBorders>
        <w:shd w:val="clear" w:color="auto" w:fill="5F5F5F"/>
      </w:tcPr>
    </w:tblStylePr>
    <w:tblStylePr w:type="lastRow">
      <w:rPr>
        <w:rFonts w:cs="Times New Roman"/>
        <w:b/>
        <w:bCs/>
      </w:rPr>
      <w:tblPr/>
      <w:tcPr>
        <w:tcBorders>
          <w:top w:val="double" w:sz="4"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4-Accent61">
    <w:name w:val="Grid Table 4 - Accent 61"/>
    <w:uiPriority w:val="99"/>
    <w:semiHidden/>
    <w:rsid w:val="00CA10AC"/>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0" w:type="dxa"/>
        <w:left w:w="108" w:type="dxa"/>
        <w:bottom w:w="0" w:type="dxa"/>
        <w:right w:w="108" w:type="dxa"/>
      </w:tblCellMar>
    </w:tblPr>
    <w:tblStylePr w:type="firstRow">
      <w:rPr>
        <w:rFonts w:cs="Times New Roman"/>
        <w:b/>
        <w:bCs/>
        <w:color w:val="0072BC"/>
      </w:rPr>
      <w:tblPr/>
      <w:tcPr>
        <w:tcBorders>
          <w:top w:val="single" w:sz="4" w:space="0" w:color="4D4D4D"/>
          <w:left w:val="single" w:sz="4" w:space="0" w:color="4D4D4D"/>
          <w:bottom w:val="single" w:sz="4" w:space="0" w:color="4D4D4D"/>
          <w:right w:val="single" w:sz="4" w:space="0" w:color="4D4D4D"/>
          <w:insideH w:val="nil"/>
          <w:insideV w:val="nil"/>
        </w:tcBorders>
        <w:shd w:val="clear" w:color="auto" w:fill="4D4D4D"/>
      </w:tcPr>
    </w:tblStylePr>
    <w:tblStylePr w:type="lastRow">
      <w:rPr>
        <w:rFonts w:cs="Times New Roman"/>
        <w:b/>
        <w:bCs/>
      </w:rPr>
      <w:tblPr/>
      <w:tcPr>
        <w:tcBorders>
          <w:top w:val="double" w:sz="4"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GridTable5Dark1">
    <w:name w:val="Grid Table 5 Dark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CCCCCC"/>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000000"/>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000000"/>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000000"/>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999999"/>
      </w:tcPr>
    </w:tblStylePr>
  </w:style>
  <w:style w:type="table" w:customStyle="1" w:styleId="GridTable5Dark-Accent11">
    <w:name w:val="Grid Table 5 Dark - Accent 1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BEE5FF"/>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0072BC"/>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0072BC"/>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0072BC"/>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0072BC"/>
      </w:tcPr>
    </w:tblStylePr>
    <w:tblStylePr w:type="band1Vert">
      <w:rPr>
        <w:rFonts w:cs="Times New Roman"/>
      </w:rPr>
      <w:tblPr/>
      <w:tcPr>
        <w:shd w:val="clear" w:color="auto" w:fill="7ECBFF"/>
      </w:tcPr>
    </w:tblStylePr>
    <w:tblStylePr w:type="band1Horz">
      <w:rPr>
        <w:rFonts w:cs="Times New Roman"/>
      </w:rPr>
      <w:tblPr/>
      <w:tcPr>
        <w:shd w:val="clear" w:color="auto" w:fill="7ECBFF"/>
      </w:tcPr>
    </w:tblStylePr>
  </w:style>
  <w:style w:type="table" w:customStyle="1" w:styleId="GridTable5Dark-Accent21">
    <w:name w:val="Grid Table 5 Dark - Accent 2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FFBFBF"/>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C00000"/>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C00000"/>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C00000"/>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C00000"/>
      </w:tcPr>
    </w:tblStylePr>
    <w:tblStylePr w:type="band1Vert">
      <w:rPr>
        <w:rFonts w:cs="Times New Roman"/>
      </w:rPr>
      <w:tblPr/>
      <w:tcPr>
        <w:shd w:val="clear" w:color="auto" w:fill="FF7F7F"/>
      </w:tcPr>
    </w:tblStylePr>
    <w:tblStylePr w:type="band1Horz">
      <w:rPr>
        <w:rFonts w:cs="Times New Roman"/>
      </w:rPr>
      <w:tblPr/>
      <w:tcPr>
        <w:shd w:val="clear" w:color="auto" w:fill="FF7F7F"/>
      </w:tcPr>
    </w:tblStylePr>
  </w:style>
  <w:style w:type="table" w:customStyle="1" w:styleId="GridTable5Dark-Accent31">
    <w:name w:val="Grid Table 5 Dark - Accent 3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rPr>
        <w:rFonts w:cs="Times New Roman"/>
      </w:rPr>
      <w:tblPr/>
      <w:tcPr>
        <w:shd w:val="clear" w:color="auto" w:fill="BFBFBF"/>
      </w:tcPr>
    </w:tblStylePr>
    <w:tblStylePr w:type="band1Horz">
      <w:rPr>
        <w:rFonts w:cs="Times New Roman"/>
      </w:rPr>
      <w:tblPr/>
      <w:tcPr>
        <w:shd w:val="clear" w:color="auto" w:fill="BFBFBF"/>
      </w:tcPr>
    </w:tblStylePr>
  </w:style>
  <w:style w:type="table" w:customStyle="1" w:styleId="GridTable5Dark-Accent41">
    <w:name w:val="Grid Table 5 Dark - Accent 4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EAEAEA"/>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969696"/>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969696"/>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969696"/>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969696"/>
      </w:tcPr>
    </w:tblStylePr>
    <w:tblStylePr w:type="band1Vert">
      <w:rPr>
        <w:rFonts w:cs="Times New Roman"/>
      </w:rPr>
      <w:tblPr/>
      <w:tcPr>
        <w:shd w:val="clear" w:color="auto" w:fill="D5D5D5"/>
      </w:tcPr>
    </w:tblStylePr>
    <w:tblStylePr w:type="band1Horz">
      <w:rPr>
        <w:rFonts w:cs="Times New Roman"/>
      </w:rPr>
      <w:tblPr/>
      <w:tcPr>
        <w:shd w:val="clear" w:color="auto" w:fill="D5D5D5"/>
      </w:tcPr>
    </w:tblStylePr>
  </w:style>
  <w:style w:type="table" w:customStyle="1" w:styleId="GridTable5Dark-Accent51">
    <w:name w:val="Grid Table 5 Dark - Accent 5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5F5F5F"/>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5F5F5F"/>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5F5F5F"/>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5F5F5F"/>
      </w:tcPr>
    </w:tblStylePr>
    <w:tblStylePr w:type="band1Vert">
      <w:rPr>
        <w:rFonts w:cs="Times New Roman"/>
      </w:rPr>
      <w:tblPr/>
      <w:tcPr>
        <w:shd w:val="clear" w:color="auto" w:fill="BFBFBF"/>
      </w:tcPr>
    </w:tblStylePr>
    <w:tblStylePr w:type="band1Horz">
      <w:rPr>
        <w:rFonts w:cs="Times New Roman"/>
      </w:rPr>
      <w:tblPr/>
      <w:tcPr>
        <w:shd w:val="clear" w:color="auto" w:fill="BFBFBF"/>
      </w:tcPr>
    </w:tblStylePr>
  </w:style>
  <w:style w:type="table" w:customStyle="1" w:styleId="GridTable5Dark-Accent61">
    <w:name w:val="Grid Table 5 Dark - Accent 6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BDBDB"/>
    </w:tcPr>
    <w:tblStylePr w:type="firstRow">
      <w:rPr>
        <w:rFonts w:cs="Times New Roman"/>
        <w:b/>
        <w:bCs/>
        <w:color w:val="0072BC"/>
      </w:rPr>
      <w:tblPr/>
      <w:tcPr>
        <w:tcBorders>
          <w:top w:val="single" w:sz="4" w:space="0" w:color="0072BC"/>
          <w:left w:val="single" w:sz="4" w:space="0" w:color="0072BC"/>
          <w:right w:val="single" w:sz="4" w:space="0" w:color="0072BC"/>
          <w:insideH w:val="nil"/>
          <w:insideV w:val="nil"/>
        </w:tcBorders>
        <w:shd w:val="clear" w:color="auto" w:fill="4D4D4D"/>
      </w:tcPr>
    </w:tblStylePr>
    <w:tblStylePr w:type="lastRow">
      <w:rPr>
        <w:rFonts w:cs="Times New Roman"/>
        <w:b/>
        <w:bCs/>
        <w:color w:val="0072BC"/>
      </w:rPr>
      <w:tblPr/>
      <w:tcPr>
        <w:tcBorders>
          <w:left w:val="single" w:sz="4" w:space="0" w:color="0072BC"/>
          <w:bottom w:val="single" w:sz="4" w:space="0" w:color="0072BC"/>
          <w:right w:val="single" w:sz="4" w:space="0" w:color="0072BC"/>
          <w:insideH w:val="nil"/>
          <w:insideV w:val="nil"/>
        </w:tcBorders>
        <w:shd w:val="clear" w:color="auto" w:fill="4D4D4D"/>
      </w:tcPr>
    </w:tblStylePr>
    <w:tblStylePr w:type="firstCol">
      <w:rPr>
        <w:rFonts w:cs="Times New Roman"/>
        <w:b/>
        <w:bCs/>
        <w:color w:val="0072BC"/>
      </w:rPr>
      <w:tblPr/>
      <w:tcPr>
        <w:tcBorders>
          <w:top w:val="single" w:sz="4" w:space="0" w:color="0072BC"/>
          <w:left w:val="single" w:sz="4" w:space="0" w:color="0072BC"/>
          <w:bottom w:val="single" w:sz="4" w:space="0" w:color="0072BC"/>
          <w:insideV w:val="nil"/>
        </w:tcBorders>
        <w:shd w:val="clear" w:color="auto" w:fill="4D4D4D"/>
      </w:tcPr>
    </w:tblStylePr>
    <w:tblStylePr w:type="lastCol">
      <w:rPr>
        <w:rFonts w:cs="Times New Roman"/>
        <w:b/>
        <w:bCs/>
        <w:color w:val="0072BC"/>
      </w:rPr>
      <w:tblPr/>
      <w:tcPr>
        <w:tcBorders>
          <w:top w:val="single" w:sz="4" w:space="0" w:color="0072BC"/>
          <w:bottom w:val="single" w:sz="4" w:space="0" w:color="0072BC"/>
          <w:right w:val="single" w:sz="4" w:space="0" w:color="0072BC"/>
          <w:insideV w:val="nil"/>
        </w:tcBorders>
        <w:shd w:val="clear" w:color="auto" w:fill="4D4D4D"/>
      </w:tcPr>
    </w:tblStylePr>
    <w:tblStylePr w:type="band1Vert">
      <w:rPr>
        <w:rFonts w:cs="Times New Roman"/>
      </w:rPr>
      <w:tblPr/>
      <w:tcPr>
        <w:shd w:val="clear" w:color="auto" w:fill="B7B7B7"/>
      </w:tcPr>
    </w:tblStylePr>
    <w:tblStylePr w:type="band1Horz">
      <w:rPr>
        <w:rFonts w:cs="Times New Roman"/>
      </w:rPr>
      <w:tblPr/>
      <w:tcPr>
        <w:shd w:val="clear" w:color="auto" w:fill="B7B7B7"/>
      </w:tcPr>
    </w:tblStylePr>
  </w:style>
  <w:style w:type="table" w:customStyle="1" w:styleId="GridTable6Colorful1">
    <w:name w:val="Grid Table 6 Colorful1"/>
    <w:uiPriority w:val="99"/>
    <w:semiHidden/>
    <w:rsid w:val="00CA10AC"/>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6Colorful-Accent11">
    <w:name w:val="Grid Table 6 Colorful - Accent 11"/>
    <w:uiPriority w:val="99"/>
    <w:semiHidden/>
    <w:rsid w:val="00CA10AC"/>
    <w:rPr>
      <w:color w:val="00548C"/>
      <w:sz w:val="20"/>
      <w:szCs w:val="20"/>
    </w:rPr>
    <w:tblPr>
      <w:tblStyleRowBandSize w:val="1"/>
      <w:tblStyleColBandSize w:val="1"/>
      <w:tblInd w:w="0" w:type="dxa"/>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CellMar>
        <w:top w:w="0" w:type="dxa"/>
        <w:left w:w="108" w:type="dxa"/>
        <w:bottom w:w="0" w:type="dxa"/>
        <w:right w:w="108" w:type="dxa"/>
      </w:tblCellMar>
    </w:tblPr>
    <w:tblStylePr w:type="firstRow">
      <w:rPr>
        <w:rFonts w:cs="Times New Roman"/>
        <w:b/>
        <w:bCs/>
      </w:rPr>
      <w:tblPr/>
      <w:tcPr>
        <w:tcBorders>
          <w:bottom w:val="single" w:sz="12" w:space="0" w:color="3DB2FF"/>
        </w:tcBorders>
      </w:tcPr>
    </w:tblStylePr>
    <w:tblStylePr w:type="lastRow">
      <w:rPr>
        <w:rFonts w:cs="Times New Roman"/>
        <w:b/>
        <w:bCs/>
      </w:rPr>
      <w:tblPr/>
      <w:tcPr>
        <w:tcBorders>
          <w:top w:val="double" w:sz="4" w:space="0" w:color="3DB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GridTable6Colorful-Accent21">
    <w:name w:val="Grid Table 6 Colorful - Accent 21"/>
    <w:uiPriority w:val="99"/>
    <w:semiHidden/>
    <w:rsid w:val="00CA10AC"/>
    <w:rPr>
      <w:color w:val="8F0000"/>
      <w:sz w:val="20"/>
      <w:szCs w:val="20"/>
    </w:rPr>
    <w:tblPr>
      <w:tblStyleRowBandSize w:val="1"/>
      <w:tblStyleColBandSize w:val="1"/>
      <w:tblInd w:w="0" w:type="dxa"/>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CellMar>
        <w:top w:w="0" w:type="dxa"/>
        <w:left w:w="108" w:type="dxa"/>
        <w:bottom w:w="0" w:type="dxa"/>
        <w:right w:w="108" w:type="dxa"/>
      </w:tblCellMar>
    </w:tblPr>
    <w:tblStylePr w:type="firstRow">
      <w:rPr>
        <w:rFonts w:cs="Times New Roman"/>
        <w:b/>
        <w:bCs/>
      </w:rPr>
      <w:tblPr/>
      <w:tcPr>
        <w:tcBorders>
          <w:bottom w:val="single" w:sz="12" w:space="0" w:color="FF4040"/>
        </w:tcBorders>
      </w:tcPr>
    </w:tblStylePr>
    <w:tblStylePr w:type="lastRow">
      <w:rPr>
        <w:rFonts w:cs="Times New Roman"/>
        <w:b/>
        <w:bCs/>
      </w:rPr>
      <w:tblPr/>
      <w:tcPr>
        <w:tcBorders>
          <w:top w:val="double" w:sz="4" w:space="0" w:color="FF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GridTable6Colorful-Accent31">
    <w:name w:val="Grid Table 6 Colorful - Accent 31"/>
    <w:uiPriority w:val="99"/>
    <w:semiHidden/>
    <w:rsid w:val="00CA10AC"/>
    <w:rPr>
      <w:color w:val="474747"/>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bottom w:val="single" w:sz="12" w:space="0" w:color="9F9F9F"/>
        </w:tcBorders>
      </w:tcPr>
    </w:tblStylePr>
    <w:tblStylePr w:type="lastRow">
      <w:rPr>
        <w:rFonts w:cs="Times New Roman"/>
        <w:b/>
        <w:bCs/>
      </w:rPr>
      <w:tblPr/>
      <w:tcPr>
        <w:tcBorders>
          <w:top w:val="doub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6Colorful-Accent41">
    <w:name w:val="Grid Table 6 Colorful - Accent 41"/>
    <w:uiPriority w:val="99"/>
    <w:semiHidden/>
    <w:rsid w:val="00CA10AC"/>
    <w:rPr>
      <w:color w:val="707070"/>
      <w:sz w:val="20"/>
      <w:szCs w:val="20"/>
    </w:rPr>
    <w:tblPr>
      <w:tblStyleRowBandSize w:val="1"/>
      <w:tblStyleCol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bCs/>
      </w:rPr>
      <w:tblPr/>
      <w:tcPr>
        <w:tcBorders>
          <w:bottom w:val="single" w:sz="12" w:space="0" w:color="C0C0C0"/>
        </w:tcBorders>
      </w:tcPr>
    </w:tblStylePr>
    <w:tblStylePr w:type="lastRow">
      <w:rPr>
        <w:rFonts w:cs="Times New Roman"/>
        <w:b/>
        <w:bCs/>
      </w:rPr>
      <w:tblPr/>
      <w:tcPr>
        <w:tcBorders>
          <w:top w:val="double" w:sz="4" w:space="0" w:color="C0C0C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GridTable6Colorful-Accent51">
    <w:name w:val="Grid Table 6 Colorful - Accent 51"/>
    <w:uiPriority w:val="99"/>
    <w:semiHidden/>
    <w:rsid w:val="00CA10AC"/>
    <w:rPr>
      <w:color w:val="474747"/>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bottom w:val="single" w:sz="12" w:space="0" w:color="9F9F9F"/>
        </w:tcBorders>
      </w:tcPr>
    </w:tblStylePr>
    <w:tblStylePr w:type="lastRow">
      <w:rPr>
        <w:rFonts w:cs="Times New Roman"/>
        <w:b/>
        <w:bCs/>
      </w:rPr>
      <w:tblPr/>
      <w:tcPr>
        <w:tcBorders>
          <w:top w:val="doub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GridTable6Colorful-Accent61">
    <w:name w:val="Grid Table 6 Colorful - Accent 61"/>
    <w:uiPriority w:val="99"/>
    <w:semiHidden/>
    <w:rsid w:val="00CA10AC"/>
    <w:rPr>
      <w:color w:val="393939"/>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0" w:type="dxa"/>
        <w:left w:w="108" w:type="dxa"/>
        <w:bottom w:w="0" w:type="dxa"/>
        <w:right w:w="108" w:type="dxa"/>
      </w:tblCellMar>
    </w:tblPr>
    <w:tblStylePr w:type="firstRow">
      <w:rPr>
        <w:rFonts w:cs="Times New Roman"/>
        <w:b/>
        <w:bCs/>
      </w:rPr>
      <w:tblPr/>
      <w:tcPr>
        <w:tcBorders>
          <w:bottom w:val="single" w:sz="12" w:space="0" w:color="949494"/>
        </w:tcBorders>
      </w:tcPr>
    </w:tblStylePr>
    <w:tblStylePr w:type="lastRow">
      <w:rPr>
        <w:rFonts w:cs="Times New Roman"/>
        <w:b/>
        <w:bCs/>
      </w:rPr>
      <w:tblPr/>
      <w:tcPr>
        <w:tcBorders>
          <w:top w:val="double" w:sz="4" w:space="0" w:color="9494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GridTable7Colorful1">
    <w:name w:val="Grid Table 7 Colorful1"/>
    <w:uiPriority w:val="99"/>
    <w:semiHidden/>
    <w:rsid w:val="00CA10AC"/>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bottom w:val="single" w:sz="4" w:space="0" w:color="666666"/>
        </w:tcBorders>
      </w:tcPr>
    </w:tblStylePr>
    <w:tblStylePr w:type="nwCell">
      <w:rPr>
        <w:rFonts w:cs="Times New Roman"/>
      </w:rPr>
      <w:tblPr/>
      <w:tcPr>
        <w:tcBorders>
          <w:bottom w:val="single" w:sz="4" w:space="0" w:color="666666"/>
        </w:tcBorders>
      </w:tcPr>
    </w:tblStylePr>
    <w:tblStylePr w:type="seCell">
      <w:rPr>
        <w:rFonts w:cs="Times New Roman"/>
      </w:rPr>
      <w:tblPr/>
      <w:tcPr>
        <w:tcBorders>
          <w:top w:val="single" w:sz="4" w:space="0" w:color="666666"/>
        </w:tcBorders>
      </w:tcPr>
    </w:tblStylePr>
    <w:tblStylePr w:type="swCell">
      <w:rPr>
        <w:rFonts w:cs="Times New Roman"/>
      </w:rPr>
      <w:tblPr/>
      <w:tcPr>
        <w:tcBorders>
          <w:top w:val="single" w:sz="4" w:space="0" w:color="666666"/>
        </w:tcBorders>
      </w:tcPr>
    </w:tblStylePr>
  </w:style>
  <w:style w:type="table" w:customStyle="1" w:styleId="GridTable7Colorful-Accent11">
    <w:name w:val="Grid Table 7 Colorful - Accent 11"/>
    <w:uiPriority w:val="99"/>
    <w:semiHidden/>
    <w:rsid w:val="00CA10AC"/>
    <w:rPr>
      <w:color w:val="00548C"/>
      <w:sz w:val="20"/>
      <w:szCs w:val="20"/>
    </w:rPr>
    <w:tblPr>
      <w:tblStyleRowBandSize w:val="1"/>
      <w:tblStyleColBandSize w:val="1"/>
      <w:tblInd w:w="0" w:type="dxa"/>
      <w:tblBorders>
        <w:top w:val="single" w:sz="4" w:space="0" w:color="3DB2FF"/>
        <w:left w:val="single" w:sz="4" w:space="0" w:color="3DB2FF"/>
        <w:bottom w:val="single" w:sz="4" w:space="0" w:color="3DB2FF"/>
        <w:right w:val="single" w:sz="4" w:space="0" w:color="3DB2FF"/>
        <w:insideH w:val="single" w:sz="4" w:space="0" w:color="3DB2FF"/>
        <w:insideV w:val="single" w:sz="4" w:space="0" w:color="3DB2F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tblStylePr w:type="neCell">
      <w:rPr>
        <w:rFonts w:cs="Times New Roman"/>
      </w:rPr>
      <w:tblPr/>
      <w:tcPr>
        <w:tcBorders>
          <w:bottom w:val="single" w:sz="4" w:space="0" w:color="3DB2FF"/>
        </w:tcBorders>
      </w:tcPr>
    </w:tblStylePr>
    <w:tblStylePr w:type="nwCell">
      <w:rPr>
        <w:rFonts w:cs="Times New Roman"/>
      </w:rPr>
      <w:tblPr/>
      <w:tcPr>
        <w:tcBorders>
          <w:bottom w:val="single" w:sz="4" w:space="0" w:color="3DB2FF"/>
        </w:tcBorders>
      </w:tcPr>
    </w:tblStylePr>
    <w:tblStylePr w:type="seCell">
      <w:rPr>
        <w:rFonts w:cs="Times New Roman"/>
      </w:rPr>
      <w:tblPr/>
      <w:tcPr>
        <w:tcBorders>
          <w:top w:val="single" w:sz="4" w:space="0" w:color="3DB2FF"/>
        </w:tcBorders>
      </w:tcPr>
    </w:tblStylePr>
    <w:tblStylePr w:type="swCell">
      <w:rPr>
        <w:rFonts w:cs="Times New Roman"/>
      </w:rPr>
      <w:tblPr/>
      <w:tcPr>
        <w:tcBorders>
          <w:top w:val="single" w:sz="4" w:space="0" w:color="3DB2FF"/>
        </w:tcBorders>
      </w:tcPr>
    </w:tblStylePr>
  </w:style>
  <w:style w:type="table" w:customStyle="1" w:styleId="GridTable7Colorful-Accent21">
    <w:name w:val="Grid Table 7 Colorful - Accent 21"/>
    <w:uiPriority w:val="99"/>
    <w:semiHidden/>
    <w:rsid w:val="00CA10AC"/>
    <w:rPr>
      <w:color w:val="8F0000"/>
      <w:sz w:val="20"/>
      <w:szCs w:val="20"/>
    </w:rPr>
    <w:tblPr>
      <w:tblStyleRowBandSize w:val="1"/>
      <w:tblStyleColBandSize w:val="1"/>
      <w:tblInd w:w="0" w:type="dxa"/>
      <w:tblBorders>
        <w:top w:val="single" w:sz="4" w:space="0" w:color="FF4040"/>
        <w:left w:val="single" w:sz="4" w:space="0" w:color="FF4040"/>
        <w:bottom w:val="single" w:sz="4" w:space="0" w:color="FF4040"/>
        <w:right w:val="single" w:sz="4" w:space="0" w:color="FF4040"/>
        <w:insideH w:val="single" w:sz="4" w:space="0" w:color="FF4040"/>
        <w:insideV w:val="single" w:sz="4" w:space="0" w:color="FF404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tblStylePr w:type="neCell">
      <w:rPr>
        <w:rFonts w:cs="Times New Roman"/>
      </w:rPr>
      <w:tblPr/>
      <w:tcPr>
        <w:tcBorders>
          <w:bottom w:val="single" w:sz="4" w:space="0" w:color="FF4040"/>
        </w:tcBorders>
      </w:tcPr>
    </w:tblStylePr>
    <w:tblStylePr w:type="nwCell">
      <w:rPr>
        <w:rFonts w:cs="Times New Roman"/>
      </w:rPr>
      <w:tblPr/>
      <w:tcPr>
        <w:tcBorders>
          <w:bottom w:val="single" w:sz="4" w:space="0" w:color="FF4040"/>
        </w:tcBorders>
      </w:tcPr>
    </w:tblStylePr>
    <w:tblStylePr w:type="seCell">
      <w:rPr>
        <w:rFonts w:cs="Times New Roman"/>
      </w:rPr>
      <w:tblPr/>
      <w:tcPr>
        <w:tcBorders>
          <w:top w:val="single" w:sz="4" w:space="0" w:color="FF4040"/>
        </w:tcBorders>
      </w:tcPr>
    </w:tblStylePr>
    <w:tblStylePr w:type="swCell">
      <w:rPr>
        <w:rFonts w:cs="Times New Roman"/>
      </w:rPr>
      <w:tblPr/>
      <w:tcPr>
        <w:tcBorders>
          <w:top w:val="single" w:sz="4" w:space="0" w:color="FF4040"/>
        </w:tcBorders>
      </w:tcPr>
    </w:tblStylePr>
  </w:style>
  <w:style w:type="table" w:customStyle="1" w:styleId="GridTable7Colorful-Accent31">
    <w:name w:val="Grid Table 7 Colorful - Accent 31"/>
    <w:uiPriority w:val="99"/>
    <w:semiHidden/>
    <w:rsid w:val="00CA10AC"/>
    <w:rPr>
      <w:color w:val="474747"/>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bottom w:val="single" w:sz="4" w:space="0" w:color="9F9F9F"/>
        </w:tcBorders>
      </w:tcPr>
    </w:tblStylePr>
    <w:tblStylePr w:type="nwCell">
      <w:rPr>
        <w:rFonts w:cs="Times New Roman"/>
      </w:rPr>
      <w:tblPr/>
      <w:tcPr>
        <w:tcBorders>
          <w:bottom w:val="single" w:sz="4" w:space="0" w:color="9F9F9F"/>
        </w:tcBorders>
      </w:tcPr>
    </w:tblStylePr>
    <w:tblStylePr w:type="seCell">
      <w:rPr>
        <w:rFonts w:cs="Times New Roman"/>
      </w:rPr>
      <w:tblPr/>
      <w:tcPr>
        <w:tcBorders>
          <w:top w:val="single" w:sz="4" w:space="0" w:color="9F9F9F"/>
        </w:tcBorders>
      </w:tcPr>
    </w:tblStylePr>
    <w:tblStylePr w:type="swCell">
      <w:rPr>
        <w:rFonts w:cs="Times New Roman"/>
      </w:rPr>
      <w:tblPr/>
      <w:tcPr>
        <w:tcBorders>
          <w:top w:val="single" w:sz="4" w:space="0" w:color="9F9F9F"/>
        </w:tcBorders>
      </w:tcPr>
    </w:tblStylePr>
  </w:style>
  <w:style w:type="table" w:customStyle="1" w:styleId="GridTable7Colorful-Accent41">
    <w:name w:val="Grid Table 7 Colorful - Accent 41"/>
    <w:uiPriority w:val="99"/>
    <w:semiHidden/>
    <w:rsid w:val="00CA10AC"/>
    <w:rPr>
      <w:color w:val="707070"/>
      <w:sz w:val="20"/>
      <w:szCs w:val="20"/>
    </w:rPr>
    <w:tblPr>
      <w:tblStyleRowBandSize w:val="1"/>
      <w:tblStyleColBandSize w:val="1"/>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tblStylePr w:type="neCell">
      <w:rPr>
        <w:rFonts w:cs="Times New Roman"/>
      </w:rPr>
      <w:tblPr/>
      <w:tcPr>
        <w:tcBorders>
          <w:bottom w:val="single" w:sz="4" w:space="0" w:color="C0C0C0"/>
        </w:tcBorders>
      </w:tcPr>
    </w:tblStylePr>
    <w:tblStylePr w:type="nwCell">
      <w:rPr>
        <w:rFonts w:cs="Times New Roman"/>
      </w:rPr>
      <w:tblPr/>
      <w:tcPr>
        <w:tcBorders>
          <w:bottom w:val="single" w:sz="4" w:space="0" w:color="C0C0C0"/>
        </w:tcBorders>
      </w:tcPr>
    </w:tblStylePr>
    <w:tblStylePr w:type="seCell">
      <w:rPr>
        <w:rFonts w:cs="Times New Roman"/>
      </w:rPr>
      <w:tblPr/>
      <w:tcPr>
        <w:tcBorders>
          <w:top w:val="single" w:sz="4" w:space="0" w:color="C0C0C0"/>
        </w:tcBorders>
      </w:tcPr>
    </w:tblStylePr>
    <w:tblStylePr w:type="swCell">
      <w:rPr>
        <w:rFonts w:cs="Times New Roman"/>
      </w:rPr>
      <w:tblPr/>
      <w:tcPr>
        <w:tcBorders>
          <w:top w:val="single" w:sz="4" w:space="0" w:color="C0C0C0"/>
        </w:tcBorders>
      </w:tcPr>
    </w:tblStylePr>
  </w:style>
  <w:style w:type="table" w:customStyle="1" w:styleId="GridTable7Colorful-Accent51">
    <w:name w:val="Grid Table 7 Colorful - Accent 51"/>
    <w:uiPriority w:val="99"/>
    <w:semiHidden/>
    <w:rsid w:val="00CA10AC"/>
    <w:rPr>
      <w:color w:val="474747"/>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bottom w:val="single" w:sz="4" w:space="0" w:color="9F9F9F"/>
        </w:tcBorders>
      </w:tcPr>
    </w:tblStylePr>
    <w:tblStylePr w:type="nwCell">
      <w:rPr>
        <w:rFonts w:cs="Times New Roman"/>
      </w:rPr>
      <w:tblPr/>
      <w:tcPr>
        <w:tcBorders>
          <w:bottom w:val="single" w:sz="4" w:space="0" w:color="9F9F9F"/>
        </w:tcBorders>
      </w:tcPr>
    </w:tblStylePr>
    <w:tblStylePr w:type="seCell">
      <w:rPr>
        <w:rFonts w:cs="Times New Roman"/>
      </w:rPr>
      <w:tblPr/>
      <w:tcPr>
        <w:tcBorders>
          <w:top w:val="single" w:sz="4" w:space="0" w:color="9F9F9F"/>
        </w:tcBorders>
      </w:tcPr>
    </w:tblStylePr>
    <w:tblStylePr w:type="swCell">
      <w:rPr>
        <w:rFonts w:cs="Times New Roman"/>
      </w:rPr>
      <w:tblPr/>
      <w:tcPr>
        <w:tcBorders>
          <w:top w:val="single" w:sz="4" w:space="0" w:color="9F9F9F"/>
        </w:tcBorders>
      </w:tcPr>
    </w:tblStylePr>
  </w:style>
  <w:style w:type="table" w:customStyle="1" w:styleId="GridTable7Colorful-Accent61">
    <w:name w:val="Grid Table 7 Colorful - Accent 61"/>
    <w:uiPriority w:val="99"/>
    <w:semiHidden/>
    <w:rsid w:val="00CA10AC"/>
    <w:rPr>
      <w:color w:val="393939"/>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0072BC"/>
      </w:tcPr>
    </w:tblStylePr>
    <w:tblStylePr w:type="lastRow">
      <w:rPr>
        <w:rFonts w:cs="Times New Roman"/>
        <w:b/>
        <w:bCs/>
      </w:rPr>
      <w:tblPr/>
      <w:tcPr>
        <w:tcBorders>
          <w:left w:val="nil"/>
          <w:bottom w:val="nil"/>
          <w:right w:val="nil"/>
          <w:insideH w:val="nil"/>
          <w:insideV w:val="nil"/>
        </w:tcBorders>
        <w:shd w:val="clear" w:color="auto" w:fill="0072BC"/>
      </w:tcPr>
    </w:tblStylePr>
    <w:tblStylePr w:type="firstCol">
      <w:pPr>
        <w:jc w:val="right"/>
      </w:pPr>
      <w:rPr>
        <w:rFonts w:cs="Times New Roman"/>
        <w:i/>
        <w:iCs/>
      </w:rPr>
      <w:tblPr/>
      <w:tcPr>
        <w:tcBorders>
          <w:top w:val="nil"/>
          <w:left w:val="nil"/>
          <w:bottom w:val="nil"/>
          <w:insideH w:val="nil"/>
          <w:insideV w:val="nil"/>
        </w:tcBorders>
        <w:shd w:val="clear" w:color="auto" w:fill="0072BC"/>
      </w:tcPr>
    </w:tblStylePr>
    <w:tblStylePr w:type="lastCol">
      <w:rPr>
        <w:rFonts w:cs="Times New Roman"/>
        <w:i/>
        <w:iCs/>
      </w:rPr>
      <w:tblPr/>
      <w:tcPr>
        <w:tcBorders>
          <w:top w:val="nil"/>
          <w:bottom w:val="nil"/>
          <w:right w:val="nil"/>
          <w:insideH w:val="nil"/>
          <w:insideV w:val="nil"/>
        </w:tcBorders>
        <w:shd w:val="clear" w:color="auto" w:fill="0072BC"/>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tblStylePr w:type="neCell">
      <w:rPr>
        <w:rFonts w:cs="Times New Roman"/>
      </w:rPr>
      <w:tblPr/>
      <w:tcPr>
        <w:tcBorders>
          <w:bottom w:val="single" w:sz="4" w:space="0" w:color="949494"/>
        </w:tcBorders>
      </w:tcPr>
    </w:tblStylePr>
    <w:tblStylePr w:type="nwCell">
      <w:rPr>
        <w:rFonts w:cs="Times New Roman"/>
      </w:rPr>
      <w:tblPr/>
      <w:tcPr>
        <w:tcBorders>
          <w:bottom w:val="single" w:sz="4" w:space="0" w:color="949494"/>
        </w:tcBorders>
      </w:tcPr>
    </w:tblStylePr>
    <w:tblStylePr w:type="seCell">
      <w:rPr>
        <w:rFonts w:cs="Times New Roman"/>
      </w:rPr>
      <w:tblPr/>
      <w:tcPr>
        <w:tcBorders>
          <w:top w:val="single" w:sz="4" w:space="0" w:color="949494"/>
        </w:tcBorders>
      </w:tcPr>
    </w:tblStylePr>
    <w:tblStylePr w:type="swCell">
      <w:rPr>
        <w:rFonts w:cs="Times New Roman"/>
      </w:rPr>
      <w:tblPr/>
      <w:tcPr>
        <w:tcBorders>
          <w:top w:val="single" w:sz="4" w:space="0" w:color="949494"/>
        </w:tcBorders>
      </w:tcPr>
    </w:tblStylePr>
  </w:style>
  <w:style w:type="table" w:customStyle="1" w:styleId="ListTable1Light1">
    <w:name w:val="List Table 1 Light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666666"/>
        </w:tcBorders>
      </w:tcPr>
    </w:tblStylePr>
    <w:tblStylePr w:type="lastRow">
      <w:rPr>
        <w:rFonts w:cs="Times New Roman"/>
        <w:b/>
        <w:bCs/>
      </w:rPr>
      <w:tblPr/>
      <w:tcPr>
        <w:tcBorders>
          <w:top w:val="sing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1Light-Accent11">
    <w:name w:val="List Table 1 Light - Accent 1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3DB2FF"/>
        </w:tcBorders>
      </w:tcPr>
    </w:tblStylePr>
    <w:tblStylePr w:type="lastRow">
      <w:rPr>
        <w:rFonts w:cs="Times New Roman"/>
        <w:b/>
        <w:bCs/>
      </w:rPr>
      <w:tblPr/>
      <w:tcPr>
        <w:tcBorders>
          <w:top w:val="single" w:sz="4" w:space="0" w:color="3DB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ListTable1Light-Accent21">
    <w:name w:val="List Table 1 Light - Accent 2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FF4040"/>
        </w:tcBorders>
      </w:tcPr>
    </w:tblStylePr>
    <w:tblStylePr w:type="lastRow">
      <w:rPr>
        <w:rFonts w:cs="Times New Roman"/>
        <w:b/>
        <w:bCs/>
      </w:rPr>
      <w:tblPr/>
      <w:tcPr>
        <w:tcBorders>
          <w:top w:val="single" w:sz="4" w:space="0" w:color="FF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ListTable1Light-Accent31">
    <w:name w:val="List Table 1 Light - Accent 3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9F9F9F"/>
        </w:tcBorders>
      </w:tcPr>
    </w:tblStylePr>
    <w:tblStylePr w:type="lastRow">
      <w:rPr>
        <w:rFonts w:cs="Times New Roman"/>
        <w:b/>
        <w:bCs/>
      </w:rPr>
      <w:tblPr/>
      <w:tcPr>
        <w:tcBorders>
          <w:top w:val="sing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1Light-Accent41">
    <w:name w:val="List Table 1 Light - Accent 4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C0C0C0"/>
        </w:tcBorders>
      </w:tcPr>
    </w:tblStylePr>
    <w:tblStylePr w:type="lastRow">
      <w:rPr>
        <w:rFonts w:cs="Times New Roman"/>
        <w:b/>
        <w:bCs/>
      </w:rPr>
      <w:tblPr/>
      <w:tcPr>
        <w:tcBorders>
          <w:top w:val="single" w:sz="4" w:space="0" w:color="C0C0C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ListTable1Light-Accent51">
    <w:name w:val="List Table 1 Light - Accent 5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9F9F9F"/>
        </w:tcBorders>
      </w:tcPr>
    </w:tblStylePr>
    <w:tblStylePr w:type="lastRow">
      <w:rPr>
        <w:rFonts w:cs="Times New Roman"/>
        <w:b/>
        <w:bCs/>
      </w:rPr>
      <w:tblPr/>
      <w:tcPr>
        <w:tcBorders>
          <w:top w:val="sing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1Light-Accent61">
    <w:name w:val="List Table 1 Light - Accent 6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bottom w:val="single" w:sz="4" w:space="0" w:color="949494"/>
        </w:tcBorders>
      </w:tcPr>
    </w:tblStylePr>
    <w:tblStylePr w:type="lastRow">
      <w:rPr>
        <w:rFonts w:cs="Times New Roman"/>
        <w:b/>
        <w:bCs/>
      </w:rPr>
      <w:tblPr/>
      <w:tcPr>
        <w:tcBorders>
          <w:top w:val="single" w:sz="4" w:space="0" w:color="9494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ListTable21">
    <w:name w:val="List Table 21"/>
    <w:uiPriority w:val="99"/>
    <w:semiHidden/>
    <w:rsid w:val="00CA10AC"/>
    <w:rPr>
      <w:sz w:val="20"/>
      <w:szCs w:val="20"/>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2-Accent11">
    <w:name w:val="List Table 2 - Accent 11"/>
    <w:uiPriority w:val="99"/>
    <w:semiHidden/>
    <w:rsid w:val="00CA10AC"/>
    <w:rPr>
      <w:sz w:val="20"/>
      <w:szCs w:val="20"/>
    </w:rPr>
    <w:tblPr>
      <w:tblStyleRowBandSize w:val="1"/>
      <w:tblStyleColBandSize w:val="1"/>
      <w:tblInd w:w="0" w:type="dxa"/>
      <w:tblBorders>
        <w:top w:val="single" w:sz="4" w:space="0" w:color="3DB2FF"/>
        <w:bottom w:val="single" w:sz="4" w:space="0" w:color="3DB2FF"/>
        <w:insideH w:val="single" w:sz="4" w:space="0" w:color="3DB2F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ListTable2-Accent21">
    <w:name w:val="List Table 2 - Accent 21"/>
    <w:uiPriority w:val="99"/>
    <w:semiHidden/>
    <w:rsid w:val="00CA10AC"/>
    <w:rPr>
      <w:sz w:val="20"/>
      <w:szCs w:val="20"/>
    </w:rPr>
    <w:tblPr>
      <w:tblStyleRowBandSize w:val="1"/>
      <w:tblStyleColBandSize w:val="1"/>
      <w:tblInd w:w="0" w:type="dxa"/>
      <w:tblBorders>
        <w:top w:val="single" w:sz="4" w:space="0" w:color="FF4040"/>
        <w:bottom w:val="single" w:sz="4" w:space="0" w:color="FF4040"/>
        <w:insideH w:val="single" w:sz="4" w:space="0" w:color="FF4040"/>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ListTable2-Accent31">
    <w:name w:val="List Table 2 - Accent 31"/>
    <w:uiPriority w:val="99"/>
    <w:semiHidden/>
    <w:rsid w:val="00CA10AC"/>
    <w:rPr>
      <w:sz w:val="20"/>
      <w:szCs w:val="20"/>
    </w:rPr>
    <w:tblPr>
      <w:tblStyleRowBandSize w:val="1"/>
      <w:tblStyleColBandSize w:val="1"/>
      <w:tblInd w:w="0" w:type="dxa"/>
      <w:tblBorders>
        <w:top w:val="single" w:sz="4" w:space="0" w:color="9F9F9F"/>
        <w:bottom w:val="single" w:sz="4" w:space="0" w:color="9F9F9F"/>
        <w:insideH w:val="single" w:sz="4" w:space="0" w:color="9F9F9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2-Accent41">
    <w:name w:val="List Table 2 - Accent 41"/>
    <w:uiPriority w:val="99"/>
    <w:semiHidden/>
    <w:rsid w:val="00CA10AC"/>
    <w:rPr>
      <w:sz w:val="20"/>
      <w:szCs w:val="20"/>
    </w:rPr>
    <w:tblPr>
      <w:tblStyleRowBandSize w:val="1"/>
      <w:tblStyleColBandSize w:val="1"/>
      <w:tblInd w:w="0" w:type="dxa"/>
      <w:tblBorders>
        <w:top w:val="single" w:sz="4" w:space="0" w:color="C0C0C0"/>
        <w:bottom w:val="single" w:sz="4" w:space="0" w:color="C0C0C0"/>
        <w:insideH w:val="single" w:sz="4" w:space="0" w:color="C0C0C0"/>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ListTable2-Accent51">
    <w:name w:val="List Table 2 - Accent 51"/>
    <w:uiPriority w:val="99"/>
    <w:semiHidden/>
    <w:rsid w:val="00CA10AC"/>
    <w:rPr>
      <w:sz w:val="20"/>
      <w:szCs w:val="20"/>
    </w:rPr>
    <w:tblPr>
      <w:tblStyleRowBandSize w:val="1"/>
      <w:tblStyleColBandSize w:val="1"/>
      <w:tblInd w:w="0" w:type="dxa"/>
      <w:tblBorders>
        <w:top w:val="single" w:sz="4" w:space="0" w:color="9F9F9F"/>
        <w:bottom w:val="single" w:sz="4" w:space="0" w:color="9F9F9F"/>
        <w:insideH w:val="single" w:sz="4" w:space="0" w:color="9F9F9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2-Accent61">
    <w:name w:val="List Table 2 - Accent 61"/>
    <w:uiPriority w:val="99"/>
    <w:semiHidden/>
    <w:rsid w:val="00CA10AC"/>
    <w:rPr>
      <w:sz w:val="20"/>
      <w:szCs w:val="20"/>
    </w:rPr>
    <w:tblPr>
      <w:tblStyleRowBandSize w:val="1"/>
      <w:tblStyleColBandSize w:val="1"/>
      <w:tblInd w:w="0" w:type="dxa"/>
      <w:tblBorders>
        <w:top w:val="single" w:sz="4" w:space="0" w:color="949494"/>
        <w:bottom w:val="single" w:sz="4" w:space="0" w:color="949494"/>
        <w:insideH w:val="single" w:sz="4" w:space="0" w:color="949494"/>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ListTable31">
    <w:name w:val="List Table 31"/>
    <w:uiPriority w:val="99"/>
    <w:semiHidden/>
    <w:rsid w:val="00CA10AC"/>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cs="Times New Roman"/>
        <w:b/>
        <w:bCs/>
        <w:color w:val="0072BC"/>
      </w:rPr>
      <w:tblPr/>
      <w:tcPr>
        <w:shd w:val="clear" w:color="auto" w:fill="000000"/>
      </w:tcPr>
    </w:tblStylePr>
    <w:tblStylePr w:type="lastRow">
      <w:rPr>
        <w:rFonts w:cs="Times New Roman"/>
        <w:b/>
        <w:bCs/>
      </w:rPr>
      <w:tblPr/>
      <w:tcPr>
        <w:tcBorders>
          <w:top w:val="double" w:sz="4" w:space="0" w:color="000000"/>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left w:val="nil"/>
        </w:tcBorders>
      </w:tcPr>
    </w:tblStylePr>
    <w:tblStylePr w:type="swCell">
      <w:rPr>
        <w:rFonts w:cs="Times New Roman"/>
      </w:rPr>
      <w:tblPr/>
      <w:tcPr>
        <w:tcBorders>
          <w:top w:val="double" w:sz="4" w:space="0" w:color="000000"/>
          <w:right w:val="nil"/>
        </w:tcBorders>
      </w:tcPr>
    </w:tblStylePr>
  </w:style>
  <w:style w:type="table" w:customStyle="1" w:styleId="ListTable3-Accent11">
    <w:name w:val="List Table 3 - Accent 11"/>
    <w:uiPriority w:val="99"/>
    <w:semiHidden/>
    <w:rsid w:val="00CA10AC"/>
    <w:rPr>
      <w:sz w:val="20"/>
      <w:szCs w:val="20"/>
    </w:rPr>
    <w:tblPr>
      <w:tblStyleRowBandSize w:val="1"/>
      <w:tblStyleColBandSize w:val="1"/>
      <w:tblInd w:w="0" w:type="dxa"/>
      <w:tblBorders>
        <w:top w:val="single" w:sz="4" w:space="0" w:color="0072BC"/>
        <w:left w:val="single" w:sz="4" w:space="0" w:color="0072BC"/>
        <w:bottom w:val="single" w:sz="4" w:space="0" w:color="0072BC"/>
        <w:right w:val="single" w:sz="4" w:space="0" w:color="0072BC"/>
      </w:tblBorders>
      <w:tblCellMar>
        <w:top w:w="0" w:type="dxa"/>
        <w:left w:w="108" w:type="dxa"/>
        <w:bottom w:w="0" w:type="dxa"/>
        <w:right w:w="108" w:type="dxa"/>
      </w:tblCellMar>
    </w:tblPr>
    <w:tblStylePr w:type="firstRow">
      <w:rPr>
        <w:rFonts w:cs="Times New Roman"/>
        <w:b/>
        <w:bCs/>
        <w:color w:val="0072BC"/>
      </w:rPr>
      <w:tblPr/>
      <w:tcPr>
        <w:shd w:val="clear" w:color="auto" w:fill="0072BC"/>
      </w:tcPr>
    </w:tblStylePr>
    <w:tblStylePr w:type="lastRow">
      <w:rPr>
        <w:rFonts w:cs="Times New Roman"/>
        <w:b/>
        <w:bCs/>
      </w:rPr>
      <w:tblPr/>
      <w:tcPr>
        <w:tcBorders>
          <w:top w:val="double" w:sz="4" w:space="0" w:color="0072BC"/>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72BC"/>
          <w:left w:val="nil"/>
        </w:tcBorders>
      </w:tcPr>
    </w:tblStylePr>
    <w:tblStylePr w:type="swCell">
      <w:rPr>
        <w:rFonts w:cs="Times New Roman"/>
      </w:rPr>
      <w:tblPr/>
      <w:tcPr>
        <w:tcBorders>
          <w:top w:val="double" w:sz="4" w:space="0" w:color="0072BC"/>
          <w:right w:val="nil"/>
        </w:tcBorders>
      </w:tcPr>
    </w:tblStylePr>
  </w:style>
  <w:style w:type="table" w:customStyle="1" w:styleId="ListTable3-Accent21">
    <w:name w:val="List Table 3 - Accent 21"/>
    <w:uiPriority w:val="99"/>
    <w:semiHidden/>
    <w:rsid w:val="00CA10AC"/>
    <w:rPr>
      <w:sz w:val="20"/>
      <w:szCs w:val="20"/>
    </w:rPr>
    <w:tblPr>
      <w:tblStyleRowBandSize w:val="1"/>
      <w:tblStyleColBandSize w:val="1"/>
      <w:tblInd w:w="0" w:type="dxa"/>
      <w:tblBorders>
        <w:top w:val="single" w:sz="4" w:space="0" w:color="C00000"/>
        <w:left w:val="single" w:sz="4" w:space="0" w:color="C00000"/>
        <w:bottom w:val="single" w:sz="4" w:space="0" w:color="C00000"/>
        <w:right w:val="single" w:sz="4" w:space="0" w:color="C00000"/>
      </w:tblBorders>
      <w:tblCellMar>
        <w:top w:w="0" w:type="dxa"/>
        <w:left w:w="108" w:type="dxa"/>
        <w:bottom w:w="0" w:type="dxa"/>
        <w:right w:w="108" w:type="dxa"/>
      </w:tblCellMar>
    </w:tblPr>
    <w:tblStylePr w:type="firstRow">
      <w:rPr>
        <w:rFonts w:cs="Times New Roman"/>
        <w:b/>
        <w:bCs/>
        <w:color w:val="0072BC"/>
      </w:rPr>
      <w:tblPr/>
      <w:tcPr>
        <w:shd w:val="clear" w:color="auto" w:fill="C00000"/>
      </w:tcPr>
    </w:tblStylePr>
    <w:tblStylePr w:type="lastRow">
      <w:rPr>
        <w:rFonts w:cs="Times New Roman"/>
        <w:b/>
        <w:bCs/>
      </w:rPr>
      <w:tblPr/>
      <w:tcPr>
        <w:tcBorders>
          <w:top w:val="double" w:sz="4" w:space="0" w:color="C00000"/>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C00000"/>
          <w:right w:val="single" w:sz="4" w:space="0" w:color="C00000"/>
        </w:tcBorders>
      </w:tcPr>
    </w:tblStylePr>
    <w:tblStylePr w:type="band1Horz">
      <w:rPr>
        <w:rFonts w:cs="Times New Roman"/>
      </w:rPr>
      <w:tblPr/>
      <w:tcPr>
        <w:tcBorders>
          <w:top w:val="single" w:sz="4" w:space="0" w:color="C00000"/>
          <w:bottom w:val="single" w:sz="4" w:space="0" w:color="C00000"/>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C00000"/>
          <w:left w:val="nil"/>
        </w:tcBorders>
      </w:tcPr>
    </w:tblStylePr>
    <w:tblStylePr w:type="swCell">
      <w:rPr>
        <w:rFonts w:cs="Times New Roman"/>
      </w:rPr>
      <w:tblPr/>
      <w:tcPr>
        <w:tcBorders>
          <w:top w:val="double" w:sz="4" w:space="0" w:color="C00000"/>
          <w:right w:val="nil"/>
        </w:tcBorders>
      </w:tcPr>
    </w:tblStylePr>
  </w:style>
  <w:style w:type="table" w:customStyle="1" w:styleId="ListTable3-Accent31">
    <w:name w:val="List Table 3 - Accent 31"/>
    <w:uiPriority w:val="99"/>
    <w:semiHidden/>
    <w:rsid w:val="00CA10AC"/>
    <w:rPr>
      <w:sz w:val="20"/>
      <w:szCs w:val="20"/>
    </w:rPr>
    <w:tblPr>
      <w:tblStyleRowBandSize w:val="1"/>
      <w:tblStyleColBandSize w:val="1"/>
      <w:tblInd w:w="0" w:type="dxa"/>
      <w:tblBorders>
        <w:top w:val="single" w:sz="4" w:space="0" w:color="5F5F5F"/>
        <w:left w:val="single" w:sz="4" w:space="0" w:color="5F5F5F"/>
        <w:bottom w:val="single" w:sz="4" w:space="0" w:color="5F5F5F"/>
        <w:right w:val="single" w:sz="4" w:space="0" w:color="5F5F5F"/>
      </w:tblBorders>
      <w:tblCellMar>
        <w:top w:w="0" w:type="dxa"/>
        <w:left w:w="108" w:type="dxa"/>
        <w:bottom w:w="0" w:type="dxa"/>
        <w:right w:w="108" w:type="dxa"/>
      </w:tblCellMar>
    </w:tblPr>
    <w:tblStylePr w:type="firstRow">
      <w:rPr>
        <w:rFonts w:cs="Times New Roman"/>
        <w:b/>
        <w:bCs/>
        <w:color w:val="0072BC"/>
      </w:rPr>
      <w:tblPr/>
      <w:tcPr>
        <w:shd w:val="clear" w:color="auto" w:fill="5F5F5F"/>
      </w:tcPr>
    </w:tblStylePr>
    <w:tblStylePr w:type="lastRow">
      <w:rPr>
        <w:rFonts w:cs="Times New Roman"/>
        <w:b/>
        <w:bCs/>
      </w:rPr>
      <w:tblPr/>
      <w:tcPr>
        <w:tcBorders>
          <w:top w:val="double" w:sz="4" w:space="0" w:color="5F5F5F"/>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5F5F5F"/>
          <w:right w:val="single" w:sz="4" w:space="0" w:color="5F5F5F"/>
        </w:tcBorders>
      </w:tcPr>
    </w:tblStylePr>
    <w:tblStylePr w:type="band1Horz">
      <w:rPr>
        <w:rFonts w:cs="Times New Roman"/>
      </w:rPr>
      <w:tblPr/>
      <w:tcPr>
        <w:tcBorders>
          <w:top w:val="single" w:sz="4" w:space="0" w:color="5F5F5F"/>
          <w:bottom w:val="single" w:sz="4" w:space="0" w:color="5F5F5F"/>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F5F5F"/>
          <w:left w:val="nil"/>
        </w:tcBorders>
      </w:tcPr>
    </w:tblStylePr>
    <w:tblStylePr w:type="swCell">
      <w:rPr>
        <w:rFonts w:cs="Times New Roman"/>
      </w:rPr>
      <w:tblPr/>
      <w:tcPr>
        <w:tcBorders>
          <w:top w:val="double" w:sz="4" w:space="0" w:color="5F5F5F"/>
          <w:right w:val="nil"/>
        </w:tcBorders>
      </w:tcPr>
    </w:tblStylePr>
  </w:style>
  <w:style w:type="table" w:customStyle="1" w:styleId="ListTable3-Accent41">
    <w:name w:val="List Table 3 - Accent 41"/>
    <w:uiPriority w:val="99"/>
    <w:semiHidden/>
    <w:rsid w:val="00CA10AC"/>
    <w:rPr>
      <w:sz w:val="20"/>
      <w:szCs w:val="20"/>
    </w:rPr>
    <w:tblPr>
      <w:tblStyleRowBandSize w:val="1"/>
      <w:tblStyleColBandSize w:val="1"/>
      <w:tblInd w:w="0" w:type="dxa"/>
      <w:tblBorders>
        <w:top w:val="single" w:sz="4" w:space="0" w:color="969696"/>
        <w:left w:val="single" w:sz="4" w:space="0" w:color="969696"/>
        <w:bottom w:val="single" w:sz="4" w:space="0" w:color="969696"/>
        <w:right w:val="single" w:sz="4" w:space="0" w:color="969696"/>
      </w:tblBorders>
      <w:tblCellMar>
        <w:top w:w="0" w:type="dxa"/>
        <w:left w:w="108" w:type="dxa"/>
        <w:bottom w:w="0" w:type="dxa"/>
        <w:right w:w="108" w:type="dxa"/>
      </w:tblCellMar>
    </w:tblPr>
    <w:tblStylePr w:type="firstRow">
      <w:rPr>
        <w:rFonts w:cs="Times New Roman"/>
        <w:b/>
        <w:bCs/>
        <w:color w:val="0072BC"/>
      </w:rPr>
      <w:tblPr/>
      <w:tcPr>
        <w:shd w:val="clear" w:color="auto" w:fill="969696"/>
      </w:tcPr>
    </w:tblStylePr>
    <w:tblStylePr w:type="lastRow">
      <w:rPr>
        <w:rFonts w:cs="Times New Roman"/>
        <w:b/>
        <w:bCs/>
      </w:rPr>
      <w:tblPr/>
      <w:tcPr>
        <w:tcBorders>
          <w:top w:val="double" w:sz="4" w:space="0" w:color="969696"/>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969696"/>
          <w:right w:val="single" w:sz="4" w:space="0" w:color="969696"/>
        </w:tcBorders>
      </w:tcPr>
    </w:tblStylePr>
    <w:tblStylePr w:type="band1Horz">
      <w:rPr>
        <w:rFonts w:cs="Times New Roman"/>
      </w:rPr>
      <w:tblPr/>
      <w:tcPr>
        <w:tcBorders>
          <w:top w:val="single" w:sz="4" w:space="0" w:color="969696"/>
          <w:bottom w:val="single" w:sz="4" w:space="0" w:color="96969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969696"/>
          <w:left w:val="nil"/>
        </w:tcBorders>
      </w:tcPr>
    </w:tblStylePr>
    <w:tblStylePr w:type="swCell">
      <w:rPr>
        <w:rFonts w:cs="Times New Roman"/>
      </w:rPr>
      <w:tblPr/>
      <w:tcPr>
        <w:tcBorders>
          <w:top w:val="double" w:sz="4" w:space="0" w:color="969696"/>
          <w:right w:val="nil"/>
        </w:tcBorders>
      </w:tcPr>
    </w:tblStylePr>
  </w:style>
  <w:style w:type="table" w:customStyle="1" w:styleId="ListTable3-Accent51">
    <w:name w:val="List Table 3 - Accent 51"/>
    <w:uiPriority w:val="99"/>
    <w:semiHidden/>
    <w:rsid w:val="00CA10AC"/>
    <w:rPr>
      <w:sz w:val="20"/>
      <w:szCs w:val="20"/>
    </w:rPr>
    <w:tblPr>
      <w:tblStyleRowBandSize w:val="1"/>
      <w:tblStyleColBandSize w:val="1"/>
      <w:tblInd w:w="0" w:type="dxa"/>
      <w:tblBorders>
        <w:top w:val="single" w:sz="4" w:space="0" w:color="5F5F5F"/>
        <w:left w:val="single" w:sz="4" w:space="0" w:color="5F5F5F"/>
        <w:bottom w:val="single" w:sz="4" w:space="0" w:color="5F5F5F"/>
        <w:right w:val="single" w:sz="4" w:space="0" w:color="5F5F5F"/>
      </w:tblBorders>
      <w:tblCellMar>
        <w:top w:w="0" w:type="dxa"/>
        <w:left w:w="108" w:type="dxa"/>
        <w:bottom w:w="0" w:type="dxa"/>
        <w:right w:w="108" w:type="dxa"/>
      </w:tblCellMar>
    </w:tblPr>
    <w:tblStylePr w:type="firstRow">
      <w:rPr>
        <w:rFonts w:cs="Times New Roman"/>
        <w:b/>
        <w:bCs/>
        <w:color w:val="0072BC"/>
      </w:rPr>
      <w:tblPr/>
      <w:tcPr>
        <w:shd w:val="clear" w:color="auto" w:fill="5F5F5F"/>
      </w:tcPr>
    </w:tblStylePr>
    <w:tblStylePr w:type="lastRow">
      <w:rPr>
        <w:rFonts w:cs="Times New Roman"/>
        <w:b/>
        <w:bCs/>
      </w:rPr>
      <w:tblPr/>
      <w:tcPr>
        <w:tcBorders>
          <w:top w:val="double" w:sz="4" w:space="0" w:color="5F5F5F"/>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5F5F5F"/>
          <w:right w:val="single" w:sz="4" w:space="0" w:color="5F5F5F"/>
        </w:tcBorders>
      </w:tcPr>
    </w:tblStylePr>
    <w:tblStylePr w:type="band1Horz">
      <w:rPr>
        <w:rFonts w:cs="Times New Roman"/>
      </w:rPr>
      <w:tblPr/>
      <w:tcPr>
        <w:tcBorders>
          <w:top w:val="single" w:sz="4" w:space="0" w:color="5F5F5F"/>
          <w:bottom w:val="single" w:sz="4" w:space="0" w:color="5F5F5F"/>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F5F5F"/>
          <w:left w:val="nil"/>
        </w:tcBorders>
      </w:tcPr>
    </w:tblStylePr>
    <w:tblStylePr w:type="swCell">
      <w:rPr>
        <w:rFonts w:cs="Times New Roman"/>
      </w:rPr>
      <w:tblPr/>
      <w:tcPr>
        <w:tcBorders>
          <w:top w:val="double" w:sz="4" w:space="0" w:color="5F5F5F"/>
          <w:right w:val="nil"/>
        </w:tcBorders>
      </w:tcPr>
    </w:tblStylePr>
  </w:style>
  <w:style w:type="table" w:customStyle="1" w:styleId="ListTable3-Accent61">
    <w:name w:val="List Table 3 - Accent 61"/>
    <w:uiPriority w:val="99"/>
    <w:semiHidden/>
    <w:rsid w:val="00CA10AC"/>
    <w:rPr>
      <w:sz w:val="20"/>
      <w:szCs w:val="20"/>
    </w:rPr>
    <w:tblPr>
      <w:tblStyleRowBandSize w:val="1"/>
      <w:tblStyleColBandSize w:val="1"/>
      <w:tblInd w:w="0" w:type="dxa"/>
      <w:tblBorders>
        <w:top w:val="single" w:sz="4" w:space="0" w:color="4D4D4D"/>
        <w:left w:val="single" w:sz="4" w:space="0" w:color="4D4D4D"/>
        <w:bottom w:val="single" w:sz="4" w:space="0" w:color="4D4D4D"/>
        <w:right w:val="single" w:sz="4" w:space="0" w:color="4D4D4D"/>
      </w:tblBorders>
      <w:tblCellMar>
        <w:top w:w="0" w:type="dxa"/>
        <w:left w:w="108" w:type="dxa"/>
        <w:bottom w:w="0" w:type="dxa"/>
        <w:right w:w="108" w:type="dxa"/>
      </w:tblCellMar>
    </w:tblPr>
    <w:tblStylePr w:type="firstRow">
      <w:rPr>
        <w:rFonts w:cs="Times New Roman"/>
        <w:b/>
        <w:bCs/>
        <w:color w:val="0072BC"/>
      </w:rPr>
      <w:tblPr/>
      <w:tcPr>
        <w:shd w:val="clear" w:color="auto" w:fill="4D4D4D"/>
      </w:tcPr>
    </w:tblStylePr>
    <w:tblStylePr w:type="lastRow">
      <w:rPr>
        <w:rFonts w:cs="Times New Roman"/>
        <w:b/>
        <w:bCs/>
      </w:rPr>
      <w:tblPr/>
      <w:tcPr>
        <w:tcBorders>
          <w:top w:val="double" w:sz="4" w:space="0" w:color="4D4D4D"/>
        </w:tcBorders>
        <w:shd w:val="clear" w:color="auto" w:fill="0072BC"/>
      </w:tcPr>
    </w:tblStylePr>
    <w:tblStylePr w:type="firstCol">
      <w:rPr>
        <w:rFonts w:cs="Times New Roman"/>
        <w:b/>
        <w:bCs/>
      </w:rPr>
      <w:tblPr/>
      <w:tcPr>
        <w:tcBorders>
          <w:right w:val="nil"/>
        </w:tcBorders>
        <w:shd w:val="clear" w:color="auto" w:fill="0072BC"/>
      </w:tcPr>
    </w:tblStylePr>
    <w:tblStylePr w:type="lastCol">
      <w:rPr>
        <w:rFonts w:cs="Times New Roman"/>
        <w:b/>
        <w:bCs/>
      </w:rPr>
      <w:tblPr/>
      <w:tcPr>
        <w:tcBorders>
          <w:left w:val="nil"/>
        </w:tcBorders>
        <w:shd w:val="clear" w:color="auto" w:fill="0072BC"/>
      </w:tcPr>
    </w:tblStylePr>
    <w:tblStylePr w:type="band1Vert">
      <w:rPr>
        <w:rFonts w:cs="Times New Roman"/>
      </w:rPr>
      <w:tblPr/>
      <w:tcPr>
        <w:tcBorders>
          <w:left w:val="single" w:sz="4" w:space="0" w:color="4D4D4D"/>
          <w:right w:val="single" w:sz="4" w:space="0" w:color="4D4D4D"/>
        </w:tcBorders>
      </w:tcPr>
    </w:tblStylePr>
    <w:tblStylePr w:type="band1Horz">
      <w:rPr>
        <w:rFonts w:cs="Times New Roman"/>
      </w:rPr>
      <w:tblPr/>
      <w:tcPr>
        <w:tcBorders>
          <w:top w:val="single" w:sz="4" w:space="0" w:color="4D4D4D"/>
          <w:bottom w:val="single" w:sz="4" w:space="0" w:color="4D4D4D"/>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D4D4D"/>
          <w:left w:val="nil"/>
        </w:tcBorders>
      </w:tcPr>
    </w:tblStylePr>
    <w:tblStylePr w:type="swCell">
      <w:rPr>
        <w:rFonts w:cs="Times New Roman"/>
      </w:rPr>
      <w:tblPr/>
      <w:tcPr>
        <w:tcBorders>
          <w:top w:val="double" w:sz="4" w:space="0" w:color="4D4D4D"/>
          <w:right w:val="nil"/>
        </w:tcBorders>
      </w:tcPr>
    </w:tblStylePr>
  </w:style>
  <w:style w:type="table" w:customStyle="1" w:styleId="ListTable41">
    <w:name w:val="List Table 41"/>
    <w:uiPriority w:val="99"/>
    <w:semiHidden/>
    <w:rsid w:val="00CA10AC"/>
    <w:rPr>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rFonts w:cs="Times New Roman"/>
        <w:b/>
        <w:bCs/>
        <w:color w:val="0072BC"/>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rFonts w:cs="Times New Roman"/>
        <w:b/>
        <w:bCs/>
      </w:rPr>
      <w:tblPr/>
      <w:tcPr>
        <w:tcBorders>
          <w:top w:val="double" w:sz="4" w:space="0" w:color="66666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4-Accent11">
    <w:name w:val="List Table 4 - Accent 11"/>
    <w:uiPriority w:val="99"/>
    <w:semiHidden/>
    <w:rsid w:val="00CA10AC"/>
    <w:rPr>
      <w:sz w:val="20"/>
      <w:szCs w:val="20"/>
    </w:rPr>
    <w:tblPr>
      <w:tblStyleRowBandSize w:val="1"/>
      <w:tblStyleColBandSize w:val="1"/>
      <w:tblInd w:w="0" w:type="dxa"/>
      <w:tblBorders>
        <w:top w:val="single" w:sz="4" w:space="0" w:color="3DB2FF"/>
        <w:left w:val="single" w:sz="4" w:space="0" w:color="3DB2FF"/>
        <w:bottom w:val="single" w:sz="4" w:space="0" w:color="3DB2FF"/>
        <w:right w:val="single" w:sz="4" w:space="0" w:color="3DB2FF"/>
        <w:insideH w:val="single" w:sz="4" w:space="0" w:color="3DB2FF"/>
      </w:tblBorders>
      <w:tblCellMar>
        <w:top w:w="0" w:type="dxa"/>
        <w:left w:w="108" w:type="dxa"/>
        <w:bottom w:w="0" w:type="dxa"/>
        <w:right w:w="108" w:type="dxa"/>
      </w:tblCellMar>
    </w:tblPr>
    <w:tblStylePr w:type="firstRow">
      <w:rPr>
        <w:rFonts w:cs="Times New Roman"/>
        <w:b/>
        <w:bCs/>
        <w:color w:val="0072BC"/>
      </w:rPr>
      <w:tblPr/>
      <w:tcPr>
        <w:tcBorders>
          <w:top w:val="single" w:sz="4" w:space="0" w:color="0072BC"/>
          <w:left w:val="single" w:sz="4" w:space="0" w:color="0072BC"/>
          <w:bottom w:val="single" w:sz="4" w:space="0" w:color="0072BC"/>
          <w:right w:val="single" w:sz="4" w:space="0" w:color="0072BC"/>
          <w:insideH w:val="nil"/>
        </w:tcBorders>
        <w:shd w:val="clear" w:color="auto" w:fill="0072BC"/>
      </w:tcPr>
    </w:tblStylePr>
    <w:tblStylePr w:type="lastRow">
      <w:rPr>
        <w:rFonts w:cs="Times New Roman"/>
        <w:b/>
        <w:bCs/>
      </w:rPr>
      <w:tblPr/>
      <w:tcPr>
        <w:tcBorders>
          <w:top w:val="double" w:sz="4" w:space="0" w:color="3DB2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ListTable4-Accent21">
    <w:name w:val="List Table 4 - Accent 21"/>
    <w:uiPriority w:val="99"/>
    <w:semiHidden/>
    <w:rsid w:val="00CA10AC"/>
    <w:rPr>
      <w:sz w:val="20"/>
      <w:szCs w:val="20"/>
    </w:rPr>
    <w:tblPr>
      <w:tblStyleRowBandSize w:val="1"/>
      <w:tblStyleColBandSize w:val="1"/>
      <w:tblInd w:w="0" w:type="dxa"/>
      <w:tblBorders>
        <w:top w:val="single" w:sz="4" w:space="0" w:color="FF4040"/>
        <w:left w:val="single" w:sz="4" w:space="0" w:color="FF4040"/>
        <w:bottom w:val="single" w:sz="4" w:space="0" w:color="FF4040"/>
        <w:right w:val="single" w:sz="4" w:space="0" w:color="FF4040"/>
        <w:insideH w:val="single" w:sz="4" w:space="0" w:color="FF4040"/>
      </w:tblBorders>
      <w:tblCellMar>
        <w:top w:w="0" w:type="dxa"/>
        <w:left w:w="108" w:type="dxa"/>
        <w:bottom w:w="0" w:type="dxa"/>
        <w:right w:w="108" w:type="dxa"/>
      </w:tblCellMar>
    </w:tblPr>
    <w:tblStylePr w:type="firstRow">
      <w:rPr>
        <w:rFonts w:cs="Times New Roman"/>
        <w:b/>
        <w:bCs/>
        <w:color w:val="0072BC"/>
      </w:rPr>
      <w:tblPr/>
      <w:tcPr>
        <w:tcBorders>
          <w:top w:val="single" w:sz="4" w:space="0" w:color="C00000"/>
          <w:left w:val="single" w:sz="4" w:space="0" w:color="C00000"/>
          <w:bottom w:val="single" w:sz="4" w:space="0" w:color="C00000"/>
          <w:right w:val="single" w:sz="4" w:space="0" w:color="C00000"/>
          <w:insideH w:val="nil"/>
        </w:tcBorders>
        <w:shd w:val="clear" w:color="auto" w:fill="C00000"/>
      </w:tcPr>
    </w:tblStylePr>
    <w:tblStylePr w:type="lastRow">
      <w:rPr>
        <w:rFonts w:cs="Times New Roman"/>
        <w:b/>
        <w:bCs/>
      </w:rPr>
      <w:tblPr/>
      <w:tcPr>
        <w:tcBorders>
          <w:top w:val="double" w:sz="4" w:space="0" w:color="FF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ListTable4-Accent31">
    <w:name w:val="List Table 4 - Accent 3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tblBorders>
      <w:tblCellMar>
        <w:top w:w="0" w:type="dxa"/>
        <w:left w:w="108" w:type="dxa"/>
        <w:bottom w:w="0" w:type="dxa"/>
        <w:right w:w="108" w:type="dxa"/>
      </w:tblCellMar>
    </w:tblPr>
    <w:tblStylePr w:type="firstRow">
      <w:rPr>
        <w:rFonts w:cs="Times New Roman"/>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rFonts w:cs="Times New Roman"/>
        <w:b/>
        <w:bCs/>
      </w:rPr>
      <w:tblPr/>
      <w:tcPr>
        <w:tcBorders>
          <w:top w:val="doub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4-Accent41">
    <w:name w:val="List Table 4 - Accent 41"/>
    <w:uiPriority w:val="99"/>
    <w:semiHidden/>
    <w:rsid w:val="00CA10AC"/>
    <w:rPr>
      <w:sz w:val="20"/>
      <w:szCs w:val="20"/>
    </w:rPr>
    <w:tblPr>
      <w:tblStyleRowBandSize w:val="1"/>
      <w:tblStyleColBandSize w:val="1"/>
      <w:tblInd w:w="0" w:type="dxa"/>
      <w:tblBorders>
        <w:top w:val="single" w:sz="4" w:space="0" w:color="C0C0C0"/>
        <w:left w:val="single" w:sz="4" w:space="0" w:color="C0C0C0"/>
        <w:bottom w:val="single" w:sz="4" w:space="0" w:color="C0C0C0"/>
        <w:right w:val="single" w:sz="4" w:space="0" w:color="C0C0C0"/>
        <w:insideH w:val="single" w:sz="4" w:space="0" w:color="C0C0C0"/>
      </w:tblBorders>
      <w:tblCellMar>
        <w:top w:w="0" w:type="dxa"/>
        <w:left w:w="108" w:type="dxa"/>
        <w:bottom w:w="0" w:type="dxa"/>
        <w:right w:w="108" w:type="dxa"/>
      </w:tblCellMar>
    </w:tblPr>
    <w:tblStylePr w:type="firstRow">
      <w:rPr>
        <w:rFonts w:cs="Times New Roman"/>
        <w:b/>
        <w:bCs/>
        <w:color w:val="0072BC"/>
      </w:rPr>
      <w:tblPr/>
      <w:tcPr>
        <w:tcBorders>
          <w:top w:val="single" w:sz="4" w:space="0" w:color="969696"/>
          <w:left w:val="single" w:sz="4" w:space="0" w:color="969696"/>
          <w:bottom w:val="single" w:sz="4" w:space="0" w:color="969696"/>
          <w:right w:val="single" w:sz="4" w:space="0" w:color="969696"/>
          <w:insideH w:val="nil"/>
        </w:tcBorders>
        <w:shd w:val="clear" w:color="auto" w:fill="969696"/>
      </w:tcPr>
    </w:tblStylePr>
    <w:tblStylePr w:type="lastRow">
      <w:rPr>
        <w:rFonts w:cs="Times New Roman"/>
        <w:b/>
        <w:bCs/>
      </w:rPr>
      <w:tblPr/>
      <w:tcPr>
        <w:tcBorders>
          <w:top w:val="double" w:sz="4" w:space="0" w:color="C0C0C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ListTable4-Accent51">
    <w:name w:val="List Table 4 - Accent 51"/>
    <w:uiPriority w:val="99"/>
    <w:semiHidden/>
    <w:rsid w:val="00CA10AC"/>
    <w:rPr>
      <w:sz w:val="20"/>
      <w:szCs w:val="20"/>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tblBorders>
      <w:tblCellMar>
        <w:top w:w="0" w:type="dxa"/>
        <w:left w:w="108" w:type="dxa"/>
        <w:bottom w:w="0" w:type="dxa"/>
        <w:right w:w="108" w:type="dxa"/>
      </w:tblCellMar>
    </w:tblPr>
    <w:tblStylePr w:type="firstRow">
      <w:rPr>
        <w:rFonts w:cs="Times New Roman"/>
        <w:b/>
        <w:bCs/>
        <w:color w:val="0072BC"/>
      </w:rPr>
      <w:tblPr/>
      <w:tcPr>
        <w:tcBorders>
          <w:top w:val="single" w:sz="4" w:space="0" w:color="5F5F5F"/>
          <w:left w:val="single" w:sz="4" w:space="0" w:color="5F5F5F"/>
          <w:bottom w:val="single" w:sz="4" w:space="0" w:color="5F5F5F"/>
          <w:right w:val="single" w:sz="4" w:space="0" w:color="5F5F5F"/>
          <w:insideH w:val="nil"/>
        </w:tcBorders>
        <w:shd w:val="clear" w:color="auto" w:fill="5F5F5F"/>
      </w:tcPr>
    </w:tblStylePr>
    <w:tblStylePr w:type="lastRow">
      <w:rPr>
        <w:rFonts w:cs="Times New Roman"/>
        <w:b/>
        <w:bCs/>
      </w:rPr>
      <w:tblPr/>
      <w:tcPr>
        <w:tcBorders>
          <w:top w:val="double" w:sz="4" w:space="0" w:color="9F9F9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4-Accent61">
    <w:name w:val="List Table 4 - Accent 61"/>
    <w:uiPriority w:val="99"/>
    <w:semiHidden/>
    <w:rsid w:val="00CA10AC"/>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tblBorders>
      <w:tblCellMar>
        <w:top w:w="0" w:type="dxa"/>
        <w:left w:w="108" w:type="dxa"/>
        <w:bottom w:w="0" w:type="dxa"/>
        <w:right w:w="108" w:type="dxa"/>
      </w:tblCellMar>
    </w:tblPr>
    <w:tblStylePr w:type="firstRow">
      <w:rPr>
        <w:rFonts w:cs="Times New Roman"/>
        <w:b/>
        <w:bCs/>
        <w:color w:val="0072BC"/>
      </w:rPr>
      <w:tblPr/>
      <w:tcPr>
        <w:tcBorders>
          <w:top w:val="single" w:sz="4" w:space="0" w:color="4D4D4D"/>
          <w:left w:val="single" w:sz="4" w:space="0" w:color="4D4D4D"/>
          <w:bottom w:val="single" w:sz="4" w:space="0" w:color="4D4D4D"/>
          <w:right w:val="single" w:sz="4" w:space="0" w:color="4D4D4D"/>
          <w:insideH w:val="nil"/>
        </w:tcBorders>
        <w:shd w:val="clear" w:color="auto" w:fill="4D4D4D"/>
      </w:tcPr>
    </w:tblStylePr>
    <w:tblStylePr w:type="lastRow">
      <w:rPr>
        <w:rFonts w:cs="Times New Roman"/>
        <w:b/>
        <w:bCs/>
      </w:rPr>
      <w:tblPr/>
      <w:tcPr>
        <w:tcBorders>
          <w:top w:val="double" w:sz="4" w:space="0" w:color="9494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ListTable5Dark1">
    <w:name w:val="List Table 5 Dark1"/>
    <w:uiPriority w:val="99"/>
    <w:semiHidden/>
    <w:rsid w:val="00CA10AC"/>
    <w:rPr>
      <w:color w:val="0072BC"/>
      <w:sz w:val="20"/>
      <w:szCs w:val="20"/>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11">
    <w:name w:val="List Table 5 Dark - Accent 11"/>
    <w:uiPriority w:val="99"/>
    <w:semiHidden/>
    <w:rsid w:val="00CA10AC"/>
    <w:rPr>
      <w:color w:val="0072BC"/>
      <w:sz w:val="20"/>
      <w:szCs w:val="20"/>
    </w:rPr>
    <w:tblPr>
      <w:tblStyleRowBandSize w:val="1"/>
      <w:tblStyleColBandSize w:val="1"/>
      <w:tblInd w:w="0" w:type="dxa"/>
      <w:tblBorders>
        <w:top w:val="single" w:sz="24" w:space="0" w:color="0072BC"/>
        <w:left w:val="single" w:sz="24" w:space="0" w:color="0072BC"/>
        <w:bottom w:val="single" w:sz="24" w:space="0" w:color="0072BC"/>
        <w:right w:val="single" w:sz="24" w:space="0" w:color="0072BC"/>
      </w:tblBorders>
      <w:tblCellMar>
        <w:top w:w="0" w:type="dxa"/>
        <w:left w:w="108" w:type="dxa"/>
        <w:bottom w:w="0" w:type="dxa"/>
        <w:right w:w="108" w:type="dxa"/>
      </w:tblCellMar>
    </w:tblPr>
    <w:tcPr>
      <w:shd w:val="clear" w:color="auto" w:fill="0072BC"/>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21">
    <w:name w:val="List Table 5 Dark - Accent 21"/>
    <w:uiPriority w:val="99"/>
    <w:semiHidden/>
    <w:rsid w:val="00CA10AC"/>
    <w:rPr>
      <w:color w:val="0072BC"/>
      <w:sz w:val="20"/>
      <w:szCs w:val="20"/>
    </w:rPr>
    <w:tblPr>
      <w:tblStyleRowBandSize w:val="1"/>
      <w:tblStyleColBandSize w:val="1"/>
      <w:tblInd w:w="0" w:type="dxa"/>
      <w:tblBorders>
        <w:top w:val="single" w:sz="24" w:space="0" w:color="C00000"/>
        <w:left w:val="single" w:sz="24" w:space="0" w:color="C00000"/>
        <w:bottom w:val="single" w:sz="24" w:space="0" w:color="C00000"/>
        <w:right w:val="single" w:sz="24" w:space="0" w:color="C00000"/>
      </w:tblBorders>
      <w:tblCellMar>
        <w:top w:w="0" w:type="dxa"/>
        <w:left w:w="108" w:type="dxa"/>
        <w:bottom w:w="0" w:type="dxa"/>
        <w:right w:w="108" w:type="dxa"/>
      </w:tblCellMar>
    </w:tblPr>
    <w:tcPr>
      <w:shd w:val="clear" w:color="auto" w:fill="C00000"/>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31">
    <w:name w:val="List Table 5 Dark - Accent 31"/>
    <w:uiPriority w:val="99"/>
    <w:semiHidden/>
    <w:rsid w:val="00CA10AC"/>
    <w:rPr>
      <w:color w:val="0072BC"/>
      <w:sz w:val="20"/>
      <w:szCs w:val="20"/>
    </w:rPr>
    <w:tblPr>
      <w:tblStyleRowBandSize w:val="1"/>
      <w:tblStyleColBandSize w:val="1"/>
      <w:tblInd w:w="0" w:type="dxa"/>
      <w:tblBorders>
        <w:top w:val="single" w:sz="24" w:space="0" w:color="5F5F5F"/>
        <w:left w:val="single" w:sz="24" w:space="0" w:color="5F5F5F"/>
        <w:bottom w:val="single" w:sz="24" w:space="0" w:color="5F5F5F"/>
        <w:right w:val="single" w:sz="24" w:space="0" w:color="5F5F5F"/>
      </w:tblBorders>
      <w:tblCellMar>
        <w:top w:w="0" w:type="dxa"/>
        <w:left w:w="108" w:type="dxa"/>
        <w:bottom w:w="0" w:type="dxa"/>
        <w:right w:w="108" w:type="dxa"/>
      </w:tblCellMar>
    </w:tblPr>
    <w:tcPr>
      <w:shd w:val="clear" w:color="auto" w:fill="5F5F5F"/>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41">
    <w:name w:val="List Table 5 Dark - Accent 41"/>
    <w:uiPriority w:val="99"/>
    <w:semiHidden/>
    <w:rsid w:val="00CA10AC"/>
    <w:rPr>
      <w:color w:val="0072BC"/>
      <w:sz w:val="20"/>
      <w:szCs w:val="20"/>
    </w:rPr>
    <w:tblPr>
      <w:tblStyleRowBandSize w:val="1"/>
      <w:tblStyleColBandSize w:val="1"/>
      <w:tblInd w:w="0" w:type="dxa"/>
      <w:tblBorders>
        <w:top w:val="single" w:sz="24" w:space="0" w:color="969696"/>
        <w:left w:val="single" w:sz="24" w:space="0" w:color="969696"/>
        <w:bottom w:val="single" w:sz="24" w:space="0" w:color="969696"/>
        <w:right w:val="single" w:sz="24" w:space="0" w:color="969696"/>
      </w:tblBorders>
      <w:tblCellMar>
        <w:top w:w="0" w:type="dxa"/>
        <w:left w:w="108" w:type="dxa"/>
        <w:bottom w:w="0" w:type="dxa"/>
        <w:right w:w="108" w:type="dxa"/>
      </w:tblCellMar>
    </w:tblPr>
    <w:tcPr>
      <w:shd w:val="clear" w:color="auto" w:fill="969696"/>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51">
    <w:name w:val="List Table 5 Dark - Accent 51"/>
    <w:uiPriority w:val="99"/>
    <w:semiHidden/>
    <w:rsid w:val="00CA10AC"/>
    <w:rPr>
      <w:color w:val="0072BC"/>
      <w:sz w:val="20"/>
      <w:szCs w:val="20"/>
    </w:rPr>
    <w:tblPr>
      <w:tblStyleRowBandSize w:val="1"/>
      <w:tblStyleColBandSize w:val="1"/>
      <w:tblInd w:w="0" w:type="dxa"/>
      <w:tblBorders>
        <w:top w:val="single" w:sz="24" w:space="0" w:color="5F5F5F"/>
        <w:left w:val="single" w:sz="24" w:space="0" w:color="5F5F5F"/>
        <w:bottom w:val="single" w:sz="24" w:space="0" w:color="5F5F5F"/>
        <w:right w:val="single" w:sz="24" w:space="0" w:color="5F5F5F"/>
      </w:tblBorders>
      <w:tblCellMar>
        <w:top w:w="0" w:type="dxa"/>
        <w:left w:w="108" w:type="dxa"/>
        <w:bottom w:w="0" w:type="dxa"/>
        <w:right w:w="108" w:type="dxa"/>
      </w:tblCellMar>
    </w:tblPr>
    <w:tcPr>
      <w:shd w:val="clear" w:color="auto" w:fill="5F5F5F"/>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5Dark-Accent61">
    <w:name w:val="List Table 5 Dark - Accent 61"/>
    <w:uiPriority w:val="99"/>
    <w:semiHidden/>
    <w:rsid w:val="00CA10AC"/>
    <w:rPr>
      <w:color w:val="0072BC"/>
      <w:sz w:val="20"/>
      <w:szCs w:val="20"/>
    </w:rPr>
    <w:tblPr>
      <w:tblStyleRowBandSize w:val="1"/>
      <w:tblStyleColBandSize w:val="1"/>
      <w:tblInd w:w="0" w:type="dxa"/>
      <w:tblBorders>
        <w:top w:val="single" w:sz="24" w:space="0" w:color="4D4D4D"/>
        <w:left w:val="single" w:sz="24" w:space="0" w:color="4D4D4D"/>
        <w:bottom w:val="single" w:sz="24" w:space="0" w:color="4D4D4D"/>
        <w:right w:val="single" w:sz="24" w:space="0" w:color="4D4D4D"/>
      </w:tblBorders>
      <w:tblCellMar>
        <w:top w:w="0" w:type="dxa"/>
        <w:left w:w="108" w:type="dxa"/>
        <w:bottom w:w="0" w:type="dxa"/>
        <w:right w:w="108" w:type="dxa"/>
      </w:tblCellMar>
    </w:tblPr>
    <w:tcPr>
      <w:shd w:val="clear" w:color="auto" w:fill="4D4D4D"/>
    </w:tcPr>
    <w:tblStylePr w:type="firstRow">
      <w:rPr>
        <w:rFonts w:cs="Times New Roman"/>
        <w:b/>
        <w:bCs/>
      </w:rPr>
      <w:tblPr/>
      <w:tcPr>
        <w:tcBorders>
          <w:bottom w:val="single" w:sz="18" w:space="0" w:color="0072BC"/>
        </w:tcBorders>
      </w:tcPr>
    </w:tblStylePr>
    <w:tblStylePr w:type="lastRow">
      <w:rPr>
        <w:rFonts w:cs="Times New Roman"/>
        <w:b/>
        <w:bCs/>
      </w:rPr>
      <w:tblPr/>
      <w:tcPr>
        <w:tcBorders>
          <w:top w:val="single" w:sz="4" w:space="0" w:color="0072BC"/>
        </w:tcBorders>
      </w:tcPr>
    </w:tblStylePr>
    <w:tblStylePr w:type="firstCol">
      <w:rPr>
        <w:rFonts w:cs="Times New Roman"/>
        <w:b/>
        <w:bCs/>
      </w:rPr>
      <w:tblPr/>
      <w:tcPr>
        <w:tcBorders>
          <w:right w:val="single" w:sz="4" w:space="0" w:color="0072BC"/>
        </w:tcBorders>
      </w:tcPr>
    </w:tblStylePr>
    <w:tblStylePr w:type="lastCol">
      <w:rPr>
        <w:rFonts w:cs="Times New Roman"/>
        <w:b/>
        <w:bCs/>
      </w:rPr>
      <w:tblPr/>
      <w:tcPr>
        <w:tcBorders>
          <w:left w:val="single" w:sz="4" w:space="0" w:color="0072BC"/>
        </w:tcBorders>
      </w:tcPr>
    </w:tblStylePr>
    <w:tblStylePr w:type="band1Vert">
      <w:rPr>
        <w:rFonts w:cs="Times New Roman"/>
      </w:rPr>
      <w:tblPr/>
      <w:tcPr>
        <w:tcBorders>
          <w:left w:val="single" w:sz="4" w:space="0" w:color="0072BC"/>
          <w:right w:val="single" w:sz="4" w:space="0" w:color="0072BC"/>
        </w:tcBorders>
      </w:tcPr>
    </w:tblStylePr>
    <w:tblStylePr w:type="band2Vert">
      <w:rPr>
        <w:rFonts w:cs="Times New Roman"/>
      </w:rPr>
      <w:tblPr/>
      <w:tcPr>
        <w:tcBorders>
          <w:left w:val="single" w:sz="4" w:space="0" w:color="0072BC"/>
          <w:right w:val="single" w:sz="4" w:space="0" w:color="0072BC"/>
        </w:tcBorders>
      </w:tcPr>
    </w:tblStylePr>
    <w:tblStylePr w:type="band1Horz">
      <w:rPr>
        <w:rFonts w:cs="Times New Roman"/>
      </w:rPr>
      <w:tblPr/>
      <w:tcPr>
        <w:tcBorders>
          <w:top w:val="single" w:sz="4" w:space="0" w:color="0072BC"/>
          <w:bottom w:val="single" w:sz="4" w:space="0" w:color="0072BC"/>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Table6Colorful1">
    <w:name w:val="List Table 6 Colorful1"/>
    <w:uiPriority w:val="99"/>
    <w:semiHidden/>
    <w:rsid w:val="00CA10AC"/>
    <w:rPr>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Times New Roman"/>
        <w:b/>
        <w:bCs/>
      </w:rPr>
      <w:tblPr/>
      <w:tcPr>
        <w:tcBorders>
          <w:bottom w:val="single" w:sz="4" w:space="0" w:color="000000"/>
        </w:tcBorders>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ListTable6Colorful-Accent11">
    <w:name w:val="List Table 6 Colorful - Accent 11"/>
    <w:uiPriority w:val="99"/>
    <w:semiHidden/>
    <w:rsid w:val="00CA10AC"/>
    <w:rPr>
      <w:color w:val="00548C"/>
      <w:sz w:val="20"/>
      <w:szCs w:val="20"/>
    </w:rPr>
    <w:tblPr>
      <w:tblStyleRowBandSize w:val="1"/>
      <w:tblStyleColBandSize w:val="1"/>
      <w:tblInd w:w="0" w:type="dxa"/>
      <w:tblBorders>
        <w:top w:val="single" w:sz="4" w:space="0" w:color="0072BC"/>
        <w:bottom w:val="single" w:sz="4" w:space="0" w:color="0072BC"/>
      </w:tblBorders>
      <w:tblCellMar>
        <w:top w:w="0" w:type="dxa"/>
        <w:left w:w="108" w:type="dxa"/>
        <w:bottom w:w="0" w:type="dxa"/>
        <w:right w:w="108" w:type="dxa"/>
      </w:tblCellMar>
    </w:tblPr>
    <w:tblStylePr w:type="firstRow">
      <w:rPr>
        <w:rFonts w:cs="Times New Roman"/>
        <w:b/>
        <w:bCs/>
      </w:rPr>
      <w:tblPr/>
      <w:tcPr>
        <w:tcBorders>
          <w:bottom w:val="single" w:sz="4" w:space="0" w:color="0072BC"/>
        </w:tcBorders>
      </w:tcPr>
    </w:tblStylePr>
    <w:tblStylePr w:type="lastRow">
      <w:rPr>
        <w:rFonts w:cs="Times New Roman"/>
        <w:b/>
        <w:bCs/>
      </w:rPr>
      <w:tblPr/>
      <w:tcPr>
        <w:tcBorders>
          <w:top w:val="double" w:sz="4"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style>
  <w:style w:type="table" w:customStyle="1" w:styleId="ListTable6Colorful-Accent21">
    <w:name w:val="List Table 6 Colorful - Accent 21"/>
    <w:uiPriority w:val="99"/>
    <w:semiHidden/>
    <w:rsid w:val="00CA10AC"/>
    <w:rPr>
      <w:color w:val="8F0000"/>
      <w:sz w:val="20"/>
      <w:szCs w:val="20"/>
    </w:rPr>
    <w:tblPr>
      <w:tblStyleRowBandSize w:val="1"/>
      <w:tblStyleColBandSize w:val="1"/>
      <w:tblInd w:w="0" w:type="dxa"/>
      <w:tblBorders>
        <w:top w:val="single" w:sz="4" w:space="0" w:color="C00000"/>
        <w:bottom w:val="single" w:sz="4" w:space="0" w:color="C00000"/>
      </w:tblBorders>
      <w:tblCellMar>
        <w:top w:w="0" w:type="dxa"/>
        <w:left w:w="108" w:type="dxa"/>
        <w:bottom w:w="0" w:type="dxa"/>
        <w:right w:w="108" w:type="dxa"/>
      </w:tblCellMar>
    </w:tblPr>
    <w:tblStylePr w:type="firstRow">
      <w:rPr>
        <w:rFonts w:cs="Times New Roman"/>
        <w:b/>
        <w:bCs/>
      </w:rPr>
      <w:tblPr/>
      <w:tcPr>
        <w:tcBorders>
          <w:bottom w:val="single" w:sz="4" w:space="0" w:color="C00000"/>
        </w:tcBorders>
      </w:tcPr>
    </w:tblStylePr>
    <w:tblStylePr w:type="lastRow">
      <w:rPr>
        <w:rFonts w:cs="Times New Roman"/>
        <w:b/>
        <w:bCs/>
      </w:rPr>
      <w:tblPr/>
      <w:tcPr>
        <w:tcBorders>
          <w:top w:val="double" w:sz="4"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style>
  <w:style w:type="table" w:customStyle="1" w:styleId="ListTable6Colorful-Accent31">
    <w:name w:val="List Table 6 Colorful - Accent 31"/>
    <w:uiPriority w:val="99"/>
    <w:semiHidden/>
    <w:rsid w:val="00CA10AC"/>
    <w:rPr>
      <w:color w:val="474747"/>
      <w:sz w:val="20"/>
      <w:szCs w:val="20"/>
    </w:rPr>
    <w:tblPr>
      <w:tblStyleRowBandSize w:val="1"/>
      <w:tblStyleColBandSize w:val="1"/>
      <w:tblInd w:w="0" w:type="dxa"/>
      <w:tblBorders>
        <w:top w:val="single" w:sz="4" w:space="0" w:color="5F5F5F"/>
        <w:bottom w:val="single" w:sz="4" w:space="0" w:color="5F5F5F"/>
      </w:tblBorders>
      <w:tblCellMar>
        <w:top w:w="0" w:type="dxa"/>
        <w:left w:w="108" w:type="dxa"/>
        <w:bottom w:w="0" w:type="dxa"/>
        <w:right w:w="108" w:type="dxa"/>
      </w:tblCellMar>
    </w:tblPr>
    <w:tblStylePr w:type="firstRow">
      <w:rPr>
        <w:rFonts w:cs="Times New Roman"/>
        <w:b/>
        <w:bCs/>
      </w:rPr>
      <w:tblPr/>
      <w:tcPr>
        <w:tcBorders>
          <w:bottom w:val="single" w:sz="4" w:space="0" w:color="5F5F5F"/>
        </w:tcBorders>
      </w:tcPr>
    </w:tblStylePr>
    <w:tblStylePr w:type="lastRow">
      <w:rPr>
        <w:rFonts w:cs="Times New Roman"/>
        <w:b/>
        <w:bCs/>
      </w:rPr>
      <w:tblPr/>
      <w:tcPr>
        <w:tcBorders>
          <w:top w:val="double" w:sz="4"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6Colorful-Accent41">
    <w:name w:val="List Table 6 Colorful - Accent 41"/>
    <w:uiPriority w:val="99"/>
    <w:semiHidden/>
    <w:rsid w:val="00CA10AC"/>
    <w:rPr>
      <w:color w:val="707070"/>
      <w:sz w:val="20"/>
      <w:szCs w:val="20"/>
    </w:rPr>
    <w:tblPr>
      <w:tblStyleRowBandSize w:val="1"/>
      <w:tblStyleColBandSize w:val="1"/>
      <w:tblInd w:w="0" w:type="dxa"/>
      <w:tblBorders>
        <w:top w:val="single" w:sz="4" w:space="0" w:color="969696"/>
        <w:bottom w:val="single" w:sz="4" w:space="0" w:color="969696"/>
      </w:tblBorders>
      <w:tblCellMar>
        <w:top w:w="0" w:type="dxa"/>
        <w:left w:w="108" w:type="dxa"/>
        <w:bottom w:w="0" w:type="dxa"/>
        <w:right w:w="108" w:type="dxa"/>
      </w:tblCellMar>
    </w:tblPr>
    <w:tblStylePr w:type="firstRow">
      <w:rPr>
        <w:rFonts w:cs="Times New Roman"/>
        <w:b/>
        <w:bCs/>
      </w:rPr>
      <w:tblPr/>
      <w:tcPr>
        <w:tcBorders>
          <w:bottom w:val="single" w:sz="4" w:space="0" w:color="969696"/>
        </w:tcBorders>
      </w:tcPr>
    </w:tblStylePr>
    <w:tblStylePr w:type="lastRow">
      <w:rPr>
        <w:rFonts w:cs="Times New Roman"/>
        <w:b/>
        <w:bCs/>
      </w:rPr>
      <w:tblPr/>
      <w:tcPr>
        <w:tcBorders>
          <w:top w:val="double" w:sz="4"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style>
  <w:style w:type="table" w:customStyle="1" w:styleId="ListTable6Colorful-Accent51">
    <w:name w:val="List Table 6 Colorful - Accent 51"/>
    <w:uiPriority w:val="99"/>
    <w:semiHidden/>
    <w:rsid w:val="00CA10AC"/>
    <w:rPr>
      <w:color w:val="474747"/>
      <w:sz w:val="20"/>
      <w:szCs w:val="20"/>
    </w:rPr>
    <w:tblPr>
      <w:tblStyleRowBandSize w:val="1"/>
      <w:tblStyleColBandSize w:val="1"/>
      <w:tblInd w:w="0" w:type="dxa"/>
      <w:tblBorders>
        <w:top w:val="single" w:sz="4" w:space="0" w:color="5F5F5F"/>
        <w:bottom w:val="single" w:sz="4" w:space="0" w:color="5F5F5F"/>
      </w:tblBorders>
      <w:tblCellMar>
        <w:top w:w="0" w:type="dxa"/>
        <w:left w:w="108" w:type="dxa"/>
        <w:bottom w:w="0" w:type="dxa"/>
        <w:right w:w="108" w:type="dxa"/>
      </w:tblCellMar>
    </w:tblPr>
    <w:tblStylePr w:type="firstRow">
      <w:rPr>
        <w:rFonts w:cs="Times New Roman"/>
        <w:b/>
        <w:bCs/>
      </w:rPr>
      <w:tblPr/>
      <w:tcPr>
        <w:tcBorders>
          <w:bottom w:val="single" w:sz="4" w:space="0" w:color="5F5F5F"/>
        </w:tcBorders>
      </w:tcPr>
    </w:tblStylePr>
    <w:tblStylePr w:type="lastRow">
      <w:rPr>
        <w:rFonts w:cs="Times New Roman"/>
        <w:b/>
        <w:bCs/>
      </w:rPr>
      <w:tblPr/>
      <w:tcPr>
        <w:tcBorders>
          <w:top w:val="double" w:sz="4"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style>
  <w:style w:type="table" w:customStyle="1" w:styleId="ListTable6Colorful-Accent61">
    <w:name w:val="List Table 6 Colorful - Accent 61"/>
    <w:uiPriority w:val="99"/>
    <w:semiHidden/>
    <w:rsid w:val="00CA10AC"/>
    <w:rPr>
      <w:color w:val="393939"/>
      <w:sz w:val="20"/>
      <w:szCs w:val="20"/>
    </w:rPr>
    <w:tblPr>
      <w:tblStyleRowBandSize w:val="1"/>
      <w:tblStyleColBandSize w:val="1"/>
      <w:tblInd w:w="0" w:type="dxa"/>
      <w:tblBorders>
        <w:top w:val="single" w:sz="4" w:space="0" w:color="4D4D4D"/>
        <w:bottom w:val="single" w:sz="4" w:space="0" w:color="4D4D4D"/>
      </w:tblBorders>
      <w:tblCellMar>
        <w:top w:w="0" w:type="dxa"/>
        <w:left w:w="108" w:type="dxa"/>
        <w:bottom w:w="0" w:type="dxa"/>
        <w:right w:w="108" w:type="dxa"/>
      </w:tblCellMar>
    </w:tblPr>
    <w:tblStylePr w:type="firstRow">
      <w:rPr>
        <w:rFonts w:cs="Times New Roman"/>
        <w:b/>
        <w:bCs/>
      </w:rPr>
      <w:tblPr/>
      <w:tcPr>
        <w:tcBorders>
          <w:bottom w:val="single" w:sz="4" w:space="0" w:color="4D4D4D"/>
        </w:tcBorders>
      </w:tcPr>
    </w:tblStylePr>
    <w:tblStylePr w:type="lastRow">
      <w:rPr>
        <w:rFonts w:cs="Times New Roman"/>
        <w:b/>
        <w:bCs/>
      </w:rPr>
      <w:tblPr/>
      <w:tcPr>
        <w:tcBorders>
          <w:top w:val="double" w:sz="4"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table" w:customStyle="1" w:styleId="ListTable7Colorful1">
    <w:name w:val="List Table 7 Colorful1"/>
    <w:uiPriority w:val="99"/>
    <w:semiHidden/>
    <w:rsid w:val="00CA10AC"/>
    <w:rPr>
      <w:color w:val="000000"/>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000000"/>
        </w:tcBorders>
        <w:shd w:val="clear" w:color="auto" w:fill="0072BC"/>
      </w:tcPr>
    </w:tblStylePr>
    <w:tblStylePr w:type="lastRow">
      <w:rPr>
        <w:rFonts w:ascii="Times New Roman" w:eastAsia="MS Gothic" w:hAnsi="Times New Roman" w:cs="Times New Roman"/>
        <w:i/>
        <w:iCs/>
        <w:sz w:val="26"/>
      </w:rPr>
      <w:tblPr/>
      <w:tcPr>
        <w:tcBorders>
          <w:top w:val="single" w:sz="4" w:space="0" w:color="0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0000"/>
        </w:tcBorders>
        <w:shd w:val="clear" w:color="auto" w:fill="0072BC"/>
      </w:tcPr>
    </w:tblStylePr>
    <w:tblStylePr w:type="lastCol">
      <w:rPr>
        <w:rFonts w:ascii="Times New Roman" w:eastAsia="MS Gothic" w:hAnsi="Times New Roman" w:cs="Times New Roman"/>
        <w:i/>
        <w:iCs/>
        <w:sz w:val="26"/>
      </w:rPr>
      <w:tblPr/>
      <w:tcPr>
        <w:tcBorders>
          <w:left w:val="single" w:sz="4" w:space="0" w:color="000000"/>
        </w:tcBorders>
        <w:shd w:val="clear" w:color="auto" w:fill="0072BC"/>
      </w:tc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11">
    <w:name w:val="List Table 7 Colorful - Accent 11"/>
    <w:uiPriority w:val="99"/>
    <w:semiHidden/>
    <w:rsid w:val="00CA10AC"/>
    <w:rPr>
      <w:color w:val="00548C"/>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0072BC"/>
        </w:tcBorders>
        <w:shd w:val="clear" w:color="auto" w:fill="0072BC"/>
      </w:tcPr>
    </w:tblStylePr>
    <w:tblStylePr w:type="lastRow">
      <w:rPr>
        <w:rFonts w:ascii="Times New Roman" w:eastAsia="MS Gothic" w:hAnsi="Times New Roman" w:cs="Times New Roman"/>
        <w:i/>
        <w:iCs/>
        <w:sz w:val="26"/>
      </w:rPr>
      <w:tblPr/>
      <w:tcPr>
        <w:tcBorders>
          <w:top w:val="single" w:sz="4" w:space="0" w:color="0072BC"/>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0072BC"/>
        </w:tcBorders>
        <w:shd w:val="clear" w:color="auto" w:fill="0072BC"/>
      </w:tcPr>
    </w:tblStylePr>
    <w:tblStylePr w:type="lastCol">
      <w:rPr>
        <w:rFonts w:ascii="Times New Roman" w:eastAsia="MS Gothic" w:hAnsi="Times New Roman" w:cs="Times New Roman"/>
        <w:i/>
        <w:iCs/>
        <w:sz w:val="26"/>
      </w:rPr>
      <w:tblPr/>
      <w:tcPr>
        <w:tcBorders>
          <w:left w:val="single" w:sz="4" w:space="0" w:color="0072BC"/>
        </w:tcBorders>
        <w:shd w:val="clear" w:color="auto" w:fill="0072BC"/>
      </w:tcPr>
    </w:tblStylePr>
    <w:tblStylePr w:type="band1Vert">
      <w:rPr>
        <w:rFonts w:cs="Times New Roman"/>
      </w:rPr>
      <w:tblPr/>
      <w:tcPr>
        <w:shd w:val="clear" w:color="auto" w:fill="BEE5FF"/>
      </w:tcPr>
    </w:tblStylePr>
    <w:tblStylePr w:type="band1Horz">
      <w:rPr>
        <w:rFonts w:cs="Times New Roman"/>
      </w:rPr>
      <w:tblPr/>
      <w:tcPr>
        <w:shd w:val="clear" w:color="auto" w:fill="BEE5FF"/>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21">
    <w:name w:val="List Table 7 Colorful - Accent 21"/>
    <w:uiPriority w:val="99"/>
    <w:semiHidden/>
    <w:rsid w:val="00CA10AC"/>
    <w:rPr>
      <w:color w:val="8F0000"/>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C00000"/>
        </w:tcBorders>
        <w:shd w:val="clear" w:color="auto" w:fill="0072BC"/>
      </w:tcPr>
    </w:tblStylePr>
    <w:tblStylePr w:type="lastRow">
      <w:rPr>
        <w:rFonts w:ascii="Times New Roman" w:eastAsia="MS Gothic" w:hAnsi="Times New Roman" w:cs="Times New Roman"/>
        <w:i/>
        <w:iCs/>
        <w:sz w:val="26"/>
      </w:rPr>
      <w:tblPr/>
      <w:tcPr>
        <w:tcBorders>
          <w:top w:val="single" w:sz="4" w:space="0" w:color="C00000"/>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C00000"/>
        </w:tcBorders>
        <w:shd w:val="clear" w:color="auto" w:fill="0072BC"/>
      </w:tcPr>
    </w:tblStylePr>
    <w:tblStylePr w:type="lastCol">
      <w:rPr>
        <w:rFonts w:ascii="Times New Roman" w:eastAsia="MS Gothic" w:hAnsi="Times New Roman" w:cs="Times New Roman"/>
        <w:i/>
        <w:iCs/>
        <w:sz w:val="26"/>
      </w:rPr>
      <w:tblPr/>
      <w:tcPr>
        <w:tcBorders>
          <w:left w:val="single" w:sz="4" w:space="0" w:color="C00000"/>
        </w:tcBorders>
        <w:shd w:val="clear" w:color="auto" w:fill="0072BC"/>
      </w:tcPr>
    </w:tblStylePr>
    <w:tblStylePr w:type="band1Vert">
      <w:rPr>
        <w:rFonts w:cs="Times New Roman"/>
      </w:rPr>
      <w:tblPr/>
      <w:tcPr>
        <w:shd w:val="clear" w:color="auto" w:fill="FFBFBF"/>
      </w:tcPr>
    </w:tblStylePr>
    <w:tblStylePr w:type="band1Horz">
      <w:rPr>
        <w:rFonts w:cs="Times New Roman"/>
      </w:rPr>
      <w:tblPr/>
      <w:tcPr>
        <w:shd w:val="clear" w:color="auto" w:fill="FFBFBF"/>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31">
    <w:name w:val="List Table 7 Colorful - Accent 31"/>
    <w:uiPriority w:val="99"/>
    <w:semiHidden/>
    <w:rsid w:val="00CA10AC"/>
    <w:rPr>
      <w:color w:val="474747"/>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41">
    <w:name w:val="List Table 7 Colorful - Accent 41"/>
    <w:uiPriority w:val="99"/>
    <w:semiHidden/>
    <w:rsid w:val="00CA10AC"/>
    <w:rPr>
      <w:color w:val="707070"/>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969696"/>
        </w:tcBorders>
        <w:shd w:val="clear" w:color="auto" w:fill="0072BC"/>
      </w:tcPr>
    </w:tblStylePr>
    <w:tblStylePr w:type="lastRow">
      <w:rPr>
        <w:rFonts w:ascii="Times New Roman" w:eastAsia="MS Gothic" w:hAnsi="Times New Roman" w:cs="Times New Roman"/>
        <w:i/>
        <w:iCs/>
        <w:sz w:val="26"/>
      </w:rPr>
      <w:tblPr/>
      <w:tcPr>
        <w:tcBorders>
          <w:top w:val="single" w:sz="4" w:space="0" w:color="969696"/>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969696"/>
        </w:tcBorders>
        <w:shd w:val="clear" w:color="auto" w:fill="0072BC"/>
      </w:tcPr>
    </w:tblStylePr>
    <w:tblStylePr w:type="lastCol">
      <w:rPr>
        <w:rFonts w:ascii="Times New Roman" w:eastAsia="MS Gothic" w:hAnsi="Times New Roman" w:cs="Times New Roman"/>
        <w:i/>
        <w:iCs/>
        <w:sz w:val="26"/>
      </w:rPr>
      <w:tblPr/>
      <w:tcPr>
        <w:tcBorders>
          <w:left w:val="single" w:sz="4" w:space="0" w:color="969696"/>
        </w:tcBorders>
        <w:shd w:val="clear" w:color="auto" w:fill="0072BC"/>
      </w:tcPr>
    </w:tblStylePr>
    <w:tblStylePr w:type="band1Vert">
      <w:rPr>
        <w:rFonts w:cs="Times New Roman"/>
      </w:rPr>
      <w:tblPr/>
      <w:tcPr>
        <w:shd w:val="clear" w:color="auto" w:fill="EAEAEA"/>
      </w:tcPr>
    </w:tblStylePr>
    <w:tblStylePr w:type="band1Horz">
      <w:rPr>
        <w:rFonts w:cs="Times New Roman"/>
      </w:rPr>
      <w:tblPr/>
      <w:tcPr>
        <w:shd w:val="clear" w:color="auto" w:fill="EAEAEA"/>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51">
    <w:name w:val="List Table 7 Colorful - Accent 51"/>
    <w:uiPriority w:val="99"/>
    <w:semiHidden/>
    <w:rsid w:val="00CA10AC"/>
    <w:rPr>
      <w:color w:val="474747"/>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5F5F5F"/>
        </w:tcBorders>
        <w:shd w:val="clear" w:color="auto" w:fill="0072BC"/>
      </w:tcPr>
    </w:tblStylePr>
    <w:tblStylePr w:type="lastRow">
      <w:rPr>
        <w:rFonts w:ascii="Times New Roman" w:eastAsia="MS Gothic" w:hAnsi="Times New Roman" w:cs="Times New Roman"/>
        <w:i/>
        <w:iCs/>
        <w:sz w:val="26"/>
      </w:rPr>
      <w:tblPr/>
      <w:tcPr>
        <w:tcBorders>
          <w:top w:val="single" w:sz="4" w:space="0" w:color="5F5F5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5F5F5F"/>
        </w:tcBorders>
        <w:shd w:val="clear" w:color="auto" w:fill="0072BC"/>
      </w:tcPr>
    </w:tblStylePr>
    <w:tblStylePr w:type="lastCol">
      <w:rPr>
        <w:rFonts w:ascii="Times New Roman" w:eastAsia="MS Gothic" w:hAnsi="Times New Roman" w:cs="Times New Roman"/>
        <w:i/>
        <w:iCs/>
        <w:sz w:val="26"/>
      </w:rPr>
      <w:tblPr/>
      <w:tcPr>
        <w:tcBorders>
          <w:left w:val="single" w:sz="4" w:space="0" w:color="5F5F5F"/>
        </w:tcBorders>
        <w:shd w:val="clear" w:color="auto" w:fill="0072BC"/>
      </w:tcPr>
    </w:tblStylePr>
    <w:tblStylePr w:type="band1Vert">
      <w:rPr>
        <w:rFonts w:cs="Times New Roman"/>
      </w:rPr>
      <w:tblPr/>
      <w:tcPr>
        <w:shd w:val="clear" w:color="auto" w:fill="DFDFDF"/>
      </w:tcPr>
    </w:tblStylePr>
    <w:tblStylePr w:type="band1Horz">
      <w:rPr>
        <w:rFonts w:cs="Times New Roman"/>
      </w:rPr>
      <w:tblPr/>
      <w:tcPr>
        <w:shd w:val="clear" w:color="auto" w:fill="DFDFDF"/>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Table7Colorful-Accent61">
    <w:name w:val="List Table 7 Colorful - Accent 61"/>
    <w:uiPriority w:val="99"/>
    <w:semiHidden/>
    <w:rsid w:val="00CA10AC"/>
    <w:rPr>
      <w:color w:val="393939"/>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4D4D4D"/>
        </w:tcBorders>
        <w:shd w:val="clear" w:color="auto" w:fill="0072BC"/>
      </w:tcPr>
    </w:tblStylePr>
    <w:tblStylePr w:type="lastRow">
      <w:rPr>
        <w:rFonts w:ascii="Times New Roman" w:eastAsia="MS Gothic" w:hAnsi="Times New Roman" w:cs="Times New Roman"/>
        <w:i/>
        <w:iCs/>
        <w:sz w:val="26"/>
      </w:rPr>
      <w:tblPr/>
      <w:tcPr>
        <w:tcBorders>
          <w:top w:val="single" w:sz="4" w:space="0" w:color="4D4D4D"/>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4D4D4D"/>
        </w:tcBorders>
        <w:shd w:val="clear" w:color="auto" w:fill="0072BC"/>
      </w:tcPr>
    </w:tblStylePr>
    <w:tblStylePr w:type="lastCol">
      <w:rPr>
        <w:rFonts w:ascii="Times New Roman" w:eastAsia="MS Gothic" w:hAnsi="Times New Roman" w:cs="Times New Roman"/>
        <w:i/>
        <w:iCs/>
        <w:sz w:val="26"/>
      </w:rPr>
      <w:tblPr/>
      <w:tcPr>
        <w:tcBorders>
          <w:left w:val="single" w:sz="4" w:space="0" w:color="4D4D4D"/>
        </w:tcBorders>
        <w:shd w:val="clear" w:color="auto" w:fill="0072BC"/>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PlainTable11">
    <w:name w:val="Plain Table 11"/>
    <w:uiPriority w:val="99"/>
    <w:semiHidden/>
    <w:rsid w:val="00CA10AC"/>
    <w:rPr>
      <w:sz w:val="20"/>
      <w:szCs w:val="20"/>
    </w:rPr>
    <w:tblPr>
      <w:tblStyleRowBandSize w:val="1"/>
      <w:tblStyleColBandSize w:val="1"/>
      <w:tblInd w:w="0" w:type="dxa"/>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00548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006BB2"/>
      </w:tcPr>
    </w:tblStylePr>
    <w:tblStylePr w:type="band1Horz">
      <w:rPr>
        <w:rFonts w:cs="Times New Roman"/>
      </w:rPr>
      <w:tblPr/>
      <w:tcPr>
        <w:shd w:val="clear" w:color="auto" w:fill="006BB2"/>
      </w:tcPr>
    </w:tblStylePr>
  </w:style>
  <w:style w:type="table" w:customStyle="1" w:styleId="PlainTable21">
    <w:name w:val="Plain Table 21"/>
    <w:uiPriority w:val="99"/>
    <w:semiHidden/>
    <w:rsid w:val="00CA10AC"/>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PlainTable31">
    <w:name w:val="Plain Table 3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006BB2"/>
      </w:tcPr>
    </w:tblStylePr>
    <w:tblStylePr w:type="band1Horz">
      <w:rPr>
        <w:rFonts w:cs="Times New Roman"/>
      </w:rPr>
      <w:tblPr/>
      <w:tcPr>
        <w:shd w:val="clear" w:color="auto" w:fill="006BB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PlainTable41">
    <w:name w:val="Plain Table 4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006BB2"/>
      </w:tcPr>
    </w:tblStylePr>
    <w:tblStylePr w:type="band1Horz">
      <w:rPr>
        <w:rFonts w:cs="Times New Roman"/>
      </w:rPr>
      <w:tblPr/>
      <w:tcPr>
        <w:shd w:val="clear" w:color="auto" w:fill="006BB2"/>
      </w:tcPr>
    </w:tblStylePr>
  </w:style>
  <w:style w:type="table" w:customStyle="1" w:styleId="PlainTable51">
    <w:name w:val="Plain Table 51"/>
    <w:uiPriority w:val="99"/>
    <w:semiHidden/>
    <w:rsid w:val="00CA10AC"/>
    <w:rPr>
      <w:sz w:val="20"/>
      <w:szCs w:val="20"/>
    </w:rPr>
    <w:tblPr>
      <w:tblStyleRowBandSize w:val="1"/>
      <w:tblStyleColBandSize w:val="1"/>
      <w:tblInd w:w="0" w:type="dxa"/>
      <w:tblCellMar>
        <w:top w:w="0" w:type="dxa"/>
        <w:left w:w="108" w:type="dxa"/>
        <w:bottom w:w="0" w:type="dxa"/>
        <w:right w:w="108" w:type="dxa"/>
      </w:tblCellMar>
    </w:tblPr>
    <w:tblStylePr w:type="firstRow">
      <w:rPr>
        <w:rFonts w:ascii="Times New Roman" w:eastAsia="MS Gothic" w:hAnsi="Times New Roman" w:cs="Times New Roman"/>
        <w:i/>
        <w:iCs/>
        <w:sz w:val="26"/>
      </w:rPr>
      <w:tblPr/>
      <w:tcPr>
        <w:tcBorders>
          <w:bottom w:val="single" w:sz="4" w:space="0" w:color="7F7F7F"/>
        </w:tcBorders>
        <w:shd w:val="clear" w:color="auto" w:fill="0072BC"/>
      </w:tcPr>
    </w:tblStylePr>
    <w:tblStylePr w:type="lastRow">
      <w:rPr>
        <w:rFonts w:ascii="Times New Roman" w:eastAsia="MS Gothic" w:hAnsi="Times New Roman" w:cs="Times New Roman"/>
        <w:i/>
        <w:iCs/>
        <w:sz w:val="26"/>
      </w:rPr>
      <w:tblPr/>
      <w:tcPr>
        <w:tcBorders>
          <w:top w:val="single" w:sz="4" w:space="0" w:color="7F7F7F"/>
        </w:tcBorders>
        <w:shd w:val="clear" w:color="auto" w:fill="0072BC"/>
      </w:tcPr>
    </w:tblStylePr>
    <w:tblStylePr w:type="firstCol">
      <w:pPr>
        <w:jc w:val="right"/>
      </w:pPr>
      <w:rPr>
        <w:rFonts w:ascii="Times New Roman" w:eastAsia="MS Gothic" w:hAnsi="Times New Roman" w:cs="Times New Roman"/>
        <w:i/>
        <w:iCs/>
        <w:sz w:val="26"/>
      </w:rPr>
      <w:tblPr/>
      <w:tcPr>
        <w:tcBorders>
          <w:right w:val="single" w:sz="4" w:space="0" w:color="7F7F7F"/>
        </w:tcBorders>
        <w:shd w:val="clear" w:color="auto" w:fill="0072BC"/>
      </w:tcPr>
    </w:tblStylePr>
    <w:tblStylePr w:type="lastCol">
      <w:rPr>
        <w:rFonts w:ascii="Times New Roman" w:eastAsia="MS Gothic" w:hAnsi="Times New Roman" w:cs="Times New Roman"/>
        <w:i/>
        <w:iCs/>
        <w:sz w:val="26"/>
      </w:rPr>
      <w:tblPr/>
      <w:tcPr>
        <w:tcBorders>
          <w:left w:val="single" w:sz="4" w:space="0" w:color="7F7F7F"/>
        </w:tcBorders>
        <w:shd w:val="clear" w:color="auto" w:fill="0072BC"/>
      </w:tcPr>
    </w:tblStylePr>
    <w:tblStylePr w:type="band1Vert">
      <w:rPr>
        <w:rFonts w:cs="Times New Roman"/>
      </w:rPr>
      <w:tblPr/>
      <w:tcPr>
        <w:shd w:val="clear" w:color="auto" w:fill="006BB2"/>
      </w:tcPr>
    </w:tblStylePr>
    <w:tblStylePr w:type="band1Horz">
      <w:rPr>
        <w:rFonts w:cs="Times New Roman"/>
      </w:rPr>
      <w:tblPr/>
      <w:tcPr>
        <w:shd w:val="clear" w:color="auto" w:fill="006BB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TableGridLight1">
    <w:name w:val="Table Grid Light1"/>
    <w:uiPriority w:val="99"/>
    <w:semiHidden/>
    <w:rsid w:val="00CA10AC"/>
    <w:rPr>
      <w:sz w:val="20"/>
      <w:szCs w:val="20"/>
    </w:rPr>
    <w:tblPr>
      <w:tblInd w:w="0" w:type="dxa"/>
      <w:tblBorders>
        <w:top w:val="single" w:sz="4" w:space="0" w:color="00548C"/>
        <w:left w:val="single" w:sz="4" w:space="0" w:color="00548C"/>
        <w:bottom w:val="single" w:sz="4" w:space="0" w:color="00548C"/>
        <w:right w:val="single" w:sz="4" w:space="0" w:color="00548C"/>
        <w:insideH w:val="single" w:sz="4" w:space="0" w:color="00548C"/>
        <w:insideV w:val="single" w:sz="4" w:space="0" w:color="00548C"/>
      </w:tblBorders>
      <w:tblCellMar>
        <w:top w:w="0" w:type="dxa"/>
        <w:left w:w="108" w:type="dxa"/>
        <w:bottom w:w="0" w:type="dxa"/>
        <w:right w:w="108" w:type="dxa"/>
      </w:tblCellMar>
    </w:tblPr>
  </w:style>
  <w:style w:type="numbering" w:styleId="ArticleSection">
    <w:name w:val="Outline List 3"/>
    <w:basedOn w:val="NoList"/>
    <w:locked/>
    <w:rsid w:val="00497998"/>
    <w:pPr>
      <w:numPr>
        <w:numId w:val="27"/>
      </w:numPr>
    </w:pPr>
  </w:style>
  <w:style w:type="numbering" w:styleId="1ai">
    <w:name w:val="Outline List 1"/>
    <w:basedOn w:val="NoList"/>
    <w:locked/>
    <w:rsid w:val="00497998"/>
    <w:pPr>
      <w:numPr>
        <w:numId w:val="26"/>
      </w:numPr>
    </w:pPr>
  </w:style>
  <w:style w:type="numbering" w:customStyle="1" w:styleId="ECHRA1StyleList">
    <w:name w:val="ECHR_A1_Style_List"/>
    <w:rsid w:val="00497998"/>
    <w:pPr>
      <w:numPr>
        <w:numId w:val="41"/>
      </w:numPr>
    </w:pPr>
  </w:style>
  <w:style w:type="numbering" w:styleId="111111">
    <w:name w:val="Outline List 2"/>
    <w:basedOn w:val="NoList"/>
    <w:locked/>
    <w:rsid w:val="00497998"/>
    <w:pPr>
      <w:numPr>
        <w:numId w:val="25"/>
      </w:numPr>
    </w:pPr>
  </w:style>
  <w:style w:type="numbering" w:customStyle="1" w:styleId="ECHRA1StyleBulletedSquare">
    <w:name w:val="ECHR_A1_Style_Bulleted_Square"/>
    <w:rsid w:val="00497998"/>
    <w:pPr>
      <w:numPr>
        <w:numId w:val="28"/>
      </w:numPr>
    </w:pPr>
  </w:style>
  <w:style w:type="numbering" w:customStyle="1" w:styleId="ECHRA1StyleNumberedList">
    <w:name w:val="ECHR_A1_Style_Numbered_List"/>
    <w:rsid w:val="0049799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788817">
      <w:marLeft w:val="0"/>
      <w:marRight w:val="0"/>
      <w:marTop w:val="0"/>
      <w:marBottom w:val="0"/>
      <w:divBdr>
        <w:top w:val="none" w:sz="0" w:space="0" w:color="auto"/>
        <w:left w:val="none" w:sz="0" w:space="0" w:color="auto"/>
        <w:bottom w:val="none" w:sz="0" w:space="0" w:color="auto"/>
        <w:right w:val="none" w:sz="0" w:space="0" w:color="auto"/>
      </w:divBdr>
    </w:div>
    <w:div w:id="1473788821">
      <w:marLeft w:val="0"/>
      <w:marRight w:val="0"/>
      <w:marTop w:val="0"/>
      <w:marBottom w:val="0"/>
      <w:divBdr>
        <w:top w:val="none" w:sz="0" w:space="0" w:color="auto"/>
        <w:left w:val="none" w:sz="0" w:space="0" w:color="auto"/>
        <w:bottom w:val="none" w:sz="0" w:space="0" w:color="auto"/>
        <w:right w:val="none" w:sz="0" w:space="0" w:color="auto"/>
      </w:divBdr>
    </w:div>
    <w:div w:id="1473788822">
      <w:marLeft w:val="0"/>
      <w:marRight w:val="0"/>
      <w:marTop w:val="0"/>
      <w:marBottom w:val="0"/>
      <w:divBdr>
        <w:top w:val="none" w:sz="0" w:space="0" w:color="auto"/>
        <w:left w:val="none" w:sz="0" w:space="0" w:color="auto"/>
        <w:bottom w:val="none" w:sz="0" w:space="0" w:color="auto"/>
        <w:right w:val="none" w:sz="0" w:space="0" w:color="auto"/>
      </w:divBdr>
      <w:divsChild>
        <w:div w:id="1473788815">
          <w:marLeft w:val="0"/>
          <w:marRight w:val="0"/>
          <w:marTop w:val="0"/>
          <w:marBottom w:val="0"/>
          <w:divBdr>
            <w:top w:val="none" w:sz="0" w:space="0" w:color="auto"/>
            <w:left w:val="none" w:sz="0" w:space="0" w:color="auto"/>
            <w:bottom w:val="none" w:sz="0" w:space="0" w:color="auto"/>
            <w:right w:val="none" w:sz="0" w:space="0" w:color="auto"/>
          </w:divBdr>
          <w:divsChild>
            <w:div w:id="1473788820">
              <w:marLeft w:val="0"/>
              <w:marRight w:val="0"/>
              <w:marTop w:val="0"/>
              <w:marBottom w:val="0"/>
              <w:divBdr>
                <w:top w:val="none" w:sz="0" w:space="0" w:color="auto"/>
                <w:left w:val="none" w:sz="0" w:space="0" w:color="auto"/>
                <w:bottom w:val="none" w:sz="0" w:space="0" w:color="auto"/>
                <w:right w:val="none" w:sz="0" w:space="0" w:color="auto"/>
              </w:divBdr>
              <w:divsChild>
                <w:div w:id="14737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8819">
          <w:marLeft w:val="0"/>
          <w:marRight w:val="0"/>
          <w:marTop w:val="100"/>
          <w:marBottom w:val="0"/>
          <w:divBdr>
            <w:top w:val="none" w:sz="0" w:space="0" w:color="auto"/>
            <w:left w:val="none" w:sz="0" w:space="0" w:color="auto"/>
            <w:bottom w:val="none" w:sz="0" w:space="0" w:color="auto"/>
            <w:right w:val="none" w:sz="0" w:space="0" w:color="auto"/>
          </w:divBdr>
          <w:divsChild>
            <w:div w:id="14737888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9F77F-F70D-427E-87AC-A6CA398C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2021-03-04T07:45:00Z</dcterms:created>
  <dcterms:modified xsi:type="dcterms:W3CDTF">2021-03-04T07:45:00Z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