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4E5" w:rsidRPr="009D4078" w:rsidRDefault="009B24E5" w:rsidP="00976BA5">
      <w:pPr>
        <w:jc w:val="center"/>
        <w:rPr>
          <w:szCs w:val="24"/>
          <w:lang w:val="bg-BG"/>
        </w:rPr>
      </w:pPr>
      <w:bookmarkStart w:id="0" w:name="_GoBack"/>
      <w:bookmarkEnd w:id="0"/>
    </w:p>
    <w:p w:rsidR="009B24E5" w:rsidRPr="009D4078" w:rsidRDefault="009B24E5" w:rsidP="00976BA5">
      <w:pPr>
        <w:jc w:val="center"/>
        <w:rPr>
          <w:lang w:val="bg-BG"/>
        </w:rPr>
      </w:pP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 xml:space="preserve">ЧЕТВЪРТО ОТДЕЛЕНИЕ 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C30A71">
        <w:rPr>
          <w:b/>
          <w:bCs/>
          <w:caps/>
          <w:lang w:val="bg-BG"/>
        </w:rPr>
        <w:t>Хаджигеоргиеви</w:t>
      </w:r>
      <w:r w:rsidRPr="009D4078">
        <w:rPr>
          <w:b/>
          <w:bCs/>
          <w:lang w:val="bg-BG"/>
        </w:rPr>
        <w:t xml:space="preserve"> срещу БЪЛГАРИЯ</w:t>
      </w:r>
      <w:r w:rsidRPr="009D4078">
        <w:rPr>
          <w:lang w:val="bg-BG"/>
        </w:rPr>
        <w:t xml:space="preserve"> 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>
        <w:rPr>
          <w:i/>
          <w:iCs/>
          <w:lang w:val="bg-BG"/>
        </w:rPr>
        <w:t>(</w:t>
      </w:r>
      <w:r w:rsidRPr="009D4078">
        <w:rPr>
          <w:i/>
          <w:iCs/>
          <w:lang w:val="bg-BG"/>
        </w:rPr>
        <w:t xml:space="preserve">Жалба № 41064/05) 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 xml:space="preserve">РЕШЕНИЕ 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 xml:space="preserve">(Справедливо обезщетение) 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 xml:space="preserve">СТРАСБУРГ 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110D7E" w:rsidRDefault="009B24E5" w:rsidP="009D4078">
      <w:pPr>
        <w:jc w:val="center"/>
        <w:rPr>
          <w:lang w:val="bg-BG"/>
        </w:rPr>
      </w:pPr>
      <w:r w:rsidRPr="00110D7E">
        <w:rPr>
          <w:lang w:val="ru-RU"/>
        </w:rPr>
        <w:t>1</w:t>
      </w:r>
      <w:r w:rsidRPr="00993C38">
        <w:rPr>
          <w:lang w:val="ru-RU"/>
        </w:rPr>
        <w:t>3</w:t>
      </w:r>
      <w:r w:rsidRPr="00110D7E">
        <w:rPr>
          <w:lang w:val="bg-BG"/>
        </w:rPr>
        <w:t xml:space="preserve"> януари 2015 г. 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jc w:val="center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9D4078">
      <w:pPr>
        <w:rPr>
          <w:lang w:val="bg-BG"/>
        </w:rPr>
      </w:pPr>
      <w:r w:rsidRPr="00705255">
        <w:rPr>
          <w:i/>
          <w:iCs/>
          <w:sz w:val="22"/>
          <w:lang w:val="bg-BG"/>
        </w:rPr>
        <w:t>Това решение става окончателно при условията, определени в чл. 44 алинея 2 от Конвенцията. То може да бъде  предмет на редакторска преработка.</w:t>
      </w:r>
    </w:p>
    <w:p w:rsidR="009B24E5" w:rsidRPr="009D4078" w:rsidRDefault="009B24E5" w:rsidP="00976BA5">
      <w:pPr>
        <w:pStyle w:val="JuCase"/>
        <w:rPr>
          <w:lang w:val="bg-BG"/>
        </w:rPr>
        <w:sectPr w:rsidR="009B24E5" w:rsidRPr="009D4078" w:rsidSect="005D078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326"/>
        </w:sectPr>
      </w:pPr>
    </w:p>
    <w:p w:rsidR="009B24E5" w:rsidRPr="009D4078" w:rsidRDefault="009B24E5" w:rsidP="00824712">
      <w:pPr>
        <w:rPr>
          <w:lang w:val="bg-BG"/>
        </w:rPr>
      </w:pPr>
    </w:p>
    <w:p w:rsidR="009B24E5" w:rsidRPr="009D4078" w:rsidRDefault="009B24E5" w:rsidP="00824712">
      <w:pPr>
        <w:ind w:left="284"/>
        <w:rPr>
          <w:lang w:val="bg-BG"/>
        </w:rPr>
      </w:pPr>
      <w:r w:rsidRPr="009D4078">
        <w:rPr>
          <w:b/>
          <w:bCs/>
          <w:lang w:val="bg-BG"/>
        </w:rPr>
        <w:t xml:space="preserve">По делото на </w:t>
      </w:r>
      <w:proofErr w:type="spellStart"/>
      <w:r w:rsidRPr="009D4078">
        <w:rPr>
          <w:b/>
          <w:bCs/>
          <w:lang w:val="bg-BG"/>
        </w:rPr>
        <w:t>Х</w:t>
      </w:r>
      <w:r>
        <w:rPr>
          <w:b/>
          <w:bCs/>
          <w:lang w:val="bg-BG"/>
        </w:rPr>
        <w:t>а</w:t>
      </w:r>
      <w:r w:rsidRPr="009D4078">
        <w:rPr>
          <w:b/>
          <w:bCs/>
          <w:lang w:val="bg-BG"/>
        </w:rPr>
        <w:t>джигеоргиеви</w:t>
      </w:r>
      <w:proofErr w:type="spellEnd"/>
      <w:r w:rsidRPr="009D4078">
        <w:rPr>
          <w:b/>
          <w:bCs/>
          <w:lang w:val="bg-BG"/>
        </w:rPr>
        <w:t xml:space="preserve"> срещу. България,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 xml:space="preserve">Европейският съд по правата на човека (Четвърто отделение), заседаващ в състав, </w:t>
      </w:r>
    </w:p>
    <w:p w:rsidR="009B24E5" w:rsidRDefault="009B24E5" w:rsidP="00B207A4">
      <w:pPr>
        <w:ind w:left="993"/>
        <w:jc w:val="left"/>
        <w:rPr>
          <w:lang w:val="bg-BG"/>
        </w:rPr>
      </w:pPr>
      <w:proofErr w:type="spellStart"/>
      <w:r w:rsidRPr="009D4078">
        <w:rPr>
          <w:lang w:val="bg-BG"/>
        </w:rPr>
        <w:t>Инета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Зимеле</w:t>
      </w:r>
      <w:proofErr w:type="spellEnd"/>
      <w:r w:rsidRPr="009D4078">
        <w:rPr>
          <w:lang w:val="bg-BG"/>
        </w:rPr>
        <w:t xml:space="preserve"> (</w:t>
      </w:r>
      <w:proofErr w:type="spellStart"/>
      <w:r w:rsidRPr="009D4078">
        <w:rPr>
          <w:lang w:val="bg-BG"/>
        </w:rPr>
        <w:t>Ineta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Ziemele</w:t>
      </w:r>
      <w:proofErr w:type="spellEnd"/>
      <w:r w:rsidRPr="009D4078">
        <w:rPr>
          <w:lang w:val="bg-BG"/>
        </w:rPr>
        <w:t xml:space="preserve">), </w:t>
      </w:r>
      <w:r w:rsidRPr="00B207A4">
        <w:rPr>
          <w:i/>
          <w:lang w:val="bg-BG"/>
        </w:rPr>
        <w:t>Председател</w:t>
      </w:r>
      <w:r w:rsidRPr="009D4078">
        <w:rPr>
          <w:lang w:val="bg-BG"/>
        </w:rPr>
        <w:t xml:space="preserve">, </w:t>
      </w:r>
      <w:r w:rsidRPr="009D4078">
        <w:rPr>
          <w:lang w:val="bg-BG"/>
        </w:rPr>
        <w:br/>
        <w:t xml:space="preserve"> Георге </w:t>
      </w:r>
      <w:proofErr w:type="spellStart"/>
      <w:r w:rsidRPr="009D4078">
        <w:rPr>
          <w:lang w:val="bg-BG"/>
        </w:rPr>
        <w:t>Николау</w:t>
      </w:r>
      <w:proofErr w:type="spellEnd"/>
      <w:r w:rsidRPr="009D4078">
        <w:rPr>
          <w:lang w:val="bg-BG"/>
        </w:rPr>
        <w:t xml:space="preserve"> (</w:t>
      </w:r>
      <w:proofErr w:type="spellStart"/>
      <w:r w:rsidRPr="009D4078">
        <w:rPr>
          <w:lang w:val="bg-BG"/>
        </w:rPr>
        <w:t>George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Nicolaou</w:t>
      </w:r>
      <w:proofErr w:type="spellEnd"/>
      <w:r w:rsidRPr="009D4078">
        <w:rPr>
          <w:lang w:val="bg-BG"/>
        </w:rPr>
        <w:t xml:space="preserve">), </w:t>
      </w:r>
      <w:r w:rsidRPr="009D4078">
        <w:rPr>
          <w:lang w:val="bg-BG"/>
        </w:rPr>
        <w:br/>
        <w:t xml:space="preserve"> </w:t>
      </w:r>
      <w:proofErr w:type="spellStart"/>
      <w:r w:rsidRPr="009D4078">
        <w:rPr>
          <w:lang w:val="bg-BG"/>
        </w:rPr>
        <w:t>Леди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Бианку</w:t>
      </w:r>
      <w:proofErr w:type="spellEnd"/>
      <w:r w:rsidRPr="009D4078">
        <w:rPr>
          <w:lang w:val="bg-BG"/>
        </w:rPr>
        <w:t xml:space="preserve"> (</w:t>
      </w:r>
      <w:proofErr w:type="spellStart"/>
      <w:r w:rsidRPr="009D4078">
        <w:rPr>
          <w:lang w:val="bg-BG"/>
        </w:rPr>
        <w:t>Ledi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Bianku</w:t>
      </w:r>
      <w:proofErr w:type="spellEnd"/>
      <w:r w:rsidRPr="009D4078">
        <w:rPr>
          <w:lang w:val="bg-BG"/>
        </w:rPr>
        <w:t xml:space="preserve">), </w:t>
      </w:r>
      <w:r w:rsidRPr="009D4078">
        <w:rPr>
          <w:lang w:val="bg-BG"/>
        </w:rPr>
        <w:br/>
        <w:t xml:space="preserve"> Нона </w:t>
      </w:r>
      <w:proofErr w:type="spellStart"/>
      <w:r w:rsidRPr="009D4078">
        <w:rPr>
          <w:lang w:val="bg-BG"/>
        </w:rPr>
        <w:t>Цоцория</w:t>
      </w:r>
      <w:proofErr w:type="spellEnd"/>
      <w:r w:rsidRPr="009D4078">
        <w:rPr>
          <w:lang w:val="bg-BG"/>
        </w:rPr>
        <w:t xml:space="preserve"> (</w:t>
      </w:r>
      <w:proofErr w:type="spellStart"/>
      <w:r w:rsidRPr="009D4078">
        <w:rPr>
          <w:lang w:val="bg-BG"/>
        </w:rPr>
        <w:t>Nona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Tsotsoria</w:t>
      </w:r>
      <w:proofErr w:type="spellEnd"/>
      <w:r w:rsidRPr="009D4078">
        <w:rPr>
          <w:lang w:val="bg-BG"/>
        </w:rPr>
        <w:t xml:space="preserve">), </w:t>
      </w:r>
      <w:r w:rsidRPr="009D4078">
        <w:rPr>
          <w:lang w:val="bg-BG"/>
        </w:rPr>
        <w:br/>
        <w:t xml:space="preserve"> </w:t>
      </w:r>
      <w:r w:rsidRPr="00942BCA">
        <w:rPr>
          <w:lang w:val="bg-BG"/>
        </w:rPr>
        <w:t>Здравка Калайджиева,</w:t>
      </w:r>
      <w:r w:rsidRPr="009D4078">
        <w:rPr>
          <w:lang w:val="bg-BG"/>
        </w:rPr>
        <w:t xml:space="preserve"> </w:t>
      </w:r>
      <w:r w:rsidRPr="009D4078">
        <w:rPr>
          <w:lang w:val="bg-BG"/>
        </w:rPr>
        <w:br/>
        <w:t xml:space="preserve"> </w:t>
      </w:r>
      <w:r w:rsidRPr="00993C38">
        <w:rPr>
          <w:lang w:val="bg-BG"/>
        </w:rPr>
        <w:t xml:space="preserve">Пол </w:t>
      </w:r>
      <w:proofErr w:type="spellStart"/>
      <w:r w:rsidRPr="00993C38">
        <w:rPr>
          <w:lang w:val="bg-BG"/>
        </w:rPr>
        <w:t>Махоуни</w:t>
      </w:r>
      <w:proofErr w:type="spellEnd"/>
      <w:r w:rsidRPr="00993C38">
        <w:rPr>
          <w:lang w:val="bg-BG"/>
        </w:rPr>
        <w:t xml:space="preserve"> (</w:t>
      </w:r>
      <w:proofErr w:type="spellStart"/>
      <w:r w:rsidRPr="00993C38">
        <w:rPr>
          <w:lang w:val="bg-BG"/>
        </w:rPr>
        <w:t>Paul</w:t>
      </w:r>
      <w:proofErr w:type="spellEnd"/>
      <w:r w:rsidRPr="00993C38">
        <w:rPr>
          <w:lang w:val="bg-BG"/>
        </w:rPr>
        <w:t xml:space="preserve"> </w:t>
      </w:r>
      <w:proofErr w:type="spellStart"/>
      <w:r w:rsidRPr="00993C38">
        <w:rPr>
          <w:lang w:val="bg-BG"/>
        </w:rPr>
        <w:t>Mahoney</w:t>
      </w:r>
      <w:proofErr w:type="spellEnd"/>
      <w:r w:rsidRPr="00993C38">
        <w:rPr>
          <w:lang w:val="bg-BG"/>
        </w:rPr>
        <w:t>),</w:t>
      </w:r>
      <w:r w:rsidRPr="009D4078">
        <w:rPr>
          <w:lang w:val="bg-BG"/>
        </w:rPr>
        <w:t xml:space="preserve"> </w:t>
      </w:r>
      <w:r w:rsidRPr="009D4078">
        <w:rPr>
          <w:lang w:val="bg-BG"/>
        </w:rPr>
        <w:br/>
      </w:r>
      <w:proofErr w:type="spellStart"/>
      <w:r w:rsidRPr="009D4078">
        <w:rPr>
          <w:lang w:val="bg-BG"/>
        </w:rPr>
        <w:t>Фарис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Вехаб</w:t>
      </w:r>
      <w:r>
        <w:rPr>
          <w:lang w:val="bg-BG"/>
        </w:rPr>
        <w:t>ович</w:t>
      </w:r>
      <w:proofErr w:type="spellEnd"/>
      <w:r>
        <w:rPr>
          <w:lang w:val="bg-BG"/>
        </w:rPr>
        <w:t xml:space="preserve"> (</w:t>
      </w:r>
      <w:proofErr w:type="spellStart"/>
      <w:r>
        <w:rPr>
          <w:lang w:val="bg-BG"/>
        </w:rPr>
        <w:t>Faris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Vehabović</w:t>
      </w:r>
      <w:proofErr w:type="spellEnd"/>
      <w:r>
        <w:rPr>
          <w:lang w:val="bg-BG"/>
        </w:rPr>
        <w:t xml:space="preserve">), съдии, </w:t>
      </w:r>
    </w:p>
    <w:p w:rsidR="009B24E5" w:rsidRPr="009D4078" w:rsidRDefault="009B24E5" w:rsidP="00B207A4">
      <w:pPr>
        <w:ind w:left="426"/>
        <w:jc w:val="left"/>
        <w:rPr>
          <w:lang w:val="bg-BG"/>
        </w:rPr>
      </w:pPr>
      <w:r w:rsidRPr="009D4078">
        <w:rPr>
          <w:lang w:val="bg-BG"/>
        </w:rPr>
        <w:t xml:space="preserve">и </w:t>
      </w:r>
      <w:proofErr w:type="spellStart"/>
      <w:r w:rsidRPr="009D4078">
        <w:rPr>
          <w:lang w:val="bg-BG"/>
        </w:rPr>
        <w:t>Фатош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Араджъ</w:t>
      </w:r>
      <w:proofErr w:type="spellEnd"/>
      <w:r w:rsidRPr="009D4078">
        <w:rPr>
          <w:lang w:val="bg-BG"/>
        </w:rPr>
        <w:t xml:space="preserve"> (</w:t>
      </w:r>
      <w:proofErr w:type="spellStart"/>
      <w:r w:rsidRPr="009D4078">
        <w:rPr>
          <w:lang w:val="bg-BG"/>
        </w:rPr>
        <w:t>Fatoş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Aracı</w:t>
      </w:r>
      <w:proofErr w:type="spellEnd"/>
      <w:r w:rsidRPr="009D4078">
        <w:rPr>
          <w:lang w:val="bg-BG"/>
        </w:rPr>
        <w:t xml:space="preserve">), заместник-секретар на Отделението,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 xml:space="preserve">След проведено закрито заседание на 2 декември 2014 г.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AE3E51">
        <w:rPr>
          <w:lang w:val="bg-BG"/>
        </w:rPr>
        <w:t>Се произнесоха със следното съдебно решение, постановено на същата дата</w:t>
      </w:r>
      <w:r w:rsidRPr="00EB66D0">
        <w:rPr>
          <w:lang w:val="bg-BG"/>
        </w:rPr>
        <w:t>:</w:t>
      </w:r>
      <w:r w:rsidRPr="009D4078">
        <w:rPr>
          <w:lang w:val="bg-BG"/>
        </w:rPr>
        <w:t xml:space="preserve"> </w:t>
      </w:r>
    </w:p>
    <w:p w:rsidR="009B24E5" w:rsidRPr="009D4078" w:rsidRDefault="009B24E5" w:rsidP="00824712">
      <w:pPr>
        <w:spacing w:before="720" w:after="240"/>
        <w:rPr>
          <w:lang w:val="bg-BG"/>
        </w:rPr>
      </w:pPr>
      <w:r w:rsidRPr="009D4078">
        <w:rPr>
          <w:sz w:val="28"/>
          <w:szCs w:val="28"/>
          <w:lang w:val="bg-BG"/>
        </w:rPr>
        <w:t xml:space="preserve">ПРОЦЕДУРАТА </w:t>
      </w:r>
    </w:p>
    <w:p w:rsidR="009B24E5" w:rsidRPr="002F7B7A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 xml:space="preserve">1. Делото е образувано по жалба (№. 41064/05) срещу Република България, </w:t>
      </w:r>
      <w:r w:rsidRPr="00456BA7">
        <w:rPr>
          <w:lang w:val="bg-BG"/>
        </w:rPr>
        <w:t>подадена</w:t>
      </w:r>
      <w:r w:rsidRPr="009D4078">
        <w:rPr>
          <w:lang w:val="bg-BG"/>
        </w:rPr>
        <w:t> на 27 октомври 2005 година пред Съда на основани</w:t>
      </w:r>
      <w:r w:rsidRPr="00EB66D0">
        <w:rPr>
          <w:lang w:val="bg-BG"/>
        </w:rPr>
        <w:t>е чл.</w:t>
      </w:r>
      <w:r w:rsidRPr="009D4078">
        <w:rPr>
          <w:lang w:val="bg-BG"/>
        </w:rPr>
        <w:t xml:space="preserve"> 34 от Конвенцията за защита на правата на човека и основните свободи ("Конвенцията") от двама български </w:t>
      </w:r>
      <w:r w:rsidR="00C3765C">
        <w:rPr>
          <w:lang w:val="bg-BG"/>
        </w:rPr>
        <w:t xml:space="preserve">граждани, г-н Янко Крумов </w:t>
      </w:r>
      <w:proofErr w:type="spellStart"/>
      <w:r w:rsidR="00C3765C">
        <w:rPr>
          <w:lang w:val="bg-BG"/>
        </w:rPr>
        <w:t>Хаджи</w:t>
      </w:r>
      <w:r w:rsidRPr="009D4078">
        <w:rPr>
          <w:lang w:val="bg-BG"/>
        </w:rPr>
        <w:t>г</w:t>
      </w:r>
      <w:r w:rsidR="00C3765C">
        <w:rPr>
          <w:lang w:val="bg-BG"/>
        </w:rPr>
        <w:t>е</w:t>
      </w:r>
      <w:r w:rsidRPr="009D4078">
        <w:rPr>
          <w:lang w:val="bg-BG"/>
        </w:rPr>
        <w:t>оргиев</w:t>
      </w:r>
      <w:proofErr w:type="spellEnd"/>
      <w:r w:rsidRPr="009D4078">
        <w:rPr>
          <w:lang w:val="bg-BG"/>
        </w:rPr>
        <w:t xml:space="preserve"> и г-н Димитър </w:t>
      </w:r>
      <w:r w:rsidR="00C3765C">
        <w:rPr>
          <w:lang w:val="bg-BG"/>
        </w:rPr>
        <w:t xml:space="preserve">Крумов </w:t>
      </w:r>
      <w:proofErr w:type="spellStart"/>
      <w:r w:rsidR="00C3765C">
        <w:rPr>
          <w:lang w:val="bg-BG"/>
        </w:rPr>
        <w:t>Хаджи</w:t>
      </w:r>
      <w:r w:rsidRPr="002F7B7A">
        <w:rPr>
          <w:lang w:val="bg-BG"/>
        </w:rPr>
        <w:t>г</w:t>
      </w:r>
      <w:r w:rsidR="00C3765C">
        <w:rPr>
          <w:lang w:val="bg-BG"/>
        </w:rPr>
        <w:t>е</w:t>
      </w:r>
      <w:r w:rsidRPr="002F7B7A">
        <w:rPr>
          <w:lang w:val="bg-BG"/>
        </w:rPr>
        <w:t>оргиев</w:t>
      </w:r>
      <w:proofErr w:type="spellEnd"/>
      <w:r w:rsidRPr="002F7B7A">
        <w:rPr>
          <w:lang w:val="bg-BG"/>
        </w:rPr>
        <w:t xml:space="preserve"> ("жалбоподатели"). </w:t>
      </w:r>
    </w:p>
    <w:p w:rsidR="009B24E5" w:rsidRPr="002F7B7A" w:rsidRDefault="009B24E5" w:rsidP="00824712">
      <w:pPr>
        <w:ind w:firstLine="284"/>
        <w:rPr>
          <w:lang w:val="bg-BG"/>
        </w:rPr>
      </w:pPr>
      <w:r w:rsidRPr="002F7B7A">
        <w:rPr>
          <w:lang w:val="bg-BG"/>
        </w:rPr>
        <w:t xml:space="preserve">2. Жалбоподателите са представлявани от г-н И. </w:t>
      </w:r>
      <w:proofErr w:type="spellStart"/>
      <w:r w:rsidRPr="002F7B7A">
        <w:rPr>
          <w:lang w:val="bg-BG"/>
        </w:rPr>
        <w:t>Груйкин</w:t>
      </w:r>
      <w:proofErr w:type="spellEnd"/>
      <w:r w:rsidRPr="002F7B7A">
        <w:rPr>
          <w:lang w:val="bg-BG"/>
        </w:rPr>
        <w:t xml:space="preserve">, адвокат, практикуващ в София. Българското правителство ("Правителството") е представлявано от своя </w:t>
      </w:r>
      <w:r w:rsidR="002F7B7A" w:rsidRPr="002F7B7A">
        <w:rPr>
          <w:lang w:val="bg-BG"/>
        </w:rPr>
        <w:t xml:space="preserve">правителствен </w:t>
      </w:r>
      <w:r w:rsidRPr="002F7B7A">
        <w:rPr>
          <w:lang w:val="bg-BG"/>
        </w:rPr>
        <w:t xml:space="preserve">агент, г-жа В. Христова от Министерство на правосъдието. </w:t>
      </w:r>
    </w:p>
    <w:p w:rsidR="009B24E5" w:rsidRPr="002F7B7A" w:rsidRDefault="009B24E5" w:rsidP="00824712">
      <w:pPr>
        <w:ind w:firstLine="284"/>
        <w:rPr>
          <w:lang w:val="bg-BG"/>
        </w:rPr>
      </w:pPr>
      <w:r w:rsidRPr="002F7B7A">
        <w:rPr>
          <w:lang w:val="bg-BG"/>
        </w:rPr>
        <w:t>3. С решение, постановено на 16 юли 2013 г. ("основно решение"), Съдът е установил нарушение на чл. 1 от Протокол № 1. По-специално, той приема, че неуспехът на властите, в продължение на много години, да изпълнят влязло в сила</w:t>
      </w:r>
      <w:r w:rsidR="00C3765C">
        <w:rPr>
          <w:lang w:val="bg-BG"/>
        </w:rPr>
        <w:t xml:space="preserve"> съдебно решение, което дава въз</w:t>
      </w:r>
      <w:r w:rsidRPr="002F7B7A">
        <w:rPr>
          <w:lang w:val="bg-BG"/>
        </w:rPr>
        <w:t xml:space="preserve">можност на жалбоподателите да претендират възстановяване на земите от горския фонд, притежавани от техния общ наследодател, в резултат на противопоставянето на това решение от страна на административния орган, е несъвместима с принципите на законност и правна сигурност (виж </w:t>
      </w:r>
      <w:proofErr w:type="spellStart"/>
      <w:r w:rsidRPr="002F7B7A">
        <w:rPr>
          <w:i/>
          <w:iCs/>
          <w:lang w:val="bg-BG"/>
        </w:rPr>
        <w:t>Хаджигеоргиеви</w:t>
      </w:r>
      <w:proofErr w:type="spellEnd"/>
      <w:r w:rsidRPr="002F7B7A">
        <w:rPr>
          <w:i/>
          <w:iCs/>
          <w:lang w:val="bg-BG"/>
        </w:rPr>
        <w:t xml:space="preserve"> срещу България, № 41064/05, §§ 61-72, §§ 61-72, 16 юли 2013 г.). </w:t>
      </w:r>
    </w:p>
    <w:p w:rsidR="009B24E5" w:rsidRPr="00C21370" w:rsidRDefault="009B24E5" w:rsidP="00824712">
      <w:pPr>
        <w:ind w:firstLine="284"/>
        <w:rPr>
          <w:lang w:val="bg-BG"/>
        </w:rPr>
      </w:pPr>
      <w:r w:rsidRPr="002F7B7A">
        <w:rPr>
          <w:lang w:val="bg-BG"/>
        </w:rPr>
        <w:t>4. Съгласно чл. 41 от Конвенцията, Съдът отбелязва, че най-подходящото обезщетение е да се изпълни в цялост решението на съда, което отговаря на реституционните претенции на жалбоподателите, а именно завършване на процеса на реституция и реално възстановяване на въпросните терени на жалбоподателите, в съответствие с тяхната наследствена част (виж основното решение</w:t>
      </w:r>
      <w:r w:rsidRPr="009D4078">
        <w:rPr>
          <w:lang w:val="bg-BG"/>
        </w:rPr>
        <w:t xml:space="preserve">, </w:t>
      </w:r>
      <w:r>
        <w:rPr>
          <w:lang w:val="bg-BG"/>
        </w:rPr>
        <w:t>§</w:t>
      </w:r>
      <w:r w:rsidRPr="009D4078">
        <w:rPr>
          <w:lang w:val="bg-BG"/>
        </w:rPr>
        <w:t xml:space="preserve"> 77). Поради това Съдът заключава, че въпросът за прилагането </w:t>
      </w:r>
      <w:r w:rsidRPr="00357AC3">
        <w:rPr>
          <w:lang w:val="bg-BG"/>
        </w:rPr>
        <w:t>на чл. 41, по</w:t>
      </w:r>
      <w:r w:rsidRPr="009D4078">
        <w:rPr>
          <w:lang w:val="bg-BG"/>
        </w:rPr>
        <w:t xml:space="preserve"> отношение на имуществените и неимуществените вреди, </w:t>
      </w:r>
      <w:r w:rsidRPr="00C21370">
        <w:rPr>
          <w:lang w:val="bg-BG"/>
        </w:rPr>
        <w:t>не е готов за вземане на решение. Той отлага произнасянето и приканва Правителството и жалбоподателите да предс</w:t>
      </w:r>
      <w:r w:rsidRPr="009D4078">
        <w:rPr>
          <w:lang w:val="bg-BG"/>
        </w:rPr>
        <w:t>тавят в срок от четири месеца, считано от датата, на която</w:t>
      </w:r>
      <w:r w:rsidR="00CD022F">
        <w:rPr>
          <w:lang w:val="bg-BG"/>
        </w:rPr>
        <w:t xml:space="preserve"> основното решение стане окончателно</w:t>
      </w:r>
      <w:r w:rsidRPr="009D4078">
        <w:rPr>
          <w:lang w:val="bg-BG"/>
        </w:rPr>
        <w:t xml:space="preserve">, писмените си становища по въпроса и по-специално да уведомят съда за всяко евентуално постигнато споразумение (пак там., </w:t>
      </w:r>
      <w:r>
        <w:rPr>
          <w:lang w:val="bg-BG"/>
        </w:rPr>
        <w:t>§</w:t>
      </w:r>
      <w:r w:rsidRPr="009D4078">
        <w:rPr>
          <w:lang w:val="bg-BG"/>
        </w:rPr>
        <w:t xml:space="preserve"> 78 и точка 4 от оператив</w:t>
      </w:r>
      <w:r w:rsidRPr="00C21370">
        <w:rPr>
          <w:lang w:val="bg-BG"/>
        </w:rPr>
        <w:t xml:space="preserve">ните разпоредби).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C21370">
        <w:rPr>
          <w:lang w:val="bg-BG"/>
        </w:rPr>
        <w:t>5. В писмо от 12 февруари 2014 г. Правителството информира Съда, че страните са се срещнали за преговори и са се съгласили, че въпросните терени</w:t>
      </w:r>
      <w:r>
        <w:rPr>
          <w:lang w:val="bg-BG"/>
        </w:rPr>
        <w:t xml:space="preserve"> </w:t>
      </w:r>
      <w:r w:rsidRPr="00C21370">
        <w:rPr>
          <w:lang w:val="bg-BG"/>
        </w:rPr>
        <w:t>могат да бъдат прехвърлени на жалбоподателите и останалите наследници на техните наследодатели. Определянето на границите на имотите, необходими за формалното прехвърляне на владението, е започнало на 31 януари 2014 г., но е прекратено поради настъпването на зимата и е отложено за пролетта.</w:t>
      </w:r>
      <w:r w:rsidRPr="009D4078">
        <w:rPr>
          <w:lang w:val="bg-BG"/>
        </w:rPr>
        <w:t xml:space="preserve">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lastRenderedPageBreak/>
        <w:t>6. В писмо о</w:t>
      </w:r>
      <w:r w:rsidRPr="00C21370">
        <w:rPr>
          <w:lang w:val="bg-BG"/>
        </w:rPr>
        <w:t>т 14 февруари  2014 г., Правителството представи документи по делото.</w:t>
      </w:r>
      <w:r w:rsidRPr="009D4078">
        <w:rPr>
          <w:lang w:val="bg-BG"/>
        </w:rPr>
        <w:t xml:space="preserve">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 xml:space="preserve">7. Жалбоподателите изпращат писмо до Съда на 13 февруари 2014 </w:t>
      </w:r>
      <w:r w:rsidRPr="00DB6614">
        <w:rPr>
          <w:lang w:val="bg-BG"/>
        </w:rPr>
        <w:t>година</w:t>
      </w:r>
      <w:r w:rsidRPr="009D4078">
        <w:rPr>
          <w:lang w:val="bg-BG"/>
        </w:rPr>
        <w:t xml:space="preserve">. Те считат, че държавата не е имала реално намерение да им възстанови земята и че властите само са "имитирали активност". Жалбоподателите посочват, по-специално, че актът, с който земите са актувани като държавна собственост, издаден от областния управител на Благоевград на 4 ноември 2003 г. (виж основното решение, </w:t>
      </w:r>
      <w:r>
        <w:rPr>
          <w:lang w:val="bg-BG"/>
        </w:rPr>
        <w:t>§</w:t>
      </w:r>
      <w:r w:rsidRPr="009D4078">
        <w:rPr>
          <w:lang w:val="bg-BG"/>
        </w:rPr>
        <w:t xml:space="preserve"> 23), остава в сила. Те считат, че това актуване на земите като държавна собственост, ще блокира тяхното използване и разпореждането с тях, и твърдят, че отмяната на това актуване е "предварително условие за реалното възстановяване на парцела". Те са посъветвани от компетентния отдел по земеделие, че, както е предвидено от националното право, те би трябвало да инициират процедурата за такава отмяна; жалбоподателите обаче настояват, че държавата трябва да направи това по своя собствена инициатива. Освен това жалбоподателите посочват, че исканите от тях документи "удостоверяващи действителното състояние на парцела и промените, които са настъпили", не са им предоставени.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 xml:space="preserve">8. Въз основа на изложеното по-горе, жалбоподателите подновяват своите </w:t>
      </w:r>
      <w:r>
        <w:rPr>
          <w:lang w:val="bg-BG"/>
        </w:rPr>
        <w:t>искове</w:t>
      </w:r>
      <w:r w:rsidRPr="009D4078">
        <w:rPr>
          <w:lang w:val="bg-BG"/>
        </w:rPr>
        <w:t xml:space="preserve"> за имуществени и неимуществени вреди, </w:t>
      </w:r>
      <w:r>
        <w:rPr>
          <w:lang w:val="bg-BG"/>
        </w:rPr>
        <w:t>направени</w:t>
      </w:r>
      <w:r w:rsidRPr="009D4078">
        <w:rPr>
          <w:lang w:val="bg-BG"/>
        </w:rPr>
        <w:t xml:space="preserve"> преди приемането на основното решение (виж </w:t>
      </w:r>
      <w:r>
        <w:rPr>
          <w:lang w:val="bg-BG"/>
        </w:rPr>
        <w:t>§</w:t>
      </w:r>
      <w:r w:rsidRPr="009D4078">
        <w:rPr>
          <w:lang w:val="bg-BG"/>
        </w:rPr>
        <w:t xml:space="preserve"> 74 от това решение и </w:t>
      </w:r>
      <w:r>
        <w:rPr>
          <w:lang w:val="bg-BG"/>
        </w:rPr>
        <w:t>§§</w:t>
      </w:r>
      <w:r w:rsidRPr="009D4078">
        <w:rPr>
          <w:lang w:val="bg-BG"/>
        </w:rPr>
        <w:t xml:space="preserve"> 12-14 по-долу).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>9. В ново писмо от 24 април 2014 г., жалбоподателите коментират твърденията на Правителство</w:t>
      </w:r>
      <w:r>
        <w:rPr>
          <w:lang w:val="bg-BG"/>
        </w:rPr>
        <w:t>то</w:t>
      </w:r>
      <w:r w:rsidRPr="009D4078">
        <w:rPr>
          <w:lang w:val="bg-BG"/>
        </w:rPr>
        <w:t xml:space="preserve"> от 12 февруари 2014 г. Те подчертават, че властите все още не са предприели д</w:t>
      </w:r>
      <w:r>
        <w:rPr>
          <w:lang w:val="bg-BG"/>
        </w:rPr>
        <w:t>ействия, чрез които да изпълнят</w:t>
      </w:r>
      <w:r w:rsidRPr="009D4078">
        <w:rPr>
          <w:lang w:val="bg-BG"/>
        </w:rPr>
        <w:t xml:space="preserve"> основното решение.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>10. На 12 юни 2014 г. Правителството информира Съда, че определянето на границите на имота е завършено на 26 май 2014 г. в присъствието на наследниците на наследодателите на жалбоподателите, включително втория жалбоподател. Правителството представя официален документ за процедурата, изготвен от Отдел</w:t>
      </w:r>
      <w:r>
        <w:rPr>
          <w:lang w:val="bg-BG"/>
        </w:rPr>
        <w:t>а</w:t>
      </w:r>
      <w:r w:rsidRPr="009D4078">
        <w:rPr>
          <w:lang w:val="bg-BG"/>
        </w:rPr>
        <w:t xml:space="preserve"> по земеделието </w:t>
      </w:r>
      <w:r>
        <w:rPr>
          <w:lang w:val="bg-BG"/>
        </w:rPr>
        <w:t>в</w:t>
      </w:r>
      <w:r w:rsidRPr="009D4078">
        <w:rPr>
          <w:lang w:val="bg-BG"/>
        </w:rPr>
        <w:t xml:space="preserve"> Якоруда и подписан от участниците. Определянето на границите означава, че жалбоподателите и наследници</w:t>
      </w:r>
      <w:r>
        <w:rPr>
          <w:lang w:val="bg-BG"/>
        </w:rPr>
        <w:t>те</w:t>
      </w:r>
      <w:r w:rsidRPr="009D4078">
        <w:rPr>
          <w:lang w:val="bg-BG"/>
        </w:rPr>
        <w:t xml:space="preserve"> на </w:t>
      </w:r>
      <w:r>
        <w:rPr>
          <w:lang w:val="bg-BG"/>
        </w:rPr>
        <w:t>техните</w:t>
      </w:r>
      <w:r w:rsidRPr="009D4078">
        <w:rPr>
          <w:lang w:val="bg-BG"/>
        </w:rPr>
        <w:t xml:space="preserve"> наследодател</w:t>
      </w:r>
      <w:r>
        <w:rPr>
          <w:lang w:val="bg-BG"/>
        </w:rPr>
        <w:t>и</w:t>
      </w:r>
      <w:r w:rsidRPr="009D4078">
        <w:rPr>
          <w:lang w:val="bg-BG"/>
        </w:rPr>
        <w:t xml:space="preserve"> са влезли във владение на имота. Жалбоподателите не са коментирали предоставената от Правителството информация. </w:t>
      </w:r>
    </w:p>
    <w:p w:rsidR="009B24E5" w:rsidRPr="009D4078" w:rsidRDefault="009B24E5" w:rsidP="00824712">
      <w:pPr>
        <w:spacing w:before="720" w:after="240"/>
        <w:rPr>
          <w:lang w:val="bg-BG"/>
        </w:rPr>
      </w:pPr>
      <w:r w:rsidRPr="009D4078">
        <w:rPr>
          <w:sz w:val="28"/>
          <w:szCs w:val="28"/>
          <w:lang w:val="bg-BG"/>
        </w:rPr>
        <w:t xml:space="preserve">ЗАКОНЪТ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 xml:space="preserve">1. </w:t>
      </w:r>
      <w:r>
        <w:rPr>
          <w:lang w:val="bg-BG"/>
        </w:rPr>
        <w:t>Чл.</w:t>
      </w:r>
      <w:r w:rsidRPr="009D4078">
        <w:rPr>
          <w:lang w:val="bg-BG"/>
        </w:rPr>
        <w:t xml:space="preserve"> 41 от Конвенцията предвижда: </w:t>
      </w:r>
    </w:p>
    <w:p w:rsidR="009B24E5" w:rsidRPr="009D4078" w:rsidRDefault="009B24E5" w:rsidP="00824712">
      <w:pPr>
        <w:spacing w:before="120" w:after="120"/>
        <w:ind w:left="425" w:firstLine="142"/>
        <w:rPr>
          <w:lang w:val="bg-BG"/>
        </w:rPr>
      </w:pPr>
      <w:r w:rsidRPr="009D4078">
        <w:rPr>
          <w:sz w:val="20"/>
          <w:szCs w:val="20"/>
          <w:lang w:val="bg-BG"/>
        </w:rPr>
        <w:t xml:space="preserve">„Ако Съдът установи нарушение на Конвенцията или на Протоколите към нея и ако вътрешното право на съответната </w:t>
      </w:r>
      <w:proofErr w:type="spellStart"/>
      <w:r w:rsidRPr="009D4078">
        <w:rPr>
          <w:sz w:val="20"/>
          <w:szCs w:val="20"/>
          <w:lang w:val="bg-BG"/>
        </w:rPr>
        <w:t>Βисокодоговаряща</w:t>
      </w:r>
      <w:proofErr w:type="spellEnd"/>
      <w:r w:rsidRPr="009D4078">
        <w:rPr>
          <w:sz w:val="20"/>
          <w:szCs w:val="20"/>
          <w:lang w:val="bg-BG"/>
        </w:rPr>
        <w:t xml:space="preserve"> страна допуска само частично обезщетение, Съдът, ако е необходимо, постановява предоставянето на справедливо обезщетение на потърпевшата страна.“ </w:t>
      </w:r>
    </w:p>
    <w:p w:rsidR="009B24E5" w:rsidRPr="009D4078" w:rsidRDefault="009B24E5" w:rsidP="00824712">
      <w:pPr>
        <w:spacing w:before="360" w:after="240"/>
        <w:ind w:left="584"/>
        <w:rPr>
          <w:lang w:val="bg-BG"/>
        </w:rPr>
      </w:pPr>
      <w:r w:rsidRPr="009D4078">
        <w:rPr>
          <w:b/>
          <w:bCs/>
          <w:lang w:val="bg-BG"/>
        </w:rPr>
        <w:t xml:space="preserve">A. Вреди </w:t>
      </w:r>
    </w:p>
    <w:p w:rsidR="009B24E5" w:rsidRPr="009D4078" w:rsidRDefault="009B24E5" w:rsidP="00824712">
      <w:pPr>
        <w:spacing w:before="240" w:after="120"/>
        <w:ind w:left="732"/>
        <w:rPr>
          <w:lang w:val="bg-BG"/>
        </w:rPr>
      </w:pPr>
      <w:r w:rsidRPr="009D4078">
        <w:rPr>
          <w:i/>
          <w:iCs/>
          <w:lang w:val="bg-BG"/>
        </w:rPr>
        <w:t xml:space="preserve">1. Претенции на жалбоподателите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>12. Жалбопода</w:t>
      </w:r>
      <w:r w:rsidRPr="000A4272">
        <w:rPr>
          <w:lang w:val="bg-BG"/>
        </w:rPr>
        <w:t>телите претендират като обезщетение, на първо място, 4 514 355 български лева (BGN), еквивалентни на 2 308 153 евро (EUR), за пазарната стойност на</w:t>
      </w:r>
      <w:r w:rsidRPr="009D4078">
        <w:rPr>
          <w:lang w:val="bg-BG"/>
        </w:rPr>
        <w:t xml:space="preserve"> имота.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 xml:space="preserve">13. </w:t>
      </w:r>
      <w:r w:rsidRPr="000A4272">
        <w:rPr>
          <w:lang w:val="bg-BG"/>
        </w:rPr>
        <w:t>Те претендират и 528 000 лева, еквивалентни на 269</w:t>
      </w:r>
      <w:r w:rsidRPr="009D4078">
        <w:rPr>
          <w:lang w:val="bg-BG"/>
        </w:rPr>
        <w:t xml:space="preserve"> 962 евро, за пропуснати ползи поради невъзможността да използват земята от 2000 до 2011 г. Преди приемането на основното решение, в подкрепа на това тв</w:t>
      </w:r>
      <w:r w:rsidRPr="000A4272">
        <w:rPr>
          <w:lang w:val="bg-BG"/>
        </w:rPr>
        <w:t xml:space="preserve">ърдение е представен експертен доклад от 2005 г., изготвен в рамките на неуточнено вътрешноправно производство, в който се изчислява, че възможните приходи от продажба на дървесина за периода между 2000 и </w:t>
      </w:r>
      <w:r w:rsidRPr="000A4272">
        <w:rPr>
          <w:lang w:val="bg-BG"/>
        </w:rPr>
        <w:lastRenderedPageBreak/>
        <w:t>2004 г. са 48 000 лева, равняващи се на 24 490 евро. В рамките на процедурата по чл. 41 от Конвенцията, жалбоподателите допълнително предост</w:t>
      </w:r>
      <w:r w:rsidRPr="009D4078">
        <w:rPr>
          <w:lang w:val="bg-BG"/>
        </w:rPr>
        <w:t>авят в подкрепа на твърдението си информационен документ, изготвен от неуточнен държавен орган, който пок</w:t>
      </w:r>
      <w:r w:rsidRPr="00705255">
        <w:rPr>
          <w:lang w:val="bg-BG"/>
        </w:rPr>
        <w:t>азва, че действително добитият от парцела дървен материал между 2000 г. и 2014 г. е оценен на базата на цените от началото на 2014 г., на 61 779,41 лева (равностойността на 31 680 евро); Жалбоподателите обаче твърдят, че потенциалния добив може да бъде по-висок.</w:t>
      </w:r>
      <w:r w:rsidRPr="009D4078">
        <w:rPr>
          <w:lang w:val="bg-BG"/>
        </w:rPr>
        <w:t xml:space="preserve">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 xml:space="preserve">14. Жалбоподателите също </w:t>
      </w:r>
      <w:r w:rsidRPr="00AE3E51">
        <w:rPr>
          <w:lang w:val="bg-BG"/>
        </w:rPr>
        <w:t>така предявяват иск 5 000 евро за всеки от тях за неимуществени вреди.</w:t>
      </w:r>
      <w:r w:rsidRPr="009D4078">
        <w:rPr>
          <w:lang w:val="bg-BG"/>
        </w:rPr>
        <w:t xml:space="preserve"> </w:t>
      </w:r>
    </w:p>
    <w:p w:rsidR="009B24E5" w:rsidRPr="00AE3E51" w:rsidRDefault="009B24E5" w:rsidP="00824712">
      <w:pPr>
        <w:ind w:firstLine="284"/>
        <w:rPr>
          <w:lang w:val="bg-BG"/>
        </w:rPr>
      </w:pPr>
      <w:r w:rsidRPr="00AE3E51">
        <w:rPr>
          <w:lang w:val="bg-BG"/>
        </w:rPr>
        <w:t xml:space="preserve">15. В хода на производството съгласно чл. 41 от Конвенцията, Правителството не коментира тези претенции. </w:t>
      </w:r>
    </w:p>
    <w:p w:rsidR="009B24E5" w:rsidRPr="009D4078" w:rsidRDefault="009B24E5" w:rsidP="00824712">
      <w:pPr>
        <w:spacing w:before="240" w:after="120"/>
        <w:ind w:left="732"/>
        <w:rPr>
          <w:lang w:val="bg-BG"/>
        </w:rPr>
      </w:pPr>
      <w:r w:rsidRPr="00AE3E51">
        <w:rPr>
          <w:i/>
          <w:iCs/>
          <w:lang w:val="bg-BG"/>
        </w:rPr>
        <w:t>2. Преценката на Съда</w:t>
      </w:r>
      <w:r w:rsidRPr="009D4078">
        <w:rPr>
          <w:i/>
          <w:iCs/>
          <w:lang w:val="bg-BG"/>
        </w:rPr>
        <w:t xml:space="preserve"> </w:t>
      </w:r>
    </w:p>
    <w:p w:rsidR="009B24E5" w:rsidRPr="009D4078" w:rsidRDefault="009B24E5" w:rsidP="00824712">
      <w:pPr>
        <w:spacing w:before="240" w:after="120"/>
        <w:ind w:left="975"/>
        <w:rPr>
          <w:lang w:val="bg-BG"/>
        </w:rPr>
      </w:pPr>
      <w:r w:rsidRPr="009D4078">
        <w:rPr>
          <w:b/>
          <w:bCs/>
          <w:sz w:val="20"/>
          <w:szCs w:val="20"/>
          <w:lang w:val="bg-BG"/>
        </w:rPr>
        <w:t xml:space="preserve">(а) Имуществени вреди </w:t>
      </w:r>
    </w:p>
    <w:p w:rsidR="009B24E5" w:rsidRPr="009D4078" w:rsidRDefault="009B24E5" w:rsidP="00824712">
      <w:pPr>
        <w:ind w:firstLine="284"/>
        <w:rPr>
          <w:lang w:val="bg-BG"/>
        </w:rPr>
      </w:pPr>
      <w:r w:rsidRPr="009D4078">
        <w:rPr>
          <w:lang w:val="bg-BG"/>
        </w:rPr>
        <w:t xml:space="preserve">16. Жалбоподателите претендират като обезщетение, на първо място, дължимата им пазарна стойност на имота, а именно 2 308 153 евро (виж </w:t>
      </w:r>
      <w:r>
        <w:rPr>
          <w:lang w:val="bg-BG"/>
        </w:rPr>
        <w:t>§</w:t>
      </w:r>
      <w:r w:rsidRPr="009D4078">
        <w:rPr>
          <w:lang w:val="bg-BG"/>
        </w:rPr>
        <w:t xml:space="preserve"> 12 по-горе). </w:t>
      </w:r>
    </w:p>
    <w:p w:rsidR="009B24E5" w:rsidRPr="00AE3E51" w:rsidRDefault="009B24E5" w:rsidP="00AE3E51">
      <w:pPr>
        <w:ind w:firstLine="284"/>
        <w:rPr>
          <w:lang w:val="bg-BG"/>
        </w:rPr>
      </w:pPr>
      <w:r w:rsidRPr="009D4078">
        <w:rPr>
          <w:lang w:val="bg-BG"/>
        </w:rPr>
        <w:t xml:space="preserve">17. Въпреки това, Съдът отбелязва, че през май 2014 г. имотът е върнат на жалбоподателите и </w:t>
      </w:r>
      <w:r>
        <w:rPr>
          <w:lang w:val="bg-BG"/>
        </w:rPr>
        <w:t xml:space="preserve">на </w:t>
      </w:r>
      <w:r w:rsidRPr="009D4078">
        <w:rPr>
          <w:lang w:val="bg-BG"/>
        </w:rPr>
        <w:t xml:space="preserve">останалите наследници на </w:t>
      </w:r>
      <w:r>
        <w:rPr>
          <w:lang w:val="bg-BG"/>
        </w:rPr>
        <w:t xml:space="preserve">техните </w:t>
      </w:r>
      <w:r w:rsidRPr="00AE3E51">
        <w:rPr>
          <w:lang w:val="bg-BG"/>
        </w:rPr>
        <w:t>наследодатели, след като същите са си възстановили владението (виж § 10 по-горе). Това на практика слага край на процедурата по реституция и жалбоподателите вече са собственици на съответните дялове от имота. Съдът не е убеден, че, както се твърди от ж</w:t>
      </w:r>
      <w:r w:rsidRPr="009D4078">
        <w:rPr>
          <w:lang w:val="bg-BG"/>
        </w:rPr>
        <w:t xml:space="preserve">албоподателите (виж </w:t>
      </w:r>
      <w:r>
        <w:rPr>
          <w:lang w:val="bg-BG"/>
        </w:rPr>
        <w:t>§</w:t>
      </w:r>
      <w:r w:rsidRPr="009D4078">
        <w:rPr>
          <w:lang w:val="bg-BG"/>
        </w:rPr>
        <w:t xml:space="preserve"> 7 по-горе), фактът, че през 2003 г. техният имот е актуван като държавна собственост, ще </w:t>
      </w:r>
      <w:r w:rsidRPr="00AE3E51">
        <w:rPr>
          <w:lang w:val="bg-BG"/>
        </w:rPr>
        <w:t xml:space="preserve">възпрепятства ефективното упражняване на правото им на собственост. В основното решение (виж § 58 от него) Съдът отбелязва, че не е било доказано, че актуването е повлияло върху правата, придобити от жалбоподателите. </w:t>
      </w:r>
    </w:p>
    <w:p w:rsidR="009B24E5" w:rsidRPr="002F7B7A" w:rsidRDefault="009B24E5" w:rsidP="00AE3E51">
      <w:pPr>
        <w:rPr>
          <w:lang w:val="bg-BG"/>
        </w:rPr>
      </w:pPr>
      <w:r w:rsidRPr="00AE3E51">
        <w:rPr>
          <w:lang w:val="bg-BG"/>
        </w:rPr>
        <w:t xml:space="preserve">Съдът отбелязва в </w:t>
      </w:r>
      <w:r w:rsidRPr="002F7B7A">
        <w:rPr>
          <w:lang w:val="bg-BG"/>
        </w:rPr>
        <w:t xml:space="preserve">допълнение, че същият остава отворен за жалбоподателите, в случай че поискат анулиране на акта, и че няма пречки да бъде допуснато такова искане от тяхна страна. </w:t>
      </w:r>
    </w:p>
    <w:p w:rsidR="009B24E5" w:rsidRPr="002F7B7A" w:rsidRDefault="009B24E5" w:rsidP="00AE3E51">
      <w:pPr>
        <w:ind w:firstLine="284"/>
        <w:rPr>
          <w:lang w:val="bg-BG"/>
        </w:rPr>
      </w:pPr>
      <w:r w:rsidRPr="002F7B7A">
        <w:rPr>
          <w:lang w:val="bg-BG"/>
        </w:rPr>
        <w:t xml:space="preserve">18. Съответно, Съдът не вижда причина по настоящото дело, да издаде присъда по отношение на пазарната стойност на имота. </w:t>
      </w:r>
    </w:p>
    <w:p w:rsidR="009B24E5" w:rsidRPr="009D4078" w:rsidRDefault="009B24E5" w:rsidP="00AE3E51">
      <w:pPr>
        <w:ind w:firstLine="284"/>
        <w:rPr>
          <w:lang w:val="bg-BG"/>
        </w:rPr>
      </w:pPr>
      <w:r w:rsidRPr="002F7B7A">
        <w:rPr>
          <w:lang w:val="bg-BG"/>
        </w:rPr>
        <w:t>19. Освен това жалбоподателите предявяват иск за 269 962 евро за пропуснати ползи, на основание, че не са могли да се възползват от експлоатация на земята си между 2000 г. и 2011 г. (виж § 13 по-горе). Като взе предвид констатираното нарушение в основното решение (виж § 3 по-горе), Съдът е на мнение, че съществува причинно-следствена връзка между това нарушение и посочените вреди, съгласно настоящата глава. Въпреки това, той счита, че претендираната сума е прекомерна. Той отбелязва, първо, че експертният доклад от 2005 г., представен</w:t>
      </w:r>
      <w:r w:rsidRPr="009D4078">
        <w:rPr>
          <w:lang w:val="bg-BG"/>
        </w:rPr>
        <w:t xml:space="preserve"> от жалбоподателите в подкрепа на тяхното твърдение (виж </w:t>
      </w:r>
      <w:r>
        <w:rPr>
          <w:lang w:val="bg-BG"/>
        </w:rPr>
        <w:t>§</w:t>
      </w:r>
      <w:r w:rsidRPr="009D4078">
        <w:rPr>
          <w:lang w:val="bg-BG"/>
        </w:rPr>
        <w:t xml:space="preserve"> 13 по-горе), показва, че е възможно приходите от продажбата на дървения материал, добит от имота за период от четири години, а именно между </w:t>
      </w:r>
      <w:r w:rsidRPr="00AE3E51">
        <w:rPr>
          <w:lang w:val="bg-BG"/>
        </w:rPr>
        <w:t>2000</w:t>
      </w:r>
      <w:r>
        <w:rPr>
          <w:lang w:val="bg-BG"/>
        </w:rPr>
        <w:t xml:space="preserve"> г.</w:t>
      </w:r>
      <w:r w:rsidRPr="009D4078">
        <w:rPr>
          <w:lang w:val="bg-BG"/>
        </w:rPr>
        <w:t xml:space="preserve"> и 2004 г., би</w:t>
      </w:r>
      <w:r>
        <w:rPr>
          <w:lang w:val="bg-BG"/>
        </w:rPr>
        <w:t>ха</w:t>
      </w:r>
      <w:r w:rsidRPr="009D4078">
        <w:rPr>
          <w:lang w:val="bg-BG"/>
        </w:rPr>
        <w:t xml:space="preserve"> възлизал</w:t>
      </w:r>
      <w:r>
        <w:rPr>
          <w:lang w:val="bg-BG"/>
        </w:rPr>
        <w:t>и</w:t>
      </w:r>
      <w:r w:rsidRPr="009D4078">
        <w:rPr>
          <w:lang w:val="bg-BG"/>
        </w:rPr>
        <w:t xml:space="preserve"> на 24 490 евро, </w:t>
      </w:r>
      <w:r>
        <w:rPr>
          <w:lang w:val="bg-BG"/>
        </w:rPr>
        <w:t>еквивалентни</w:t>
      </w:r>
      <w:r w:rsidRPr="009D4078">
        <w:rPr>
          <w:lang w:val="bg-BG"/>
        </w:rPr>
        <w:t xml:space="preserve"> на около 6</w:t>
      </w:r>
      <w:r>
        <w:rPr>
          <w:lang w:val="bg-BG"/>
        </w:rPr>
        <w:t xml:space="preserve"> </w:t>
      </w:r>
      <w:r w:rsidRPr="009D4078">
        <w:rPr>
          <w:lang w:val="bg-BG"/>
        </w:rPr>
        <w:t xml:space="preserve">120 </w:t>
      </w:r>
      <w:r>
        <w:rPr>
          <w:lang w:val="bg-BG"/>
        </w:rPr>
        <w:t xml:space="preserve"> евро </w:t>
      </w:r>
      <w:r w:rsidRPr="009D4078">
        <w:rPr>
          <w:lang w:val="bg-BG"/>
        </w:rPr>
        <w:t xml:space="preserve">на година. Съдът се позовава и на информационния документ, представен от жалбоподателите, който показва, че дървеният материал действително </w:t>
      </w:r>
      <w:r w:rsidRPr="00AE3E51">
        <w:rPr>
          <w:lang w:val="bg-BG"/>
        </w:rPr>
        <w:t>добит от парцела в периода между 2000 г. и 2014 г., се оценява на 31 680 евро (пак там.). В допълнение, Съдът отбелязва, че горните изчисления се отнасят за целия парцел, а жалбоподателите имат право на дял от 37,5 % (виж основното решение, § 7, в който се посочва делът на тримата първоначални жалбоподатели; по отношение на единия от тях, Съдът изключва жалбата от списъка с делата).</w:t>
      </w:r>
      <w:r w:rsidRPr="009D4078">
        <w:rPr>
          <w:lang w:val="bg-BG"/>
        </w:rPr>
        <w:t xml:space="preserve"> </w:t>
      </w:r>
    </w:p>
    <w:p w:rsidR="009B24E5" w:rsidRPr="009D4078" w:rsidRDefault="009B24E5" w:rsidP="00AE3E51">
      <w:pPr>
        <w:ind w:firstLine="284"/>
        <w:rPr>
          <w:lang w:val="bg-BG"/>
        </w:rPr>
      </w:pPr>
      <w:r w:rsidRPr="009D4078">
        <w:rPr>
          <w:lang w:val="bg-BG"/>
        </w:rPr>
        <w:t xml:space="preserve">20. С оглед на гореизложеното, Съдът намира за уместно да присъди, общо на двамата жалбоподатели, 8000 евро по тази глава, както и всички данъци, които могат да бъдат наложени. </w:t>
      </w:r>
    </w:p>
    <w:p w:rsidR="009B24E5" w:rsidRPr="009D4078" w:rsidRDefault="009B24E5" w:rsidP="00AE3E51">
      <w:pPr>
        <w:spacing w:before="240" w:after="120"/>
        <w:ind w:left="975"/>
        <w:rPr>
          <w:lang w:val="bg-BG"/>
        </w:rPr>
      </w:pPr>
      <w:r w:rsidRPr="009D4078">
        <w:rPr>
          <w:b/>
          <w:bCs/>
          <w:sz w:val="20"/>
          <w:szCs w:val="20"/>
          <w:lang w:val="bg-BG"/>
        </w:rPr>
        <w:lastRenderedPageBreak/>
        <w:t xml:space="preserve">(б) Неимуществени вреди </w:t>
      </w:r>
    </w:p>
    <w:p w:rsidR="009B24E5" w:rsidRPr="009D4078" w:rsidRDefault="009B24E5" w:rsidP="00AE3E51">
      <w:pPr>
        <w:ind w:firstLine="284"/>
        <w:rPr>
          <w:lang w:val="bg-BG"/>
        </w:rPr>
      </w:pPr>
      <w:r w:rsidRPr="009D4078">
        <w:rPr>
          <w:lang w:val="bg-BG"/>
        </w:rPr>
        <w:t xml:space="preserve">21. Съдът е на мнение, че нарушението на </w:t>
      </w:r>
      <w:r>
        <w:rPr>
          <w:lang w:val="bg-BG"/>
        </w:rPr>
        <w:t>чл.</w:t>
      </w:r>
      <w:r w:rsidRPr="009D4078">
        <w:rPr>
          <w:lang w:val="bg-BG"/>
        </w:rPr>
        <w:t xml:space="preserve"> 1 от Протокол № 1, също така е причинило неимуществени вреди на жалбоподателите, произтичащи от чувството на безпомощност и безсилие, причинено от продължителното неизпълнение на задължението на властите да изпълнят окончателното съдебно решение в тяхна полза. Въпреки това, Съдът счита, претендираните от жалбоподателите суми по тази глава, а именно 5,000 евро за всеки един от тях (виж </w:t>
      </w:r>
      <w:r>
        <w:rPr>
          <w:lang w:val="bg-BG"/>
        </w:rPr>
        <w:t>§</w:t>
      </w:r>
      <w:r w:rsidRPr="009D4078">
        <w:rPr>
          <w:lang w:val="bg-BG"/>
        </w:rPr>
        <w:t xml:space="preserve"> 14 по-горе), за преувеличени. Той счита, че е целесъобразно да присъди по 1 000 евро на всеки от тях, плюс всякакви данъци, които биха могли да бъдат наложени.</w:t>
      </w:r>
    </w:p>
    <w:p w:rsidR="009B24E5" w:rsidRPr="009D4078" w:rsidRDefault="009B24E5" w:rsidP="00AE3E51">
      <w:pPr>
        <w:spacing w:before="360" w:after="240"/>
        <w:ind w:left="584"/>
        <w:rPr>
          <w:lang w:val="bg-BG"/>
        </w:rPr>
      </w:pPr>
      <w:r w:rsidRPr="009D4078">
        <w:rPr>
          <w:b/>
          <w:bCs/>
          <w:lang w:val="bg-BG"/>
        </w:rPr>
        <w:t xml:space="preserve">Б. Други мерки </w:t>
      </w:r>
    </w:p>
    <w:p w:rsidR="009B24E5" w:rsidRPr="009D4078" w:rsidRDefault="009B24E5" w:rsidP="00AE3E51">
      <w:pPr>
        <w:ind w:firstLine="284"/>
        <w:rPr>
          <w:lang w:val="bg-BG"/>
        </w:rPr>
      </w:pPr>
      <w:r w:rsidRPr="009D4078">
        <w:rPr>
          <w:lang w:val="bg-BG"/>
        </w:rPr>
        <w:t xml:space="preserve">22. В допълнение, като се позовава на своята констатация в </w:t>
      </w:r>
      <w:r>
        <w:rPr>
          <w:lang w:val="bg-BG"/>
        </w:rPr>
        <w:t>§§</w:t>
      </w:r>
      <w:r w:rsidRPr="009D4078">
        <w:rPr>
          <w:lang w:val="bg-BG"/>
        </w:rPr>
        <w:t xml:space="preserve"> 50-52 от основното решение, че никакви вътрешноправни средства за защита, които са били достъпни за жалбоподателите в настоящия случай, не са били в състояние да принудят властите да се съобразят с влязлото в сила съдебно решение в тяхна полза, Съдът намира за необходимо да припомни позицията си, изразена в вече по делото </w:t>
      </w:r>
      <w:proofErr w:type="spellStart"/>
      <w:r w:rsidRPr="009D4078">
        <w:rPr>
          <w:i/>
          <w:iCs/>
          <w:lang w:val="bg-BG"/>
        </w:rPr>
        <w:t>Мутишев</w:t>
      </w:r>
      <w:proofErr w:type="spellEnd"/>
      <w:r w:rsidRPr="009D4078">
        <w:rPr>
          <w:i/>
          <w:iCs/>
          <w:lang w:val="bg-BG"/>
        </w:rPr>
        <w:t xml:space="preserve"> и други</w:t>
      </w:r>
      <w:r w:rsidRPr="009D4078">
        <w:rPr>
          <w:lang w:val="bg-BG"/>
        </w:rPr>
        <w:t xml:space="preserve"> (виж </w:t>
      </w:r>
      <w:proofErr w:type="spellStart"/>
      <w:r w:rsidRPr="009D4078">
        <w:rPr>
          <w:i/>
          <w:iCs/>
          <w:lang w:val="bg-BG"/>
        </w:rPr>
        <w:t>Мутишев</w:t>
      </w:r>
      <w:proofErr w:type="spellEnd"/>
      <w:r w:rsidRPr="009D4078">
        <w:rPr>
          <w:i/>
          <w:iCs/>
          <w:lang w:val="bg-BG"/>
        </w:rPr>
        <w:t xml:space="preserve"> и други срещу България</w:t>
      </w:r>
      <w:r w:rsidRPr="009D4078">
        <w:rPr>
          <w:lang w:val="bg-BG"/>
        </w:rPr>
        <w:t xml:space="preserve"> (справедливо обезщетение), № 18967/03, </w:t>
      </w:r>
      <w:r>
        <w:rPr>
          <w:lang w:val="bg-BG"/>
        </w:rPr>
        <w:t>§</w:t>
      </w:r>
      <w:r w:rsidRPr="009D4078">
        <w:rPr>
          <w:lang w:val="bg-BG"/>
        </w:rPr>
        <w:t xml:space="preserve"> 38, на 28 февруари 2012 г.), че следва да бъдат приети генерални мерки в изпълнение на решенията по подобни дела, които трябва да включват въвеждането в </w:t>
      </w:r>
      <w:r w:rsidR="00EA1583">
        <w:rPr>
          <w:lang w:val="bg-BG"/>
        </w:rPr>
        <w:t xml:space="preserve">националното законодателство на: а) </w:t>
      </w:r>
      <w:r w:rsidRPr="009D4078">
        <w:rPr>
          <w:lang w:val="bg-BG"/>
        </w:rPr>
        <w:t>ясни срокове за изпълнението на окончателните решения, свързани с рест</w:t>
      </w:r>
      <w:r w:rsidR="00EA1583">
        <w:rPr>
          <w:lang w:val="bg-BG"/>
        </w:rPr>
        <w:t>итуцията на земеделски земи и б)</w:t>
      </w:r>
      <w:r w:rsidRPr="009D4078">
        <w:rPr>
          <w:lang w:val="bg-BG"/>
        </w:rPr>
        <w:t xml:space="preserve"> средства за защита, които да предоставят ефективно средство за получаване на обезщетение, когато тези срокове не бъдат спазени. </w:t>
      </w:r>
    </w:p>
    <w:p w:rsidR="009B24E5" w:rsidRPr="009D4078" w:rsidRDefault="009B24E5" w:rsidP="00AE3E51">
      <w:pPr>
        <w:spacing w:before="360" w:after="240"/>
        <w:ind w:left="584"/>
        <w:rPr>
          <w:lang w:val="bg-BG"/>
        </w:rPr>
      </w:pPr>
      <w:r w:rsidRPr="009D4078">
        <w:rPr>
          <w:b/>
          <w:bCs/>
          <w:lang w:val="bg-BG"/>
        </w:rPr>
        <w:t xml:space="preserve">В. Разходи и разноски </w:t>
      </w:r>
    </w:p>
    <w:p w:rsidR="009B24E5" w:rsidRPr="009D4078" w:rsidRDefault="009B24E5" w:rsidP="00AE3E51">
      <w:pPr>
        <w:ind w:firstLine="284"/>
        <w:rPr>
          <w:lang w:val="bg-BG"/>
        </w:rPr>
      </w:pPr>
      <w:r w:rsidRPr="009D4078">
        <w:rPr>
          <w:lang w:val="bg-BG"/>
        </w:rPr>
        <w:t xml:space="preserve">23. Жалбоподателите не претендират разходите и разноските за производството по </w:t>
      </w:r>
      <w:r>
        <w:rPr>
          <w:lang w:val="bg-BG"/>
        </w:rPr>
        <w:t>чл.</w:t>
      </w:r>
      <w:r w:rsidRPr="009D4078">
        <w:rPr>
          <w:lang w:val="bg-BG"/>
        </w:rPr>
        <w:t xml:space="preserve"> 41 от Конвенцията. </w:t>
      </w:r>
    </w:p>
    <w:p w:rsidR="009B24E5" w:rsidRPr="009D4078" w:rsidRDefault="009B24E5" w:rsidP="00AE3E51">
      <w:pPr>
        <w:ind w:firstLine="284"/>
        <w:rPr>
          <w:lang w:val="bg-BG"/>
        </w:rPr>
      </w:pPr>
      <w:r w:rsidRPr="009D4078">
        <w:rPr>
          <w:lang w:val="bg-BG"/>
        </w:rPr>
        <w:t xml:space="preserve">24. Съдът не вижда причина да постанови решение по тази глава в отсъствието на каквито и да е претенции от страна на жалбоподателите. </w:t>
      </w:r>
    </w:p>
    <w:p w:rsidR="009B24E5" w:rsidRPr="009D4078" w:rsidRDefault="009B24E5" w:rsidP="00AE3E51">
      <w:pPr>
        <w:spacing w:before="360" w:after="240"/>
        <w:ind w:left="584"/>
        <w:rPr>
          <w:lang w:val="bg-BG"/>
        </w:rPr>
      </w:pPr>
      <w:r w:rsidRPr="009D4078">
        <w:rPr>
          <w:b/>
          <w:bCs/>
          <w:lang w:val="bg-BG"/>
        </w:rPr>
        <w:t xml:space="preserve">Г. Лихва за забава </w:t>
      </w:r>
    </w:p>
    <w:p w:rsidR="009B24E5" w:rsidRPr="009D4078" w:rsidRDefault="009B24E5" w:rsidP="00AE3E51">
      <w:pPr>
        <w:ind w:firstLine="284"/>
        <w:rPr>
          <w:lang w:val="bg-BG"/>
        </w:rPr>
      </w:pPr>
      <w:r w:rsidRPr="009D4078">
        <w:rPr>
          <w:lang w:val="bg-BG"/>
        </w:rPr>
        <w:t xml:space="preserve">25. Съдът счита за подходящо лихвата за забава да бъде изчислена на основата на пределния лихвен процент по заеми на Европейската централна банка, с добавени три процентни пункта. </w:t>
      </w:r>
    </w:p>
    <w:p w:rsidR="009B24E5" w:rsidRPr="009D4078" w:rsidRDefault="009B24E5" w:rsidP="00AE3E51">
      <w:pPr>
        <w:spacing w:before="720" w:after="240"/>
        <w:rPr>
          <w:lang w:val="bg-BG"/>
        </w:rPr>
      </w:pPr>
      <w:r w:rsidRPr="009D4078">
        <w:rPr>
          <w:sz w:val="28"/>
          <w:szCs w:val="28"/>
          <w:lang w:val="bg-BG"/>
        </w:rPr>
        <w:t xml:space="preserve">ПО ИЗЛОЖЕНИТЕ СЪОБРАЖЕНИЯ СЪДЪТ ЕДИНОДУШНО </w:t>
      </w:r>
    </w:p>
    <w:p w:rsidR="009B24E5" w:rsidRPr="009D4078" w:rsidRDefault="009B24E5" w:rsidP="00AE3E51">
      <w:pPr>
        <w:ind w:left="340"/>
        <w:rPr>
          <w:lang w:val="bg-BG"/>
        </w:rPr>
      </w:pPr>
      <w:r w:rsidRPr="009D4078">
        <w:rPr>
          <w:lang w:val="bg-BG"/>
        </w:rPr>
        <w:t xml:space="preserve">1. </w:t>
      </w:r>
      <w:r w:rsidRPr="009D4078">
        <w:rPr>
          <w:i/>
          <w:iCs/>
          <w:lang w:val="bg-BG"/>
        </w:rPr>
        <w:t xml:space="preserve">Постановява </w:t>
      </w:r>
    </w:p>
    <w:p w:rsidR="009B24E5" w:rsidRPr="009D4078" w:rsidRDefault="00EA1583" w:rsidP="00AE3E51">
      <w:pPr>
        <w:ind w:left="346"/>
        <w:rPr>
          <w:lang w:val="bg-BG"/>
        </w:rPr>
      </w:pPr>
      <w:r>
        <w:rPr>
          <w:lang w:val="bg-BG"/>
        </w:rPr>
        <w:t>(а</w:t>
      </w:r>
      <w:r w:rsidR="009B24E5" w:rsidRPr="009D4078">
        <w:rPr>
          <w:lang w:val="bg-BG"/>
        </w:rPr>
        <w:t xml:space="preserve">) че държавата-ответник следва да заплати на жалбоподателите, в срок от три месеца от датата, на която решението стане окончателно в съответствие с </w:t>
      </w:r>
      <w:r w:rsidR="009B24E5">
        <w:rPr>
          <w:lang w:val="bg-BG"/>
        </w:rPr>
        <w:t>чл.</w:t>
      </w:r>
      <w:r w:rsidR="009B24E5" w:rsidRPr="009D4078">
        <w:rPr>
          <w:lang w:val="bg-BG"/>
        </w:rPr>
        <w:t xml:space="preserve"> 44, </w:t>
      </w:r>
      <w:r w:rsidR="009B24E5">
        <w:rPr>
          <w:lang w:val="bg-BG"/>
        </w:rPr>
        <w:t>§</w:t>
      </w:r>
      <w:r w:rsidR="009B24E5" w:rsidRPr="009D4078">
        <w:rPr>
          <w:lang w:val="bg-BG"/>
        </w:rPr>
        <w:t xml:space="preserve"> 2 от Конвенцията, следните суми, които се изчисляват в български лева по курса към датата на плащането: </w:t>
      </w:r>
    </w:p>
    <w:p w:rsidR="009B24E5" w:rsidRPr="009D4078" w:rsidRDefault="009B24E5" w:rsidP="00AE3E51">
      <w:pPr>
        <w:ind w:left="794"/>
        <w:rPr>
          <w:lang w:val="bg-BG"/>
        </w:rPr>
      </w:pPr>
      <w:r w:rsidRPr="009D4078">
        <w:rPr>
          <w:lang w:val="bg-BG"/>
        </w:rPr>
        <w:t xml:space="preserve">(i) общо на двамата жалбоподатели сумата от 8 000 евро (осем хиляди евро), плюс всички данъци, които биха могли да бъдат наложени, по отношение на имуществените вреди; </w:t>
      </w:r>
    </w:p>
    <w:p w:rsidR="009B24E5" w:rsidRPr="009D4078" w:rsidRDefault="009B24E5" w:rsidP="00AE3E51">
      <w:pPr>
        <w:ind w:left="794"/>
        <w:rPr>
          <w:lang w:val="bg-BG"/>
        </w:rPr>
      </w:pPr>
      <w:r w:rsidRPr="009D4078">
        <w:rPr>
          <w:lang w:val="bg-BG"/>
        </w:rPr>
        <w:t xml:space="preserve">(ii) на всеки от жалбоподателите по 1 000 евро (хиляда евро), плюс всички данъци, които биха могли да бъдат наложени, по отношение на неимуществените вреди; </w:t>
      </w:r>
    </w:p>
    <w:p w:rsidR="009B24E5" w:rsidRPr="009D4078" w:rsidRDefault="009B24E5" w:rsidP="00AE3E51">
      <w:pPr>
        <w:ind w:left="346"/>
        <w:rPr>
          <w:lang w:val="bg-BG"/>
        </w:rPr>
      </w:pPr>
      <w:r w:rsidRPr="009D4078">
        <w:rPr>
          <w:lang w:val="bg-BG"/>
        </w:rPr>
        <w:t xml:space="preserve">б) след изтичане на горецитирания тримесечен срок до извършване на плащането ще бъде дължима обикновена лихва върху горната сума в размер, равен на пределния лихвен процент по заеми на Европейската централна банка за периода на забава, с добавени три процентни пункта. </w:t>
      </w:r>
    </w:p>
    <w:p w:rsidR="009B24E5" w:rsidRPr="009D4078" w:rsidRDefault="009B24E5" w:rsidP="00AE3E51">
      <w:pPr>
        <w:ind w:left="340"/>
        <w:rPr>
          <w:lang w:val="bg-BG"/>
        </w:rPr>
      </w:pPr>
      <w:r w:rsidRPr="009D4078">
        <w:rPr>
          <w:lang w:val="bg-BG"/>
        </w:rPr>
        <w:t> </w:t>
      </w:r>
    </w:p>
    <w:p w:rsidR="009B24E5" w:rsidRPr="009D4078" w:rsidRDefault="009B24E5" w:rsidP="00AE3E51">
      <w:pPr>
        <w:ind w:left="340"/>
        <w:rPr>
          <w:lang w:val="bg-BG"/>
        </w:rPr>
      </w:pPr>
      <w:r w:rsidRPr="009D4078">
        <w:rPr>
          <w:lang w:val="bg-BG"/>
        </w:rPr>
        <w:t xml:space="preserve">2. </w:t>
      </w:r>
      <w:r w:rsidRPr="009D4078">
        <w:rPr>
          <w:i/>
          <w:iCs/>
          <w:lang w:val="bg-BG"/>
        </w:rPr>
        <w:t>Отхвърля</w:t>
      </w:r>
      <w:r w:rsidRPr="009D4078">
        <w:rPr>
          <w:lang w:val="bg-BG"/>
        </w:rPr>
        <w:t xml:space="preserve"> останалата част от претенциите на жалбоподателите за справедливо обезщетение. </w:t>
      </w:r>
    </w:p>
    <w:p w:rsidR="009B24E5" w:rsidRPr="009D4078" w:rsidRDefault="009B24E5" w:rsidP="00AE3E51">
      <w:pPr>
        <w:spacing w:before="240"/>
        <w:ind w:firstLine="284"/>
        <w:rPr>
          <w:lang w:val="bg-BG"/>
        </w:rPr>
      </w:pPr>
      <w:r w:rsidRPr="009D4078">
        <w:rPr>
          <w:lang w:val="bg-BG"/>
        </w:rPr>
        <w:t xml:space="preserve">Изготвено на английски език и оповестено в писмен вид на 13 януари 2015 г., в съответствие с </w:t>
      </w:r>
      <w:r>
        <w:rPr>
          <w:lang w:val="bg-BG"/>
        </w:rPr>
        <w:t>чл.</w:t>
      </w:r>
      <w:r w:rsidRPr="009D4078">
        <w:rPr>
          <w:lang w:val="bg-BG"/>
        </w:rPr>
        <w:t xml:space="preserve"> 77, </w:t>
      </w:r>
      <w:r>
        <w:rPr>
          <w:lang w:val="bg-BG"/>
        </w:rPr>
        <w:t>§§</w:t>
      </w:r>
      <w:r w:rsidRPr="009D4078">
        <w:rPr>
          <w:lang w:val="bg-BG"/>
        </w:rPr>
        <w:t xml:space="preserve"> 2 и 3 от Правилника на Съда.</w:t>
      </w:r>
    </w:p>
    <w:p w:rsidR="009B24E5" w:rsidRPr="009D4078" w:rsidRDefault="009B24E5" w:rsidP="00AE3E51">
      <w:pPr>
        <w:spacing w:before="720"/>
        <w:jc w:val="center"/>
        <w:rPr>
          <w:lang w:val="bg-BG"/>
        </w:rPr>
      </w:pPr>
      <w:proofErr w:type="spellStart"/>
      <w:r w:rsidRPr="009D4078">
        <w:rPr>
          <w:lang w:val="bg-BG"/>
        </w:rPr>
        <w:t>Фатош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Ара</w:t>
      </w:r>
      <w:r>
        <w:rPr>
          <w:lang w:val="bg-BG"/>
        </w:rPr>
        <w:t>чи</w:t>
      </w:r>
      <w:proofErr w:type="spellEnd"/>
      <w:r w:rsidRPr="009D4078">
        <w:rPr>
          <w:lang w:val="bg-BG"/>
        </w:rPr>
        <w:t xml:space="preserve"> (</w:t>
      </w:r>
      <w:proofErr w:type="spellStart"/>
      <w:r w:rsidRPr="009D4078">
        <w:rPr>
          <w:lang w:val="bg-BG"/>
        </w:rPr>
        <w:t>Fatoş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Arac</w:t>
      </w:r>
      <w:r>
        <w:rPr>
          <w:lang w:val="bg-BG"/>
        </w:rPr>
        <w:t>ı</w:t>
      </w:r>
      <w:proofErr w:type="spellEnd"/>
      <w:r>
        <w:rPr>
          <w:lang w:val="bg-BG"/>
        </w:rPr>
        <w:t>)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proofErr w:type="spellStart"/>
      <w:r w:rsidRPr="009D4078">
        <w:rPr>
          <w:lang w:val="bg-BG"/>
        </w:rPr>
        <w:t>Инета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Зимеле</w:t>
      </w:r>
      <w:proofErr w:type="spellEnd"/>
      <w:r w:rsidRPr="009D4078">
        <w:rPr>
          <w:lang w:val="bg-BG"/>
        </w:rPr>
        <w:t xml:space="preserve"> (</w:t>
      </w:r>
      <w:proofErr w:type="spellStart"/>
      <w:r w:rsidRPr="009D4078">
        <w:rPr>
          <w:lang w:val="bg-BG"/>
        </w:rPr>
        <w:t>Ineta</w:t>
      </w:r>
      <w:proofErr w:type="spellEnd"/>
      <w:r w:rsidRPr="009D4078">
        <w:rPr>
          <w:lang w:val="bg-BG"/>
        </w:rPr>
        <w:t xml:space="preserve"> </w:t>
      </w:r>
      <w:proofErr w:type="spellStart"/>
      <w:r w:rsidRPr="009D4078">
        <w:rPr>
          <w:lang w:val="bg-BG"/>
        </w:rPr>
        <w:t>Ziemele</w:t>
      </w:r>
      <w:proofErr w:type="spellEnd"/>
      <w:r w:rsidRPr="009D4078">
        <w:rPr>
          <w:lang w:val="bg-BG"/>
        </w:rPr>
        <w:t xml:space="preserve">) </w:t>
      </w:r>
      <w:r w:rsidRPr="009D4078">
        <w:rPr>
          <w:lang w:val="bg-BG"/>
        </w:rPr>
        <w:br/>
        <w:t xml:space="preserve"> Заместник-секретар на отделението 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Председател</w:t>
      </w:r>
    </w:p>
    <w:p w:rsidR="009B24E5" w:rsidRPr="009D4078" w:rsidRDefault="009B24E5" w:rsidP="00AE3E51">
      <w:pPr>
        <w:pStyle w:val="JuCase"/>
        <w:ind w:left="284" w:firstLine="0"/>
        <w:rPr>
          <w:lang w:val="bg-BG"/>
        </w:rPr>
      </w:pPr>
    </w:p>
    <w:p w:rsidR="009B24E5" w:rsidRPr="009D4078" w:rsidRDefault="009B24E5" w:rsidP="00AE3E51">
      <w:pPr>
        <w:ind w:firstLine="284"/>
        <w:rPr>
          <w:lang w:val="bg-BG"/>
        </w:rPr>
      </w:pPr>
    </w:p>
    <w:sectPr w:rsidR="009B24E5" w:rsidRPr="009D4078" w:rsidSect="009D4078">
      <w:pgSz w:w="11907" w:h="16840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924" w:rsidRDefault="006A6924" w:rsidP="00470981">
      <w:r>
        <w:separator/>
      </w:r>
    </w:p>
  </w:endnote>
  <w:endnote w:type="continuationSeparator" w:id="0">
    <w:p w:rsidR="006A6924" w:rsidRDefault="006A6924" w:rsidP="00470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56B" w:rsidRDefault="000F05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56B" w:rsidRDefault="000F056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4E5" w:rsidRPr="00150BFA" w:rsidRDefault="00E4338B" w:rsidP="0020718E">
    <w:pPr>
      <w:jc w:val="center"/>
    </w:pPr>
    <w:r>
      <w:rPr>
        <w:noProof/>
        <w:lang w:val="bg-BG" w:eastAsia="bg-BG"/>
      </w:rPr>
      <w:drawing>
        <wp:inline distT="0" distB="0" distL="0" distR="0">
          <wp:extent cx="762000" cy="619125"/>
          <wp:effectExtent l="0" t="0" r="0" b="9525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24E5" w:rsidRDefault="009B24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924" w:rsidRDefault="006A6924" w:rsidP="00470981">
      <w:r>
        <w:separator/>
      </w:r>
    </w:p>
  </w:footnote>
  <w:footnote w:type="continuationSeparator" w:id="0">
    <w:p w:rsidR="006A6924" w:rsidRDefault="006A6924" w:rsidP="00470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4E5" w:rsidRPr="009D4078" w:rsidRDefault="009B24E5" w:rsidP="009D4078">
    <w:pPr>
      <w:pStyle w:val="Header"/>
      <w:jc w:val="center"/>
      <w:rPr>
        <w:lang w:val="ru-RU"/>
      </w:rPr>
    </w:pPr>
    <w:r>
      <w:rPr>
        <w:lang w:val="bg-BG"/>
      </w:rPr>
      <w:t>ХАДЖИГЕОРГИЕВИ срещу БЪЛГАРИЯ, РЕШЕНИЕ (СПРАВЕДЛИВО ОБЕЗЩЕТЕНИЕ)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4E5" w:rsidRPr="00874819" w:rsidRDefault="009B24E5" w:rsidP="005D0789">
    <w:pPr>
      <w:pStyle w:val="ECHRHeader"/>
      <w:jc w:val="center"/>
      <w:rPr>
        <w:rStyle w:val="PageNumber"/>
        <w:rFonts w:eastAsia="MS Mincho"/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4E5" w:rsidRPr="00A45145" w:rsidRDefault="00E4338B" w:rsidP="00A45145">
    <w:pPr>
      <w:jc w:val="center"/>
    </w:pPr>
    <w:r>
      <w:rPr>
        <w:noProof/>
        <w:lang w:val="bg-BG" w:eastAsia="bg-BG"/>
      </w:rPr>
      <w:drawing>
        <wp:inline distT="0" distB="0" distL="0" distR="0">
          <wp:extent cx="2962275" cy="121920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24E5" w:rsidRDefault="009B24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00A2985C"/>
    <w:lvl w:ilvl="0">
      <w:start w:val="1"/>
      <w:numFmt w:val="decimal"/>
      <w:pStyle w:val="ListBullet4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A25CD2"/>
    <w:lvl w:ilvl="0">
      <w:start w:val="1"/>
      <w:numFmt w:val="decimal"/>
      <w:pStyle w:val="Heading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11E2A3A"/>
    <w:lvl w:ilvl="0">
      <w:start w:val="1"/>
      <w:numFmt w:val="decimal"/>
      <w:pStyle w:val="ListNumber5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9A66C96"/>
    <w:lvl w:ilvl="0">
      <w:start w:val="1"/>
      <w:numFmt w:val="decimal"/>
      <w:pStyle w:val="ListNumber4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F48E1E4"/>
    <w:lvl w:ilvl="0">
      <w:start w:val="1"/>
      <w:numFmt w:val="bullet"/>
      <w:pStyle w:val="Heading6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486A9C"/>
    <w:lvl w:ilvl="0">
      <w:start w:val="1"/>
      <w:numFmt w:val="bullet"/>
      <w:pStyle w:val="ListBullet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B3AB2F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88ECF3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78E10BC"/>
    <w:lvl w:ilvl="0">
      <w:start w:val="1"/>
      <w:numFmt w:val="decimal"/>
      <w:pStyle w:val="ListNumber3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EEA205C"/>
    <w:lvl w:ilvl="0">
      <w:start w:val="1"/>
      <w:numFmt w:val="bullet"/>
      <w:pStyle w:val="Heading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133365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rPr>
        <w:rFonts w:cs="Times New Roman"/>
      </w:rPr>
    </w:lvl>
    <w:lvl w:ilvl="1">
      <w:start w:val="1"/>
      <w:numFmt w:val="decimalZero"/>
      <w:isLgl/>
      <w:lvlText w:val="Section %1.%2"/>
      <w:lvlJc w:val="left"/>
      <w:rPr>
        <w:rFonts w:cs="Times New Roman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cs="Times New Roman"/>
      </w:rPr>
    </w:lvl>
  </w:abstractNum>
  <w:abstractNum w:abstractNumId="11">
    <w:nsid w:val="10983F75"/>
    <w:multiLevelType w:val="multilevel"/>
    <w:tmpl w:val="FFFFFFFF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E4E4BFB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2662365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3A5D4721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>
    <w:nsid w:val="58580374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16"/>
  </w:num>
  <w:num w:numId="23">
    <w:abstractNumId w:val="15"/>
  </w:num>
  <w:num w:numId="24">
    <w:abstractNumId w:val="14"/>
  </w:num>
  <w:num w:numId="25">
    <w:abstractNumId w:val="10"/>
  </w:num>
  <w:num w:numId="26">
    <w:abstractNumId w:val="11"/>
  </w:num>
  <w:num w:numId="27">
    <w:abstractNumId w:val="13"/>
  </w:num>
  <w:num w:numId="28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removePersonalInformation/>
  <w:removeDateAndTime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FF6DA2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22C1D"/>
    <w:rsid w:val="00022C3F"/>
    <w:rsid w:val="00034987"/>
    <w:rsid w:val="00055E01"/>
    <w:rsid w:val="000602DF"/>
    <w:rsid w:val="00061B05"/>
    <w:rsid w:val="000632D5"/>
    <w:rsid w:val="000644EE"/>
    <w:rsid w:val="00065CAD"/>
    <w:rsid w:val="000925AD"/>
    <w:rsid w:val="000931DE"/>
    <w:rsid w:val="000A24EB"/>
    <w:rsid w:val="000A4272"/>
    <w:rsid w:val="000B6923"/>
    <w:rsid w:val="000C5F3C"/>
    <w:rsid w:val="000C6DCC"/>
    <w:rsid w:val="000C7621"/>
    <w:rsid w:val="000C7D07"/>
    <w:rsid w:val="000D47AA"/>
    <w:rsid w:val="000D721F"/>
    <w:rsid w:val="000E069B"/>
    <w:rsid w:val="000E0E82"/>
    <w:rsid w:val="000E1DC5"/>
    <w:rsid w:val="000E223F"/>
    <w:rsid w:val="000E7D45"/>
    <w:rsid w:val="000F056B"/>
    <w:rsid w:val="000F1C4B"/>
    <w:rsid w:val="000F1FAD"/>
    <w:rsid w:val="000F7851"/>
    <w:rsid w:val="00104E23"/>
    <w:rsid w:val="00110605"/>
    <w:rsid w:val="00110D7E"/>
    <w:rsid w:val="00111B0C"/>
    <w:rsid w:val="00120D6C"/>
    <w:rsid w:val="001257EC"/>
    <w:rsid w:val="00126553"/>
    <w:rsid w:val="00133D33"/>
    <w:rsid w:val="00134D64"/>
    <w:rsid w:val="00135A30"/>
    <w:rsid w:val="0013612C"/>
    <w:rsid w:val="00137FF6"/>
    <w:rsid w:val="00141650"/>
    <w:rsid w:val="001450B7"/>
    <w:rsid w:val="00150BFA"/>
    <w:rsid w:val="00153201"/>
    <w:rsid w:val="001553E4"/>
    <w:rsid w:val="00155AAD"/>
    <w:rsid w:val="00162A12"/>
    <w:rsid w:val="00166530"/>
    <w:rsid w:val="001832BD"/>
    <w:rsid w:val="001943B5"/>
    <w:rsid w:val="00195134"/>
    <w:rsid w:val="001A145B"/>
    <w:rsid w:val="001A674C"/>
    <w:rsid w:val="001B3B24"/>
    <w:rsid w:val="001C0F98"/>
    <w:rsid w:val="001C2A42"/>
    <w:rsid w:val="001C2BD7"/>
    <w:rsid w:val="001D63ED"/>
    <w:rsid w:val="001D7348"/>
    <w:rsid w:val="001D779C"/>
    <w:rsid w:val="001E035B"/>
    <w:rsid w:val="001E0961"/>
    <w:rsid w:val="001E3EAE"/>
    <w:rsid w:val="001E3EF7"/>
    <w:rsid w:val="001E6F32"/>
    <w:rsid w:val="001F2145"/>
    <w:rsid w:val="001F6262"/>
    <w:rsid w:val="001F67B0"/>
    <w:rsid w:val="001F7B3D"/>
    <w:rsid w:val="00205F9F"/>
    <w:rsid w:val="0020718E"/>
    <w:rsid w:val="00210338"/>
    <w:rsid w:val="002115FC"/>
    <w:rsid w:val="0021279B"/>
    <w:rsid w:val="0021423C"/>
    <w:rsid w:val="002305E1"/>
    <w:rsid w:val="00230D00"/>
    <w:rsid w:val="00231DF7"/>
    <w:rsid w:val="00231FD1"/>
    <w:rsid w:val="002339E0"/>
    <w:rsid w:val="00233CF8"/>
    <w:rsid w:val="0023575D"/>
    <w:rsid w:val="00237148"/>
    <w:rsid w:val="0024222D"/>
    <w:rsid w:val="0024397E"/>
    <w:rsid w:val="00244943"/>
    <w:rsid w:val="00244B0E"/>
    <w:rsid w:val="00244F6C"/>
    <w:rsid w:val="002532C5"/>
    <w:rsid w:val="00260C03"/>
    <w:rsid w:val="0026540E"/>
    <w:rsid w:val="00275029"/>
    <w:rsid w:val="00275123"/>
    <w:rsid w:val="00282240"/>
    <w:rsid w:val="002948AD"/>
    <w:rsid w:val="002A01CC"/>
    <w:rsid w:val="002A61B1"/>
    <w:rsid w:val="002A663C"/>
    <w:rsid w:val="002B444B"/>
    <w:rsid w:val="002B5887"/>
    <w:rsid w:val="002C0E27"/>
    <w:rsid w:val="002C3040"/>
    <w:rsid w:val="002D022D"/>
    <w:rsid w:val="002D24BB"/>
    <w:rsid w:val="002D5942"/>
    <w:rsid w:val="002F156F"/>
    <w:rsid w:val="002F1975"/>
    <w:rsid w:val="002F2AF7"/>
    <w:rsid w:val="002F5794"/>
    <w:rsid w:val="002F7B7A"/>
    <w:rsid w:val="002F7E1C"/>
    <w:rsid w:val="00301A75"/>
    <w:rsid w:val="00302699"/>
    <w:rsid w:val="00302F70"/>
    <w:rsid w:val="0030336F"/>
    <w:rsid w:val="0030375E"/>
    <w:rsid w:val="00303AB0"/>
    <w:rsid w:val="0030408E"/>
    <w:rsid w:val="0030633B"/>
    <w:rsid w:val="00312A30"/>
    <w:rsid w:val="00316E7F"/>
    <w:rsid w:val="00320F72"/>
    <w:rsid w:val="0032463E"/>
    <w:rsid w:val="00326224"/>
    <w:rsid w:val="0032657E"/>
    <w:rsid w:val="00337EE4"/>
    <w:rsid w:val="00340FFD"/>
    <w:rsid w:val="003411DE"/>
    <w:rsid w:val="003506B1"/>
    <w:rsid w:val="00356AC7"/>
    <w:rsid w:val="00357AC3"/>
    <w:rsid w:val="003609FA"/>
    <w:rsid w:val="0036216D"/>
    <w:rsid w:val="00363503"/>
    <w:rsid w:val="003710C8"/>
    <w:rsid w:val="00372D4F"/>
    <w:rsid w:val="003750BE"/>
    <w:rsid w:val="00387B9D"/>
    <w:rsid w:val="0039364F"/>
    <w:rsid w:val="00395193"/>
    <w:rsid w:val="00396686"/>
    <w:rsid w:val="00396D92"/>
    <w:rsid w:val="0039778E"/>
    <w:rsid w:val="003A5731"/>
    <w:rsid w:val="003B4941"/>
    <w:rsid w:val="003C5714"/>
    <w:rsid w:val="003C6B9F"/>
    <w:rsid w:val="003C6E2A"/>
    <w:rsid w:val="003D0299"/>
    <w:rsid w:val="003D69F9"/>
    <w:rsid w:val="003E10B5"/>
    <w:rsid w:val="003E557A"/>
    <w:rsid w:val="003E6D68"/>
    <w:rsid w:val="003E6D80"/>
    <w:rsid w:val="003F05FA"/>
    <w:rsid w:val="003F244A"/>
    <w:rsid w:val="003F30B8"/>
    <w:rsid w:val="003F4C45"/>
    <w:rsid w:val="003F5F7B"/>
    <w:rsid w:val="003F7D64"/>
    <w:rsid w:val="00414300"/>
    <w:rsid w:val="00425C67"/>
    <w:rsid w:val="00426F15"/>
    <w:rsid w:val="00427E7A"/>
    <w:rsid w:val="00432C6F"/>
    <w:rsid w:val="00436C49"/>
    <w:rsid w:val="00436C95"/>
    <w:rsid w:val="00436E76"/>
    <w:rsid w:val="00445366"/>
    <w:rsid w:val="00445BBA"/>
    <w:rsid w:val="00446951"/>
    <w:rsid w:val="00447F5B"/>
    <w:rsid w:val="00456BA7"/>
    <w:rsid w:val="004612A2"/>
    <w:rsid w:val="00461DB0"/>
    <w:rsid w:val="00463926"/>
    <w:rsid w:val="00464C9A"/>
    <w:rsid w:val="00470981"/>
    <w:rsid w:val="00474F3D"/>
    <w:rsid w:val="00477E3A"/>
    <w:rsid w:val="004808CB"/>
    <w:rsid w:val="00483E5F"/>
    <w:rsid w:val="00485FF9"/>
    <w:rsid w:val="004907F0"/>
    <w:rsid w:val="0049140B"/>
    <w:rsid w:val="004923A5"/>
    <w:rsid w:val="0049248A"/>
    <w:rsid w:val="00496BFB"/>
    <w:rsid w:val="004A15C7"/>
    <w:rsid w:val="004B013B"/>
    <w:rsid w:val="004B112B"/>
    <w:rsid w:val="004B51D9"/>
    <w:rsid w:val="004C01E4"/>
    <w:rsid w:val="004C086C"/>
    <w:rsid w:val="004C1F56"/>
    <w:rsid w:val="004C27BC"/>
    <w:rsid w:val="004D15F3"/>
    <w:rsid w:val="004D5311"/>
    <w:rsid w:val="004D5DCC"/>
    <w:rsid w:val="004F10AF"/>
    <w:rsid w:val="004F11A4"/>
    <w:rsid w:val="004F2389"/>
    <w:rsid w:val="004F304D"/>
    <w:rsid w:val="004F61BE"/>
    <w:rsid w:val="004F66B1"/>
    <w:rsid w:val="00504839"/>
    <w:rsid w:val="00511C07"/>
    <w:rsid w:val="005173A6"/>
    <w:rsid w:val="00520BAA"/>
    <w:rsid w:val="00525208"/>
    <w:rsid w:val="005257A5"/>
    <w:rsid w:val="0052644E"/>
    <w:rsid w:val="005264C0"/>
    <w:rsid w:val="00526A8A"/>
    <w:rsid w:val="00530549"/>
    <w:rsid w:val="00531DF2"/>
    <w:rsid w:val="005442EE"/>
    <w:rsid w:val="00547353"/>
    <w:rsid w:val="005474E7"/>
    <w:rsid w:val="005512A3"/>
    <w:rsid w:val="005578CE"/>
    <w:rsid w:val="00557A3D"/>
    <w:rsid w:val="00562781"/>
    <w:rsid w:val="0057271C"/>
    <w:rsid w:val="00572845"/>
    <w:rsid w:val="00592772"/>
    <w:rsid w:val="0059574A"/>
    <w:rsid w:val="005962EC"/>
    <w:rsid w:val="005A1B9B"/>
    <w:rsid w:val="005A6751"/>
    <w:rsid w:val="005B092E"/>
    <w:rsid w:val="005B152C"/>
    <w:rsid w:val="005B1EE0"/>
    <w:rsid w:val="005B2B24"/>
    <w:rsid w:val="005B4425"/>
    <w:rsid w:val="005B4B94"/>
    <w:rsid w:val="005C3EE8"/>
    <w:rsid w:val="005C6B28"/>
    <w:rsid w:val="005D0789"/>
    <w:rsid w:val="005D1DCD"/>
    <w:rsid w:val="005D34F9"/>
    <w:rsid w:val="005D4190"/>
    <w:rsid w:val="005D67A3"/>
    <w:rsid w:val="005E2988"/>
    <w:rsid w:val="005E3085"/>
    <w:rsid w:val="005E5DEC"/>
    <w:rsid w:val="005F51E1"/>
    <w:rsid w:val="00605B9E"/>
    <w:rsid w:val="00611C80"/>
    <w:rsid w:val="00620692"/>
    <w:rsid w:val="0062381B"/>
    <w:rsid w:val="006242CA"/>
    <w:rsid w:val="00626946"/>
    <w:rsid w:val="00627507"/>
    <w:rsid w:val="00633717"/>
    <w:rsid w:val="006344E1"/>
    <w:rsid w:val="006545C4"/>
    <w:rsid w:val="00660DC0"/>
    <w:rsid w:val="00661971"/>
    <w:rsid w:val="00661CE8"/>
    <w:rsid w:val="006623D9"/>
    <w:rsid w:val="0066550C"/>
    <w:rsid w:val="006716F2"/>
    <w:rsid w:val="00682BF2"/>
    <w:rsid w:val="006859CE"/>
    <w:rsid w:val="00691270"/>
    <w:rsid w:val="00694BA8"/>
    <w:rsid w:val="006A037C"/>
    <w:rsid w:val="006A36F4"/>
    <w:rsid w:val="006A406F"/>
    <w:rsid w:val="006A5D3A"/>
    <w:rsid w:val="006A6924"/>
    <w:rsid w:val="006B49CA"/>
    <w:rsid w:val="006C23D4"/>
    <w:rsid w:val="006C2F33"/>
    <w:rsid w:val="006C7BB0"/>
    <w:rsid w:val="006D209C"/>
    <w:rsid w:val="006D2971"/>
    <w:rsid w:val="006D3237"/>
    <w:rsid w:val="006E2E37"/>
    <w:rsid w:val="006E3CF1"/>
    <w:rsid w:val="006E7E80"/>
    <w:rsid w:val="006F07D3"/>
    <w:rsid w:val="006F48CA"/>
    <w:rsid w:val="006F64DD"/>
    <w:rsid w:val="00705255"/>
    <w:rsid w:val="00711469"/>
    <w:rsid w:val="00715127"/>
    <w:rsid w:val="00715E8E"/>
    <w:rsid w:val="00716C1B"/>
    <w:rsid w:val="00723580"/>
    <w:rsid w:val="00723755"/>
    <w:rsid w:val="0072684C"/>
    <w:rsid w:val="0073136C"/>
    <w:rsid w:val="00731F0F"/>
    <w:rsid w:val="00733250"/>
    <w:rsid w:val="00736015"/>
    <w:rsid w:val="007377C2"/>
    <w:rsid w:val="00741404"/>
    <w:rsid w:val="00742F35"/>
    <w:rsid w:val="007449E5"/>
    <w:rsid w:val="00747FF0"/>
    <w:rsid w:val="00764D4E"/>
    <w:rsid w:val="00765A1F"/>
    <w:rsid w:val="00775B6D"/>
    <w:rsid w:val="00776D68"/>
    <w:rsid w:val="007850EE"/>
    <w:rsid w:val="00785B95"/>
    <w:rsid w:val="00790786"/>
    <w:rsid w:val="00790E96"/>
    <w:rsid w:val="00793366"/>
    <w:rsid w:val="007960A1"/>
    <w:rsid w:val="007A716F"/>
    <w:rsid w:val="007B270A"/>
    <w:rsid w:val="007C0695"/>
    <w:rsid w:val="007C419A"/>
    <w:rsid w:val="007C4CC8"/>
    <w:rsid w:val="007C5426"/>
    <w:rsid w:val="007C5798"/>
    <w:rsid w:val="007D4832"/>
    <w:rsid w:val="007E21B2"/>
    <w:rsid w:val="007E2495"/>
    <w:rsid w:val="007E2C4E"/>
    <w:rsid w:val="007F1905"/>
    <w:rsid w:val="00802C64"/>
    <w:rsid w:val="00805E52"/>
    <w:rsid w:val="008061D0"/>
    <w:rsid w:val="00806433"/>
    <w:rsid w:val="008068A6"/>
    <w:rsid w:val="00810B38"/>
    <w:rsid w:val="00811E51"/>
    <w:rsid w:val="008204C7"/>
    <w:rsid w:val="00820992"/>
    <w:rsid w:val="00823602"/>
    <w:rsid w:val="00824712"/>
    <w:rsid w:val="008255F5"/>
    <w:rsid w:val="0083014E"/>
    <w:rsid w:val="008308D2"/>
    <w:rsid w:val="0083214A"/>
    <w:rsid w:val="00834220"/>
    <w:rsid w:val="00845723"/>
    <w:rsid w:val="00847F08"/>
    <w:rsid w:val="00851EF9"/>
    <w:rsid w:val="008577FD"/>
    <w:rsid w:val="00860B03"/>
    <w:rsid w:val="0086497A"/>
    <w:rsid w:val="008713A1"/>
    <w:rsid w:val="00874819"/>
    <w:rsid w:val="008754AB"/>
    <w:rsid w:val="0088060C"/>
    <w:rsid w:val="00892AA2"/>
    <w:rsid w:val="00893576"/>
    <w:rsid w:val="00893E73"/>
    <w:rsid w:val="008B02DC"/>
    <w:rsid w:val="008B57CE"/>
    <w:rsid w:val="008C26DE"/>
    <w:rsid w:val="008D2225"/>
    <w:rsid w:val="008D4752"/>
    <w:rsid w:val="008E271C"/>
    <w:rsid w:val="008E3EC1"/>
    <w:rsid w:val="008E418E"/>
    <w:rsid w:val="008E5BC6"/>
    <w:rsid w:val="008E6A25"/>
    <w:rsid w:val="008F5193"/>
    <w:rsid w:val="00900D82"/>
    <w:rsid w:val="009013A7"/>
    <w:rsid w:val="009017FB"/>
    <w:rsid w:val="009017FC"/>
    <w:rsid w:val="00901BD7"/>
    <w:rsid w:val="0090506B"/>
    <w:rsid w:val="009050C9"/>
    <w:rsid w:val="009066FC"/>
    <w:rsid w:val="009140A3"/>
    <w:rsid w:val="009144A2"/>
    <w:rsid w:val="0091510C"/>
    <w:rsid w:val="009259AC"/>
    <w:rsid w:val="00926F38"/>
    <w:rsid w:val="00934301"/>
    <w:rsid w:val="00936CD1"/>
    <w:rsid w:val="00941747"/>
    <w:rsid w:val="00941EFB"/>
    <w:rsid w:val="00942BCA"/>
    <w:rsid w:val="00947AFB"/>
    <w:rsid w:val="00951D7D"/>
    <w:rsid w:val="009630C7"/>
    <w:rsid w:val="00972B55"/>
    <w:rsid w:val="009743B7"/>
    <w:rsid w:val="00974632"/>
    <w:rsid w:val="00976BA5"/>
    <w:rsid w:val="0098162D"/>
    <w:rsid w:val="0098228B"/>
    <w:rsid w:val="009828DA"/>
    <w:rsid w:val="009846A6"/>
    <w:rsid w:val="00985BAB"/>
    <w:rsid w:val="00990DA2"/>
    <w:rsid w:val="00992EBF"/>
    <w:rsid w:val="00993C38"/>
    <w:rsid w:val="009B1B5F"/>
    <w:rsid w:val="009B24E5"/>
    <w:rsid w:val="009B6673"/>
    <w:rsid w:val="009C11DE"/>
    <w:rsid w:val="009C191B"/>
    <w:rsid w:val="009C2BD6"/>
    <w:rsid w:val="009C40C2"/>
    <w:rsid w:val="009D4078"/>
    <w:rsid w:val="009E1F32"/>
    <w:rsid w:val="009E776C"/>
    <w:rsid w:val="00A02C52"/>
    <w:rsid w:val="00A1572F"/>
    <w:rsid w:val="00A1726E"/>
    <w:rsid w:val="00A17507"/>
    <w:rsid w:val="00A204CF"/>
    <w:rsid w:val="00A21FC6"/>
    <w:rsid w:val="00A23D49"/>
    <w:rsid w:val="00A27004"/>
    <w:rsid w:val="00A30C29"/>
    <w:rsid w:val="00A34B0E"/>
    <w:rsid w:val="00A34DD6"/>
    <w:rsid w:val="00A36819"/>
    <w:rsid w:val="00A36989"/>
    <w:rsid w:val="00A43628"/>
    <w:rsid w:val="00A45145"/>
    <w:rsid w:val="00A54192"/>
    <w:rsid w:val="00A6035E"/>
    <w:rsid w:val="00A6144C"/>
    <w:rsid w:val="00A66617"/>
    <w:rsid w:val="00A66666"/>
    <w:rsid w:val="00A671F8"/>
    <w:rsid w:val="00A673A4"/>
    <w:rsid w:val="00A724AE"/>
    <w:rsid w:val="00A73329"/>
    <w:rsid w:val="00A82359"/>
    <w:rsid w:val="00A8550D"/>
    <w:rsid w:val="00A865D2"/>
    <w:rsid w:val="00A94C20"/>
    <w:rsid w:val="00A95BD7"/>
    <w:rsid w:val="00A9757D"/>
    <w:rsid w:val="00AA174E"/>
    <w:rsid w:val="00AA227F"/>
    <w:rsid w:val="00AA3BC7"/>
    <w:rsid w:val="00AA754A"/>
    <w:rsid w:val="00AB099E"/>
    <w:rsid w:val="00AB4328"/>
    <w:rsid w:val="00AB5934"/>
    <w:rsid w:val="00AC3382"/>
    <w:rsid w:val="00AD4758"/>
    <w:rsid w:val="00AE0A2E"/>
    <w:rsid w:val="00AE26D6"/>
    <w:rsid w:val="00AE354C"/>
    <w:rsid w:val="00AE3E51"/>
    <w:rsid w:val="00AF4B07"/>
    <w:rsid w:val="00AF59D2"/>
    <w:rsid w:val="00AF6186"/>
    <w:rsid w:val="00AF7A3A"/>
    <w:rsid w:val="00B160DB"/>
    <w:rsid w:val="00B207A4"/>
    <w:rsid w:val="00B20836"/>
    <w:rsid w:val="00B235BB"/>
    <w:rsid w:val="00B2394B"/>
    <w:rsid w:val="00B27A44"/>
    <w:rsid w:val="00B30BBF"/>
    <w:rsid w:val="00B33C03"/>
    <w:rsid w:val="00B34322"/>
    <w:rsid w:val="00B44E56"/>
    <w:rsid w:val="00B46543"/>
    <w:rsid w:val="00B47D33"/>
    <w:rsid w:val="00B52BE0"/>
    <w:rsid w:val="00B54133"/>
    <w:rsid w:val="00B701ED"/>
    <w:rsid w:val="00B8086C"/>
    <w:rsid w:val="00B861B4"/>
    <w:rsid w:val="00B86DFE"/>
    <w:rsid w:val="00B90990"/>
    <w:rsid w:val="00B922FF"/>
    <w:rsid w:val="00B9281E"/>
    <w:rsid w:val="00B92C47"/>
    <w:rsid w:val="00B93925"/>
    <w:rsid w:val="00B94C5E"/>
    <w:rsid w:val="00B95187"/>
    <w:rsid w:val="00BA2D55"/>
    <w:rsid w:val="00BA53D9"/>
    <w:rsid w:val="00BA71B1"/>
    <w:rsid w:val="00BB0637"/>
    <w:rsid w:val="00BB345F"/>
    <w:rsid w:val="00BB68EA"/>
    <w:rsid w:val="00BC1C27"/>
    <w:rsid w:val="00BC6071"/>
    <w:rsid w:val="00BC6BBF"/>
    <w:rsid w:val="00BD1572"/>
    <w:rsid w:val="00BE14E3"/>
    <w:rsid w:val="00BE1959"/>
    <w:rsid w:val="00BE3774"/>
    <w:rsid w:val="00BE41E5"/>
    <w:rsid w:val="00BE70FA"/>
    <w:rsid w:val="00BF4109"/>
    <w:rsid w:val="00BF4CC3"/>
    <w:rsid w:val="00C00866"/>
    <w:rsid w:val="00C054C7"/>
    <w:rsid w:val="00C057B5"/>
    <w:rsid w:val="00C21370"/>
    <w:rsid w:val="00C22687"/>
    <w:rsid w:val="00C271D2"/>
    <w:rsid w:val="00C30A71"/>
    <w:rsid w:val="00C32E4D"/>
    <w:rsid w:val="00C333A0"/>
    <w:rsid w:val="00C36A81"/>
    <w:rsid w:val="00C3765C"/>
    <w:rsid w:val="00C41974"/>
    <w:rsid w:val="00C53F4A"/>
    <w:rsid w:val="00C54125"/>
    <w:rsid w:val="00C55B54"/>
    <w:rsid w:val="00C6098E"/>
    <w:rsid w:val="00C6152C"/>
    <w:rsid w:val="00C65C08"/>
    <w:rsid w:val="00C74810"/>
    <w:rsid w:val="00C7595B"/>
    <w:rsid w:val="00C8150D"/>
    <w:rsid w:val="00C90D68"/>
    <w:rsid w:val="00C93482"/>
    <w:rsid w:val="00C939FE"/>
    <w:rsid w:val="00CA4BDA"/>
    <w:rsid w:val="00CB1124"/>
    <w:rsid w:val="00CB1F66"/>
    <w:rsid w:val="00CB2951"/>
    <w:rsid w:val="00CD022F"/>
    <w:rsid w:val="00CD08E8"/>
    <w:rsid w:val="00CD282B"/>
    <w:rsid w:val="00CD4C35"/>
    <w:rsid w:val="00CD6BA2"/>
    <w:rsid w:val="00CD7369"/>
    <w:rsid w:val="00CE0B0E"/>
    <w:rsid w:val="00CE1EAB"/>
    <w:rsid w:val="00CE3831"/>
    <w:rsid w:val="00CE6C80"/>
    <w:rsid w:val="00D00ABB"/>
    <w:rsid w:val="00D02EEC"/>
    <w:rsid w:val="00D03551"/>
    <w:rsid w:val="00D05AD3"/>
    <w:rsid w:val="00D06A63"/>
    <w:rsid w:val="00D07E0E"/>
    <w:rsid w:val="00D11478"/>
    <w:rsid w:val="00D15ED0"/>
    <w:rsid w:val="00D21B3E"/>
    <w:rsid w:val="00D21FED"/>
    <w:rsid w:val="00D22EFC"/>
    <w:rsid w:val="00D24251"/>
    <w:rsid w:val="00D343E2"/>
    <w:rsid w:val="00D361A2"/>
    <w:rsid w:val="00D363A8"/>
    <w:rsid w:val="00D3746A"/>
    <w:rsid w:val="00D44C2E"/>
    <w:rsid w:val="00D45414"/>
    <w:rsid w:val="00D51E52"/>
    <w:rsid w:val="00D566BD"/>
    <w:rsid w:val="00D57A4D"/>
    <w:rsid w:val="00D60AA7"/>
    <w:rsid w:val="00D6435F"/>
    <w:rsid w:val="00D75E28"/>
    <w:rsid w:val="00D772C2"/>
    <w:rsid w:val="00D8008E"/>
    <w:rsid w:val="00D82C45"/>
    <w:rsid w:val="00D908A8"/>
    <w:rsid w:val="00D977B6"/>
    <w:rsid w:val="00DA4A31"/>
    <w:rsid w:val="00DA7B04"/>
    <w:rsid w:val="00DB36C2"/>
    <w:rsid w:val="00DB6614"/>
    <w:rsid w:val="00DC169B"/>
    <w:rsid w:val="00DC1BD2"/>
    <w:rsid w:val="00DC2AB9"/>
    <w:rsid w:val="00DC63F0"/>
    <w:rsid w:val="00DD3AC5"/>
    <w:rsid w:val="00DD6EE5"/>
    <w:rsid w:val="00DE386C"/>
    <w:rsid w:val="00DE4D35"/>
    <w:rsid w:val="00DF098B"/>
    <w:rsid w:val="00DF11C4"/>
    <w:rsid w:val="00DF210C"/>
    <w:rsid w:val="00DF4B6A"/>
    <w:rsid w:val="00DF7F62"/>
    <w:rsid w:val="00E00687"/>
    <w:rsid w:val="00E02C09"/>
    <w:rsid w:val="00E04D59"/>
    <w:rsid w:val="00E05FE4"/>
    <w:rsid w:val="00E07DA1"/>
    <w:rsid w:val="00E123CB"/>
    <w:rsid w:val="00E20A1E"/>
    <w:rsid w:val="00E20E13"/>
    <w:rsid w:val="00E21DBC"/>
    <w:rsid w:val="00E275D7"/>
    <w:rsid w:val="00E27DBE"/>
    <w:rsid w:val="00E32AB1"/>
    <w:rsid w:val="00E36C71"/>
    <w:rsid w:val="00E40404"/>
    <w:rsid w:val="00E4338B"/>
    <w:rsid w:val="00E459C6"/>
    <w:rsid w:val="00E47589"/>
    <w:rsid w:val="00E64915"/>
    <w:rsid w:val="00E661D4"/>
    <w:rsid w:val="00E70091"/>
    <w:rsid w:val="00E720F5"/>
    <w:rsid w:val="00E76D47"/>
    <w:rsid w:val="00E849F7"/>
    <w:rsid w:val="00E85166"/>
    <w:rsid w:val="00E90302"/>
    <w:rsid w:val="00E97396"/>
    <w:rsid w:val="00EA1583"/>
    <w:rsid w:val="00EA185E"/>
    <w:rsid w:val="00EA592A"/>
    <w:rsid w:val="00EB14E4"/>
    <w:rsid w:val="00EB32A5"/>
    <w:rsid w:val="00EB34ED"/>
    <w:rsid w:val="00EB447C"/>
    <w:rsid w:val="00EB66D0"/>
    <w:rsid w:val="00EB7BE0"/>
    <w:rsid w:val="00EC315E"/>
    <w:rsid w:val="00EC397B"/>
    <w:rsid w:val="00ED077C"/>
    <w:rsid w:val="00ED1190"/>
    <w:rsid w:val="00ED6544"/>
    <w:rsid w:val="00EE0277"/>
    <w:rsid w:val="00EE3E00"/>
    <w:rsid w:val="00EE5DD2"/>
    <w:rsid w:val="00EF5BE4"/>
    <w:rsid w:val="00F00A79"/>
    <w:rsid w:val="00F00E86"/>
    <w:rsid w:val="00F07C1E"/>
    <w:rsid w:val="00F105DB"/>
    <w:rsid w:val="00F132BC"/>
    <w:rsid w:val="00F13D80"/>
    <w:rsid w:val="00F16AAA"/>
    <w:rsid w:val="00F21161"/>
    <w:rsid w:val="00F218EF"/>
    <w:rsid w:val="00F21BC7"/>
    <w:rsid w:val="00F266A2"/>
    <w:rsid w:val="00F32269"/>
    <w:rsid w:val="00F34C1C"/>
    <w:rsid w:val="00F56A6F"/>
    <w:rsid w:val="00F5709C"/>
    <w:rsid w:val="00F64EF1"/>
    <w:rsid w:val="00F8765F"/>
    <w:rsid w:val="00F90767"/>
    <w:rsid w:val="00FA5970"/>
    <w:rsid w:val="00FA685B"/>
    <w:rsid w:val="00FB0798"/>
    <w:rsid w:val="00FB0C01"/>
    <w:rsid w:val="00FB1893"/>
    <w:rsid w:val="00FC18F2"/>
    <w:rsid w:val="00FC2295"/>
    <w:rsid w:val="00FC39E5"/>
    <w:rsid w:val="00FC3A78"/>
    <w:rsid w:val="00FD1005"/>
    <w:rsid w:val="00FD6C75"/>
    <w:rsid w:val="00FE71B3"/>
    <w:rsid w:val="00FF42C5"/>
    <w:rsid w:val="00FF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74E"/>
    <w:pPr>
      <w:jc w:val="both"/>
    </w:pPr>
    <w:rPr>
      <w:rFonts w:eastAsia="MS Mincho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41747"/>
    <w:pPr>
      <w:tabs>
        <w:tab w:val="num" w:pos="360"/>
      </w:tabs>
      <w:spacing w:before="480"/>
      <w:ind w:left="360" w:hanging="360"/>
      <w:contextualSpacing/>
      <w:jc w:val="left"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41747"/>
    <w:pPr>
      <w:numPr>
        <w:ilvl w:val="1"/>
        <w:numId w:val="1"/>
      </w:numPr>
      <w:spacing w:before="200"/>
      <w:jc w:val="left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41747"/>
    <w:pPr>
      <w:numPr>
        <w:ilvl w:val="2"/>
        <w:numId w:val="1"/>
      </w:numPr>
      <w:spacing w:before="200" w:line="271" w:lineRule="auto"/>
      <w:jc w:val="left"/>
      <w:outlineLvl w:val="2"/>
    </w:pPr>
    <w:rPr>
      <w:rFonts w:eastAsia="MS Gothic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41747"/>
    <w:pPr>
      <w:numPr>
        <w:ilvl w:val="3"/>
        <w:numId w:val="9"/>
      </w:numPr>
      <w:tabs>
        <w:tab w:val="clear" w:pos="1209"/>
        <w:tab w:val="num" w:pos="360"/>
      </w:tabs>
      <w:spacing w:before="200"/>
      <w:ind w:left="360"/>
      <w:jc w:val="left"/>
      <w:outlineLvl w:val="3"/>
    </w:pPr>
    <w:rPr>
      <w:rFonts w:eastAsia="MS Gothic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A174E"/>
    <w:pPr>
      <w:spacing w:before="200"/>
      <w:outlineLvl w:val="4"/>
    </w:pPr>
    <w:rPr>
      <w:rFonts w:eastAsia="MS Gothic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41747"/>
    <w:pPr>
      <w:numPr>
        <w:ilvl w:val="5"/>
        <w:numId w:val="5"/>
      </w:numPr>
      <w:tabs>
        <w:tab w:val="clear" w:pos="1492"/>
        <w:tab w:val="num" w:pos="360"/>
      </w:tabs>
      <w:spacing w:line="271" w:lineRule="auto"/>
      <w:ind w:left="360"/>
      <w:jc w:val="left"/>
      <w:outlineLvl w:val="5"/>
    </w:pPr>
    <w:rPr>
      <w:rFonts w:eastAsia="MS Gothic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A174E"/>
    <w:pPr>
      <w:outlineLvl w:val="6"/>
    </w:pPr>
    <w:rPr>
      <w:rFonts w:eastAsia="MS Gothic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A174E"/>
    <w:pPr>
      <w:outlineLvl w:val="7"/>
    </w:pPr>
    <w:rPr>
      <w:rFonts w:eastAsia="MS Gothic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A174E"/>
    <w:pPr>
      <w:outlineLvl w:val="8"/>
    </w:pPr>
    <w:rPr>
      <w:rFonts w:eastAsia="MS Gothic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semiHidden/>
    <w:locked/>
    <w:rsid w:val="00A671F8"/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1F8"/>
    <w:rPr>
      <w:rFonts w:eastAsia="MS Gothic" w:cs="Times New Roman"/>
      <w:b/>
      <w:bCs/>
      <w:color w:val="4D4D4D"/>
      <w:sz w:val="26"/>
      <w:szCs w:val="26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1F8"/>
    <w:rPr>
      <w:rFonts w:eastAsia="MS Gothic" w:cs="Times New Roman"/>
      <w:b/>
      <w:bCs/>
      <w:color w:val="5F5F5F"/>
      <w:sz w:val="22"/>
      <w:szCs w:val="22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1F8"/>
    <w:rPr>
      <w:rFonts w:eastAsia="MS Gothic" w:cs="Times New Roman"/>
      <w:b/>
      <w:bCs/>
      <w:i/>
      <w:iCs/>
      <w:color w:val="777777"/>
      <w:sz w:val="22"/>
      <w:szCs w:val="22"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A174E"/>
    <w:rPr>
      <w:rFonts w:ascii="Times New Roman" w:eastAsia="MS Gothic" w:hAnsi="Times New Roman" w:cs="Times New Roman"/>
      <w:b/>
      <w:bCs/>
      <w:color w:val="80808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1F8"/>
    <w:rPr>
      <w:rFonts w:eastAsia="MS Gothic" w:cs="Times New Roman"/>
      <w:b/>
      <w:bCs/>
      <w:i/>
      <w:iCs/>
      <w:color w:val="7F7F7F"/>
      <w:sz w:val="22"/>
      <w:szCs w:val="22"/>
      <w:lang w:val="en-US" w:eastAsia="en-US" w:bidi="ar-SA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A174E"/>
    <w:rPr>
      <w:rFonts w:ascii="Times New Roman" w:eastAsia="MS Gothic" w:hAnsi="Times New Roman" w:cs="Times New Roman"/>
      <w:i/>
      <w:iCs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A174E"/>
    <w:rPr>
      <w:rFonts w:ascii="Times New Roman" w:eastAsia="MS Gothic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A174E"/>
    <w:rPr>
      <w:rFonts w:ascii="Times New Roman" w:eastAsia="MS Gothic" w:hAnsi="Times New Roman" w:cs="Times New Roman"/>
      <w:i/>
      <w:iCs/>
      <w:spacing w:val="5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417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1F8"/>
    <w:rPr>
      <w:rFonts w:ascii="Tahoma" w:eastAsia="MS Mincho" w:hAnsi="Tahoma" w:cs="Tahoma"/>
      <w:sz w:val="16"/>
      <w:szCs w:val="16"/>
    </w:rPr>
  </w:style>
  <w:style w:type="character" w:styleId="BookTitle">
    <w:name w:val="Book Title"/>
    <w:basedOn w:val="DefaultParagraphFont"/>
    <w:uiPriority w:val="99"/>
    <w:qFormat/>
    <w:rsid w:val="00AA174E"/>
    <w:rPr>
      <w:rFonts w:cs="Times New Roman"/>
      <w:i/>
      <w:smallCaps/>
      <w:spacing w:val="5"/>
    </w:rPr>
  </w:style>
  <w:style w:type="paragraph" w:customStyle="1" w:styleId="ECHRHeader">
    <w:name w:val="ECHR_Header"/>
    <w:aliases w:val="Ju_Header"/>
    <w:basedOn w:val="Header"/>
    <w:uiPriority w:val="99"/>
    <w:rsid w:val="00AA174E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="Times New Roman"/>
      <w:sz w:val="18"/>
    </w:rPr>
  </w:style>
  <w:style w:type="paragraph" w:customStyle="1" w:styleId="OpiPara">
    <w:name w:val="Opi_Para"/>
    <w:basedOn w:val="ECHRPara"/>
    <w:uiPriority w:val="99"/>
    <w:rsid w:val="00AA174E"/>
  </w:style>
  <w:style w:type="character" w:styleId="Strong">
    <w:name w:val="Strong"/>
    <w:basedOn w:val="DefaultParagraphFont"/>
    <w:uiPriority w:val="99"/>
    <w:qFormat/>
    <w:rsid w:val="00AA174E"/>
    <w:rPr>
      <w:rFonts w:cs="Times New Roman"/>
      <w:b/>
    </w:rPr>
  </w:style>
  <w:style w:type="paragraph" w:styleId="NoSpacing">
    <w:name w:val="No Spacing"/>
    <w:basedOn w:val="Normal"/>
    <w:link w:val="NoSpacingChar"/>
    <w:uiPriority w:val="99"/>
    <w:qFormat/>
    <w:rsid w:val="00AA174E"/>
    <w:rPr>
      <w:sz w:val="22"/>
    </w:rPr>
  </w:style>
  <w:style w:type="character" w:customStyle="1" w:styleId="NoSpacingChar">
    <w:name w:val="No Spacing Char"/>
    <w:basedOn w:val="DefaultParagraphFont"/>
    <w:link w:val="NoSpacing"/>
    <w:uiPriority w:val="99"/>
    <w:semiHidden/>
    <w:locked/>
    <w:rsid w:val="00AA174E"/>
    <w:rPr>
      <w:rFonts w:eastAsia="MS Mincho" w:cs="Times New Roman"/>
    </w:rPr>
  </w:style>
  <w:style w:type="paragraph" w:customStyle="1" w:styleId="JuParaSub">
    <w:name w:val="Ju_Para_Sub"/>
    <w:basedOn w:val="ECHRPara"/>
    <w:uiPriority w:val="99"/>
    <w:rsid w:val="00AA174E"/>
    <w:pPr>
      <w:ind w:left="284"/>
    </w:pPr>
  </w:style>
  <w:style w:type="paragraph" w:customStyle="1" w:styleId="OpiParaSub">
    <w:name w:val="Opi_Para_Sub"/>
    <w:basedOn w:val="JuParaSub"/>
    <w:uiPriority w:val="99"/>
    <w:rsid w:val="00AA174E"/>
  </w:style>
  <w:style w:type="paragraph" w:customStyle="1" w:styleId="OpiQuot">
    <w:name w:val="Opi_Quot"/>
    <w:basedOn w:val="ECHRParaQuote"/>
    <w:uiPriority w:val="99"/>
    <w:rsid w:val="00AA174E"/>
  </w:style>
  <w:style w:type="paragraph" w:customStyle="1" w:styleId="OpiQuotSub">
    <w:name w:val="Opi_Quot_Sub"/>
    <w:basedOn w:val="JuQuotSub"/>
    <w:uiPriority w:val="99"/>
    <w:rsid w:val="00AA174E"/>
  </w:style>
  <w:style w:type="paragraph" w:customStyle="1" w:styleId="ECHRTitleCentre3">
    <w:name w:val="ECHR_Title_Centre_3"/>
    <w:aliases w:val="Ju_H_Article"/>
    <w:basedOn w:val="Normal"/>
    <w:next w:val="ECHRParaQuote"/>
    <w:uiPriority w:val="99"/>
    <w:rsid w:val="00AA174E"/>
    <w:pPr>
      <w:keepNext/>
      <w:keepLines/>
      <w:spacing w:before="240" w:after="120"/>
      <w:jc w:val="center"/>
      <w:outlineLvl w:val="3"/>
    </w:pPr>
    <w:rPr>
      <w:b/>
      <w:sz w:val="20"/>
    </w:rPr>
  </w:style>
  <w:style w:type="paragraph" w:customStyle="1" w:styleId="ECHRTitleCentre1">
    <w:name w:val="ECHR_Title_Centre_1"/>
    <w:aliases w:val="Opi_H_Head"/>
    <w:basedOn w:val="Normal"/>
    <w:next w:val="OpiPara"/>
    <w:uiPriority w:val="99"/>
    <w:rsid w:val="00AA174E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JuQuotSub">
    <w:name w:val="Ju_Quot_Sub"/>
    <w:basedOn w:val="ECHRParaQuote"/>
    <w:uiPriority w:val="99"/>
    <w:rsid w:val="00AA174E"/>
    <w:pPr>
      <w:ind w:left="567"/>
    </w:pPr>
  </w:style>
  <w:style w:type="paragraph" w:customStyle="1" w:styleId="JuInitialled">
    <w:name w:val="Ju_Initialled"/>
    <w:basedOn w:val="Normal"/>
    <w:uiPriority w:val="99"/>
    <w:rsid w:val="00AA174E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99"/>
    <w:rsid w:val="00AA174E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99"/>
    <w:rsid w:val="00AA174E"/>
    <w:rPr>
      <w:smallCaps/>
    </w:rPr>
  </w:style>
  <w:style w:type="character" w:customStyle="1" w:styleId="JuITMark">
    <w:name w:val="Ju_ITMark"/>
    <w:basedOn w:val="DefaultParagraphFont"/>
    <w:uiPriority w:val="99"/>
    <w:rsid w:val="00AA174E"/>
    <w:rPr>
      <w:rFonts w:cs="Times New Roman"/>
      <w:color w:val="auto"/>
      <w:sz w:val="14"/>
    </w:rPr>
  </w:style>
  <w:style w:type="paragraph" w:styleId="Title">
    <w:name w:val="Title"/>
    <w:basedOn w:val="Normal"/>
    <w:next w:val="Normal"/>
    <w:link w:val="TitleChar"/>
    <w:uiPriority w:val="99"/>
    <w:qFormat/>
    <w:rsid w:val="00AA174E"/>
    <w:pPr>
      <w:pBdr>
        <w:bottom w:val="single" w:sz="4" w:space="1" w:color="auto"/>
      </w:pBdr>
      <w:contextualSpacing/>
    </w:pPr>
    <w:rPr>
      <w:rFonts w:eastAsia="MS Gothic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semiHidden/>
    <w:locked/>
    <w:rsid w:val="00AA174E"/>
    <w:rPr>
      <w:rFonts w:ascii="Times New Roman" w:eastAsia="MS Gothic" w:hAnsi="Times New Roman" w:cs="Times New Roman"/>
      <w:spacing w:val="5"/>
      <w:sz w:val="52"/>
      <w:szCs w:val="52"/>
    </w:rPr>
  </w:style>
  <w:style w:type="paragraph" w:customStyle="1" w:styleId="OpiTranslation">
    <w:name w:val="Opi_Translation"/>
    <w:basedOn w:val="Normal"/>
    <w:next w:val="OpiPara"/>
    <w:uiPriority w:val="99"/>
    <w:rsid w:val="00AA174E"/>
    <w:pPr>
      <w:jc w:val="center"/>
      <w:outlineLvl w:val="0"/>
    </w:pPr>
    <w:rPr>
      <w:i/>
    </w:rPr>
  </w:style>
  <w:style w:type="paragraph" w:customStyle="1" w:styleId="JuCourt">
    <w:name w:val="Ju_Court"/>
    <w:basedOn w:val="Normal"/>
    <w:next w:val="Normal"/>
    <w:uiPriority w:val="99"/>
    <w:rsid w:val="00AA174E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ECHRHeading1">
    <w:name w:val="ECHR_Heading_1"/>
    <w:aliases w:val="Ju_H_I_Roman"/>
    <w:basedOn w:val="Heading1"/>
    <w:next w:val="ECHRPara"/>
    <w:uiPriority w:val="99"/>
    <w:rsid w:val="00AA174E"/>
    <w:pPr>
      <w:keepNext/>
      <w:keepLines/>
      <w:tabs>
        <w:tab w:val="clear" w:pos="360"/>
        <w:tab w:val="left" w:pos="357"/>
      </w:tabs>
      <w:spacing w:before="360" w:after="240"/>
      <w:ind w:left="357" w:hanging="357"/>
      <w:contextualSpacing w:val="0"/>
      <w:jc w:val="both"/>
    </w:pPr>
    <w:rPr>
      <w:b w:val="0"/>
      <w:color w:val="auto"/>
      <w:sz w:val="24"/>
    </w:rPr>
  </w:style>
  <w:style w:type="paragraph" w:customStyle="1" w:styleId="ECHRHeading3">
    <w:name w:val="ECHR_Heading_3"/>
    <w:aliases w:val="Ju_H_1."/>
    <w:basedOn w:val="Heading3"/>
    <w:next w:val="ECHRPara"/>
    <w:uiPriority w:val="99"/>
    <w:rsid w:val="00AA174E"/>
    <w:pPr>
      <w:keepNext/>
      <w:keepLines/>
      <w:numPr>
        <w:ilvl w:val="0"/>
        <w:numId w:val="0"/>
      </w:num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Heading4"/>
    <w:next w:val="ECHRPara"/>
    <w:uiPriority w:val="99"/>
    <w:rsid w:val="00AA174E"/>
    <w:pPr>
      <w:keepNext/>
      <w:keepLines/>
      <w:numPr>
        <w:ilvl w:val="0"/>
        <w:numId w:val="0"/>
      </w:numPr>
      <w:tabs>
        <w:tab w:val="left" w:pos="975"/>
      </w:tabs>
      <w:spacing w:before="240" w:after="120"/>
      <w:ind w:left="975" w:hanging="340"/>
      <w:jc w:val="both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99"/>
    <w:rsid w:val="00AA174E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99"/>
    <w:rsid w:val="00AA174E"/>
    <w:pPr>
      <w:keepNext/>
      <w:keepLines/>
      <w:numPr>
        <w:ilvl w:val="0"/>
        <w:numId w:val="0"/>
      </w:numPr>
      <w:tabs>
        <w:tab w:val="left" w:pos="1372"/>
      </w:tabs>
      <w:spacing w:before="240" w:after="120" w:line="240" w:lineRule="auto"/>
      <w:ind w:left="1373" w:hanging="335"/>
      <w:jc w:val="both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99"/>
    <w:rsid w:val="00AA174E"/>
    <w:pPr>
      <w:keepNext/>
      <w:keepLines/>
      <w:spacing w:before="240" w:after="120"/>
      <w:ind w:left="1236"/>
    </w:pPr>
    <w:rPr>
      <w:sz w:val="20"/>
    </w:rPr>
  </w:style>
  <w:style w:type="paragraph" w:styleId="Header">
    <w:name w:val="header"/>
    <w:basedOn w:val="Normal"/>
    <w:link w:val="HeaderChar"/>
    <w:uiPriority w:val="99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D4752"/>
    <w:rPr>
      <w:rFonts w:cs="Times New Roman"/>
    </w:rPr>
  </w:style>
  <w:style w:type="paragraph" w:customStyle="1" w:styleId="OpiH1">
    <w:name w:val="Opi_H_1"/>
    <w:basedOn w:val="ECHRHeading2"/>
    <w:uiPriority w:val="99"/>
    <w:rsid w:val="00AA174E"/>
    <w:pPr>
      <w:ind w:left="635" w:hanging="357"/>
      <w:outlineLvl w:val="2"/>
    </w:pPr>
  </w:style>
  <w:style w:type="paragraph" w:customStyle="1" w:styleId="ECHRHeading2">
    <w:name w:val="ECHR_Heading_2"/>
    <w:aliases w:val="Ju_H_A"/>
    <w:basedOn w:val="Heading2"/>
    <w:next w:val="ECHRPara"/>
    <w:uiPriority w:val="99"/>
    <w:rsid w:val="00AA174E"/>
    <w:pPr>
      <w:keepNext/>
      <w:keepLines/>
      <w:numPr>
        <w:ilvl w:val="0"/>
        <w:numId w:val="0"/>
      </w:numPr>
      <w:tabs>
        <w:tab w:val="left" w:pos="584"/>
      </w:tabs>
      <w:spacing w:before="360" w:after="240"/>
      <w:ind w:left="584" w:hanging="352"/>
      <w:jc w:val="both"/>
    </w:pPr>
    <w:rPr>
      <w:color w:val="auto"/>
      <w:sz w:val="24"/>
    </w:rPr>
  </w:style>
  <w:style w:type="paragraph" w:customStyle="1" w:styleId="OpiHa0">
    <w:name w:val="Opi_H_a"/>
    <w:basedOn w:val="ECHRHeading3"/>
    <w:uiPriority w:val="99"/>
    <w:rsid w:val="00AA174E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99"/>
    <w:rsid w:val="00AA174E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"/>
    <w:uiPriority w:val="99"/>
    <w:semiHidden/>
    <w:rsid w:val="00AA174E"/>
    <w:rPr>
      <w:color w:val="00B050"/>
    </w:rPr>
  </w:style>
  <w:style w:type="paragraph" w:customStyle="1" w:styleId="ECHRDecisionBody">
    <w:name w:val="ECHR_Decision_Body"/>
    <w:aliases w:val="Ju_Judges"/>
    <w:basedOn w:val="Normal"/>
    <w:uiPriority w:val="99"/>
    <w:rsid w:val="00AA174E"/>
    <w:pPr>
      <w:tabs>
        <w:tab w:val="left" w:pos="567"/>
        <w:tab w:val="left" w:pos="1134"/>
      </w:tabs>
      <w:jc w:val="left"/>
    </w:pPr>
  </w:style>
  <w:style w:type="paragraph" w:customStyle="1" w:styleId="ECHRPara">
    <w:name w:val="ECHR_Para"/>
    <w:aliases w:val="Ju_Para"/>
    <w:basedOn w:val="Normal"/>
    <w:link w:val="JuParaCar"/>
    <w:uiPriority w:val="99"/>
    <w:rsid w:val="00AA174E"/>
    <w:pPr>
      <w:ind w:firstLine="284"/>
    </w:pPr>
    <w:rPr>
      <w:szCs w:val="20"/>
      <w:lang w:val="bg-BG" w:eastAsia="bg-BG"/>
    </w:rPr>
  </w:style>
  <w:style w:type="paragraph" w:customStyle="1" w:styleId="JuList">
    <w:name w:val="Ju_List"/>
    <w:basedOn w:val="Normal"/>
    <w:uiPriority w:val="99"/>
    <w:rsid w:val="00AA174E"/>
    <w:pPr>
      <w:ind w:left="340" w:hanging="340"/>
    </w:pPr>
  </w:style>
  <w:style w:type="paragraph" w:customStyle="1" w:styleId="JuSigned">
    <w:name w:val="Ju_Signed"/>
    <w:basedOn w:val="Normal"/>
    <w:next w:val="JuParaLast"/>
    <w:uiPriority w:val="99"/>
    <w:rsid w:val="00AA174E"/>
    <w:pPr>
      <w:tabs>
        <w:tab w:val="center" w:pos="851"/>
        <w:tab w:val="center" w:pos="6407"/>
      </w:tabs>
      <w:spacing w:before="720"/>
      <w:jc w:val="left"/>
    </w:pPr>
  </w:style>
  <w:style w:type="character" w:styleId="SubtleEmphasis">
    <w:name w:val="Subtle Emphasis"/>
    <w:basedOn w:val="DefaultParagraphFont"/>
    <w:uiPriority w:val="99"/>
    <w:qFormat/>
    <w:rsid w:val="00AA174E"/>
    <w:rPr>
      <w:rFonts w:cs="Times New Roman"/>
      <w:i/>
    </w:rPr>
  </w:style>
  <w:style w:type="table" w:customStyle="1" w:styleId="ECHRTable">
    <w:name w:val="ECHR_Table"/>
    <w:uiPriority w:val="99"/>
    <w:rsid w:val="00860B03"/>
    <w:rPr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ECHRTitle1">
    <w:name w:val="ECHR_Title_1"/>
    <w:aliases w:val="Ju_H_Head"/>
    <w:basedOn w:val="Normal"/>
    <w:next w:val="ECHRPara"/>
    <w:uiPriority w:val="99"/>
    <w:rsid w:val="00AA174E"/>
    <w:pPr>
      <w:keepNext/>
      <w:keepLines/>
      <w:spacing w:before="720" w:after="240"/>
      <w:outlineLvl w:val="0"/>
    </w:pPr>
    <w:rPr>
      <w:sz w:val="28"/>
    </w:rPr>
  </w:style>
  <w:style w:type="character" w:styleId="Emphasis">
    <w:name w:val="Emphasis"/>
    <w:basedOn w:val="DefaultParagraphFont"/>
    <w:uiPriority w:val="99"/>
    <w:qFormat/>
    <w:rsid w:val="00AA174E"/>
    <w:rPr>
      <w:rFonts w:cs="Times New Roman"/>
      <w:b/>
      <w:i/>
      <w:spacing w:val="10"/>
      <w:shd w:val="clear" w:color="auto" w:fill="auto"/>
    </w:rPr>
  </w:style>
  <w:style w:type="paragraph" w:styleId="Footer">
    <w:name w:val="footer"/>
    <w:basedOn w:val="Normal"/>
    <w:link w:val="FooterChar"/>
    <w:uiPriority w:val="99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D4752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94174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94174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671F8"/>
    <w:rPr>
      <w:rFonts w:eastAsia="MS Mincho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941747"/>
    <w:rPr>
      <w:rFonts w:cs="Times New Roman"/>
      <w:color w:val="0072BC"/>
      <w:u w:val="single"/>
    </w:rPr>
  </w:style>
  <w:style w:type="character" w:styleId="IntenseEmphasis">
    <w:name w:val="Intense Emphasis"/>
    <w:basedOn w:val="DefaultParagraphFont"/>
    <w:uiPriority w:val="99"/>
    <w:qFormat/>
    <w:rsid w:val="00AA174E"/>
    <w:rPr>
      <w:rFonts w:cs="Times New Roman"/>
      <w:b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AA174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locked/>
    <w:rsid w:val="00AA174E"/>
    <w:rPr>
      <w:rFonts w:eastAsia="MS Mincho" w:cs="Times New Roman"/>
      <w:b/>
      <w:bCs/>
      <w:i/>
      <w:iCs/>
    </w:rPr>
  </w:style>
  <w:style w:type="character" w:styleId="IntenseReference">
    <w:name w:val="Intense Reference"/>
    <w:basedOn w:val="DefaultParagraphFont"/>
    <w:uiPriority w:val="99"/>
    <w:qFormat/>
    <w:rsid w:val="00AA174E"/>
    <w:rPr>
      <w:rFonts w:cs="Times New Roman"/>
      <w:smallCaps/>
      <w:spacing w:val="5"/>
      <w:u w:val="single"/>
    </w:rPr>
  </w:style>
  <w:style w:type="paragraph" w:styleId="ListParagraph">
    <w:name w:val="List Paragraph"/>
    <w:basedOn w:val="Normal"/>
    <w:uiPriority w:val="99"/>
    <w:qFormat/>
    <w:rsid w:val="00AA174E"/>
    <w:pPr>
      <w:ind w:left="720"/>
      <w:contextualSpacing/>
    </w:pPr>
  </w:style>
  <w:style w:type="table" w:customStyle="1" w:styleId="LtrTableAddress">
    <w:name w:val="Ltr_Table_Address"/>
    <w:uiPriority w:val="99"/>
    <w:rsid w:val="001E6F32"/>
    <w:rPr>
      <w:sz w:val="20"/>
      <w:szCs w:val="20"/>
    </w:rPr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Quote">
    <w:name w:val="Quote"/>
    <w:basedOn w:val="Normal"/>
    <w:next w:val="Normal"/>
    <w:link w:val="QuoteChar"/>
    <w:uiPriority w:val="99"/>
    <w:qFormat/>
    <w:rsid w:val="00AA174E"/>
    <w:pPr>
      <w:spacing w:before="200"/>
      <w:ind w:left="360" w:right="360"/>
    </w:pPr>
    <w:rPr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99"/>
    <w:semiHidden/>
    <w:locked/>
    <w:rsid w:val="00AA174E"/>
    <w:rPr>
      <w:rFonts w:eastAsia="MS Mincho" w:cs="Times New Roman"/>
      <w:i/>
      <w:iCs/>
    </w:rPr>
  </w:style>
  <w:style w:type="character" w:styleId="SubtleReference">
    <w:name w:val="Subtle Reference"/>
    <w:basedOn w:val="DefaultParagraphFont"/>
    <w:uiPriority w:val="99"/>
    <w:qFormat/>
    <w:rsid w:val="00AA174E"/>
    <w:rPr>
      <w:rFonts w:cs="Times New Roman"/>
      <w:smallCaps/>
    </w:rPr>
  </w:style>
  <w:style w:type="table" w:styleId="TableGrid">
    <w:name w:val="Table Grid"/>
    <w:basedOn w:val="TableNormal"/>
    <w:uiPriority w:val="99"/>
    <w:semiHidden/>
    <w:rsid w:val="00941747"/>
    <w:rPr>
      <w:rFonts w:eastAsia="MS Mincho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EA185E"/>
    <w:pPr>
      <w:spacing w:before="120" w:after="60"/>
      <w:ind w:left="340" w:right="340" w:hanging="340"/>
    </w:pPr>
    <w:rPr>
      <w:color w:val="0D0D0D"/>
    </w:rPr>
  </w:style>
  <w:style w:type="paragraph" w:styleId="TOC2">
    <w:name w:val="toc 2"/>
    <w:basedOn w:val="Normal"/>
    <w:next w:val="Normal"/>
    <w:autoRedefine/>
    <w:uiPriority w:val="99"/>
    <w:semiHidden/>
    <w:rsid w:val="00EA185E"/>
    <w:pPr>
      <w:spacing w:after="60"/>
      <w:ind w:left="680" w:right="340" w:hanging="340"/>
    </w:pPr>
  </w:style>
  <w:style w:type="paragraph" w:styleId="TOC3">
    <w:name w:val="toc 3"/>
    <w:basedOn w:val="Normal"/>
    <w:next w:val="Normal"/>
    <w:autoRedefine/>
    <w:uiPriority w:val="99"/>
    <w:semiHidden/>
    <w:rsid w:val="00EA185E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99"/>
    <w:semiHidden/>
    <w:rsid w:val="00EA185E"/>
    <w:pPr>
      <w:tabs>
        <w:tab w:val="right" w:leader="dot" w:pos="9017"/>
      </w:tabs>
      <w:spacing w:after="60"/>
      <w:ind w:left="1361" w:right="340" w:hanging="340"/>
    </w:pPr>
  </w:style>
  <w:style w:type="paragraph" w:styleId="TOC5">
    <w:name w:val="toc 5"/>
    <w:basedOn w:val="Normal"/>
    <w:next w:val="Normal"/>
    <w:autoRedefine/>
    <w:uiPriority w:val="99"/>
    <w:semiHidden/>
    <w:rsid w:val="00B46543"/>
    <w:pPr>
      <w:spacing w:after="60"/>
      <w:ind w:left="1701" w:right="340" w:hanging="340"/>
    </w:pPr>
  </w:style>
  <w:style w:type="paragraph" w:styleId="TOCHeading">
    <w:name w:val="TOC Heading"/>
    <w:basedOn w:val="Heading1"/>
    <w:next w:val="Normal"/>
    <w:uiPriority w:val="99"/>
    <w:qFormat/>
    <w:rsid w:val="00AA174E"/>
    <w:pPr>
      <w:tabs>
        <w:tab w:val="clear" w:pos="360"/>
      </w:tabs>
      <w:ind w:left="0" w:firstLine="0"/>
      <w:jc w:val="both"/>
      <w:outlineLvl w:val="9"/>
    </w:pPr>
    <w:rPr>
      <w:color w:val="474747"/>
    </w:rPr>
  </w:style>
  <w:style w:type="table" w:customStyle="1" w:styleId="UGTable">
    <w:name w:val="UG_Table"/>
    <w:uiPriority w:val="99"/>
    <w:rsid w:val="00572845"/>
    <w:rPr>
      <w:rFonts w:eastAsia="MS Mincho"/>
      <w:sz w:val="20"/>
      <w:szCs w:val="20"/>
      <w:lang w:val="en-GB" w:eastAsia="en-GB"/>
    </w:rPr>
    <w:tblPr>
      <w:tblInd w:w="-964" w:type="dxa"/>
      <w:tblCellMar>
        <w:top w:w="0" w:type="dxa"/>
        <w:left w:w="57" w:type="dxa"/>
        <w:bottom w:w="57" w:type="dxa"/>
        <w:right w:w="113" w:type="dxa"/>
      </w:tblCellMar>
    </w:tblPr>
  </w:style>
  <w:style w:type="table" w:customStyle="1" w:styleId="UGTableWhiteBox">
    <w:name w:val="UG_Table_White_Box"/>
    <w:uiPriority w:val="99"/>
    <w:rsid w:val="003609FA"/>
    <w:rPr>
      <w:rFonts w:eastAsia="MS Mincho"/>
      <w:sz w:val="20"/>
      <w:szCs w:val="20"/>
      <w:lang w:val="en-GB" w:eastAsia="en-GB"/>
    </w:rPr>
    <w:tblPr>
      <w:tblInd w:w="113" w:type="dxa"/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20"/>
    </w:rPr>
    <w:tblPr>
      <w:tblInd w:w="0" w:type="dxa"/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  <w:sz w:val="20"/>
      <w:szCs w:val="20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rPr>
      <w:sz w:val="20"/>
      <w:szCs w:val="20"/>
    </w:rPr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rPr>
      <w:sz w:val="20"/>
      <w:szCs w:val="20"/>
    </w:rPr>
    <w:tblPr>
      <w:jc w:val="center"/>
      <w:tblInd w:w="0" w:type="dxa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TOAHeading">
    <w:name w:val="toa heading"/>
    <w:basedOn w:val="Normal"/>
    <w:next w:val="Normal"/>
    <w:uiPriority w:val="99"/>
    <w:semiHidden/>
    <w:rsid w:val="00C333A0"/>
    <w:pPr>
      <w:spacing w:before="120"/>
    </w:pPr>
    <w:rPr>
      <w:rFonts w:eastAsia="MS Gothic"/>
      <w:b/>
      <w:bCs/>
      <w:color w:val="474747"/>
      <w:szCs w:val="24"/>
    </w:rPr>
  </w:style>
  <w:style w:type="paragraph" w:customStyle="1" w:styleId="ECHRParaQuote">
    <w:name w:val="ECHR_Para_Quote"/>
    <w:aliases w:val="Ju_Quot"/>
    <w:basedOn w:val="Normal"/>
    <w:uiPriority w:val="99"/>
    <w:rsid w:val="00AA174E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uiPriority w:val="99"/>
    <w:rsid w:val="00AE354C"/>
    <w:rPr>
      <w:sz w:val="20"/>
      <w:szCs w:val="20"/>
    </w:rPr>
    <w:tblPr>
      <w:tblInd w:w="0" w:type="dxa"/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rPr>
      <w:sz w:val="20"/>
      <w:szCs w:val="20"/>
    </w:rPr>
    <w:tblPr>
      <w:tblInd w:w="0" w:type="dxa"/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szCs w:val="20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520BAA"/>
    <w:rPr>
      <w:sz w:val="20"/>
      <w:szCs w:val="20"/>
    </w:rPr>
    <w:tblPr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">
    <w:name w:val="ECHR_Header_Table"/>
    <w:uiPriority w:val="99"/>
    <w:rsid w:val="00661971"/>
    <w:rPr>
      <w:sz w:val="20"/>
      <w:szCs w:val="20"/>
    </w:rPr>
    <w:tblPr>
      <w:tblInd w:w="-680" w:type="dxa"/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table" w:customStyle="1" w:styleId="ECHRTableOddBanded">
    <w:name w:val="ECHR_Table_Odd_Banded"/>
    <w:uiPriority w:val="99"/>
    <w:rsid w:val="00860B03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Reduced">
    <w:name w:val="ECHR_Header_Table_Reduced"/>
    <w:uiPriority w:val="99"/>
    <w:rsid w:val="00B52BE0"/>
    <w:rPr>
      <w:sz w:val="20"/>
      <w:szCs w:val="20"/>
    </w:rPr>
    <w:tblPr>
      <w:tblInd w:w="-68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ParaLast">
    <w:name w:val="Ju_Para_Last"/>
    <w:basedOn w:val="Normal"/>
    <w:next w:val="ECHRPara"/>
    <w:uiPriority w:val="99"/>
    <w:rsid w:val="00AA174E"/>
    <w:pPr>
      <w:keepNext/>
      <w:keepLines/>
      <w:spacing w:before="240"/>
      <w:ind w:firstLine="284"/>
    </w:pPr>
  </w:style>
  <w:style w:type="paragraph" w:customStyle="1" w:styleId="JuCase">
    <w:name w:val="Ju_Case"/>
    <w:basedOn w:val="Normal"/>
    <w:next w:val="Normal"/>
    <w:uiPriority w:val="99"/>
    <w:rsid w:val="00470981"/>
    <w:pPr>
      <w:ind w:firstLine="284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sid w:val="0047098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70981"/>
    <w:rPr>
      <w:rFonts w:eastAsia="MS Mincho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70981"/>
    <w:rPr>
      <w:b/>
      <w:bCs/>
      <w:szCs w:val="22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70981"/>
    <w:rPr>
      <w:rFonts w:eastAsia="MS Mincho" w:cs="Times New Roman"/>
      <w:b/>
      <w:bCs/>
      <w:sz w:val="20"/>
      <w:szCs w:val="20"/>
    </w:rPr>
  </w:style>
  <w:style w:type="character" w:styleId="PageNumber">
    <w:name w:val="page number"/>
    <w:basedOn w:val="DefaultParagraphFont"/>
    <w:uiPriority w:val="99"/>
    <w:semiHidden/>
    <w:rsid w:val="00470981"/>
    <w:rPr>
      <w:rFonts w:cs="Times New Roman"/>
      <w:sz w:val="18"/>
    </w:rPr>
  </w:style>
  <w:style w:type="paragraph" w:customStyle="1" w:styleId="JuLista">
    <w:name w:val="Ju_List_a"/>
    <w:basedOn w:val="JuList"/>
    <w:uiPriority w:val="99"/>
    <w:rsid w:val="00AA174E"/>
    <w:pPr>
      <w:ind w:left="346" w:firstLine="0"/>
    </w:pPr>
  </w:style>
  <w:style w:type="paragraph" w:customStyle="1" w:styleId="JuListi">
    <w:name w:val="Ju_List_i"/>
    <w:basedOn w:val="Normal"/>
    <w:next w:val="JuLista"/>
    <w:uiPriority w:val="99"/>
    <w:rsid w:val="00AA174E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470981"/>
    <w:rPr>
      <w:rFonts w:cs="Times New Roman"/>
      <w:sz w:val="16"/>
    </w:rPr>
  </w:style>
  <w:style w:type="character" w:styleId="EndnoteReference">
    <w:name w:val="endnote reference"/>
    <w:basedOn w:val="DefaultParagraphFont"/>
    <w:uiPriority w:val="99"/>
    <w:semiHidden/>
    <w:rsid w:val="00470981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470981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70981"/>
    <w:rPr>
      <w:rFonts w:eastAsia="MS Mincho" w:cs="Times New Roman"/>
      <w:sz w:val="20"/>
    </w:rPr>
  </w:style>
  <w:style w:type="character" w:styleId="FollowedHyperlink">
    <w:name w:val="FollowedHyperlink"/>
    <w:basedOn w:val="DefaultParagraphFont"/>
    <w:uiPriority w:val="99"/>
    <w:semiHidden/>
    <w:rsid w:val="00470981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470981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70981"/>
    <w:rPr>
      <w:rFonts w:ascii="Tahoma" w:eastAsia="MS Mincho" w:hAnsi="Tahoma" w:cs="Tahoma"/>
      <w:sz w:val="20"/>
      <w:shd w:val="clear" w:color="auto" w:fill="000080"/>
    </w:rPr>
  </w:style>
  <w:style w:type="paragraph" w:styleId="ListBullet">
    <w:name w:val="List Bullet"/>
    <w:basedOn w:val="Normal"/>
    <w:uiPriority w:val="99"/>
    <w:semiHidden/>
    <w:rsid w:val="00470981"/>
    <w:pPr>
      <w:numPr>
        <w:numId w:val="22"/>
      </w:numPr>
    </w:pPr>
  </w:style>
  <w:style w:type="paragraph" w:styleId="Subtitle">
    <w:name w:val="Subtitle"/>
    <w:basedOn w:val="Normal"/>
    <w:next w:val="Normal"/>
    <w:link w:val="SubtitleChar"/>
    <w:uiPriority w:val="99"/>
    <w:qFormat/>
    <w:rsid w:val="00AA174E"/>
    <w:pPr>
      <w:spacing w:after="600"/>
    </w:pPr>
    <w:rPr>
      <w:rFonts w:eastAsia="MS Gothic"/>
      <w:i/>
      <w:iCs/>
      <w:spacing w:val="13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semiHidden/>
    <w:locked/>
    <w:rsid w:val="00AA174E"/>
    <w:rPr>
      <w:rFonts w:ascii="Times New Roman" w:eastAsia="MS Gothic" w:hAnsi="Times New Roman" w:cs="Times New Roman"/>
      <w:i/>
      <w:iCs/>
      <w:spacing w:val="13"/>
      <w:sz w:val="24"/>
      <w:szCs w:val="24"/>
    </w:rPr>
  </w:style>
  <w:style w:type="paragraph" w:styleId="Bibliography">
    <w:name w:val="Bibliography"/>
    <w:basedOn w:val="Normal"/>
    <w:next w:val="Normal"/>
    <w:uiPriority w:val="99"/>
    <w:semiHidden/>
    <w:rsid w:val="00470981"/>
  </w:style>
  <w:style w:type="paragraph" w:styleId="BlockText">
    <w:name w:val="Block Text"/>
    <w:basedOn w:val="Normal"/>
    <w:uiPriority w:val="99"/>
    <w:semiHidden/>
    <w:rsid w:val="00470981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paragraph" w:styleId="BodyText">
    <w:name w:val="Body Text"/>
    <w:basedOn w:val="Normal"/>
    <w:link w:val="BodyTextChar"/>
    <w:uiPriority w:val="99"/>
    <w:semiHidden/>
    <w:rsid w:val="0047098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70981"/>
    <w:rPr>
      <w:rFonts w:eastAsia="MS Mincho" w:cs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47098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70981"/>
    <w:rPr>
      <w:rFonts w:eastAsia="MS Mincho" w:cs="Times New Roman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4709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70981"/>
    <w:rPr>
      <w:rFonts w:eastAsia="MS Mincho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47098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470981"/>
    <w:rPr>
      <w:rFonts w:eastAsia="MS Mincho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47098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70981"/>
    <w:rPr>
      <w:rFonts w:eastAsia="MS Mincho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470981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470981"/>
    <w:rPr>
      <w:rFonts w:eastAsia="MS Mincho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47098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70981"/>
    <w:rPr>
      <w:rFonts w:eastAsia="MS Mincho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47098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70981"/>
    <w:rPr>
      <w:rFonts w:eastAsia="MS Mincho"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470981"/>
    <w:pPr>
      <w:spacing w:after="200"/>
    </w:pPr>
    <w:rPr>
      <w:b/>
      <w:bCs/>
      <w:color w:val="0072BC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470981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470981"/>
    <w:rPr>
      <w:rFonts w:eastAsia="MS Mincho" w:cs="Times New Roman"/>
      <w:sz w:val="24"/>
    </w:rPr>
  </w:style>
  <w:style w:type="table" w:styleId="ColorfulGrid">
    <w:name w:val="Colorful Grid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rFonts w:cs="Times New Roman"/>
        <w:b/>
        <w:bCs/>
      </w:rPr>
      <w:tblPr/>
      <w:tcPr>
        <w:shd w:val="clear" w:color="auto" w:fill="999999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999999"/>
      </w:tcPr>
    </w:tblStylePr>
    <w:tblStylePr w:type="firstCol">
      <w:rPr>
        <w:rFonts w:cs="Times New Roman"/>
        <w:color w:val="0072BC"/>
      </w:rPr>
      <w:tblPr/>
      <w:tcPr>
        <w:shd w:val="clear" w:color="auto" w:fill="000000"/>
      </w:tcPr>
    </w:tblStylePr>
    <w:tblStylePr w:type="lastCol">
      <w:rPr>
        <w:rFonts w:cs="Times New Roman"/>
        <w:color w:val="0072BC"/>
      </w:rPr>
      <w:tblPr/>
      <w:tcPr>
        <w:shd w:val="clear" w:color="auto" w:fill="000000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rFonts w:cs="Times New Roman"/>
        <w:b/>
        <w:bCs/>
      </w:rPr>
      <w:tblPr/>
      <w:tcPr>
        <w:shd w:val="clear" w:color="auto" w:fill="7ECBF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7ECBFF"/>
      </w:tcPr>
    </w:tblStylePr>
    <w:tblStylePr w:type="firstCol">
      <w:rPr>
        <w:rFonts w:cs="Times New Roman"/>
        <w:color w:val="0072BC"/>
      </w:rPr>
      <w:tblPr/>
      <w:tcPr>
        <w:shd w:val="clear" w:color="auto" w:fill="00548C"/>
      </w:tcPr>
    </w:tblStylePr>
    <w:tblStylePr w:type="lastCol">
      <w:rPr>
        <w:rFonts w:cs="Times New Roman"/>
        <w:color w:val="0072BC"/>
      </w:rPr>
      <w:tblPr/>
      <w:tcPr>
        <w:shd w:val="clear" w:color="auto" w:fill="00548C"/>
      </w:tcPr>
    </w:tblStylePr>
    <w:tblStylePr w:type="band1Vert">
      <w:rPr>
        <w:rFonts w:cs="Times New Roman"/>
      </w:rPr>
      <w:tblPr/>
      <w:tcPr>
        <w:shd w:val="clear" w:color="auto" w:fill="5EBFFF"/>
      </w:tcPr>
    </w:tblStylePr>
    <w:tblStylePr w:type="band1Horz">
      <w:rPr>
        <w:rFonts w:cs="Times New Roman"/>
      </w:rPr>
      <w:tblPr/>
      <w:tcPr>
        <w:shd w:val="clear" w:color="auto" w:fill="5EBFFF"/>
      </w:tcPr>
    </w:tblStylePr>
  </w:style>
  <w:style w:type="table" w:styleId="ColorfulGrid-Accent2">
    <w:name w:val="Colorful Grid Accent 2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rFonts w:cs="Times New Roman"/>
        <w:b/>
        <w:bCs/>
      </w:rPr>
      <w:tblPr/>
      <w:tcPr>
        <w:shd w:val="clear" w:color="auto" w:fill="FF7F7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FF7F7F"/>
      </w:tcPr>
    </w:tblStylePr>
    <w:tblStylePr w:type="firstCol">
      <w:rPr>
        <w:rFonts w:cs="Times New Roman"/>
        <w:color w:val="0072BC"/>
      </w:rPr>
      <w:tblPr/>
      <w:tcPr>
        <w:shd w:val="clear" w:color="auto" w:fill="8F0000"/>
      </w:tcPr>
    </w:tblStylePr>
    <w:tblStylePr w:type="lastCol">
      <w:rPr>
        <w:rFonts w:cs="Times New Roman"/>
        <w:color w:val="0072BC"/>
      </w:rPr>
      <w:tblPr/>
      <w:tcPr>
        <w:shd w:val="clear" w:color="auto" w:fill="8F0000"/>
      </w:tcPr>
    </w:tblStylePr>
    <w:tblStylePr w:type="band1Vert">
      <w:rPr>
        <w:rFonts w:cs="Times New Roman"/>
      </w:rPr>
      <w:tblPr/>
      <w:tcPr>
        <w:shd w:val="clear" w:color="auto" w:fill="FF6060"/>
      </w:tcPr>
    </w:tblStylePr>
    <w:tblStylePr w:type="band1Horz">
      <w:rPr>
        <w:rFonts w:cs="Times New Roman"/>
      </w:rPr>
      <w:tblPr/>
      <w:tcPr>
        <w:shd w:val="clear" w:color="auto" w:fill="FF6060"/>
      </w:tcPr>
    </w:tblStylePr>
  </w:style>
  <w:style w:type="table" w:styleId="ColorfulGrid-Accent3">
    <w:name w:val="Colorful Grid Accent 3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rFonts w:cs="Times New Roman"/>
        <w:b/>
        <w:bCs/>
      </w:rPr>
      <w:tblPr/>
      <w:tcPr>
        <w:shd w:val="clear" w:color="auto" w:fill="BFBFB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BFBFBF"/>
      </w:tcPr>
    </w:tblStylePr>
    <w:tblStylePr w:type="firstCol">
      <w:rPr>
        <w:rFonts w:cs="Times New Roman"/>
        <w:color w:val="0072BC"/>
      </w:rPr>
      <w:tblPr/>
      <w:tcPr>
        <w:shd w:val="clear" w:color="auto" w:fill="474747"/>
      </w:tcPr>
    </w:tblStylePr>
    <w:tblStylePr w:type="lastCol">
      <w:rPr>
        <w:rFonts w:cs="Times New Roman"/>
        <w:color w:val="0072BC"/>
      </w:rPr>
      <w:tblPr/>
      <w:tcPr>
        <w:shd w:val="clear" w:color="auto" w:fill="474747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ColorfulGrid-Accent4">
    <w:name w:val="Colorful Grid Accent 4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rFonts w:cs="Times New Roman"/>
        <w:b/>
        <w:bCs/>
      </w:rPr>
      <w:tblPr/>
      <w:tcPr>
        <w:shd w:val="clear" w:color="auto" w:fill="D5D5D5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D5D5D5"/>
      </w:tcPr>
    </w:tblStylePr>
    <w:tblStylePr w:type="firstCol">
      <w:rPr>
        <w:rFonts w:cs="Times New Roman"/>
        <w:color w:val="0072BC"/>
      </w:rPr>
      <w:tblPr/>
      <w:tcPr>
        <w:shd w:val="clear" w:color="auto" w:fill="707070"/>
      </w:tcPr>
    </w:tblStylePr>
    <w:tblStylePr w:type="lastCol">
      <w:rPr>
        <w:rFonts w:cs="Times New Roman"/>
        <w:color w:val="0072BC"/>
      </w:rPr>
      <w:tblPr/>
      <w:tcPr>
        <w:shd w:val="clear" w:color="auto" w:fill="707070"/>
      </w:tcPr>
    </w:tblStylePr>
    <w:tblStylePr w:type="band1Vert">
      <w:rPr>
        <w:rFonts w:cs="Times New Roman"/>
      </w:rPr>
      <w:tblPr/>
      <w:tcPr>
        <w:shd w:val="clear" w:color="auto" w:fill="CACACA"/>
      </w:tcPr>
    </w:tblStylePr>
    <w:tblStylePr w:type="band1Horz">
      <w:rPr>
        <w:rFonts w:cs="Times New Roman"/>
      </w:rPr>
      <w:tblPr/>
      <w:tcPr>
        <w:shd w:val="clear" w:color="auto" w:fill="CACACA"/>
      </w:tcPr>
    </w:tblStylePr>
  </w:style>
  <w:style w:type="table" w:styleId="ColorfulGrid-Accent5">
    <w:name w:val="Colorful Grid Accent 5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rFonts w:cs="Times New Roman"/>
        <w:b/>
        <w:bCs/>
      </w:rPr>
      <w:tblPr/>
      <w:tcPr>
        <w:shd w:val="clear" w:color="auto" w:fill="BFBFB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BFBFBF"/>
      </w:tcPr>
    </w:tblStylePr>
    <w:tblStylePr w:type="firstCol">
      <w:rPr>
        <w:rFonts w:cs="Times New Roman"/>
        <w:color w:val="0072BC"/>
      </w:rPr>
      <w:tblPr/>
      <w:tcPr>
        <w:shd w:val="clear" w:color="auto" w:fill="474747"/>
      </w:tcPr>
    </w:tblStylePr>
    <w:tblStylePr w:type="lastCol">
      <w:rPr>
        <w:rFonts w:cs="Times New Roman"/>
        <w:color w:val="0072BC"/>
      </w:rPr>
      <w:tblPr/>
      <w:tcPr>
        <w:shd w:val="clear" w:color="auto" w:fill="474747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ColorfulGrid-Accent6">
    <w:name w:val="Colorful Grid Accent 6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rFonts w:cs="Times New Roman"/>
        <w:b/>
        <w:bCs/>
      </w:rPr>
      <w:tblPr/>
      <w:tcPr>
        <w:shd w:val="clear" w:color="auto" w:fill="B7B7B7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B7B7B7"/>
      </w:tcPr>
    </w:tblStylePr>
    <w:tblStylePr w:type="firstCol">
      <w:rPr>
        <w:rFonts w:cs="Times New Roman"/>
        <w:color w:val="0072BC"/>
      </w:rPr>
      <w:tblPr/>
      <w:tcPr>
        <w:shd w:val="clear" w:color="auto" w:fill="393939"/>
      </w:tcPr>
    </w:tblStylePr>
    <w:tblStylePr w:type="lastCol">
      <w:rPr>
        <w:rFonts w:cs="Times New Roman"/>
        <w:color w:val="0072BC"/>
      </w:rPr>
      <w:tblPr/>
      <w:tcPr>
        <w:shd w:val="clear" w:color="auto" w:fill="393939"/>
      </w:tcPr>
    </w:tblStylePr>
    <w:tblStylePr w:type="band1Vert">
      <w:rPr>
        <w:rFonts w:cs="Times New Roman"/>
      </w:rPr>
      <w:tblPr/>
      <w:tcPr>
        <w:shd w:val="clear" w:color="auto" w:fill="A6A6A6"/>
      </w:tcPr>
    </w:tblStylePr>
    <w:tblStylePr w:type="band1Horz">
      <w:rPr>
        <w:rFonts w:cs="Times New Roman"/>
      </w:rPr>
      <w:tblPr/>
      <w:tcPr>
        <w:shd w:val="clear" w:color="auto" w:fill="A6A6A6"/>
      </w:tcPr>
    </w:tblStylePr>
  </w:style>
  <w:style w:type="table" w:styleId="ColorfulList">
    <w:name w:val="Colorful List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rFonts w:cs="Times New Roman"/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DFF2F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rFonts w:cs="Times New Roman"/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rPr>
        <w:rFonts w:cs="Times New Roman"/>
      </w:rPr>
      <w:tblPr/>
      <w:tcPr>
        <w:shd w:val="clear" w:color="auto" w:fill="BEE5FF"/>
      </w:tcPr>
    </w:tblStylePr>
  </w:style>
  <w:style w:type="table" w:styleId="ColorfulList-Accent2">
    <w:name w:val="Colorful List Accent 2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FDFD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rFonts w:cs="Times New Roman"/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rPr>
        <w:rFonts w:cs="Times New Roman"/>
      </w:rPr>
      <w:tblPr/>
      <w:tcPr>
        <w:shd w:val="clear" w:color="auto" w:fill="FFBFBF"/>
      </w:tcPr>
    </w:tblStylePr>
  </w:style>
  <w:style w:type="table" w:styleId="ColorfulList-Accent3">
    <w:name w:val="Colorful List Accent 3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rFonts w:cs="Times New Roman"/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FDFDF"/>
      </w:tcPr>
    </w:tblStylePr>
  </w:style>
  <w:style w:type="table" w:styleId="ColorfulList-Accent4">
    <w:name w:val="Colorful List Accent 4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4F4F4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rFonts w:cs="Times New Roman"/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rPr>
        <w:rFonts w:cs="Times New Roman"/>
      </w:rPr>
      <w:tblPr/>
      <w:tcPr>
        <w:shd w:val="clear" w:color="auto" w:fill="EAEAEA"/>
      </w:tcPr>
    </w:tblStylePr>
  </w:style>
  <w:style w:type="table" w:styleId="ColorfulList-Accent5">
    <w:name w:val="Colorful List Accent 5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rFonts w:cs="Times New Roman"/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FDFDF"/>
      </w:tcPr>
    </w:tblStylePr>
  </w:style>
  <w:style w:type="table" w:styleId="ColorfulList-Accent6">
    <w:name w:val="Colorful List Accent 6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DEDED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rFonts w:cs="Times New Roman"/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rPr>
        <w:rFonts w:cs="Times New Roman"/>
      </w:rPr>
      <w:tblPr/>
      <w:tcPr>
        <w:shd w:val="clear" w:color="auto" w:fill="DBDBDB"/>
      </w:tcPr>
    </w:tblStylePr>
  </w:style>
  <w:style w:type="table" w:styleId="ColorfulShading">
    <w:name w:val="Colorful Shading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shd w:val="clear" w:color="auto" w:fill="999999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1">
    <w:name w:val="Colorful Shading Accent 1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rPr>
        <w:rFonts w:cs="Times New Roman"/>
      </w:rPr>
      <w:tblPr/>
      <w:tcPr>
        <w:shd w:val="clear" w:color="auto" w:fill="7ECBFF"/>
      </w:tcPr>
    </w:tblStylePr>
    <w:tblStylePr w:type="band1Horz">
      <w:rPr>
        <w:rFonts w:cs="Times New Roman"/>
      </w:rPr>
      <w:tblPr/>
      <w:tcPr>
        <w:shd w:val="clear" w:color="auto" w:fill="5EBFFF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2">
    <w:name w:val="Colorful Shading Accent 2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rPr>
        <w:rFonts w:cs="Times New Roman"/>
      </w:rPr>
      <w:tblPr/>
      <w:tcPr>
        <w:shd w:val="clear" w:color="auto" w:fill="FF7F7F"/>
      </w:tcPr>
    </w:tblStylePr>
    <w:tblStylePr w:type="band1Horz">
      <w:rPr>
        <w:rFonts w:cs="Times New Roman"/>
      </w:rPr>
      <w:tblPr/>
      <w:tcPr>
        <w:shd w:val="clear" w:color="auto" w:fill="FF6060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3">
    <w:name w:val="Colorful Shading Accent 3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rPr>
        <w:rFonts w:cs="Times New Roman"/>
      </w:rPr>
      <w:tblPr/>
      <w:tcPr>
        <w:shd w:val="clear" w:color="auto" w:fill="BFBFB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ColorfulShading-Accent4">
    <w:name w:val="Colorful Shading Accent 4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rPr>
        <w:rFonts w:cs="Times New Roman"/>
      </w:rPr>
      <w:tblPr/>
      <w:tcPr>
        <w:shd w:val="clear" w:color="auto" w:fill="D5D5D5"/>
      </w:tcPr>
    </w:tblStylePr>
    <w:tblStylePr w:type="band1Horz">
      <w:rPr>
        <w:rFonts w:cs="Times New Roman"/>
      </w:rPr>
      <w:tblPr/>
      <w:tcPr>
        <w:shd w:val="clear" w:color="auto" w:fill="CACACA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5">
    <w:name w:val="Colorful Shading Accent 5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rPr>
        <w:rFonts w:cs="Times New Roman"/>
      </w:rPr>
      <w:tblPr/>
      <w:tcPr>
        <w:shd w:val="clear" w:color="auto" w:fill="BFBFB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Shading-Accent6">
    <w:name w:val="Colorful Shading Accent 6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rPr>
        <w:rFonts w:cs="Times New Roman"/>
      </w:rPr>
      <w:tblPr/>
      <w:tcPr>
        <w:shd w:val="clear" w:color="auto" w:fill="B7B7B7"/>
      </w:tcPr>
    </w:tblStylePr>
    <w:tblStylePr w:type="band1Horz">
      <w:rPr>
        <w:rFonts w:cs="Times New Roman"/>
      </w:rPr>
      <w:tblPr/>
      <w:tcPr>
        <w:shd w:val="clear" w:color="auto" w:fill="A6A6A6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DarkList">
    <w:name w:val="Dark List"/>
    <w:basedOn w:val="TableNormal"/>
    <w:uiPriority w:val="99"/>
    <w:semiHidden/>
    <w:rsid w:val="00470981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99"/>
    <w:semiHidden/>
    <w:rsid w:val="00470981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0072BC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DarkList-Accent2">
    <w:name w:val="Dark List Accent 2"/>
    <w:basedOn w:val="TableNormal"/>
    <w:uiPriority w:val="99"/>
    <w:semiHidden/>
    <w:rsid w:val="00470981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C00000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DarkList-Accent3">
    <w:name w:val="Dark List Accent 3"/>
    <w:basedOn w:val="TableNormal"/>
    <w:uiPriority w:val="99"/>
    <w:semiHidden/>
    <w:rsid w:val="00470981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4">
    <w:name w:val="Dark List Accent 4"/>
    <w:basedOn w:val="TableNormal"/>
    <w:uiPriority w:val="99"/>
    <w:semiHidden/>
    <w:rsid w:val="00470981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969696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DarkList-Accent5">
    <w:name w:val="Dark List Accent 5"/>
    <w:basedOn w:val="TableNormal"/>
    <w:uiPriority w:val="99"/>
    <w:semiHidden/>
    <w:rsid w:val="00470981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6">
    <w:name w:val="Dark List Accent 6"/>
    <w:basedOn w:val="TableNormal"/>
    <w:uiPriority w:val="99"/>
    <w:semiHidden/>
    <w:rsid w:val="00470981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4D4D4D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470981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470981"/>
    <w:rPr>
      <w:rFonts w:eastAsia="MS Mincho" w:cs="Times New Roman"/>
      <w:sz w:val="24"/>
    </w:rPr>
  </w:style>
  <w:style w:type="paragraph" w:styleId="E-mailSignature">
    <w:name w:val="E-mail Signature"/>
    <w:basedOn w:val="Normal"/>
    <w:link w:val="E-mailSignatureChar"/>
    <w:uiPriority w:val="99"/>
    <w:semiHidden/>
    <w:rsid w:val="00470981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locked/>
    <w:rsid w:val="00470981"/>
    <w:rPr>
      <w:rFonts w:eastAsia="MS Mincho" w:cs="Times New Roman"/>
      <w:sz w:val="24"/>
    </w:rPr>
  </w:style>
  <w:style w:type="paragraph" w:styleId="EnvelopeAddress">
    <w:name w:val="envelope address"/>
    <w:basedOn w:val="Normal"/>
    <w:uiPriority w:val="99"/>
    <w:semiHidden/>
    <w:rsid w:val="00470981"/>
    <w:pPr>
      <w:framePr w:w="7938" w:h="1985" w:hRule="exact" w:hSpace="141" w:wrap="auto" w:hAnchor="page" w:xAlign="center" w:yAlign="bottom"/>
      <w:ind w:left="2835"/>
    </w:pPr>
    <w:rPr>
      <w:rFonts w:eastAsia="MS Gothic"/>
      <w:szCs w:val="24"/>
    </w:rPr>
  </w:style>
  <w:style w:type="paragraph" w:styleId="EnvelopeReturn">
    <w:name w:val="envelope return"/>
    <w:basedOn w:val="Normal"/>
    <w:uiPriority w:val="99"/>
    <w:semiHidden/>
    <w:rsid w:val="00470981"/>
    <w:rPr>
      <w:rFonts w:eastAsia="MS Gothic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470981"/>
    <w:rPr>
      <w:rFonts w:cs="Times New Roman"/>
    </w:rPr>
  </w:style>
  <w:style w:type="paragraph" w:styleId="HTMLAddress">
    <w:name w:val="HTML Address"/>
    <w:basedOn w:val="Normal"/>
    <w:link w:val="HTMLAddressChar"/>
    <w:uiPriority w:val="99"/>
    <w:semiHidden/>
    <w:rsid w:val="00470981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locked/>
    <w:rsid w:val="00470981"/>
    <w:rPr>
      <w:rFonts w:eastAsia="MS Mincho" w:cs="Times New Roman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470981"/>
    <w:rPr>
      <w:rFonts w:cs="Times New Roman"/>
      <w:i/>
      <w:iCs/>
    </w:rPr>
  </w:style>
  <w:style w:type="character" w:styleId="HTMLCode">
    <w:name w:val="HTML Code"/>
    <w:basedOn w:val="DefaultParagraphFont"/>
    <w:uiPriority w:val="99"/>
    <w:semiHidden/>
    <w:rsid w:val="00470981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470981"/>
    <w:rPr>
      <w:rFonts w:cs="Times New Roman"/>
      <w:i/>
      <w:iCs/>
    </w:rPr>
  </w:style>
  <w:style w:type="character" w:styleId="HTMLKeyboard">
    <w:name w:val="HTML Keyboard"/>
    <w:basedOn w:val="DefaultParagraphFont"/>
    <w:uiPriority w:val="99"/>
    <w:semiHidden/>
    <w:rsid w:val="00470981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470981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470981"/>
    <w:rPr>
      <w:rFonts w:ascii="Consolas" w:eastAsia="MS Mincho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470981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470981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470981"/>
    <w:rPr>
      <w:rFonts w:cs="Times New Roman"/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470981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470981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470981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470981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470981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470981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470981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470981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470981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470981"/>
    <w:rPr>
      <w:rFonts w:eastAsia="MS Gothic"/>
      <w:b/>
      <w:bCs/>
    </w:rPr>
  </w:style>
  <w:style w:type="table" w:styleId="LightGrid">
    <w:name w:val="Light Grid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LightList">
    <w:name w:val="Light List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LightShading">
    <w:name w:val="Light Shading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99"/>
    <w:semiHidden/>
    <w:rsid w:val="00470981"/>
    <w:rPr>
      <w:color w:val="00548C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LightShading-Accent2">
    <w:name w:val="Light Shading Accent 2"/>
    <w:basedOn w:val="TableNormal"/>
    <w:uiPriority w:val="99"/>
    <w:semiHidden/>
    <w:rsid w:val="00470981"/>
    <w:rPr>
      <w:color w:val="8F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LightShading-Accent3">
    <w:name w:val="Light Shading Accent 3"/>
    <w:basedOn w:val="TableNormal"/>
    <w:uiPriority w:val="99"/>
    <w:semiHidden/>
    <w:rsid w:val="00470981"/>
    <w:rPr>
      <w:color w:val="474747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4">
    <w:name w:val="Light Shading Accent 4"/>
    <w:basedOn w:val="TableNormal"/>
    <w:uiPriority w:val="99"/>
    <w:semiHidden/>
    <w:rsid w:val="00470981"/>
    <w:rPr>
      <w:color w:val="70707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LightShading-Accent5">
    <w:name w:val="Light Shading Accent 5"/>
    <w:basedOn w:val="TableNormal"/>
    <w:uiPriority w:val="99"/>
    <w:semiHidden/>
    <w:rsid w:val="00470981"/>
    <w:rPr>
      <w:color w:val="474747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6">
    <w:name w:val="Light Shading Accent 6"/>
    <w:basedOn w:val="TableNormal"/>
    <w:uiPriority w:val="99"/>
    <w:semiHidden/>
    <w:rsid w:val="00470981"/>
    <w:rPr>
      <w:color w:val="393939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LineNumber">
    <w:name w:val="line number"/>
    <w:basedOn w:val="DefaultParagraphFont"/>
    <w:uiPriority w:val="99"/>
    <w:semiHidden/>
    <w:rsid w:val="00470981"/>
    <w:rPr>
      <w:rFonts w:cs="Times New Roman"/>
    </w:rPr>
  </w:style>
  <w:style w:type="paragraph" w:styleId="List">
    <w:name w:val="List"/>
    <w:basedOn w:val="Normal"/>
    <w:uiPriority w:val="99"/>
    <w:semiHidden/>
    <w:rsid w:val="00470981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470981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470981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470981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470981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470981"/>
    <w:pPr>
      <w:numPr>
        <w:numId w:val="2"/>
      </w:numPr>
      <w:tabs>
        <w:tab w:val="clear" w:pos="643"/>
        <w:tab w:val="num" w:pos="720"/>
      </w:tabs>
      <w:ind w:left="720"/>
      <w:contextualSpacing/>
    </w:pPr>
  </w:style>
  <w:style w:type="paragraph" w:styleId="ListBullet3">
    <w:name w:val="List Bullet 3"/>
    <w:basedOn w:val="Normal"/>
    <w:uiPriority w:val="99"/>
    <w:semiHidden/>
    <w:rsid w:val="00470981"/>
    <w:pPr>
      <w:numPr>
        <w:numId w:val="3"/>
      </w:numPr>
      <w:tabs>
        <w:tab w:val="clear" w:pos="926"/>
        <w:tab w:val="num" w:pos="1080"/>
      </w:tabs>
      <w:ind w:left="1080"/>
      <w:contextualSpacing/>
    </w:pPr>
  </w:style>
  <w:style w:type="paragraph" w:styleId="ListBullet4">
    <w:name w:val="List Bullet 4"/>
    <w:basedOn w:val="Normal"/>
    <w:uiPriority w:val="99"/>
    <w:semiHidden/>
    <w:rsid w:val="00470981"/>
    <w:pPr>
      <w:numPr>
        <w:numId w:val="10"/>
      </w:numPr>
      <w:tabs>
        <w:tab w:val="clear" w:pos="1492"/>
        <w:tab w:val="num" w:pos="1209"/>
      </w:tabs>
      <w:ind w:left="1209"/>
      <w:contextualSpacing/>
    </w:pPr>
  </w:style>
  <w:style w:type="paragraph" w:styleId="ListBullet5">
    <w:name w:val="List Bullet 5"/>
    <w:basedOn w:val="Normal"/>
    <w:uiPriority w:val="99"/>
    <w:semiHidden/>
    <w:rsid w:val="00470981"/>
    <w:pPr>
      <w:numPr>
        <w:numId w:val="4"/>
      </w:numPr>
      <w:tabs>
        <w:tab w:val="clear" w:pos="1209"/>
        <w:tab w:val="num" w:pos="1800"/>
      </w:tabs>
      <w:ind w:left="1800"/>
      <w:contextualSpacing/>
    </w:pPr>
  </w:style>
  <w:style w:type="paragraph" w:styleId="ListContinue">
    <w:name w:val="List Continue"/>
    <w:basedOn w:val="Normal"/>
    <w:uiPriority w:val="99"/>
    <w:semiHidden/>
    <w:rsid w:val="00470981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470981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470981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470981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470981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470981"/>
    <w:pPr>
      <w:tabs>
        <w:tab w:val="num" w:pos="360"/>
      </w:tabs>
      <w:ind w:left="360" w:hanging="360"/>
      <w:contextualSpacing/>
    </w:pPr>
  </w:style>
  <w:style w:type="paragraph" w:styleId="ListNumber2">
    <w:name w:val="List Number 2"/>
    <w:basedOn w:val="Normal"/>
    <w:uiPriority w:val="99"/>
    <w:semiHidden/>
    <w:rsid w:val="00470981"/>
    <w:pPr>
      <w:tabs>
        <w:tab w:val="num" w:pos="643"/>
      </w:tabs>
      <w:ind w:left="643" w:hanging="360"/>
      <w:contextualSpacing/>
    </w:pPr>
  </w:style>
  <w:style w:type="paragraph" w:styleId="ListNumber3">
    <w:name w:val="List Number 3"/>
    <w:basedOn w:val="Normal"/>
    <w:uiPriority w:val="99"/>
    <w:semiHidden/>
    <w:rsid w:val="00470981"/>
    <w:pPr>
      <w:numPr>
        <w:numId w:val="6"/>
      </w:numPr>
      <w:tabs>
        <w:tab w:val="clear" w:pos="360"/>
        <w:tab w:val="num" w:pos="926"/>
      </w:tabs>
      <w:ind w:left="926"/>
      <w:contextualSpacing/>
    </w:pPr>
  </w:style>
  <w:style w:type="paragraph" w:styleId="ListNumber4">
    <w:name w:val="List Number 4"/>
    <w:basedOn w:val="Normal"/>
    <w:uiPriority w:val="99"/>
    <w:semiHidden/>
    <w:rsid w:val="00470981"/>
    <w:pPr>
      <w:numPr>
        <w:numId w:val="7"/>
      </w:numPr>
      <w:tabs>
        <w:tab w:val="clear" w:pos="643"/>
        <w:tab w:val="num" w:pos="1209"/>
      </w:tabs>
      <w:ind w:left="1209"/>
      <w:contextualSpacing/>
    </w:pPr>
  </w:style>
  <w:style w:type="paragraph" w:styleId="ListNumber5">
    <w:name w:val="List Number 5"/>
    <w:basedOn w:val="Normal"/>
    <w:uiPriority w:val="99"/>
    <w:semiHidden/>
    <w:rsid w:val="00470981"/>
    <w:pPr>
      <w:numPr>
        <w:numId w:val="8"/>
      </w:numPr>
      <w:tabs>
        <w:tab w:val="clear" w:pos="926"/>
        <w:tab w:val="num" w:pos="1492"/>
      </w:tabs>
      <w:ind w:left="1492"/>
      <w:contextualSpacing/>
    </w:pPr>
  </w:style>
  <w:style w:type="paragraph" w:styleId="MacroText">
    <w:name w:val="macro"/>
    <w:link w:val="MacroTextChar"/>
    <w:uiPriority w:val="99"/>
    <w:semiHidden/>
    <w:rsid w:val="0047098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470981"/>
    <w:rPr>
      <w:rFonts w:ascii="Consolas" w:hAnsi="Consolas" w:cs="Consolas"/>
      <w:lang w:val="en-GB" w:eastAsia="fr-FR" w:bidi="ar-SA"/>
    </w:rPr>
  </w:style>
  <w:style w:type="table" w:styleId="MediumGrid1">
    <w:name w:val="Medium Grid 1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5EBFFF"/>
      </w:tcPr>
    </w:tblStylePr>
    <w:tblStylePr w:type="band1Horz">
      <w:rPr>
        <w:rFonts w:cs="Times New Roman"/>
      </w:rPr>
      <w:tblPr/>
      <w:tcPr>
        <w:shd w:val="clear" w:color="auto" w:fill="5EBFFF"/>
      </w:tcPr>
    </w:tblStylePr>
  </w:style>
  <w:style w:type="table" w:styleId="MediumGrid1-Accent2">
    <w:name w:val="Medium Grid 1 Accent 2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F6060"/>
      </w:tcPr>
    </w:tblStylePr>
    <w:tblStylePr w:type="band1Horz">
      <w:rPr>
        <w:rFonts w:cs="Times New Roman"/>
      </w:rPr>
      <w:tblPr/>
      <w:tcPr>
        <w:shd w:val="clear" w:color="auto" w:fill="FF6060"/>
      </w:tcPr>
    </w:tblStylePr>
  </w:style>
  <w:style w:type="table" w:styleId="MediumGrid1-Accent3">
    <w:name w:val="Medium Grid 1 Accent 3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MediumGrid1-Accent4">
    <w:name w:val="Medium Grid 1 Accent 4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ACACA"/>
      </w:tcPr>
    </w:tblStylePr>
    <w:tblStylePr w:type="band1Horz">
      <w:rPr>
        <w:rFonts w:cs="Times New Roman"/>
      </w:rPr>
      <w:tblPr/>
      <w:tcPr>
        <w:shd w:val="clear" w:color="auto" w:fill="CACACA"/>
      </w:tcPr>
    </w:tblStylePr>
  </w:style>
  <w:style w:type="table" w:styleId="MediumGrid1-Accent5">
    <w:name w:val="Medium Grid 1 Accent 5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MediumGrid1-Accent6">
    <w:name w:val="Medium Grid 1 Accent 6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6A6A6"/>
      </w:tcPr>
    </w:tblStylePr>
    <w:tblStylePr w:type="band1Horz">
      <w:rPr>
        <w:rFonts w:cs="Times New Roman"/>
      </w:rPr>
      <w:tblPr/>
      <w:tcPr>
        <w:shd w:val="clear" w:color="auto" w:fill="A6A6A6"/>
      </w:tcPr>
    </w:tblStylePr>
  </w:style>
  <w:style w:type="table" w:styleId="MediumGrid2">
    <w:name w:val="Medium Grid 2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rFonts w:cs="Times New Roman"/>
        <w:b/>
        <w:bCs/>
        <w:color w:val="000000"/>
      </w:rPr>
      <w:tblPr/>
      <w:tcPr>
        <w:shd w:val="clear" w:color="auto" w:fill="E6E6E6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1">
    <w:name w:val="Medium Grid 2 Accent 1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rFonts w:cs="Times New Roman"/>
        <w:b/>
        <w:bCs/>
        <w:color w:val="000000"/>
      </w:rPr>
      <w:tblPr/>
      <w:tcPr>
        <w:shd w:val="clear" w:color="auto" w:fill="DFF2F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rPr>
        <w:rFonts w:cs="Times New Roman"/>
      </w:rPr>
      <w:tblPr/>
      <w:tcPr>
        <w:shd w:val="clear" w:color="auto" w:fill="5EBFFF"/>
      </w:tcPr>
    </w:tblStylePr>
    <w:tblStylePr w:type="band1Horz">
      <w:rPr>
        <w:rFonts w:cs="Times New Roman"/>
      </w:rPr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2">
    <w:name w:val="Medium Grid 2 Accent 2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rFonts w:cs="Times New Roman"/>
        <w:b/>
        <w:bCs/>
        <w:color w:val="000000"/>
      </w:rPr>
      <w:tblPr/>
      <w:tcPr>
        <w:shd w:val="clear" w:color="auto" w:fill="FFDFD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rPr>
        <w:rFonts w:cs="Times New Roman"/>
      </w:rPr>
      <w:tblPr/>
      <w:tcPr>
        <w:shd w:val="clear" w:color="auto" w:fill="FF6060"/>
      </w:tcPr>
    </w:tblStylePr>
    <w:tblStylePr w:type="band1Horz">
      <w:rPr>
        <w:rFonts w:cs="Times New Roman"/>
      </w:rPr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3">
    <w:name w:val="Medium Grid 2 Accent 3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rFonts w:cs="Times New Roman"/>
        <w:b/>
        <w:bCs/>
        <w:color w:val="000000"/>
      </w:rPr>
      <w:tblPr/>
      <w:tcPr>
        <w:shd w:val="clear" w:color="auto" w:fill="EFEFE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4">
    <w:name w:val="Medium Grid 2 Accent 4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rFonts w:cs="Times New Roman"/>
        <w:b/>
        <w:bCs/>
        <w:color w:val="000000"/>
      </w:rPr>
      <w:tblPr/>
      <w:tcPr>
        <w:shd w:val="clear" w:color="auto" w:fill="F4F4F4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rPr>
        <w:rFonts w:cs="Times New Roman"/>
      </w:rPr>
      <w:tblPr/>
      <w:tcPr>
        <w:shd w:val="clear" w:color="auto" w:fill="CACACA"/>
      </w:tcPr>
    </w:tblStylePr>
    <w:tblStylePr w:type="band1Horz">
      <w:rPr>
        <w:rFonts w:cs="Times New Roman"/>
      </w:rPr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5">
    <w:name w:val="Medium Grid 2 Accent 5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rFonts w:cs="Times New Roman"/>
        <w:b/>
        <w:bCs/>
        <w:color w:val="000000"/>
      </w:rPr>
      <w:tblPr/>
      <w:tcPr>
        <w:shd w:val="clear" w:color="auto" w:fill="EFEFE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2-Accent6">
    <w:name w:val="Medium Grid 2 Accent 6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rFonts w:cs="Times New Roman"/>
        <w:b/>
        <w:bCs/>
        <w:color w:val="000000"/>
      </w:rPr>
      <w:tblPr/>
      <w:tcPr>
        <w:shd w:val="clear" w:color="auto" w:fill="EDEDED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rPr>
        <w:rFonts w:cs="Times New Roman"/>
      </w:rPr>
      <w:tblPr/>
      <w:tcPr>
        <w:shd w:val="clear" w:color="auto" w:fill="A6A6A6"/>
      </w:tcPr>
    </w:tblStylePr>
    <w:tblStylePr w:type="band1Horz">
      <w:rPr>
        <w:rFonts w:cs="Times New Roman"/>
      </w:rPr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MediumGrid3">
    <w:name w:val="Medium Grid 3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MediumGrid3-Accent2">
    <w:name w:val="Medium Grid 3 Accent 2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MediumGrid3-Accent3">
    <w:name w:val="Medium Grid 3 Accent 3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4">
    <w:name w:val="Medium Grid 3 Accent 4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MediumGrid3-Accent5">
    <w:name w:val="Medium Grid 3 Accent 5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6">
    <w:name w:val="Medium Grid 3 Accent 6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MediumList1">
    <w:name w:val="Medium List 1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rPr>
        <w:rFonts w:cs="Times New Roman"/>
      </w:rPr>
      <w:tblPr/>
      <w:tcPr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rPr>
        <w:rFonts w:cs="Times New Roman"/>
      </w:rPr>
      <w:tblPr/>
      <w:tcPr>
        <w:shd w:val="clear" w:color="auto" w:fill="AFDFFF"/>
      </w:tcPr>
    </w:tblStylePr>
    <w:tblStylePr w:type="band1Horz">
      <w:rPr>
        <w:rFonts w:cs="Times New Roman"/>
      </w:rPr>
      <w:tblPr/>
      <w:tcPr>
        <w:shd w:val="clear" w:color="auto" w:fill="AFDFFF"/>
      </w:tcPr>
    </w:tblStylePr>
  </w:style>
  <w:style w:type="table" w:styleId="MediumList1-Accent2">
    <w:name w:val="Medium List 1 Accent 2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rPr>
        <w:rFonts w:cs="Times New Roman"/>
      </w:rPr>
      <w:tblPr/>
      <w:tcPr>
        <w:shd w:val="clear" w:color="auto" w:fill="FFB0B0"/>
      </w:tcPr>
    </w:tblStylePr>
    <w:tblStylePr w:type="band1Horz">
      <w:rPr>
        <w:rFonts w:cs="Times New Roman"/>
      </w:rPr>
      <w:tblPr/>
      <w:tcPr>
        <w:shd w:val="clear" w:color="auto" w:fill="FFB0B0"/>
      </w:tcPr>
    </w:tblStylePr>
  </w:style>
  <w:style w:type="table" w:styleId="MediumList1-Accent3">
    <w:name w:val="Medium List 1 Accent 3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7D7D7"/>
      </w:tcPr>
    </w:tblStylePr>
  </w:style>
  <w:style w:type="table" w:styleId="MediumList1-Accent4">
    <w:name w:val="Medium List 1 Accent 4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rPr>
        <w:rFonts w:cs="Times New Roman"/>
      </w:rPr>
      <w:tblPr/>
      <w:tcPr>
        <w:shd w:val="clear" w:color="auto" w:fill="E5E5E5"/>
      </w:tcPr>
    </w:tblStylePr>
    <w:tblStylePr w:type="band1Horz">
      <w:rPr>
        <w:rFonts w:cs="Times New Roman"/>
      </w:rPr>
      <w:tblPr/>
      <w:tcPr>
        <w:shd w:val="clear" w:color="auto" w:fill="E5E5E5"/>
      </w:tcPr>
    </w:tblStylePr>
  </w:style>
  <w:style w:type="table" w:styleId="MediumList1-Accent5">
    <w:name w:val="Medium List 1 Accent 5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7D7D7"/>
      </w:tcPr>
    </w:tblStylePr>
  </w:style>
  <w:style w:type="table" w:styleId="MediumList1-Accent6">
    <w:name w:val="Medium List 1 Accent 6"/>
    <w:basedOn w:val="TableNormal"/>
    <w:uiPriority w:val="99"/>
    <w:semiHidden/>
    <w:rsid w:val="00470981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rPr>
        <w:rFonts w:cs="Times New Roman"/>
      </w:rPr>
      <w:tblPr/>
      <w:tcPr>
        <w:shd w:val="clear" w:color="auto" w:fill="D3D3D3"/>
      </w:tcPr>
    </w:tblStylePr>
    <w:tblStylePr w:type="band1Horz">
      <w:rPr>
        <w:rFonts w:cs="Times New Roman"/>
      </w:rPr>
      <w:tblPr/>
      <w:tcPr>
        <w:shd w:val="clear" w:color="auto" w:fill="D3D3D3"/>
      </w:tcPr>
    </w:tblStylePr>
  </w:style>
  <w:style w:type="table" w:styleId="MediumList2">
    <w:name w:val="Medium List 2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470981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0C0C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FDFFF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FB0B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5E5E5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3D3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470981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47098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470981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470981"/>
    <w:rPr>
      <w:szCs w:val="24"/>
    </w:rPr>
  </w:style>
  <w:style w:type="paragraph" w:styleId="NormalIndent">
    <w:name w:val="Normal Indent"/>
    <w:basedOn w:val="Normal"/>
    <w:uiPriority w:val="99"/>
    <w:semiHidden/>
    <w:rsid w:val="00470981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470981"/>
  </w:style>
  <w:style w:type="character" w:customStyle="1" w:styleId="NoteHeadingChar">
    <w:name w:val="Note Heading Char"/>
    <w:basedOn w:val="DefaultParagraphFont"/>
    <w:link w:val="NoteHeading"/>
    <w:uiPriority w:val="99"/>
    <w:semiHidden/>
    <w:locked/>
    <w:rsid w:val="00470981"/>
    <w:rPr>
      <w:rFonts w:eastAsia="MS Mincho" w:cs="Times New Roman"/>
      <w:sz w:val="24"/>
    </w:rPr>
  </w:style>
  <w:style w:type="character" w:styleId="PlaceholderText">
    <w:name w:val="Placeholder Text"/>
    <w:basedOn w:val="DefaultParagraphFont"/>
    <w:uiPriority w:val="99"/>
    <w:semiHidden/>
    <w:rsid w:val="00470981"/>
    <w:rPr>
      <w:rFonts w:cs="Times New Roman"/>
      <w:color w:val="808080"/>
    </w:rPr>
  </w:style>
  <w:style w:type="paragraph" w:styleId="PlainText">
    <w:name w:val="Plain Text"/>
    <w:basedOn w:val="Normal"/>
    <w:link w:val="PlainTextChar"/>
    <w:uiPriority w:val="99"/>
    <w:semiHidden/>
    <w:rsid w:val="00470981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70981"/>
    <w:rPr>
      <w:rFonts w:ascii="Consolas" w:eastAsia="MS Mincho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470981"/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470981"/>
    <w:rPr>
      <w:rFonts w:eastAsia="MS Mincho" w:cs="Times New Roman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470981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470981"/>
    <w:rPr>
      <w:rFonts w:eastAsia="MS Mincho" w:cs="Times New Roman"/>
      <w:sz w:val="24"/>
    </w:rPr>
  </w:style>
  <w:style w:type="table" w:styleId="Table3Deffects1">
    <w:name w:val="Table 3D effects 1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470981"/>
    <w:pPr>
      <w:suppressAutoHyphens/>
    </w:pPr>
    <w:rPr>
      <w:color w:val="000080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470981"/>
    <w:pPr>
      <w:suppressAutoHyphens/>
    </w:pPr>
    <w:rPr>
      <w:color w:val="FFFFFF"/>
      <w:sz w:val="20"/>
      <w:szCs w:val="20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470981"/>
    <w:pPr>
      <w:suppressAutoHyphens/>
    </w:pPr>
    <w:rPr>
      <w:b/>
      <w:bCs/>
      <w:sz w:val="20"/>
      <w:szCs w:val="20"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470981"/>
    <w:pPr>
      <w:suppressAutoHyphens/>
    </w:pPr>
    <w:rPr>
      <w:b/>
      <w:bCs/>
      <w:sz w:val="20"/>
      <w:szCs w:val="20"/>
      <w:lang w:val="fr-FR" w:eastAsia="fr-FR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470981"/>
    <w:pPr>
      <w:suppressAutoHyphens/>
    </w:pPr>
    <w:rPr>
      <w:b/>
      <w:bCs/>
      <w:sz w:val="20"/>
      <w:szCs w:val="20"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470981"/>
    <w:pPr>
      <w:suppressAutoHyphens/>
    </w:pPr>
    <w:rPr>
      <w:b/>
      <w:bCs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470981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470981"/>
  </w:style>
  <w:style w:type="table" w:styleId="TableProfessional">
    <w:name w:val="Table Professional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470981"/>
    <w:pPr>
      <w:suppressAutoHyphens/>
    </w:pPr>
    <w:rPr>
      <w:sz w:val="20"/>
      <w:szCs w:val="20"/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470981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470981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470981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470981"/>
    <w:pPr>
      <w:spacing w:after="100"/>
      <w:ind w:left="1920"/>
    </w:pPr>
  </w:style>
  <w:style w:type="character" w:customStyle="1" w:styleId="JuParaCar">
    <w:name w:val="Ju_Para Car"/>
    <w:link w:val="ECHRPara"/>
    <w:uiPriority w:val="99"/>
    <w:locked/>
    <w:rsid w:val="00711469"/>
    <w:rPr>
      <w:rFonts w:eastAsia="MS Mincho"/>
      <w:sz w:val="24"/>
    </w:rPr>
  </w:style>
  <w:style w:type="numbering" w:styleId="ArticleSection">
    <w:name w:val="Outline List 3"/>
    <w:basedOn w:val="NoList"/>
    <w:uiPriority w:val="99"/>
    <w:semiHidden/>
    <w:unhideWhenUsed/>
    <w:locked/>
    <w:rsid w:val="00F946AB"/>
    <w:pPr>
      <w:numPr>
        <w:numId w:val="25"/>
      </w:numPr>
    </w:pPr>
  </w:style>
  <w:style w:type="numbering" w:styleId="1ai">
    <w:name w:val="Outline List 1"/>
    <w:basedOn w:val="NoList"/>
    <w:uiPriority w:val="99"/>
    <w:semiHidden/>
    <w:unhideWhenUsed/>
    <w:locked/>
    <w:rsid w:val="00F946AB"/>
    <w:pPr>
      <w:numPr>
        <w:numId w:val="24"/>
      </w:numPr>
    </w:pPr>
  </w:style>
  <w:style w:type="numbering" w:styleId="111111">
    <w:name w:val="Outline List 2"/>
    <w:basedOn w:val="NoList"/>
    <w:uiPriority w:val="99"/>
    <w:semiHidden/>
    <w:unhideWhenUsed/>
    <w:locked/>
    <w:rsid w:val="00F946AB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2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25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25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25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255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5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25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25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25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25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25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25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25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1982</Words>
  <Characters>11202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2015-11-16T15:53:00Z</dcterms:created>
  <dcterms:modified xsi:type="dcterms:W3CDTF">2015-11-16T15:54:00Z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